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864C5" w14:textId="065EAD95" w:rsidR="00433044" w:rsidRPr="001C59C3" w:rsidRDefault="000C1DD9" w:rsidP="00197D73">
      <w:pPr>
        <w:pStyle w:val="COMH1-non-numbered"/>
      </w:pPr>
      <w:bookmarkStart w:id="0" w:name="_Toc144890458"/>
      <w:r w:rsidRPr="001C59C3">
        <w:t>7</w:t>
      </w:r>
      <w:r w:rsidR="00433044" w:rsidRPr="001C59C3">
        <w:t>.</w:t>
      </w:r>
      <w:r w:rsidRPr="001C59C3">
        <w:t>02</w:t>
      </w:r>
      <w:r w:rsidR="00163F66" w:rsidRPr="001C59C3">
        <w:tab/>
        <w:t>D</w:t>
      </w:r>
      <w:r w:rsidR="007E301F" w:rsidRPr="001C59C3">
        <w:t>IFELIKEFALIN</w:t>
      </w:r>
      <w:r w:rsidR="00163F66" w:rsidRPr="001C59C3">
        <w:t>,</w:t>
      </w:r>
      <w:r w:rsidR="00163F66" w:rsidRPr="001C59C3">
        <w:br/>
      </w:r>
      <w:r w:rsidR="007E301F" w:rsidRPr="001C59C3">
        <w:t>Solution for I.V. injection</w:t>
      </w:r>
      <w:r w:rsidR="00391601" w:rsidRPr="001C59C3">
        <w:t xml:space="preserve"> </w:t>
      </w:r>
      <w:r w:rsidR="007E301F" w:rsidRPr="001C59C3">
        <w:t>50 micrograms in 1 mL vial</w:t>
      </w:r>
      <w:r w:rsidR="00163F66" w:rsidRPr="001C59C3">
        <w:t>,</w:t>
      </w:r>
      <w:r w:rsidR="00163F66" w:rsidRPr="001C59C3">
        <w:br/>
      </w:r>
      <w:r w:rsidR="007E301F" w:rsidRPr="001C59C3">
        <w:t>Korsuva</w:t>
      </w:r>
      <w:r w:rsidR="00B60939" w:rsidRPr="001C59C3">
        <w:rPr>
          <w:vertAlign w:val="superscript"/>
        </w:rPr>
        <w:t>®</w:t>
      </w:r>
      <w:r w:rsidR="004A6040" w:rsidRPr="001C59C3">
        <w:t>,</w:t>
      </w:r>
      <w:r w:rsidR="004A6040" w:rsidRPr="001C59C3">
        <w:br/>
      </w:r>
      <w:r w:rsidR="007E301F" w:rsidRPr="001C59C3">
        <w:t>V</w:t>
      </w:r>
      <w:r w:rsidR="009D49D5" w:rsidRPr="001C59C3">
        <w:t>ifor</w:t>
      </w:r>
      <w:r w:rsidR="007E301F" w:rsidRPr="001C59C3">
        <w:t xml:space="preserve"> P</w:t>
      </w:r>
      <w:r w:rsidR="009D49D5" w:rsidRPr="001C59C3">
        <w:t>harma</w:t>
      </w:r>
      <w:r w:rsidR="007E301F" w:rsidRPr="001C59C3">
        <w:t xml:space="preserve"> P</w:t>
      </w:r>
      <w:r w:rsidR="009D49D5" w:rsidRPr="001C59C3">
        <w:t>ty</w:t>
      </w:r>
      <w:r w:rsidR="007E301F" w:rsidRPr="001C59C3">
        <w:t xml:space="preserve"> L</w:t>
      </w:r>
      <w:r w:rsidR="009D49D5" w:rsidRPr="001C59C3">
        <w:t>imited</w:t>
      </w:r>
      <w:r w:rsidR="00B60939" w:rsidRPr="001C59C3">
        <w:t>.</w:t>
      </w:r>
      <w:bookmarkEnd w:id="0"/>
    </w:p>
    <w:p w14:paraId="11C00795" w14:textId="0FD2F334" w:rsidR="00B50DB8" w:rsidRPr="001C59C3" w:rsidRDefault="00B50DB8" w:rsidP="004F15B1">
      <w:pPr>
        <w:pStyle w:val="COMH1numbered"/>
      </w:pPr>
      <w:bookmarkStart w:id="1" w:name="_Toc144890460"/>
      <w:r w:rsidRPr="001C59C3">
        <w:t xml:space="preserve">Purpose of </w:t>
      </w:r>
      <w:r w:rsidR="00CD7193" w:rsidRPr="001C59C3">
        <w:t>s</w:t>
      </w:r>
      <w:r w:rsidR="00BB3A45" w:rsidRPr="001C59C3">
        <w:t>ubmission</w:t>
      </w:r>
      <w:bookmarkEnd w:id="1"/>
    </w:p>
    <w:p w14:paraId="19414AA1" w14:textId="5DE6EA93" w:rsidR="002C2775" w:rsidRPr="001C59C3" w:rsidRDefault="007170DA" w:rsidP="004F15B1">
      <w:pPr>
        <w:pStyle w:val="COMexecsumnumberedpara"/>
      </w:pPr>
      <w:r w:rsidRPr="001C59C3">
        <w:t xml:space="preserve">The </w:t>
      </w:r>
      <w:r w:rsidR="000508C2" w:rsidRPr="001C59C3">
        <w:t>Standard Re-entry</w:t>
      </w:r>
      <w:r w:rsidR="003C7C15" w:rsidRPr="001C59C3">
        <w:t xml:space="preserve"> </w:t>
      </w:r>
      <w:r w:rsidRPr="001C59C3">
        <w:t xml:space="preserve">submission requested </w:t>
      </w:r>
      <w:r w:rsidR="00181303" w:rsidRPr="001C59C3">
        <w:t>a Section 100 (Highly Specialised Drugs Program (HSD)), Authori</w:t>
      </w:r>
      <w:r w:rsidR="007E301F" w:rsidRPr="001C59C3">
        <w:t>t</w:t>
      </w:r>
      <w:r w:rsidR="00181303" w:rsidRPr="001C59C3">
        <w:t xml:space="preserve">y Required (Telephone/Online) listing </w:t>
      </w:r>
      <w:r w:rsidR="008B1757" w:rsidRPr="001C59C3">
        <w:t xml:space="preserve">for </w:t>
      </w:r>
      <w:r w:rsidR="0050174E" w:rsidRPr="001C59C3">
        <w:t xml:space="preserve">the </w:t>
      </w:r>
      <w:r w:rsidR="008B1757" w:rsidRPr="001C59C3">
        <w:t xml:space="preserve">treatment of </w:t>
      </w:r>
      <w:r w:rsidR="00181303" w:rsidRPr="001C59C3">
        <w:t>moderate to severe pruritus associated with chronic kidney disease</w:t>
      </w:r>
      <w:r w:rsidR="00B21B1A" w:rsidRPr="001C59C3">
        <w:t xml:space="preserve"> (CKD)</w:t>
      </w:r>
      <w:r w:rsidR="0095583B" w:rsidRPr="001C59C3">
        <w:t xml:space="preserve"> in </w:t>
      </w:r>
      <w:r w:rsidR="00B4165C" w:rsidRPr="001C59C3">
        <w:t xml:space="preserve">adult </w:t>
      </w:r>
      <w:r w:rsidR="0095583B" w:rsidRPr="001C59C3">
        <w:t>patients on haemodialysis</w:t>
      </w:r>
      <w:r w:rsidR="00181303" w:rsidRPr="001C59C3">
        <w:t>.</w:t>
      </w:r>
    </w:p>
    <w:p w14:paraId="4E9FBCB5" w14:textId="5F6CC725" w:rsidR="00C2778B" w:rsidRPr="001C59C3" w:rsidRDefault="005750C5" w:rsidP="004F15B1">
      <w:pPr>
        <w:pStyle w:val="COMexecsumnumberedpara"/>
      </w:pPr>
      <w:r w:rsidRPr="001C59C3">
        <w:t xml:space="preserve">Listing was requested on the basis of a </w:t>
      </w:r>
      <w:r w:rsidR="00233FF6" w:rsidRPr="001C59C3">
        <w:t>cost-effectiveness analysis of difelikefalin versus best supportive care</w:t>
      </w:r>
      <w:r w:rsidR="001C59C3">
        <w:t xml:space="preserve">. </w:t>
      </w:r>
    </w:p>
    <w:p w14:paraId="3718DE61" w14:textId="2463015D" w:rsidR="008B1757" w:rsidRPr="001C59C3" w:rsidRDefault="00696EF9" w:rsidP="004A6040">
      <w:pPr>
        <w:pStyle w:val="COMtablefigcaption"/>
      </w:pPr>
      <w:r w:rsidRPr="001C59C3">
        <w:t xml:space="preserve">Table </w:t>
      </w:r>
      <w:r w:rsidR="007232F8">
        <w:fldChar w:fldCharType="begin" w:fldLock="1"/>
      </w:r>
      <w:r w:rsidR="007232F8">
        <w:instrText xml:space="preserve"> SEQ Table \* ARABIC </w:instrText>
      </w:r>
      <w:r w:rsidR="007232F8">
        <w:fldChar w:fldCharType="separate"/>
      </w:r>
      <w:r w:rsidR="008D1964" w:rsidRPr="009D1BB6">
        <w:t>1</w:t>
      </w:r>
      <w:r w:rsidR="007232F8">
        <w:fldChar w:fldCharType="end"/>
      </w:r>
      <w:r w:rsidRPr="001C59C3">
        <w:t>:</w:t>
      </w:r>
      <w:r w:rsidR="00BC591F" w:rsidRPr="001C59C3">
        <w:t xml:space="preserve"> </w:t>
      </w:r>
      <w:r w:rsidR="008B1757" w:rsidRPr="001C59C3">
        <w:t xml:space="preserve">Key components of the clinical issue addressed </w:t>
      </w:r>
      <w:r w:rsidR="00233FF6" w:rsidRPr="001C59C3">
        <w:t>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7374"/>
      </w:tblGrid>
      <w:tr w:rsidR="00233FF6" w:rsidRPr="001C59C3" w14:paraId="01824CCC" w14:textId="77777777" w:rsidTr="00946816">
        <w:tc>
          <w:tcPr>
            <w:tcW w:w="911" w:type="pct"/>
            <w:vAlign w:val="center"/>
          </w:tcPr>
          <w:p w14:paraId="11E95608" w14:textId="77777777" w:rsidR="00233FF6" w:rsidRPr="001C59C3" w:rsidRDefault="00233FF6" w:rsidP="00776D51">
            <w:pPr>
              <w:pStyle w:val="COMTableheadingrow"/>
              <w:rPr>
                <w:lang w:val="en-AU"/>
              </w:rPr>
            </w:pPr>
            <w:r w:rsidRPr="001C59C3">
              <w:rPr>
                <w:lang w:val="en-AU"/>
              </w:rPr>
              <w:t>Component</w:t>
            </w:r>
          </w:p>
        </w:tc>
        <w:tc>
          <w:tcPr>
            <w:tcW w:w="4089" w:type="pct"/>
            <w:vAlign w:val="center"/>
          </w:tcPr>
          <w:p w14:paraId="3F963BD6" w14:textId="77777777" w:rsidR="00233FF6" w:rsidRPr="001C59C3" w:rsidRDefault="00233FF6" w:rsidP="00776D51">
            <w:pPr>
              <w:pStyle w:val="COMTableheadingrow"/>
              <w:rPr>
                <w:lang w:val="en-AU"/>
              </w:rPr>
            </w:pPr>
            <w:r w:rsidRPr="001C59C3">
              <w:rPr>
                <w:lang w:val="en-AU"/>
              </w:rPr>
              <w:t>Description</w:t>
            </w:r>
          </w:p>
        </w:tc>
      </w:tr>
      <w:tr w:rsidR="00233FF6" w:rsidRPr="001C59C3" w14:paraId="7A72CED0" w14:textId="77777777" w:rsidTr="00946816">
        <w:tc>
          <w:tcPr>
            <w:tcW w:w="911" w:type="pct"/>
            <w:vAlign w:val="center"/>
          </w:tcPr>
          <w:p w14:paraId="7EC8EF98" w14:textId="77777777" w:rsidR="00233FF6" w:rsidRPr="001C59C3" w:rsidRDefault="00233FF6" w:rsidP="00776D51">
            <w:pPr>
              <w:pStyle w:val="COMTabletext"/>
            </w:pPr>
            <w:r w:rsidRPr="001C59C3">
              <w:t>Population</w:t>
            </w:r>
          </w:p>
        </w:tc>
        <w:tc>
          <w:tcPr>
            <w:tcW w:w="4089" w:type="pct"/>
          </w:tcPr>
          <w:p w14:paraId="7D9C90FA" w14:textId="77777777" w:rsidR="00233FF6" w:rsidRPr="001C59C3" w:rsidRDefault="00233FF6" w:rsidP="00776D51">
            <w:pPr>
              <w:pStyle w:val="COMTabletext"/>
            </w:pPr>
            <w:r w:rsidRPr="001C59C3">
              <w:t>Adult patients on haemodialysis with moderate to severe pruritus associated with chronic kidney disease, who have inadequate response to best supportive care</w:t>
            </w:r>
          </w:p>
        </w:tc>
      </w:tr>
      <w:tr w:rsidR="00233FF6" w:rsidRPr="001C59C3" w14:paraId="7D23AD90" w14:textId="77777777" w:rsidTr="00946816">
        <w:tc>
          <w:tcPr>
            <w:tcW w:w="911" w:type="pct"/>
            <w:vAlign w:val="center"/>
          </w:tcPr>
          <w:p w14:paraId="2174F57B" w14:textId="77777777" w:rsidR="00233FF6" w:rsidRPr="001C59C3" w:rsidRDefault="00233FF6" w:rsidP="00776D51">
            <w:pPr>
              <w:pStyle w:val="COMTabletext"/>
            </w:pPr>
            <w:r w:rsidRPr="001C59C3">
              <w:t>Intervention</w:t>
            </w:r>
          </w:p>
        </w:tc>
        <w:tc>
          <w:tcPr>
            <w:tcW w:w="4089" w:type="pct"/>
          </w:tcPr>
          <w:p w14:paraId="1EFA2329" w14:textId="77777777" w:rsidR="00233FF6" w:rsidRPr="001C59C3" w:rsidRDefault="00233FF6" w:rsidP="00776D51">
            <w:pPr>
              <w:pStyle w:val="COMTabletext"/>
            </w:pPr>
            <w:r w:rsidRPr="001C59C3">
              <w:t>Difelikefalin in addition to best supportive care</w:t>
            </w:r>
          </w:p>
        </w:tc>
      </w:tr>
      <w:tr w:rsidR="00233FF6" w:rsidRPr="001C59C3" w14:paraId="6053620A" w14:textId="77777777" w:rsidTr="00946816">
        <w:tc>
          <w:tcPr>
            <w:tcW w:w="911" w:type="pct"/>
            <w:vAlign w:val="center"/>
          </w:tcPr>
          <w:p w14:paraId="5CC66D10" w14:textId="77777777" w:rsidR="00233FF6" w:rsidRPr="001C59C3" w:rsidRDefault="00233FF6" w:rsidP="00776D51">
            <w:pPr>
              <w:pStyle w:val="COMTabletext"/>
            </w:pPr>
            <w:r w:rsidRPr="001C59C3">
              <w:t>Comparator</w:t>
            </w:r>
          </w:p>
        </w:tc>
        <w:tc>
          <w:tcPr>
            <w:tcW w:w="4089" w:type="pct"/>
          </w:tcPr>
          <w:p w14:paraId="4352F37A" w14:textId="77777777" w:rsidR="00233FF6" w:rsidRPr="001C59C3" w:rsidRDefault="00233FF6" w:rsidP="00776D51">
            <w:pPr>
              <w:pStyle w:val="COMTabletext"/>
            </w:pPr>
            <w:r w:rsidRPr="001C59C3">
              <w:t xml:space="preserve">Best supportive care </w:t>
            </w:r>
          </w:p>
        </w:tc>
      </w:tr>
      <w:tr w:rsidR="00233FF6" w:rsidRPr="001C59C3" w14:paraId="416F8E4A" w14:textId="77777777" w:rsidTr="00946816">
        <w:tc>
          <w:tcPr>
            <w:tcW w:w="911" w:type="pct"/>
            <w:vAlign w:val="center"/>
          </w:tcPr>
          <w:p w14:paraId="79E507D9" w14:textId="77777777" w:rsidR="00233FF6" w:rsidRPr="001C59C3" w:rsidRDefault="00233FF6" w:rsidP="00776D51">
            <w:pPr>
              <w:pStyle w:val="COMTabletext"/>
            </w:pPr>
            <w:r w:rsidRPr="001C59C3">
              <w:t>Outcomes</w:t>
            </w:r>
          </w:p>
        </w:tc>
        <w:tc>
          <w:tcPr>
            <w:tcW w:w="4089" w:type="pct"/>
          </w:tcPr>
          <w:p w14:paraId="626B1773" w14:textId="77777777" w:rsidR="00233FF6" w:rsidRPr="001C59C3" w:rsidRDefault="00233FF6" w:rsidP="00776D51">
            <w:pPr>
              <w:pStyle w:val="COMTabletext"/>
            </w:pPr>
            <w:r w:rsidRPr="001C59C3">
              <w:t>Improvements in disease-related symptoms leading to improved quality of life</w:t>
            </w:r>
          </w:p>
        </w:tc>
      </w:tr>
      <w:tr w:rsidR="00233FF6" w:rsidRPr="001C59C3" w14:paraId="019BEF10" w14:textId="77777777" w:rsidTr="00946816">
        <w:tc>
          <w:tcPr>
            <w:tcW w:w="911" w:type="pct"/>
            <w:vAlign w:val="center"/>
          </w:tcPr>
          <w:p w14:paraId="6FB27BDB" w14:textId="77777777" w:rsidR="00233FF6" w:rsidRPr="001C59C3" w:rsidRDefault="00233FF6" w:rsidP="00776D51">
            <w:pPr>
              <w:pStyle w:val="COMTabletext"/>
            </w:pPr>
            <w:r w:rsidRPr="001C59C3">
              <w:t>Clinical claim</w:t>
            </w:r>
          </w:p>
        </w:tc>
        <w:tc>
          <w:tcPr>
            <w:tcW w:w="4089" w:type="pct"/>
          </w:tcPr>
          <w:p w14:paraId="2D466BA2" w14:textId="77777777" w:rsidR="00233FF6" w:rsidRPr="001C59C3" w:rsidRDefault="00233FF6" w:rsidP="00776D51">
            <w:pPr>
              <w:pStyle w:val="COMTabletext"/>
            </w:pPr>
            <w:r w:rsidRPr="001C59C3">
              <w:t>Superior efficacy and inferior safety compared to best supportive care</w:t>
            </w:r>
          </w:p>
        </w:tc>
      </w:tr>
    </w:tbl>
    <w:p w14:paraId="19097AE8" w14:textId="1BBCD932" w:rsidR="00D84F29" w:rsidRPr="001C59C3" w:rsidRDefault="008B1757" w:rsidP="00D84F29">
      <w:pPr>
        <w:pStyle w:val="COMTablefooter"/>
      </w:pPr>
      <w:r w:rsidRPr="001C59C3">
        <w:t xml:space="preserve">Source: </w:t>
      </w:r>
      <w:r w:rsidR="00233FF6" w:rsidRPr="001C59C3">
        <w:t>Table 1, p18 of the resubmission</w:t>
      </w:r>
    </w:p>
    <w:p w14:paraId="6B4AB6C2" w14:textId="483817F5" w:rsidR="005C25FF" w:rsidRPr="001C59C3" w:rsidRDefault="005C25FF" w:rsidP="004F15B1">
      <w:pPr>
        <w:pStyle w:val="COMH1numbered"/>
      </w:pPr>
      <w:bookmarkStart w:id="2" w:name="_Toc144890461"/>
      <w:r w:rsidRPr="001C59C3">
        <w:t>Background</w:t>
      </w:r>
      <w:bookmarkEnd w:id="2"/>
    </w:p>
    <w:p w14:paraId="2C521D6D" w14:textId="53DB3792" w:rsidR="005C25FF" w:rsidRPr="001C59C3" w:rsidRDefault="005C25FF" w:rsidP="0045707B">
      <w:pPr>
        <w:pStyle w:val="COMH2-non-numbered"/>
      </w:pPr>
      <w:bookmarkStart w:id="3" w:name="_Toc22897638"/>
      <w:bookmarkStart w:id="4" w:name="_Toc144890462"/>
      <w:r w:rsidRPr="001C59C3">
        <w:t>Registration status</w:t>
      </w:r>
      <w:bookmarkEnd w:id="3"/>
      <w:bookmarkEnd w:id="4"/>
    </w:p>
    <w:p w14:paraId="5374AD55" w14:textId="50B20E9F" w:rsidR="005C25FF" w:rsidRPr="001C59C3" w:rsidRDefault="00010104" w:rsidP="004F15B1">
      <w:pPr>
        <w:pStyle w:val="COMexecsumnumberedpara"/>
      </w:pPr>
      <w:r w:rsidRPr="001C59C3">
        <w:t xml:space="preserve">Difelikefalin was approved by the TGA on 10 November 2022 for the treatment of moderate to severe pruritus associated with </w:t>
      </w:r>
      <w:r w:rsidR="00E24FEB" w:rsidRPr="001C59C3">
        <w:t>CKD in adult patients on haemodialysis.</w:t>
      </w:r>
    </w:p>
    <w:p w14:paraId="3E2A6EAB" w14:textId="22C83B12" w:rsidR="005C25FF" w:rsidRPr="001C59C3" w:rsidRDefault="005C25FF" w:rsidP="004E18E9">
      <w:pPr>
        <w:pStyle w:val="COMH2-non-numbered"/>
      </w:pPr>
      <w:bookmarkStart w:id="5" w:name="_Toc22897639"/>
      <w:bookmarkStart w:id="6" w:name="_Toc144890463"/>
      <w:r w:rsidRPr="001C59C3">
        <w:t>Previous PBAC consideration</w:t>
      </w:r>
      <w:bookmarkEnd w:id="5"/>
      <w:bookmarkEnd w:id="6"/>
    </w:p>
    <w:p w14:paraId="47E25D3D" w14:textId="1A409605" w:rsidR="008F3605" w:rsidRPr="001C59C3" w:rsidRDefault="007C7B16" w:rsidP="004F15B1">
      <w:pPr>
        <w:pStyle w:val="COMexecsumnumberedpara"/>
      </w:pPr>
      <w:r w:rsidRPr="001C59C3">
        <w:fldChar w:fldCharType="begin" w:fldLock="1"/>
      </w:r>
      <w:r w:rsidRPr="001C59C3">
        <w:instrText xml:space="preserve"> REF _Ref124147399 \h </w:instrText>
      </w:r>
      <w:r w:rsidRPr="001C59C3">
        <w:fldChar w:fldCharType="separate"/>
      </w:r>
      <w:r w:rsidRPr="001C59C3">
        <w:t xml:space="preserve">Table </w:t>
      </w:r>
      <w:r w:rsidRPr="009D1BB6">
        <w:t>2</w:t>
      </w:r>
      <w:r w:rsidRPr="001C59C3">
        <w:fldChar w:fldCharType="end"/>
      </w:r>
      <w:r w:rsidR="008F3605" w:rsidRPr="001C59C3">
        <w:t xml:space="preserve"> summarises the key matters of concern identified at the March 2023 PBAC meeting and how these were addressed in the resubmission.</w:t>
      </w:r>
    </w:p>
    <w:p w14:paraId="5CF29FA0" w14:textId="138BA522" w:rsidR="006E4A86" w:rsidRPr="001C59C3" w:rsidRDefault="00ED4B04" w:rsidP="009D49D5">
      <w:pPr>
        <w:pStyle w:val="COMTableheadingrow"/>
        <w:rPr>
          <w:lang w:val="en-AU"/>
        </w:rPr>
      </w:pPr>
      <w:r w:rsidRPr="001C59C3">
        <w:rPr>
          <w:lang w:val="en-AU"/>
        </w:rPr>
        <w:lastRenderedPageBreak/>
        <w:t xml:space="preserve"> </w:t>
      </w:r>
      <w:bookmarkStart w:id="7" w:name="_Ref124147399"/>
      <w:r w:rsidR="006E4A86" w:rsidRPr="001C59C3">
        <w:rPr>
          <w:lang w:val="en-AU"/>
        </w:rPr>
        <w:t xml:space="preserve">Table </w:t>
      </w:r>
      <w:r w:rsidR="006E4A86" w:rsidRPr="001C59C3">
        <w:rPr>
          <w:lang w:val="en-AU"/>
        </w:rPr>
        <w:fldChar w:fldCharType="begin" w:fldLock="1"/>
      </w:r>
      <w:r w:rsidR="006E4A86" w:rsidRPr="001C59C3">
        <w:rPr>
          <w:lang w:val="en-AU"/>
        </w:rPr>
        <w:instrText xml:space="preserve"> SEQ Table \* ARABIC </w:instrText>
      </w:r>
      <w:r w:rsidR="006E4A86" w:rsidRPr="001C59C3">
        <w:rPr>
          <w:lang w:val="en-AU"/>
        </w:rPr>
        <w:fldChar w:fldCharType="separate"/>
      </w:r>
      <w:r w:rsidR="008D1964" w:rsidRPr="009D1BB6">
        <w:rPr>
          <w:lang w:val="en-AU"/>
        </w:rPr>
        <w:t>2</w:t>
      </w:r>
      <w:r w:rsidR="006E4A86" w:rsidRPr="001C59C3">
        <w:rPr>
          <w:lang w:val="en-AU"/>
        </w:rPr>
        <w:fldChar w:fldCharType="end"/>
      </w:r>
      <w:bookmarkEnd w:id="7"/>
      <w:r w:rsidR="006E4A86" w:rsidRPr="001C59C3">
        <w:rPr>
          <w:lang w:val="en-AU"/>
        </w:rPr>
        <w:t>: Summary of key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4628"/>
      </w:tblGrid>
      <w:tr w:rsidR="006E4A86" w:rsidRPr="001C59C3" w14:paraId="61E0826E" w14:textId="77777777" w:rsidTr="00946816">
        <w:trPr>
          <w:cantSplit/>
          <w:tblHeader/>
        </w:trPr>
        <w:tc>
          <w:tcPr>
            <w:tcW w:w="2434" w:type="pct"/>
            <w:vAlign w:val="center"/>
          </w:tcPr>
          <w:p w14:paraId="62E2952A" w14:textId="4056B093" w:rsidR="006E4A86" w:rsidRPr="001C59C3" w:rsidRDefault="006E4A86" w:rsidP="009D49D5">
            <w:pPr>
              <w:pStyle w:val="COMTableheadingrow"/>
              <w:widowControl w:val="0"/>
              <w:rPr>
                <w:lang w:val="en-AU"/>
              </w:rPr>
            </w:pPr>
            <w:r w:rsidRPr="001C59C3">
              <w:rPr>
                <w:lang w:val="en-AU"/>
              </w:rPr>
              <w:t>Matter of concern (</w:t>
            </w:r>
            <w:r w:rsidR="002E5E26" w:rsidRPr="001C59C3">
              <w:rPr>
                <w:lang w:val="en-AU"/>
              </w:rPr>
              <w:t>March 2023</w:t>
            </w:r>
            <w:r w:rsidRPr="001C59C3">
              <w:rPr>
                <w:lang w:val="en-AU"/>
              </w:rPr>
              <w:t xml:space="preserve"> meeting)</w:t>
            </w:r>
          </w:p>
        </w:tc>
        <w:tc>
          <w:tcPr>
            <w:tcW w:w="2566" w:type="pct"/>
            <w:vAlign w:val="center"/>
          </w:tcPr>
          <w:p w14:paraId="29815682" w14:textId="77777777" w:rsidR="006E4A86" w:rsidRPr="001C59C3" w:rsidRDefault="006E4A86" w:rsidP="009D49D5">
            <w:pPr>
              <w:pStyle w:val="COMTableheadingrow"/>
              <w:widowControl w:val="0"/>
              <w:rPr>
                <w:lang w:val="en-AU"/>
              </w:rPr>
            </w:pPr>
            <w:r w:rsidRPr="001C59C3">
              <w:rPr>
                <w:lang w:val="en-AU"/>
              </w:rPr>
              <w:t xml:space="preserve">Addressed in the resubmission </w:t>
            </w:r>
          </w:p>
        </w:tc>
      </w:tr>
      <w:tr w:rsidR="006E4A86" w:rsidRPr="001C59C3" w14:paraId="695ABE7E" w14:textId="77777777" w:rsidTr="00946816">
        <w:trPr>
          <w:cantSplit/>
        </w:trPr>
        <w:tc>
          <w:tcPr>
            <w:tcW w:w="5000" w:type="pct"/>
            <w:gridSpan w:val="2"/>
            <w:vAlign w:val="center"/>
          </w:tcPr>
          <w:p w14:paraId="7CF8A18E" w14:textId="77777777" w:rsidR="006E4A86" w:rsidRPr="001C59C3" w:rsidRDefault="006E4A86" w:rsidP="009D49D5">
            <w:pPr>
              <w:pStyle w:val="COMTableheadingrow"/>
              <w:widowControl w:val="0"/>
              <w:rPr>
                <w:lang w:val="en-AU"/>
              </w:rPr>
            </w:pPr>
            <w:r w:rsidRPr="001C59C3">
              <w:rPr>
                <w:lang w:val="en-AU"/>
              </w:rPr>
              <w:t>Context and intended use</w:t>
            </w:r>
          </w:p>
        </w:tc>
      </w:tr>
      <w:tr w:rsidR="006E4A86" w:rsidRPr="001C59C3" w14:paraId="6D61E2D1" w14:textId="77777777" w:rsidTr="00946816">
        <w:trPr>
          <w:cantSplit/>
          <w:trHeight w:val="133"/>
        </w:trPr>
        <w:tc>
          <w:tcPr>
            <w:tcW w:w="2434" w:type="pct"/>
          </w:tcPr>
          <w:p w14:paraId="594AD5FE" w14:textId="558EB588" w:rsidR="006E4A86" w:rsidRPr="001C59C3" w:rsidRDefault="006E6278" w:rsidP="009D49D5">
            <w:pPr>
              <w:pStyle w:val="PBACTabletext"/>
              <w:keepLines w:val="0"/>
              <w:widowControl w:val="0"/>
              <w:suppressLineNumbers w:val="0"/>
              <w:rPr>
                <w:rFonts w:ascii="Arial Narrow" w:hAnsi="Arial Narrow" w:cs="Calibri"/>
                <w:szCs w:val="20"/>
              </w:rPr>
            </w:pPr>
            <w:r w:rsidRPr="001C59C3">
              <w:rPr>
                <w:rFonts w:ascii="Arial Narrow" w:hAnsi="Arial Narrow" w:cs="Calibri"/>
                <w:szCs w:val="20"/>
              </w:rPr>
              <w:t xml:space="preserve">The PBAC considered </w:t>
            </w:r>
            <w:r w:rsidR="00D04646" w:rsidRPr="001C59C3">
              <w:rPr>
                <w:rFonts w:ascii="Arial Narrow" w:hAnsi="Arial Narrow" w:cs="Calibri"/>
                <w:szCs w:val="20"/>
              </w:rPr>
              <w:t>the proposal to limit treatment to patients receiving in-centre haemodialysis inappropriately exc</w:t>
            </w:r>
            <w:r w:rsidR="002F11AA" w:rsidRPr="001C59C3">
              <w:rPr>
                <w:rFonts w:ascii="Arial Narrow" w:hAnsi="Arial Narrow" w:cs="Calibri"/>
                <w:szCs w:val="20"/>
              </w:rPr>
              <w:t xml:space="preserve">luded patients undergoing haemodialysis </w:t>
            </w:r>
            <w:r w:rsidR="000D690B" w:rsidRPr="001C59C3">
              <w:rPr>
                <w:rFonts w:ascii="Arial Narrow" w:hAnsi="Arial Narrow" w:cs="Calibri"/>
                <w:szCs w:val="20"/>
              </w:rPr>
              <w:t>at</w:t>
            </w:r>
            <w:r w:rsidR="002F11AA" w:rsidRPr="001C59C3">
              <w:rPr>
                <w:rFonts w:ascii="Arial Narrow" w:hAnsi="Arial Narrow" w:cs="Calibri"/>
                <w:szCs w:val="20"/>
              </w:rPr>
              <w:t xml:space="preserve"> home</w:t>
            </w:r>
            <w:r w:rsidR="00475A9F" w:rsidRPr="001C59C3">
              <w:rPr>
                <w:rFonts w:ascii="Arial Narrow" w:hAnsi="Arial Narrow" w:cs="Calibri"/>
                <w:szCs w:val="20"/>
              </w:rPr>
              <w:t xml:space="preserve"> (para 7.3, difelikefalin </w:t>
            </w:r>
            <w:r w:rsidR="00AF0214" w:rsidRPr="001C59C3">
              <w:rPr>
                <w:rFonts w:ascii="Arial Narrow" w:hAnsi="Arial Narrow" w:cs="Calibri"/>
                <w:szCs w:val="20"/>
              </w:rPr>
              <w:t>PSD</w:t>
            </w:r>
            <w:r w:rsidR="00475A9F" w:rsidRPr="001C59C3">
              <w:rPr>
                <w:rFonts w:ascii="Arial Narrow" w:hAnsi="Arial Narrow" w:cs="Calibri"/>
                <w:szCs w:val="20"/>
              </w:rPr>
              <w:t>, March 2023 PBAC meeting)</w:t>
            </w:r>
            <w:r w:rsidR="00AD04CB" w:rsidRPr="001C59C3">
              <w:rPr>
                <w:rFonts w:ascii="Arial Narrow" w:hAnsi="Arial Narrow" w:cs="Calibri"/>
                <w:szCs w:val="20"/>
              </w:rPr>
              <w:t>.</w:t>
            </w:r>
          </w:p>
        </w:tc>
        <w:tc>
          <w:tcPr>
            <w:tcW w:w="2566" w:type="pct"/>
          </w:tcPr>
          <w:p w14:paraId="526AFC67" w14:textId="7BFE35B0" w:rsidR="006E4A86" w:rsidRPr="001C59C3" w:rsidRDefault="00E260A5" w:rsidP="009D49D5">
            <w:pPr>
              <w:pStyle w:val="COMTabletext"/>
              <w:widowControl w:val="0"/>
              <w:rPr>
                <w:szCs w:val="20"/>
              </w:rPr>
            </w:pPr>
            <w:r w:rsidRPr="001C59C3">
              <w:rPr>
                <w:szCs w:val="20"/>
              </w:rPr>
              <w:t>The requested restriction was revised</w:t>
            </w:r>
            <w:r w:rsidR="001C5928" w:rsidRPr="001C59C3">
              <w:rPr>
                <w:szCs w:val="20"/>
              </w:rPr>
              <w:t>,</w:t>
            </w:r>
            <w:r w:rsidRPr="001C59C3">
              <w:rPr>
                <w:szCs w:val="20"/>
              </w:rPr>
              <w:t xml:space="preserve"> </w:t>
            </w:r>
            <w:r w:rsidR="000418ED" w:rsidRPr="001C59C3">
              <w:rPr>
                <w:szCs w:val="20"/>
              </w:rPr>
              <w:t>allow</w:t>
            </w:r>
            <w:r w:rsidR="001C5928" w:rsidRPr="001C59C3">
              <w:rPr>
                <w:szCs w:val="20"/>
              </w:rPr>
              <w:t>ing</w:t>
            </w:r>
            <w:r w:rsidR="000418ED" w:rsidRPr="001C59C3">
              <w:rPr>
                <w:szCs w:val="20"/>
              </w:rPr>
              <w:t xml:space="preserve"> any patient </w:t>
            </w:r>
            <w:r w:rsidR="00C3306A" w:rsidRPr="001C59C3">
              <w:rPr>
                <w:szCs w:val="20"/>
              </w:rPr>
              <w:t xml:space="preserve">on haemodialysis (in-centre or at-home) access to </w:t>
            </w:r>
            <w:r w:rsidR="00AD04CB" w:rsidRPr="001C59C3">
              <w:rPr>
                <w:szCs w:val="20"/>
              </w:rPr>
              <w:t>treatment with difelikefalin.</w:t>
            </w:r>
          </w:p>
        </w:tc>
      </w:tr>
      <w:tr w:rsidR="006E4A86" w:rsidRPr="001C59C3" w14:paraId="1A0F8A77" w14:textId="77777777" w:rsidTr="00946816">
        <w:trPr>
          <w:cantSplit/>
        </w:trPr>
        <w:tc>
          <w:tcPr>
            <w:tcW w:w="2434" w:type="pct"/>
          </w:tcPr>
          <w:p w14:paraId="5F475F3D" w14:textId="323F4D1A" w:rsidR="006E4A86" w:rsidRPr="001C59C3" w:rsidRDefault="0081623C" w:rsidP="009D49D5">
            <w:pPr>
              <w:pStyle w:val="PBACTabletext"/>
              <w:keepLines w:val="0"/>
              <w:widowControl w:val="0"/>
              <w:suppressLineNumbers w:val="0"/>
              <w:rPr>
                <w:rFonts w:ascii="Arial Narrow" w:hAnsi="Arial Narrow" w:cs="Calibri"/>
                <w:szCs w:val="20"/>
              </w:rPr>
            </w:pPr>
            <w:r w:rsidRPr="001C59C3">
              <w:rPr>
                <w:rFonts w:ascii="Arial Narrow" w:hAnsi="Arial Narrow" w:cs="Calibri"/>
                <w:szCs w:val="20"/>
              </w:rPr>
              <w:t xml:space="preserve">The PBAC noted the proposed restriction did not include formal criteria for assessing </w:t>
            </w:r>
            <w:r w:rsidR="00643A76" w:rsidRPr="001C59C3">
              <w:rPr>
                <w:rFonts w:ascii="Arial Narrow" w:hAnsi="Arial Narrow" w:cs="Calibri"/>
                <w:szCs w:val="20"/>
              </w:rPr>
              <w:t xml:space="preserve">baseline </w:t>
            </w:r>
            <w:r w:rsidRPr="001C59C3">
              <w:rPr>
                <w:rFonts w:ascii="Arial Narrow" w:hAnsi="Arial Narrow" w:cs="Calibri"/>
                <w:szCs w:val="20"/>
              </w:rPr>
              <w:t xml:space="preserve">pruritus severity </w:t>
            </w:r>
            <w:r w:rsidR="0093254F" w:rsidRPr="001C59C3">
              <w:rPr>
                <w:rFonts w:ascii="Arial Narrow" w:hAnsi="Arial Narrow" w:cs="Calibri"/>
                <w:szCs w:val="20"/>
              </w:rPr>
              <w:t>or treatment response</w:t>
            </w:r>
            <w:r w:rsidRPr="001C59C3">
              <w:rPr>
                <w:rFonts w:ascii="Arial Narrow" w:hAnsi="Arial Narrow" w:cs="Calibri"/>
                <w:szCs w:val="20"/>
              </w:rPr>
              <w:t xml:space="preserve"> for continuing therapy. The PBAC considered that use of the Worst Itch</w:t>
            </w:r>
            <w:r w:rsidR="00813A62" w:rsidRPr="001C59C3">
              <w:rPr>
                <w:rFonts w:ascii="Arial Narrow" w:hAnsi="Arial Narrow" w:cs="Calibri"/>
                <w:szCs w:val="20"/>
              </w:rPr>
              <w:t>ing Intensity</w:t>
            </w:r>
            <w:r w:rsidRPr="001C59C3">
              <w:rPr>
                <w:rFonts w:ascii="Arial Narrow" w:hAnsi="Arial Narrow" w:cs="Calibri"/>
                <w:szCs w:val="20"/>
              </w:rPr>
              <w:t xml:space="preserve"> </w:t>
            </w:r>
            <w:r w:rsidR="0078041C" w:rsidRPr="001C59C3">
              <w:rPr>
                <w:rFonts w:ascii="Arial Narrow" w:hAnsi="Arial Narrow" w:cs="Calibri"/>
                <w:szCs w:val="20"/>
              </w:rPr>
              <w:t>Numerical</w:t>
            </w:r>
            <w:r w:rsidRPr="001C59C3">
              <w:rPr>
                <w:rFonts w:ascii="Arial Narrow" w:hAnsi="Arial Narrow" w:cs="Calibri"/>
                <w:szCs w:val="20"/>
              </w:rPr>
              <w:t xml:space="preserve"> Rating Scale (WI-NRS) </w:t>
            </w:r>
            <w:r w:rsidR="00AC78D9" w:rsidRPr="001C59C3">
              <w:rPr>
                <w:rFonts w:ascii="Arial Narrow" w:hAnsi="Arial Narrow" w:cs="Calibri"/>
                <w:szCs w:val="20"/>
              </w:rPr>
              <w:t>would be feasible</w:t>
            </w:r>
            <w:r w:rsidR="00B50F1B" w:rsidRPr="001C59C3">
              <w:rPr>
                <w:rFonts w:ascii="Arial Narrow" w:hAnsi="Arial Narrow" w:cs="Calibri"/>
                <w:szCs w:val="20"/>
              </w:rPr>
              <w:t>,</w:t>
            </w:r>
            <w:r w:rsidR="00AC78D9" w:rsidRPr="001C59C3">
              <w:rPr>
                <w:rFonts w:ascii="Arial Narrow" w:hAnsi="Arial Narrow" w:cs="Calibri"/>
                <w:szCs w:val="20"/>
              </w:rPr>
              <w:t xml:space="preserve"> with baseline severity and response criteria based </w:t>
            </w:r>
            <w:r w:rsidR="005F7DBA" w:rsidRPr="001C59C3">
              <w:rPr>
                <w:rFonts w:ascii="Arial Narrow" w:hAnsi="Arial Narrow" w:cs="Calibri"/>
                <w:szCs w:val="20"/>
              </w:rPr>
              <w:t>upon trial-based thresholds</w:t>
            </w:r>
            <w:r w:rsidR="00A20D7C" w:rsidRPr="001C59C3">
              <w:rPr>
                <w:rFonts w:ascii="Arial Narrow" w:hAnsi="Arial Narrow" w:cs="Calibri"/>
                <w:szCs w:val="20"/>
              </w:rPr>
              <w:t xml:space="preserve"> (i.e. </w:t>
            </w:r>
            <w:r w:rsidR="00BE6202" w:rsidRPr="001C59C3">
              <w:rPr>
                <w:rFonts w:ascii="Arial Narrow" w:hAnsi="Arial Narrow" w:cs="Calibri"/>
                <w:szCs w:val="20"/>
              </w:rPr>
              <w:t xml:space="preserve">severity: a WI-NRS score &gt; 4; response criteria: at least a 3-point improvement in WI-NRS) (para 7.3, difelikefalin </w:t>
            </w:r>
            <w:r w:rsidR="00AF0214" w:rsidRPr="001C59C3">
              <w:rPr>
                <w:rFonts w:ascii="Arial Narrow" w:hAnsi="Arial Narrow" w:cs="Calibri"/>
                <w:szCs w:val="20"/>
              </w:rPr>
              <w:t>PSD</w:t>
            </w:r>
            <w:r w:rsidR="00BE6202" w:rsidRPr="001C59C3">
              <w:rPr>
                <w:rFonts w:ascii="Arial Narrow" w:hAnsi="Arial Narrow" w:cs="Calibri"/>
                <w:szCs w:val="20"/>
              </w:rPr>
              <w:t>, March 2023 PBAC meeting)</w:t>
            </w:r>
            <w:r w:rsidR="008038F1" w:rsidRPr="001C59C3">
              <w:rPr>
                <w:rFonts w:ascii="Arial Narrow" w:hAnsi="Arial Narrow" w:cs="Calibri"/>
                <w:szCs w:val="20"/>
              </w:rPr>
              <w:t>.</w:t>
            </w:r>
          </w:p>
        </w:tc>
        <w:tc>
          <w:tcPr>
            <w:tcW w:w="2566" w:type="pct"/>
          </w:tcPr>
          <w:p w14:paraId="501D95FA" w14:textId="410CB2B2" w:rsidR="006E4A86" w:rsidRPr="001C59C3" w:rsidRDefault="004C5C04" w:rsidP="009D49D5">
            <w:pPr>
              <w:pStyle w:val="COMTabletext"/>
              <w:widowControl w:val="0"/>
              <w:rPr>
                <w:rFonts w:cs="Calibri"/>
                <w:szCs w:val="20"/>
              </w:rPr>
            </w:pPr>
            <w:r w:rsidRPr="001C59C3">
              <w:rPr>
                <w:rFonts w:cs="Calibri"/>
                <w:szCs w:val="20"/>
              </w:rPr>
              <w:t>The revised restriction includes</w:t>
            </w:r>
            <w:r w:rsidR="0016459F" w:rsidRPr="001C59C3">
              <w:rPr>
                <w:rFonts w:cs="Calibri"/>
                <w:szCs w:val="20"/>
              </w:rPr>
              <w:t xml:space="preserve"> formal</w:t>
            </w:r>
            <w:r w:rsidRPr="001C59C3">
              <w:rPr>
                <w:rFonts w:cs="Calibri"/>
                <w:szCs w:val="20"/>
              </w:rPr>
              <w:t xml:space="preserve"> initial and continuing treatment criteria based on </w:t>
            </w:r>
            <w:r w:rsidR="0016459F" w:rsidRPr="001C59C3">
              <w:rPr>
                <w:rFonts w:cs="Calibri"/>
                <w:szCs w:val="20"/>
              </w:rPr>
              <w:t xml:space="preserve">the </w:t>
            </w:r>
            <w:r w:rsidR="0002776E" w:rsidRPr="001C59C3">
              <w:rPr>
                <w:rFonts w:cs="Calibri"/>
                <w:szCs w:val="20"/>
              </w:rPr>
              <w:t xml:space="preserve">WI-NRS </w:t>
            </w:r>
            <w:r w:rsidR="00C22C94" w:rsidRPr="001C59C3">
              <w:rPr>
                <w:rFonts w:cs="Calibri"/>
                <w:szCs w:val="20"/>
              </w:rPr>
              <w:t>instrument</w:t>
            </w:r>
            <w:r w:rsidR="003A2468" w:rsidRPr="001C59C3">
              <w:rPr>
                <w:rFonts w:cs="Calibri"/>
                <w:szCs w:val="20"/>
              </w:rPr>
              <w:t xml:space="preserve">. </w:t>
            </w:r>
            <w:r w:rsidR="0016459F" w:rsidRPr="001C59C3">
              <w:rPr>
                <w:rFonts w:cs="Calibri"/>
                <w:szCs w:val="20"/>
              </w:rPr>
              <w:t>D</w:t>
            </w:r>
            <w:r w:rsidR="003A2468" w:rsidRPr="001C59C3">
              <w:rPr>
                <w:rFonts w:cs="Calibri"/>
                <w:szCs w:val="20"/>
              </w:rPr>
              <w:t xml:space="preserve">efinitions </w:t>
            </w:r>
            <w:r w:rsidR="00E93FBA" w:rsidRPr="001C59C3">
              <w:rPr>
                <w:rFonts w:cs="Calibri"/>
                <w:szCs w:val="20"/>
              </w:rPr>
              <w:t>of</w:t>
            </w:r>
            <w:r w:rsidR="00C22C94" w:rsidRPr="001C59C3">
              <w:rPr>
                <w:rFonts w:cs="Calibri"/>
                <w:szCs w:val="20"/>
              </w:rPr>
              <w:t xml:space="preserve"> baseline severity and treatment response </w:t>
            </w:r>
            <w:r w:rsidR="003A2468" w:rsidRPr="001C59C3">
              <w:rPr>
                <w:rFonts w:cs="Calibri"/>
                <w:szCs w:val="20"/>
              </w:rPr>
              <w:t>were based on</w:t>
            </w:r>
            <w:r w:rsidR="0016459F" w:rsidRPr="001C59C3">
              <w:rPr>
                <w:rFonts w:cs="Calibri"/>
                <w:szCs w:val="20"/>
              </w:rPr>
              <w:t xml:space="preserve"> thresholds used in</w:t>
            </w:r>
            <w:r w:rsidR="00782713" w:rsidRPr="001C59C3">
              <w:rPr>
                <w:rFonts w:cs="Calibri"/>
                <w:szCs w:val="20"/>
              </w:rPr>
              <w:t xml:space="preserve"> the clinical trials, consistent with PBAC’s </w:t>
            </w:r>
            <w:r w:rsidR="00BC3602" w:rsidRPr="001C59C3">
              <w:rPr>
                <w:rFonts w:cs="Calibri"/>
                <w:szCs w:val="20"/>
              </w:rPr>
              <w:t>consideration.</w:t>
            </w:r>
            <w:r w:rsidR="00782713" w:rsidRPr="001C59C3">
              <w:rPr>
                <w:rFonts w:cs="Calibri"/>
                <w:szCs w:val="20"/>
              </w:rPr>
              <w:t xml:space="preserve"> </w:t>
            </w:r>
          </w:p>
        </w:tc>
      </w:tr>
      <w:tr w:rsidR="00E948BE" w:rsidRPr="001C59C3" w14:paraId="62970022" w14:textId="77777777" w:rsidTr="00946816">
        <w:trPr>
          <w:cantSplit/>
        </w:trPr>
        <w:tc>
          <w:tcPr>
            <w:tcW w:w="2434" w:type="pct"/>
          </w:tcPr>
          <w:p w14:paraId="7EF942B5" w14:textId="02616AA4" w:rsidR="00E948BE" w:rsidRPr="001C59C3" w:rsidRDefault="00D82340" w:rsidP="009D49D5">
            <w:pPr>
              <w:pStyle w:val="PBACTabletext"/>
              <w:keepLines w:val="0"/>
              <w:widowControl w:val="0"/>
              <w:suppressLineNumbers w:val="0"/>
              <w:rPr>
                <w:rFonts w:ascii="Arial Narrow" w:hAnsi="Arial Narrow" w:cs="Calibri"/>
                <w:szCs w:val="20"/>
              </w:rPr>
            </w:pPr>
            <w:bookmarkStart w:id="8" w:name="_Hlk139985396"/>
            <w:r w:rsidRPr="001C59C3">
              <w:rPr>
                <w:rFonts w:ascii="Arial Narrow" w:hAnsi="Arial Narrow" w:cs="Calibri"/>
                <w:szCs w:val="20"/>
              </w:rPr>
              <w:t xml:space="preserve">The PBAC </w:t>
            </w:r>
            <w:r w:rsidR="00381C70" w:rsidRPr="001C59C3">
              <w:rPr>
                <w:rFonts w:ascii="Arial Narrow" w:hAnsi="Arial Narrow" w:cs="Calibri"/>
                <w:szCs w:val="20"/>
              </w:rPr>
              <w:t xml:space="preserve">considered the quantities and repeats needed to allow for variability in dosing regimens, as dosing of difelikefalin was weight based and some patients receive more dialysis sessions per week (para 7.3, difelikefalin </w:t>
            </w:r>
            <w:r w:rsidR="00AF0214" w:rsidRPr="001C59C3">
              <w:rPr>
                <w:rFonts w:ascii="Arial Narrow" w:hAnsi="Arial Narrow" w:cs="Calibri"/>
                <w:szCs w:val="20"/>
              </w:rPr>
              <w:t>PSD</w:t>
            </w:r>
            <w:r w:rsidR="00381C70" w:rsidRPr="001C59C3">
              <w:rPr>
                <w:rFonts w:ascii="Arial Narrow" w:hAnsi="Arial Narrow" w:cs="Calibri"/>
                <w:szCs w:val="20"/>
              </w:rPr>
              <w:t>, March 2023 PBAC meeting).</w:t>
            </w:r>
            <w:bookmarkEnd w:id="8"/>
          </w:p>
        </w:tc>
        <w:tc>
          <w:tcPr>
            <w:tcW w:w="2566" w:type="pct"/>
          </w:tcPr>
          <w:p w14:paraId="3B811888" w14:textId="78D56095" w:rsidR="00E948BE" w:rsidRPr="001C59C3" w:rsidRDefault="00E8059D" w:rsidP="009D49D5">
            <w:pPr>
              <w:pStyle w:val="COMTabletext"/>
              <w:widowControl w:val="0"/>
              <w:rPr>
                <w:rFonts w:cs="Calibri"/>
                <w:szCs w:val="20"/>
              </w:rPr>
            </w:pPr>
            <w:r w:rsidRPr="001C59C3">
              <w:rPr>
                <w:rFonts w:cs="Calibri"/>
                <w:szCs w:val="20"/>
              </w:rPr>
              <w:t>The revised restriction includes prescribing instructions that allow</w:t>
            </w:r>
            <w:r w:rsidR="00536FF5" w:rsidRPr="001C59C3">
              <w:rPr>
                <w:rFonts w:cs="Calibri"/>
                <w:szCs w:val="20"/>
              </w:rPr>
              <w:t xml:space="preserve"> applications </w:t>
            </w:r>
            <w:r w:rsidRPr="001C59C3">
              <w:rPr>
                <w:rFonts w:cs="Calibri"/>
                <w:szCs w:val="20"/>
              </w:rPr>
              <w:t>for increased</w:t>
            </w:r>
            <w:r w:rsidR="00C07456" w:rsidRPr="001C59C3">
              <w:rPr>
                <w:rFonts w:cs="Calibri"/>
                <w:szCs w:val="20"/>
              </w:rPr>
              <w:t xml:space="preserve"> vials </w:t>
            </w:r>
            <w:r w:rsidR="00C07456" w:rsidRPr="001C59C3">
              <w:t>according to weight-based dosing requirements</w:t>
            </w:r>
            <w:r w:rsidR="005F5839" w:rsidRPr="001C59C3">
              <w:t xml:space="preserve"> but not </w:t>
            </w:r>
            <w:r w:rsidR="00E47E23" w:rsidRPr="001C59C3">
              <w:t xml:space="preserve">additional </w:t>
            </w:r>
            <w:r w:rsidR="005F5839" w:rsidRPr="001C59C3">
              <w:t xml:space="preserve">doses associated with </w:t>
            </w:r>
            <w:r w:rsidR="006156E4" w:rsidRPr="001C59C3">
              <w:t>unplanned</w:t>
            </w:r>
            <w:r w:rsidR="005F5839" w:rsidRPr="001C59C3">
              <w:t xml:space="preserve"> dialysis sessions</w:t>
            </w:r>
            <w:r w:rsidR="001C59C3">
              <w:t xml:space="preserve">. </w:t>
            </w:r>
          </w:p>
        </w:tc>
      </w:tr>
      <w:tr w:rsidR="0073572B" w:rsidRPr="001C59C3" w14:paraId="6F8160E9" w14:textId="77777777" w:rsidTr="00946816">
        <w:trPr>
          <w:cantSplit/>
        </w:trPr>
        <w:tc>
          <w:tcPr>
            <w:tcW w:w="2434" w:type="pct"/>
          </w:tcPr>
          <w:p w14:paraId="77CA71A7" w14:textId="35166B12" w:rsidR="0073572B" w:rsidRPr="001C59C3" w:rsidRDefault="0043514D" w:rsidP="009D49D5">
            <w:pPr>
              <w:pStyle w:val="PBACTabletext"/>
              <w:keepLines w:val="0"/>
              <w:widowControl w:val="0"/>
              <w:suppressLineNumbers w:val="0"/>
              <w:rPr>
                <w:rFonts w:ascii="Arial Narrow" w:hAnsi="Arial Narrow" w:cs="Calibri"/>
                <w:szCs w:val="20"/>
              </w:rPr>
            </w:pPr>
            <w:r w:rsidRPr="001C59C3">
              <w:rPr>
                <w:rFonts w:ascii="Arial Narrow" w:hAnsi="Arial Narrow" w:cs="Calibri"/>
                <w:szCs w:val="20"/>
              </w:rPr>
              <w:t xml:space="preserve">Given changing haemodialysis regimens, the PBAC considered the restriction should be silent on the frequency of haemodialysis (para 7.3, difelikefalin </w:t>
            </w:r>
            <w:r w:rsidR="00AF0214" w:rsidRPr="001C59C3">
              <w:rPr>
                <w:rFonts w:ascii="Arial Narrow" w:hAnsi="Arial Narrow" w:cs="Calibri"/>
                <w:szCs w:val="20"/>
              </w:rPr>
              <w:t>PSD</w:t>
            </w:r>
            <w:r w:rsidRPr="001C59C3">
              <w:rPr>
                <w:rFonts w:ascii="Arial Narrow" w:hAnsi="Arial Narrow" w:cs="Calibri"/>
                <w:szCs w:val="20"/>
              </w:rPr>
              <w:t>, March 2023 PBAC meeting).</w:t>
            </w:r>
          </w:p>
        </w:tc>
        <w:tc>
          <w:tcPr>
            <w:tcW w:w="2566" w:type="pct"/>
          </w:tcPr>
          <w:p w14:paraId="2C771585" w14:textId="04BEE513" w:rsidR="0073572B" w:rsidRPr="001C59C3" w:rsidRDefault="0043514D" w:rsidP="009D49D5">
            <w:pPr>
              <w:pStyle w:val="COMTabletext"/>
              <w:widowControl w:val="0"/>
              <w:rPr>
                <w:rFonts w:cs="Calibri"/>
                <w:szCs w:val="20"/>
              </w:rPr>
            </w:pPr>
            <w:r w:rsidRPr="001C59C3">
              <w:rPr>
                <w:rFonts w:cs="Calibri"/>
                <w:szCs w:val="20"/>
              </w:rPr>
              <w:t xml:space="preserve">The </w:t>
            </w:r>
            <w:r w:rsidR="00145CE4" w:rsidRPr="001C59C3">
              <w:rPr>
                <w:rFonts w:cs="Calibri"/>
                <w:szCs w:val="20"/>
              </w:rPr>
              <w:t>requested</w:t>
            </w:r>
            <w:r w:rsidR="00F344E9" w:rsidRPr="001C59C3">
              <w:rPr>
                <w:rFonts w:cs="Calibri"/>
                <w:szCs w:val="20"/>
              </w:rPr>
              <w:t xml:space="preserve"> restriction is silent on </w:t>
            </w:r>
            <w:r w:rsidR="00BC3602" w:rsidRPr="001C59C3">
              <w:rPr>
                <w:rFonts w:cs="Calibri"/>
                <w:szCs w:val="20"/>
              </w:rPr>
              <w:t xml:space="preserve">the </w:t>
            </w:r>
            <w:r w:rsidR="00F344E9" w:rsidRPr="001C59C3">
              <w:rPr>
                <w:rFonts w:cs="Calibri"/>
                <w:szCs w:val="20"/>
              </w:rPr>
              <w:t xml:space="preserve">frequency of haemodialysis. </w:t>
            </w:r>
          </w:p>
        </w:tc>
      </w:tr>
      <w:tr w:rsidR="006E4A86" w:rsidRPr="001C59C3" w14:paraId="6EFDB873" w14:textId="77777777" w:rsidTr="00946816">
        <w:trPr>
          <w:cantSplit/>
        </w:trPr>
        <w:tc>
          <w:tcPr>
            <w:tcW w:w="5000" w:type="pct"/>
            <w:gridSpan w:val="2"/>
          </w:tcPr>
          <w:p w14:paraId="7D5CDFAC" w14:textId="77777777" w:rsidR="006E4A86" w:rsidRPr="001C59C3" w:rsidRDefault="006E4A86" w:rsidP="009D49D5">
            <w:pPr>
              <w:pStyle w:val="COMTabletext"/>
              <w:widowControl w:val="0"/>
              <w:rPr>
                <w:szCs w:val="20"/>
              </w:rPr>
            </w:pPr>
            <w:r w:rsidRPr="001C59C3">
              <w:rPr>
                <w:b/>
                <w:szCs w:val="20"/>
              </w:rPr>
              <w:t xml:space="preserve">Economic evaluation </w:t>
            </w:r>
          </w:p>
        </w:tc>
      </w:tr>
      <w:tr w:rsidR="006E4A86" w:rsidRPr="001C59C3" w14:paraId="64BD029C" w14:textId="77777777" w:rsidTr="00946816">
        <w:trPr>
          <w:cantSplit/>
        </w:trPr>
        <w:tc>
          <w:tcPr>
            <w:tcW w:w="2434" w:type="pct"/>
          </w:tcPr>
          <w:p w14:paraId="169A146F" w14:textId="41959937" w:rsidR="006E4A86" w:rsidRPr="001C59C3" w:rsidRDefault="004C059F" w:rsidP="009D49D5">
            <w:pPr>
              <w:pStyle w:val="COMTabletext"/>
              <w:widowControl w:val="0"/>
              <w:rPr>
                <w:szCs w:val="20"/>
              </w:rPr>
            </w:pPr>
            <w:r w:rsidRPr="001C59C3">
              <w:rPr>
                <w:szCs w:val="20"/>
              </w:rPr>
              <w:t>The PBAC noted th</w:t>
            </w:r>
            <w:r w:rsidR="00237085" w:rsidRPr="001C59C3">
              <w:rPr>
                <w:szCs w:val="20"/>
              </w:rPr>
              <w:t>e reliability of the economic evaluation for decision-making was contingent on</w:t>
            </w:r>
            <w:r w:rsidR="009C4F96" w:rsidRPr="001C59C3">
              <w:rPr>
                <w:szCs w:val="20"/>
              </w:rPr>
              <w:t xml:space="preserve"> </w:t>
            </w:r>
            <w:r w:rsidR="00237085" w:rsidRPr="001C59C3">
              <w:rPr>
                <w:szCs w:val="20"/>
              </w:rPr>
              <w:t xml:space="preserve">acceptance of </w:t>
            </w:r>
            <w:r w:rsidR="00DD6F21" w:rsidRPr="001C59C3">
              <w:rPr>
                <w:szCs w:val="20"/>
              </w:rPr>
              <w:t xml:space="preserve">the </w:t>
            </w:r>
            <w:r w:rsidR="004A0B2F" w:rsidRPr="001C59C3">
              <w:rPr>
                <w:szCs w:val="20"/>
              </w:rPr>
              <w:t xml:space="preserve">modelled </w:t>
            </w:r>
            <w:r w:rsidR="00237085" w:rsidRPr="001C59C3">
              <w:rPr>
                <w:szCs w:val="20"/>
              </w:rPr>
              <w:t xml:space="preserve">utility decrements </w:t>
            </w:r>
            <w:r w:rsidR="00916EB6" w:rsidRPr="001C59C3">
              <w:rPr>
                <w:szCs w:val="20"/>
              </w:rPr>
              <w:t>for pruritus</w:t>
            </w:r>
            <w:r w:rsidR="004A0B2F" w:rsidRPr="001C59C3">
              <w:rPr>
                <w:szCs w:val="20"/>
              </w:rPr>
              <w:t xml:space="preserve">. </w:t>
            </w:r>
            <w:r w:rsidR="00031E52" w:rsidRPr="001C59C3">
              <w:rPr>
                <w:szCs w:val="20"/>
              </w:rPr>
              <w:t>The PBAC noted concerns regarding the reliability of the approach used to map 5D-Itch scores to utility</w:t>
            </w:r>
            <w:r w:rsidR="004F6806" w:rsidRPr="001C59C3">
              <w:rPr>
                <w:szCs w:val="20"/>
              </w:rPr>
              <w:t xml:space="preserve"> values, yielding utility decrements</w:t>
            </w:r>
            <w:r w:rsidR="00916EB6" w:rsidRPr="001C59C3">
              <w:rPr>
                <w:szCs w:val="20"/>
              </w:rPr>
              <w:t xml:space="preserve"> </w:t>
            </w:r>
            <w:r w:rsidR="00097BCB" w:rsidRPr="001C59C3">
              <w:rPr>
                <w:szCs w:val="20"/>
              </w:rPr>
              <w:t xml:space="preserve">that were implausibly large </w:t>
            </w:r>
            <w:r w:rsidR="00916EB6" w:rsidRPr="001C59C3">
              <w:rPr>
                <w:szCs w:val="20"/>
              </w:rPr>
              <w:t>(</w:t>
            </w:r>
            <w:r w:rsidR="00F60849" w:rsidRPr="001C59C3">
              <w:rPr>
                <w:szCs w:val="20"/>
              </w:rPr>
              <w:t xml:space="preserve">mild 0.0676, moderate 0.1544 and severe 0.2606) </w:t>
            </w:r>
            <w:r w:rsidR="00B953CE" w:rsidRPr="001C59C3">
              <w:rPr>
                <w:szCs w:val="20"/>
              </w:rPr>
              <w:t xml:space="preserve">(para 7.8, difelikefalin </w:t>
            </w:r>
            <w:r w:rsidR="00AF0214" w:rsidRPr="001C59C3">
              <w:rPr>
                <w:szCs w:val="20"/>
              </w:rPr>
              <w:t>PSD</w:t>
            </w:r>
            <w:r w:rsidR="00B953CE" w:rsidRPr="001C59C3">
              <w:rPr>
                <w:szCs w:val="20"/>
              </w:rPr>
              <w:t xml:space="preserve">, March 2023 PBAC meeting). </w:t>
            </w:r>
          </w:p>
        </w:tc>
        <w:tc>
          <w:tcPr>
            <w:tcW w:w="2566" w:type="pct"/>
          </w:tcPr>
          <w:p w14:paraId="7B4ECBA7" w14:textId="51CC966C" w:rsidR="0006033F" w:rsidRPr="001C59C3" w:rsidRDefault="0006033F" w:rsidP="009D49D5">
            <w:pPr>
              <w:pStyle w:val="COMTabletext"/>
              <w:widowControl w:val="0"/>
            </w:pPr>
            <w:r w:rsidRPr="001C59C3">
              <w:t>The resubmission</w:t>
            </w:r>
            <w:r w:rsidR="00E70056" w:rsidRPr="001C59C3">
              <w:t xml:space="preserve"> provided additional justification to address PBAC’s concerns with the large utility decrements </w:t>
            </w:r>
            <w:r w:rsidR="007A54C0" w:rsidRPr="001C59C3">
              <w:t xml:space="preserve">in the previous submission based on an updated literature review and </w:t>
            </w:r>
            <w:r w:rsidR="00154559" w:rsidRPr="001C59C3">
              <w:t>comparison</w:t>
            </w:r>
            <w:r w:rsidR="00412616" w:rsidRPr="001C59C3">
              <w:t>s</w:t>
            </w:r>
            <w:r w:rsidR="00154559" w:rsidRPr="001C59C3">
              <w:t xml:space="preserve"> with </w:t>
            </w:r>
            <w:r w:rsidR="007A54C0" w:rsidRPr="001C59C3">
              <w:t>other sources of utilities</w:t>
            </w:r>
            <w:r w:rsidR="00D01A33" w:rsidRPr="001C59C3">
              <w:t>.</w:t>
            </w:r>
          </w:p>
          <w:p w14:paraId="0F3CE6B9" w14:textId="77777777" w:rsidR="0006033F" w:rsidRPr="001C59C3" w:rsidRDefault="0006033F" w:rsidP="009D49D5">
            <w:pPr>
              <w:pStyle w:val="COMTabletext"/>
              <w:widowControl w:val="0"/>
            </w:pPr>
          </w:p>
          <w:p w14:paraId="3A7CE72A" w14:textId="6FDEE241" w:rsidR="006E4A86" w:rsidRPr="001C59C3" w:rsidRDefault="00996C37" w:rsidP="009D49D5">
            <w:pPr>
              <w:pStyle w:val="COMTabletext"/>
              <w:widowControl w:val="0"/>
            </w:pPr>
            <w:r w:rsidRPr="001C59C3">
              <w:t>The resubmission</w:t>
            </w:r>
            <w:r w:rsidR="009E664B" w:rsidRPr="001C59C3">
              <w:t xml:space="preserve"> used an alternative set of utilities from </w:t>
            </w:r>
            <w:r w:rsidR="00DA35BC" w:rsidRPr="001C59C3">
              <w:t>a</w:t>
            </w:r>
            <w:r w:rsidR="009E664B" w:rsidRPr="001C59C3">
              <w:t xml:space="preserve"> </w:t>
            </w:r>
            <w:r w:rsidR="00DA35BC" w:rsidRPr="001C59C3">
              <w:t>mapping function developed by the University of Sheffield</w:t>
            </w:r>
            <w:r w:rsidR="009E664B" w:rsidRPr="001C59C3">
              <w:t xml:space="preserve"> </w:t>
            </w:r>
            <w:r w:rsidR="00F84583" w:rsidRPr="001C59C3">
              <w:t>that converted</w:t>
            </w:r>
            <w:r w:rsidR="004F6806" w:rsidRPr="001C59C3">
              <w:t xml:space="preserve"> </w:t>
            </w:r>
            <w:r w:rsidR="00201A6B" w:rsidRPr="001C59C3">
              <w:t xml:space="preserve">trial-based </w:t>
            </w:r>
            <w:r w:rsidR="004F6806" w:rsidRPr="001C59C3">
              <w:t xml:space="preserve">5D-Itch scores </w:t>
            </w:r>
            <w:r w:rsidR="00824471" w:rsidRPr="001C59C3">
              <w:t xml:space="preserve">to utility values. The </w:t>
            </w:r>
            <w:r w:rsidR="0038257A" w:rsidRPr="001C59C3">
              <w:t>resubmission argued that the</w:t>
            </w:r>
            <w:r w:rsidR="006635C6" w:rsidRPr="001C59C3">
              <w:t xml:space="preserve"> </w:t>
            </w:r>
            <w:r w:rsidR="005F7AF0" w:rsidRPr="001C59C3">
              <w:t>updated estimates have greater plausibility</w:t>
            </w:r>
            <w:r w:rsidR="006833A4" w:rsidRPr="001C59C3">
              <w:t xml:space="preserve"> than</w:t>
            </w:r>
            <w:r w:rsidR="00D61B56" w:rsidRPr="001C59C3">
              <w:t xml:space="preserve"> the</w:t>
            </w:r>
            <w:r w:rsidR="006833A4" w:rsidRPr="001C59C3">
              <w:t xml:space="preserve"> </w:t>
            </w:r>
            <w:r w:rsidR="00D61B56" w:rsidRPr="001C59C3">
              <w:t xml:space="preserve">estimates </w:t>
            </w:r>
            <w:r w:rsidR="006833A4" w:rsidRPr="001C59C3">
              <w:t xml:space="preserve">previously considered by the PBAC, as the </w:t>
            </w:r>
            <w:r w:rsidR="006635C6" w:rsidRPr="001C59C3">
              <w:t xml:space="preserve">utility values were lower at baseline and yielded smaller utility decrements </w:t>
            </w:r>
            <w:r w:rsidR="00452D3B" w:rsidRPr="001C59C3">
              <w:t xml:space="preserve">for pruritus. </w:t>
            </w:r>
          </w:p>
        </w:tc>
      </w:tr>
      <w:tr w:rsidR="006E4A86" w:rsidRPr="001C59C3" w14:paraId="2EB113B1" w14:textId="77777777" w:rsidTr="00946816">
        <w:trPr>
          <w:cantSplit/>
        </w:trPr>
        <w:tc>
          <w:tcPr>
            <w:tcW w:w="2434" w:type="pct"/>
          </w:tcPr>
          <w:p w14:paraId="4219F808" w14:textId="1A5B0327" w:rsidR="006E4A86" w:rsidRPr="001C59C3" w:rsidRDefault="00E038F7" w:rsidP="00776D51">
            <w:pPr>
              <w:pStyle w:val="COMTabletext"/>
              <w:keepNext w:val="0"/>
              <w:widowControl w:val="0"/>
              <w:rPr>
                <w:szCs w:val="20"/>
              </w:rPr>
            </w:pPr>
            <w:r w:rsidRPr="001C59C3">
              <w:rPr>
                <w:szCs w:val="20"/>
              </w:rPr>
              <w:t>The PBAC noted the economic model assumed an attenuating placebo effect for patients on best supportive care (BSC) with no matching adjustments to difelikefalin treated patients who also continued to improve up to Week 64. The PBAC noted this differential approach to extrapolating the effects of difelikefalin and placebo led to an increase in the incremental treatment benefit between Weeks 12 and 64 of the model. The PBAC considered the approach favoured difelikefalin and was inadequately justified</w:t>
            </w:r>
            <w:r w:rsidR="006267CB" w:rsidRPr="001C59C3">
              <w:rPr>
                <w:szCs w:val="20"/>
              </w:rPr>
              <w:t xml:space="preserve"> (</w:t>
            </w:r>
            <w:r w:rsidR="009A73C4" w:rsidRPr="001C59C3">
              <w:rPr>
                <w:szCs w:val="20"/>
              </w:rPr>
              <w:t xml:space="preserve">para 7.9, difelikefalin </w:t>
            </w:r>
            <w:r w:rsidR="00AF0214" w:rsidRPr="001C59C3">
              <w:rPr>
                <w:szCs w:val="20"/>
              </w:rPr>
              <w:t>PSD</w:t>
            </w:r>
            <w:r w:rsidR="009A73C4" w:rsidRPr="001C59C3">
              <w:rPr>
                <w:szCs w:val="20"/>
              </w:rPr>
              <w:t>, March 2023 PBAC meeting).</w:t>
            </w:r>
          </w:p>
        </w:tc>
        <w:tc>
          <w:tcPr>
            <w:tcW w:w="2566" w:type="pct"/>
          </w:tcPr>
          <w:p w14:paraId="2164AF98" w14:textId="24C1F25D" w:rsidR="00CC1404" w:rsidRPr="001C59C3" w:rsidRDefault="006A53EB" w:rsidP="00776D51">
            <w:pPr>
              <w:pStyle w:val="COMTabletext"/>
              <w:keepNext w:val="0"/>
              <w:widowControl w:val="0"/>
            </w:pPr>
            <w:r w:rsidRPr="001C59C3">
              <w:t xml:space="preserve">The resubmission </w:t>
            </w:r>
            <w:r w:rsidR="001E216E" w:rsidRPr="001C59C3">
              <w:t xml:space="preserve">used a </w:t>
            </w:r>
            <w:r w:rsidRPr="001C59C3">
              <w:t xml:space="preserve">revised </w:t>
            </w:r>
            <w:r w:rsidR="001E216E" w:rsidRPr="001C59C3">
              <w:t>approach to</w:t>
            </w:r>
            <w:r w:rsidRPr="001C59C3">
              <w:t xml:space="preserve"> extrapolat</w:t>
            </w:r>
            <w:r w:rsidR="001E216E" w:rsidRPr="001C59C3">
              <w:t xml:space="preserve">e </w:t>
            </w:r>
            <w:r w:rsidRPr="001C59C3">
              <w:t xml:space="preserve">treatment effects. Additional benefits between Weeks 12 to 64 for difelikefalin vs BSC were maintained, </w:t>
            </w:r>
            <w:r w:rsidR="00EE1922" w:rsidRPr="001C59C3">
              <w:t>but</w:t>
            </w:r>
            <w:r w:rsidRPr="001C59C3">
              <w:t xml:space="preserve"> the </w:t>
            </w:r>
            <w:r w:rsidR="000E3FC2" w:rsidRPr="001C59C3">
              <w:t xml:space="preserve">attenuation of </w:t>
            </w:r>
            <w:r w:rsidRPr="001C59C3">
              <w:t xml:space="preserve">placebo </w:t>
            </w:r>
            <w:r w:rsidR="000E3FC2" w:rsidRPr="001C59C3">
              <w:t>effects</w:t>
            </w:r>
            <w:r w:rsidRPr="001C59C3">
              <w:t xml:space="preserve"> previously applied to BSC was removed (i.e. </w:t>
            </w:r>
            <w:r w:rsidR="00B859C6" w:rsidRPr="001C59C3">
              <w:t>no change in pruritus severity</w:t>
            </w:r>
            <w:r w:rsidRPr="001C59C3">
              <w:t xml:space="preserve"> after Week 64 for difelikefalin and after Week 12 for BSC)</w:t>
            </w:r>
            <w:r w:rsidR="00EE1922" w:rsidRPr="001C59C3">
              <w:t>.</w:t>
            </w:r>
            <w:r w:rsidR="00902AF4" w:rsidRPr="001C59C3">
              <w:t xml:space="preserve"> </w:t>
            </w:r>
            <w:r w:rsidR="00DE7877" w:rsidRPr="001C59C3">
              <w:t xml:space="preserve">The </w:t>
            </w:r>
            <w:r w:rsidR="002B7A4A" w:rsidRPr="001C59C3">
              <w:t xml:space="preserve">resubmission </w:t>
            </w:r>
            <w:r w:rsidR="00D52A03" w:rsidRPr="001C59C3">
              <w:t>claimed</w:t>
            </w:r>
            <w:r w:rsidR="000115A5" w:rsidRPr="001C59C3">
              <w:t xml:space="preserve"> the current approach is highly conservative </w:t>
            </w:r>
            <w:r w:rsidR="00773B48" w:rsidRPr="001C59C3">
              <w:t xml:space="preserve">as patients are unlikely to maintain </w:t>
            </w:r>
            <w:r w:rsidR="007670F2" w:rsidRPr="001C59C3">
              <w:t xml:space="preserve">ongoing </w:t>
            </w:r>
            <w:r w:rsidR="00773B48" w:rsidRPr="001C59C3">
              <w:t xml:space="preserve">placebo effects. </w:t>
            </w:r>
            <w:r w:rsidR="00DF56FB" w:rsidRPr="001C59C3">
              <w:t>T</w:t>
            </w:r>
            <w:r w:rsidR="00773B48" w:rsidRPr="001C59C3">
              <w:t>h</w:t>
            </w:r>
            <w:r w:rsidR="00845E22" w:rsidRPr="001C59C3">
              <w:t xml:space="preserve">e </w:t>
            </w:r>
            <w:r w:rsidR="00DF56FB" w:rsidRPr="001C59C3">
              <w:t xml:space="preserve">resubmission </w:t>
            </w:r>
            <w:r w:rsidR="00D52A03" w:rsidRPr="001C59C3">
              <w:t>argued</w:t>
            </w:r>
            <w:r w:rsidR="00DF56FB" w:rsidRPr="001C59C3">
              <w:t xml:space="preserve"> </w:t>
            </w:r>
            <w:r w:rsidR="001958D0" w:rsidRPr="001C59C3">
              <w:t xml:space="preserve">the </w:t>
            </w:r>
            <w:r w:rsidR="00845E22" w:rsidRPr="001C59C3">
              <w:t xml:space="preserve">approach was biased against difelikefalin </w:t>
            </w:r>
            <w:r w:rsidR="00DF56FB" w:rsidRPr="001C59C3">
              <w:t>as patients in th</w:t>
            </w:r>
            <w:r w:rsidR="008C6FA3" w:rsidRPr="001C59C3">
              <w:t>e BSC arm maintain</w:t>
            </w:r>
            <w:r w:rsidR="001958D0" w:rsidRPr="001C59C3">
              <w:t>ed ongoing benefits</w:t>
            </w:r>
            <w:r w:rsidR="00D73049" w:rsidRPr="001C59C3">
              <w:t xml:space="preserve"> with no treatment cost</w:t>
            </w:r>
            <w:r w:rsidR="001958D0" w:rsidRPr="001C59C3">
              <w:t>s</w:t>
            </w:r>
            <w:r w:rsidR="00D73049" w:rsidRPr="001C59C3">
              <w:t>.</w:t>
            </w:r>
          </w:p>
        </w:tc>
      </w:tr>
      <w:tr w:rsidR="006E4A86" w:rsidRPr="001C59C3" w14:paraId="3BE4A04C" w14:textId="77777777" w:rsidTr="00946816">
        <w:trPr>
          <w:cantSplit/>
        </w:trPr>
        <w:tc>
          <w:tcPr>
            <w:tcW w:w="2434" w:type="pct"/>
          </w:tcPr>
          <w:p w14:paraId="5A4D2CFD" w14:textId="340A98E7" w:rsidR="006E4A86" w:rsidRPr="001C59C3" w:rsidRDefault="001F3E63" w:rsidP="00776D51">
            <w:pPr>
              <w:pStyle w:val="COMTabletext"/>
              <w:keepNext w:val="0"/>
              <w:widowControl w:val="0"/>
              <w:rPr>
                <w:szCs w:val="20"/>
              </w:rPr>
            </w:pPr>
            <w:r w:rsidRPr="001C59C3">
              <w:rPr>
                <w:szCs w:val="20"/>
              </w:rPr>
              <w:lastRenderedPageBreak/>
              <w:t xml:space="preserve">The PBAC </w:t>
            </w:r>
            <w:r w:rsidR="00775806" w:rsidRPr="001C59C3">
              <w:rPr>
                <w:szCs w:val="20"/>
              </w:rPr>
              <w:t>considered</w:t>
            </w:r>
            <w:r w:rsidRPr="001C59C3">
              <w:rPr>
                <w:szCs w:val="20"/>
              </w:rPr>
              <w:t xml:space="preserve"> </w:t>
            </w:r>
            <w:r w:rsidR="00A92FD9" w:rsidRPr="001C59C3">
              <w:rPr>
                <w:szCs w:val="20"/>
              </w:rPr>
              <w:t>the assumed</w:t>
            </w:r>
            <w:r w:rsidRPr="001C59C3">
              <w:rPr>
                <w:szCs w:val="20"/>
              </w:rPr>
              <w:t xml:space="preserve"> cause-effect relationship between high itch scores and death</w:t>
            </w:r>
            <w:r w:rsidR="00A92FD9" w:rsidRPr="001C59C3">
              <w:rPr>
                <w:szCs w:val="20"/>
              </w:rPr>
              <w:t xml:space="preserve"> </w:t>
            </w:r>
            <w:r w:rsidRPr="001C59C3">
              <w:rPr>
                <w:szCs w:val="20"/>
              </w:rPr>
              <w:t>was inappropriate and should be removed</w:t>
            </w:r>
            <w:r w:rsidR="00775806" w:rsidRPr="001C59C3">
              <w:rPr>
                <w:szCs w:val="20"/>
              </w:rPr>
              <w:t xml:space="preserve"> from the economic model</w:t>
            </w:r>
            <w:r w:rsidR="0049602B" w:rsidRPr="001C59C3">
              <w:rPr>
                <w:szCs w:val="20"/>
              </w:rPr>
              <w:t xml:space="preserve"> (para 7.9, difelikefalin </w:t>
            </w:r>
            <w:r w:rsidR="00AF0214" w:rsidRPr="001C59C3">
              <w:rPr>
                <w:szCs w:val="20"/>
              </w:rPr>
              <w:t>PSD</w:t>
            </w:r>
            <w:r w:rsidR="0049602B" w:rsidRPr="001C59C3">
              <w:rPr>
                <w:szCs w:val="20"/>
              </w:rPr>
              <w:t>, March 2023 PBAC meeting).</w:t>
            </w:r>
          </w:p>
        </w:tc>
        <w:tc>
          <w:tcPr>
            <w:tcW w:w="2566" w:type="pct"/>
          </w:tcPr>
          <w:p w14:paraId="5DC3CEE2" w14:textId="5211AB95" w:rsidR="006E4A86" w:rsidRPr="001C59C3" w:rsidRDefault="00290183" w:rsidP="00776D51">
            <w:pPr>
              <w:pStyle w:val="COMTabletext"/>
              <w:keepNext w:val="0"/>
              <w:widowControl w:val="0"/>
            </w:pPr>
            <w:r w:rsidRPr="001C59C3">
              <w:t xml:space="preserve">The </w:t>
            </w:r>
            <w:r w:rsidR="004D772C" w:rsidRPr="001C59C3">
              <w:t>assumed</w:t>
            </w:r>
            <w:r w:rsidRPr="001C59C3">
              <w:t xml:space="preserve"> </w:t>
            </w:r>
            <w:r w:rsidR="004D772C" w:rsidRPr="001C59C3">
              <w:rPr>
                <w:szCs w:val="20"/>
              </w:rPr>
              <w:t>cause-effect relationship</w:t>
            </w:r>
            <w:r w:rsidR="001D3C2C" w:rsidRPr="001C59C3">
              <w:rPr>
                <w:szCs w:val="20"/>
              </w:rPr>
              <w:t xml:space="preserve"> between high itch scores and death (and associated mortality benefit with difelikefalin treatment) was removed</w:t>
            </w:r>
            <w:r w:rsidR="001E0DC0" w:rsidRPr="001C59C3">
              <w:rPr>
                <w:szCs w:val="20"/>
              </w:rPr>
              <w:t>.</w:t>
            </w:r>
            <w:r w:rsidR="00B62C87" w:rsidRPr="001C59C3">
              <w:rPr>
                <w:szCs w:val="20"/>
              </w:rPr>
              <w:t xml:space="preserve"> </w:t>
            </w:r>
          </w:p>
        </w:tc>
      </w:tr>
      <w:tr w:rsidR="006E4A86" w:rsidRPr="001C59C3" w14:paraId="02340AFD" w14:textId="77777777" w:rsidTr="00946816">
        <w:trPr>
          <w:cantSplit/>
        </w:trPr>
        <w:tc>
          <w:tcPr>
            <w:tcW w:w="2434" w:type="pct"/>
          </w:tcPr>
          <w:p w14:paraId="4CE6688A" w14:textId="72D37CFF" w:rsidR="006E4A86" w:rsidRPr="001C59C3" w:rsidRDefault="007C3795" w:rsidP="005F5839">
            <w:pPr>
              <w:jc w:val="left"/>
              <w:rPr>
                <w:rFonts w:ascii="Arial Narrow" w:eastAsiaTheme="majorEastAsia" w:hAnsi="Arial Narrow" w:cstheme="majorBidi"/>
                <w:bCs/>
                <w:sz w:val="20"/>
                <w:szCs w:val="20"/>
              </w:rPr>
            </w:pPr>
            <w:r w:rsidRPr="001C59C3">
              <w:rPr>
                <w:rFonts w:ascii="Arial Narrow" w:eastAsiaTheme="majorEastAsia" w:hAnsi="Arial Narrow" w:cstheme="majorBidi"/>
                <w:bCs/>
                <w:sz w:val="20"/>
                <w:szCs w:val="20"/>
              </w:rPr>
              <w:t xml:space="preserve">The PBAC noted the pre-PBAC response presented a revised </w:t>
            </w:r>
            <w:r w:rsidR="00181019" w:rsidRPr="001C59C3">
              <w:rPr>
                <w:rFonts w:ascii="Arial Narrow" w:eastAsiaTheme="majorEastAsia" w:hAnsi="Arial Narrow" w:cstheme="majorBidi"/>
                <w:bCs/>
                <w:sz w:val="20"/>
                <w:szCs w:val="20"/>
              </w:rPr>
              <w:t xml:space="preserve">model </w:t>
            </w:r>
            <w:r w:rsidRPr="001C59C3">
              <w:rPr>
                <w:rFonts w:ascii="Arial Narrow" w:eastAsiaTheme="majorEastAsia" w:hAnsi="Arial Narrow" w:cstheme="majorBidi"/>
                <w:bCs/>
                <w:sz w:val="20"/>
                <w:szCs w:val="20"/>
              </w:rPr>
              <w:t xml:space="preserve">base case that attempted to address ESC’s concerns regarding </w:t>
            </w:r>
            <w:r w:rsidR="00527EC5" w:rsidRPr="001C59C3">
              <w:rPr>
                <w:rFonts w:ascii="Arial Narrow" w:eastAsiaTheme="majorEastAsia" w:hAnsi="Arial Narrow" w:cstheme="majorBidi"/>
                <w:bCs/>
                <w:sz w:val="20"/>
                <w:szCs w:val="20"/>
              </w:rPr>
              <w:t>attenuating</w:t>
            </w:r>
            <w:r w:rsidRPr="001C59C3">
              <w:rPr>
                <w:rFonts w:ascii="Arial Narrow" w:eastAsiaTheme="majorEastAsia" w:hAnsi="Arial Narrow" w:cstheme="majorBidi"/>
                <w:bCs/>
                <w:sz w:val="20"/>
                <w:szCs w:val="20"/>
              </w:rPr>
              <w:t xml:space="preserve"> placebo </w:t>
            </w:r>
            <w:r w:rsidR="00B00918" w:rsidRPr="001C59C3">
              <w:rPr>
                <w:rFonts w:ascii="Arial Narrow" w:eastAsiaTheme="majorEastAsia" w:hAnsi="Arial Narrow" w:cstheme="majorBidi"/>
                <w:bCs/>
                <w:sz w:val="20"/>
                <w:szCs w:val="20"/>
              </w:rPr>
              <w:t>effects</w:t>
            </w:r>
            <w:r w:rsidRPr="001C59C3">
              <w:rPr>
                <w:rFonts w:ascii="Arial Narrow" w:eastAsiaTheme="majorEastAsia" w:hAnsi="Arial Narrow" w:cstheme="majorBidi"/>
                <w:bCs/>
                <w:sz w:val="20"/>
                <w:szCs w:val="20"/>
              </w:rPr>
              <w:t xml:space="preserve"> in the </w:t>
            </w:r>
            <w:r w:rsidR="00527EC5" w:rsidRPr="001C59C3">
              <w:rPr>
                <w:rFonts w:ascii="Arial Narrow" w:eastAsiaTheme="majorEastAsia" w:hAnsi="Arial Narrow" w:cstheme="majorBidi"/>
                <w:bCs/>
                <w:sz w:val="20"/>
                <w:szCs w:val="20"/>
              </w:rPr>
              <w:t>BSC</w:t>
            </w:r>
            <w:r w:rsidRPr="001C59C3">
              <w:rPr>
                <w:rFonts w:ascii="Arial Narrow" w:eastAsiaTheme="majorEastAsia" w:hAnsi="Arial Narrow" w:cstheme="majorBidi"/>
                <w:bCs/>
                <w:sz w:val="20"/>
                <w:szCs w:val="20"/>
              </w:rPr>
              <w:t xml:space="preserve"> arm, </w:t>
            </w:r>
            <w:r w:rsidR="00527EC5" w:rsidRPr="001C59C3">
              <w:rPr>
                <w:rFonts w:ascii="Arial Narrow" w:eastAsiaTheme="majorEastAsia" w:hAnsi="Arial Narrow" w:cstheme="majorBidi"/>
                <w:bCs/>
                <w:sz w:val="20"/>
                <w:szCs w:val="20"/>
              </w:rPr>
              <w:t>no</w:t>
            </w:r>
            <w:r w:rsidRPr="001C59C3">
              <w:rPr>
                <w:rFonts w:ascii="Arial Narrow" w:eastAsiaTheme="majorEastAsia" w:hAnsi="Arial Narrow" w:cstheme="majorBidi"/>
                <w:bCs/>
                <w:sz w:val="20"/>
                <w:szCs w:val="20"/>
              </w:rPr>
              <w:t xml:space="preserve"> costs and disutilities for adverse events and not accounting for patients needing </w:t>
            </w:r>
            <w:r w:rsidR="00592ADA" w:rsidRPr="001C59C3">
              <w:rPr>
                <w:rFonts w:ascii="Arial Narrow" w:eastAsiaTheme="majorEastAsia" w:hAnsi="Arial Narrow" w:cstheme="majorBidi"/>
                <w:bCs/>
                <w:sz w:val="20"/>
                <w:szCs w:val="20"/>
              </w:rPr>
              <w:t xml:space="preserve">more </w:t>
            </w:r>
            <w:r w:rsidR="00181019" w:rsidRPr="001C59C3">
              <w:rPr>
                <w:rFonts w:ascii="Arial Narrow" w:eastAsiaTheme="majorEastAsia" w:hAnsi="Arial Narrow" w:cstheme="majorBidi"/>
                <w:bCs/>
                <w:sz w:val="20"/>
                <w:szCs w:val="20"/>
              </w:rPr>
              <w:t>than</w:t>
            </w:r>
            <w:r w:rsidR="006C7DDE" w:rsidRPr="001C59C3">
              <w:rPr>
                <w:rFonts w:ascii="Arial Narrow" w:eastAsiaTheme="majorEastAsia" w:hAnsi="Arial Narrow" w:cstheme="majorBidi"/>
                <w:bCs/>
                <w:sz w:val="20"/>
                <w:szCs w:val="20"/>
              </w:rPr>
              <w:t xml:space="preserve"> 1</w:t>
            </w:r>
            <w:r w:rsidR="00592ADA" w:rsidRPr="001C59C3">
              <w:rPr>
                <w:rFonts w:ascii="Arial Narrow" w:eastAsiaTheme="majorEastAsia" w:hAnsi="Arial Narrow" w:cstheme="majorBidi"/>
                <w:bCs/>
                <w:sz w:val="20"/>
                <w:szCs w:val="20"/>
              </w:rPr>
              <w:t xml:space="preserve"> vial</w:t>
            </w:r>
            <w:r w:rsidRPr="001C59C3">
              <w:rPr>
                <w:rFonts w:ascii="Arial Narrow" w:eastAsiaTheme="majorEastAsia" w:hAnsi="Arial Narrow" w:cstheme="majorBidi"/>
                <w:bCs/>
                <w:sz w:val="20"/>
                <w:szCs w:val="20"/>
              </w:rPr>
              <w:t xml:space="preserve"> of difelikefalin</w:t>
            </w:r>
            <w:r w:rsidR="00592ADA" w:rsidRPr="001C59C3">
              <w:rPr>
                <w:rFonts w:ascii="Arial Narrow" w:eastAsiaTheme="majorEastAsia" w:hAnsi="Arial Narrow" w:cstheme="majorBidi"/>
                <w:bCs/>
                <w:sz w:val="20"/>
                <w:szCs w:val="20"/>
              </w:rPr>
              <w:t xml:space="preserve"> per dose</w:t>
            </w:r>
            <w:r w:rsidRPr="001C59C3">
              <w:rPr>
                <w:rFonts w:ascii="Arial Narrow" w:eastAsiaTheme="majorEastAsia" w:hAnsi="Arial Narrow" w:cstheme="majorBidi"/>
                <w:bCs/>
                <w:sz w:val="20"/>
                <w:szCs w:val="20"/>
              </w:rPr>
              <w:t>. The PBAC considered that the revised model required evaluation</w:t>
            </w:r>
            <w:r w:rsidR="00267054" w:rsidRPr="001C59C3">
              <w:rPr>
                <w:rFonts w:ascii="Arial Narrow" w:eastAsiaTheme="majorEastAsia" w:hAnsi="Arial Narrow" w:cstheme="majorBidi"/>
                <w:bCs/>
                <w:sz w:val="20"/>
                <w:szCs w:val="20"/>
              </w:rPr>
              <w:t>, but also</w:t>
            </w:r>
            <w:r w:rsidRPr="001C59C3">
              <w:rPr>
                <w:rFonts w:ascii="Arial Narrow" w:eastAsiaTheme="majorEastAsia" w:hAnsi="Arial Narrow" w:cstheme="majorBidi"/>
                <w:bCs/>
                <w:sz w:val="20"/>
                <w:szCs w:val="20"/>
              </w:rPr>
              <w:t xml:space="preserve"> retained the same</w:t>
            </w:r>
            <w:r w:rsidR="00267054" w:rsidRPr="001C59C3">
              <w:rPr>
                <w:rFonts w:ascii="Arial Narrow" w:eastAsiaTheme="majorEastAsia" w:hAnsi="Arial Narrow" w:cstheme="majorBidi"/>
                <w:bCs/>
                <w:sz w:val="20"/>
                <w:szCs w:val="20"/>
              </w:rPr>
              <w:t xml:space="preserve"> implausibly large</w:t>
            </w:r>
            <w:r w:rsidRPr="001C59C3">
              <w:rPr>
                <w:rFonts w:ascii="Arial Narrow" w:eastAsiaTheme="majorEastAsia" w:hAnsi="Arial Narrow" w:cstheme="majorBidi"/>
                <w:bCs/>
                <w:sz w:val="20"/>
                <w:szCs w:val="20"/>
              </w:rPr>
              <w:t xml:space="preserve"> utility decrements. </w:t>
            </w:r>
            <w:r w:rsidR="00F40A82" w:rsidRPr="001C59C3">
              <w:rPr>
                <w:rFonts w:ascii="Arial Narrow" w:eastAsiaTheme="majorEastAsia" w:hAnsi="Arial Narrow" w:cstheme="majorBidi"/>
                <w:bCs/>
                <w:sz w:val="20"/>
                <w:szCs w:val="20"/>
              </w:rPr>
              <w:t>T</w:t>
            </w:r>
            <w:r w:rsidRPr="001C59C3">
              <w:rPr>
                <w:rFonts w:ascii="Arial Narrow" w:eastAsiaTheme="majorEastAsia" w:hAnsi="Arial Narrow" w:cstheme="majorBidi"/>
                <w:bCs/>
                <w:sz w:val="20"/>
                <w:szCs w:val="20"/>
              </w:rPr>
              <w:t xml:space="preserve">he PBAC considered the </w:t>
            </w:r>
            <w:r w:rsidR="00B91054" w:rsidRPr="001C59C3">
              <w:rPr>
                <w:rFonts w:ascii="Arial Narrow" w:eastAsiaTheme="majorEastAsia" w:hAnsi="Arial Narrow" w:cstheme="majorBidi"/>
                <w:bCs/>
                <w:sz w:val="20"/>
                <w:szCs w:val="20"/>
              </w:rPr>
              <w:t xml:space="preserve">revised </w:t>
            </w:r>
            <w:r w:rsidRPr="001C59C3">
              <w:rPr>
                <w:rFonts w:ascii="Arial Narrow" w:eastAsiaTheme="majorEastAsia" w:hAnsi="Arial Narrow" w:cstheme="majorBidi"/>
                <w:bCs/>
                <w:sz w:val="20"/>
                <w:szCs w:val="20"/>
              </w:rPr>
              <w:t>base case ICER</w:t>
            </w:r>
            <w:r w:rsidR="00AE346A" w:rsidRPr="001C59C3">
              <w:rPr>
                <w:rFonts w:ascii="Arial Narrow" w:eastAsiaTheme="majorEastAsia" w:hAnsi="Arial Narrow" w:cstheme="majorBidi"/>
                <w:bCs/>
                <w:sz w:val="20"/>
                <w:szCs w:val="20"/>
              </w:rPr>
              <w:t>/QALY gained</w:t>
            </w:r>
            <w:r w:rsidRPr="001C59C3">
              <w:rPr>
                <w:rFonts w:ascii="Arial Narrow" w:eastAsiaTheme="majorEastAsia" w:hAnsi="Arial Narrow" w:cstheme="majorBidi"/>
                <w:bCs/>
                <w:sz w:val="20"/>
                <w:szCs w:val="20"/>
              </w:rPr>
              <w:t xml:space="preserve"> </w:t>
            </w:r>
            <w:r w:rsidR="00AE346A" w:rsidRPr="001C59C3">
              <w:rPr>
                <w:rFonts w:ascii="Arial Narrow" w:eastAsiaTheme="majorEastAsia" w:hAnsi="Arial Narrow" w:cstheme="majorBidi"/>
                <w:bCs/>
                <w:sz w:val="20"/>
                <w:szCs w:val="20"/>
              </w:rPr>
              <w:t xml:space="preserve">of </w:t>
            </w:r>
            <w:r w:rsidR="00D014A3">
              <w:rPr>
                <w:rFonts w:ascii="Arial Narrow" w:eastAsiaTheme="majorEastAsia" w:hAnsi="Arial Narrow" w:cstheme="majorBidi"/>
                <w:bCs/>
                <w:sz w:val="20"/>
                <w:szCs w:val="20"/>
              </w:rPr>
              <w:t>$</w:t>
            </w:r>
            <w:r w:rsidR="008A42F6" w:rsidRPr="00D014A3">
              <w:rPr>
                <w:rFonts w:ascii="Arial Narrow" w:eastAsiaTheme="majorEastAsia" w:hAnsi="Arial Narrow" w:cstheme="majorBidi"/>
                <w:bCs/>
                <w:color w:val="000000"/>
                <w:spacing w:val="49"/>
                <w:sz w:val="20"/>
                <w:szCs w:val="20"/>
                <w:shd w:val="solid" w:color="000000" w:fill="000000"/>
                <w:fitText w:val="320" w:id="-1032102912"/>
                <w14:textFill>
                  <w14:solidFill>
                    <w14:srgbClr w14:val="000000">
                      <w14:alpha w14:val="100000"/>
                    </w14:srgbClr>
                  </w14:solidFill>
                </w14:textFill>
              </w:rPr>
              <w:t>|||</w:t>
            </w:r>
            <w:r w:rsidR="008A42F6" w:rsidRPr="00D014A3">
              <w:rPr>
                <w:rFonts w:ascii="Arial Narrow" w:eastAsiaTheme="majorEastAsia" w:hAnsi="Arial Narrow" w:cstheme="majorBidi"/>
                <w:bCs/>
                <w:color w:val="000000"/>
                <w:spacing w:val="3"/>
                <w:sz w:val="20"/>
                <w:szCs w:val="20"/>
                <w:shd w:val="solid" w:color="000000" w:fill="000000"/>
                <w:fitText w:val="320" w:id="-1032102912"/>
                <w14:textFill>
                  <w14:solidFill>
                    <w14:srgbClr w14:val="000000">
                      <w14:alpha w14:val="100000"/>
                    </w14:srgbClr>
                  </w14:solidFill>
                </w14:textFill>
              </w:rPr>
              <w:t>|</w:t>
            </w:r>
            <w:r w:rsidR="00526FCC">
              <w:rPr>
                <w:rFonts w:ascii="Arial Narrow" w:eastAsiaTheme="majorEastAsia" w:hAnsi="Arial Narrow" w:cstheme="majorBidi"/>
                <w:bCs/>
                <w:sz w:val="20"/>
                <w:szCs w:val="20"/>
                <w:vertAlign w:val="superscript"/>
              </w:rPr>
              <w:t>1</w:t>
            </w:r>
            <w:r w:rsidR="00AE346A" w:rsidRPr="001C59C3">
              <w:rPr>
                <w:rFonts w:ascii="Arial Narrow" w:eastAsiaTheme="majorEastAsia" w:hAnsi="Arial Narrow" w:cstheme="majorBidi"/>
                <w:bCs/>
                <w:sz w:val="20"/>
                <w:szCs w:val="20"/>
              </w:rPr>
              <w:t xml:space="preserve"> (including </w:t>
            </w:r>
            <w:r w:rsidR="00AE346A" w:rsidRPr="00703EDF">
              <w:rPr>
                <w:rFonts w:ascii="Arial Narrow" w:eastAsiaTheme="majorEastAsia" w:hAnsi="Arial Narrow" w:cstheme="majorBidi"/>
                <w:bCs/>
                <w:sz w:val="20"/>
                <w:szCs w:val="20"/>
              </w:rPr>
              <w:t>a</w:t>
            </w:r>
            <w:r w:rsidR="008A42F6">
              <w:rPr>
                <w:rFonts w:ascii="Arial Narrow" w:eastAsiaTheme="majorEastAsia" w:hAnsi="Arial Narrow" w:cstheme="majorBidi"/>
                <w:bCs/>
                <w:sz w:val="20"/>
                <w:szCs w:val="20"/>
              </w:rPr>
              <w:t xml:space="preserve"> </w:t>
            </w:r>
            <w:r w:rsidR="008A42F6" w:rsidRPr="00D014A3">
              <w:rPr>
                <w:rFonts w:ascii="Arial Narrow" w:eastAsiaTheme="majorEastAsia" w:hAnsi="Arial Narrow" w:cstheme="majorBidi"/>
                <w:bCs/>
                <w:color w:val="000000"/>
                <w:spacing w:val="53"/>
                <w:sz w:val="20"/>
                <w:szCs w:val="20"/>
                <w:shd w:val="solid" w:color="000000" w:fill="000000"/>
                <w:fitText w:val="330" w:id="-1032102911"/>
                <w14:textFill>
                  <w14:solidFill>
                    <w14:srgbClr w14:val="000000">
                      <w14:alpha w14:val="100000"/>
                    </w14:srgbClr>
                  </w14:solidFill>
                </w14:textFill>
              </w:rPr>
              <w:t>|||</w:t>
            </w:r>
            <w:r w:rsidR="008A42F6" w:rsidRPr="00D014A3">
              <w:rPr>
                <w:rFonts w:ascii="Arial Narrow" w:eastAsiaTheme="majorEastAsia" w:hAnsi="Arial Narrow" w:cstheme="majorBidi"/>
                <w:bCs/>
                <w:color w:val="000000"/>
                <w:spacing w:val="1"/>
                <w:sz w:val="20"/>
                <w:szCs w:val="20"/>
                <w:shd w:val="solid" w:color="000000" w:fill="000000"/>
                <w:fitText w:val="330" w:id="-1032102911"/>
                <w14:textFill>
                  <w14:solidFill>
                    <w14:srgbClr w14:val="000000">
                      <w14:alpha w14:val="100000"/>
                    </w14:srgbClr>
                  </w14:solidFill>
                </w14:textFill>
              </w:rPr>
              <w:t>|</w:t>
            </w:r>
            <w:r w:rsidR="00AE346A" w:rsidRPr="00703EDF">
              <w:rPr>
                <w:rFonts w:ascii="Arial Narrow" w:eastAsiaTheme="majorEastAsia" w:hAnsi="Arial Narrow" w:cstheme="majorBidi"/>
                <w:bCs/>
                <w:sz w:val="20"/>
                <w:szCs w:val="20"/>
              </w:rPr>
              <w:t>%</w:t>
            </w:r>
            <w:r w:rsidR="00AE346A" w:rsidRPr="001C59C3">
              <w:rPr>
                <w:rFonts w:ascii="Arial Narrow" w:eastAsiaTheme="majorEastAsia" w:hAnsi="Arial Narrow" w:cstheme="majorBidi"/>
                <w:bCs/>
                <w:sz w:val="20"/>
                <w:szCs w:val="20"/>
              </w:rPr>
              <w:t xml:space="preserve"> price reduction) was</w:t>
            </w:r>
            <w:r w:rsidRPr="001C59C3">
              <w:rPr>
                <w:rFonts w:ascii="Arial Narrow" w:eastAsiaTheme="majorEastAsia" w:hAnsi="Arial Narrow" w:cstheme="majorBidi"/>
                <w:bCs/>
                <w:sz w:val="20"/>
                <w:szCs w:val="20"/>
              </w:rPr>
              <w:t xml:space="preserve"> underestimated and </w:t>
            </w:r>
            <w:r w:rsidR="00E007DC" w:rsidRPr="001C59C3">
              <w:rPr>
                <w:rFonts w:ascii="Arial Narrow" w:eastAsiaTheme="majorEastAsia" w:hAnsi="Arial Narrow" w:cstheme="majorBidi"/>
                <w:bCs/>
                <w:sz w:val="20"/>
                <w:szCs w:val="20"/>
              </w:rPr>
              <w:t xml:space="preserve">too high </w:t>
            </w:r>
            <w:r w:rsidRPr="001C59C3">
              <w:rPr>
                <w:rFonts w:ascii="Arial Narrow" w:eastAsiaTheme="majorEastAsia" w:hAnsi="Arial Narrow" w:cstheme="majorBidi"/>
                <w:bCs/>
                <w:sz w:val="20"/>
                <w:szCs w:val="20"/>
              </w:rPr>
              <w:t>given the inherent uncertainty. The PBAC considered a further price reduction would be required for difelikefalin to be considered cost effective</w:t>
            </w:r>
            <w:r w:rsidR="00CE0110" w:rsidRPr="001C59C3">
              <w:rPr>
                <w:rFonts w:ascii="Arial Narrow" w:eastAsiaTheme="majorEastAsia" w:hAnsi="Arial Narrow" w:cstheme="majorBidi"/>
                <w:bCs/>
                <w:sz w:val="20"/>
                <w:szCs w:val="20"/>
              </w:rPr>
              <w:t xml:space="preserve"> (para 7.10, difelikefalin </w:t>
            </w:r>
            <w:r w:rsidR="00AF0214" w:rsidRPr="001C59C3">
              <w:rPr>
                <w:rFonts w:ascii="Arial Narrow" w:eastAsiaTheme="majorEastAsia" w:hAnsi="Arial Narrow" w:cstheme="majorBidi"/>
                <w:bCs/>
                <w:sz w:val="20"/>
                <w:szCs w:val="20"/>
              </w:rPr>
              <w:t>PSD</w:t>
            </w:r>
            <w:r w:rsidR="00CE0110" w:rsidRPr="001C59C3">
              <w:rPr>
                <w:rFonts w:ascii="Arial Narrow" w:eastAsiaTheme="majorEastAsia" w:hAnsi="Arial Narrow" w:cstheme="majorBidi"/>
                <w:bCs/>
                <w:sz w:val="20"/>
                <w:szCs w:val="20"/>
              </w:rPr>
              <w:t>, March 2023 PBAC meeting).</w:t>
            </w:r>
          </w:p>
        </w:tc>
        <w:tc>
          <w:tcPr>
            <w:tcW w:w="2566" w:type="pct"/>
          </w:tcPr>
          <w:p w14:paraId="5E048F0C" w14:textId="28B5EDA7" w:rsidR="006E4A86" w:rsidRPr="001C59C3" w:rsidRDefault="003911BE" w:rsidP="00776D51">
            <w:pPr>
              <w:pStyle w:val="COMTabletext"/>
              <w:keepNext w:val="0"/>
              <w:widowControl w:val="0"/>
            </w:pPr>
            <w:r w:rsidRPr="001C59C3">
              <w:t xml:space="preserve">In addition to </w:t>
            </w:r>
            <w:r w:rsidR="00752D8B" w:rsidRPr="001C59C3">
              <w:t xml:space="preserve">changes </w:t>
            </w:r>
            <w:r w:rsidR="00A00F67" w:rsidRPr="001C59C3">
              <w:t>described above (</w:t>
            </w:r>
            <w:r w:rsidR="00752D8B" w:rsidRPr="001C59C3">
              <w:t xml:space="preserve">utility decrements, </w:t>
            </w:r>
            <w:r w:rsidR="00AC4F7B" w:rsidRPr="001C59C3">
              <w:t>extrapolated treatmen</w:t>
            </w:r>
            <w:r w:rsidR="004B231B" w:rsidRPr="001C59C3">
              <w:t>t effects, mortality impacts</w:t>
            </w:r>
            <w:r w:rsidR="00CA1F84" w:rsidRPr="001C59C3">
              <w:t xml:space="preserve">), the resubmission included costs and utilities for adverse events and </w:t>
            </w:r>
            <w:r w:rsidR="00804A21" w:rsidRPr="001C59C3">
              <w:t>a</w:t>
            </w:r>
            <w:r w:rsidR="00FC7928" w:rsidRPr="001C59C3">
              <w:t>ccounted for</w:t>
            </w:r>
            <w:r w:rsidR="00804A21" w:rsidRPr="001C59C3">
              <w:t xml:space="preserve"> </w:t>
            </w:r>
            <w:r w:rsidR="008A65B2" w:rsidRPr="001C59C3">
              <w:t xml:space="preserve">some </w:t>
            </w:r>
            <w:r w:rsidR="006C7DDE" w:rsidRPr="001C59C3">
              <w:rPr>
                <w:szCs w:val="20"/>
              </w:rPr>
              <w:t>patients needing</w:t>
            </w:r>
            <w:r w:rsidR="006C7DDE" w:rsidRPr="001C59C3">
              <w:rPr>
                <w:bCs w:val="0"/>
                <w:szCs w:val="20"/>
              </w:rPr>
              <w:t xml:space="preserve"> </w:t>
            </w:r>
            <w:r w:rsidR="008A65B2" w:rsidRPr="001C59C3">
              <w:rPr>
                <w:bCs w:val="0"/>
                <w:szCs w:val="20"/>
              </w:rPr>
              <w:t>2</w:t>
            </w:r>
            <w:r w:rsidR="006C7DDE" w:rsidRPr="001C59C3">
              <w:rPr>
                <w:bCs w:val="0"/>
                <w:szCs w:val="20"/>
              </w:rPr>
              <w:t xml:space="preserve"> vial</w:t>
            </w:r>
            <w:r w:rsidR="008A65B2" w:rsidRPr="001C59C3">
              <w:rPr>
                <w:bCs w:val="0"/>
                <w:szCs w:val="20"/>
              </w:rPr>
              <w:t>s</w:t>
            </w:r>
            <w:r w:rsidR="006C7DDE" w:rsidRPr="001C59C3">
              <w:rPr>
                <w:szCs w:val="20"/>
              </w:rPr>
              <w:t xml:space="preserve"> </w:t>
            </w:r>
            <w:r w:rsidR="008A65B2" w:rsidRPr="001C59C3">
              <w:rPr>
                <w:szCs w:val="20"/>
              </w:rPr>
              <w:t>per dose.</w:t>
            </w:r>
          </w:p>
          <w:p w14:paraId="7B9C91EC" w14:textId="77777777" w:rsidR="00462BD5" w:rsidRPr="001C59C3" w:rsidRDefault="00462BD5" w:rsidP="00776D51">
            <w:pPr>
              <w:pStyle w:val="COMTabletext"/>
              <w:keepNext w:val="0"/>
              <w:widowControl w:val="0"/>
            </w:pPr>
          </w:p>
          <w:p w14:paraId="107EBBED" w14:textId="7B9E01B7" w:rsidR="00462BD5" w:rsidRPr="001C59C3" w:rsidRDefault="00462BD5" w:rsidP="00776D51">
            <w:pPr>
              <w:pStyle w:val="COMTabletext"/>
              <w:keepNext w:val="0"/>
              <w:widowControl w:val="0"/>
            </w:pPr>
            <w:r w:rsidRPr="001C59C3">
              <w:t>The</w:t>
            </w:r>
            <w:r w:rsidR="00A35EC5" w:rsidRPr="001C59C3">
              <w:t xml:space="preserve"> resubmission </w:t>
            </w:r>
            <w:r w:rsidR="002048FD" w:rsidRPr="001C59C3">
              <w:t>proposed a reduced</w:t>
            </w:r>
            <w:r w:rsidR="00A35EC5" w:rsidRPr="001C59C3">
              <w:t xml:space="preserve"> AEMP of </w:t>
            </w:r>
            <w:r w:rsidR="00D014A3">
              <w:t>$</w:t>
            </w:r>
            <w:r w:rsidR="008A42F6" w:rsidRPr="00D014A3">
              <w:rPr>
                <w:color w:val="000000"/>
                <w:spacing w:val="53"/>
                <w:shd w:val="solid" w:color="000000" w:fill="000000"/>
                <w:fitText w:val="330" w:id="-1032102910"/>
                <w14:textFill>
                  <w14:solidFill>
                    <w14:srgbClr w14:val="000000">
                      <w14:alpha w14:val="100000"/>
                    </w14:srgbClr>
                  </w14:solidFill>
                </w14:textFill>
              </w:rPr>
              <w:t>|||</w:t>
            </w:r>
            <w:r w:rsidR="008A42F6" w:rsidRPr="00D014A3">
              <w:rPr>
                <w:color w:val="000000"/>
                <w:spacing w:val="1"/>
                <w:shd w:val="solid" w:color="000000" w:fill="000000"/>
                <w:fitText w:val="330" w:id="-1032102910"/>
                <w14:textFill>
                  <w14:solidFill>
                    <w14:srgbClr w14:val="000000">
                      <w14:alpha w14:val="100000"/>
                    </w14:srgbClr>
                  </w14:solidFill>
                </w14:textFill>
              </w:rPr>
              <w:t>|</w:t>
            </w:r>
            <w:r w:rsidR="00A35EC5" w:rsidRPr="001C59C3">
              <w:t xml:space="preserve">. This is </w:t>
            </w:r>
            <w:r w:rsidR="00A35EC5" w:rsidRPr="00703EDF">
              <w:t>a</w:t>
            </w:r>
            <w:r w:rsidR="008A42F6">
              <w:t xml:space="preserve"> </w:t>
            </w:r>
            <w:r w:rsidR="008A42F6" w:rsidRPr="003768BC">
              <w:rPr>
                <w:color w:val="000000"/>
                <w:spacing w:val="49"/>
                <w:shd w:val="solid" w:color="000000" w:fill="000000"/>
                <w:fitText w:val="320" w:id="-1032102909"/>
                <w14:textFill>
                  <w14:solidFill>
                    <w14:srgbClr w14:val="000000">
                      <w14:alpha w14:val="100000"/>
                    </w14:srgbClr>
                  </w14:solidFill>
                </w14:textFill>
              </w:rPr>
              <w:t>|||</w:t>
            </w:r>
            <w:r w:rsidR="008A42F6" w:rsidRPr="003768BC">
              <w:rPr>
                <w:color w:val="000000"/>
                <w:spacing w:val="1"/>
                <w:shd w:val="solid" w:color="000000" w:fill="000000"/>
                <w:fitText w:val="320" w:id="-1032102909"/>
                <w14:textFill>
                  <w14:solidFill>
                    <w14:srgbClr w14:val="000000">
                      <w14:alpha w14:val="100000"/>
                    </w14:srgbClr>
                  </w14:solidFill>
                </w14:textFill>
              </w:rPr>
              <w:t>|</w:t>
            </w:r>
            <w:r w:rsidR="00FF5398" w:rsidRPr="001C59C3">
              <w:t xml:space="preserve">% reduction from the </w:t>
            </w:r>
            <w:r w:rsidR="00290483" w:rsidRPr="001C59C3">
              <w:t xml:space="preserve">March 2023 </w:t>
            </w:r>
            <w:r w:rsidR="00FF5398" w:rsidRPr="001C59C3">
              <w:t>pre-PBAC response (</w:t>
            </w:r>
            <w:r w:rsidR="00654346" w:rsidRPr="001C59C3">
              <w:t xml:space="preserve">AEMP </w:t>
            </w:r>
            <w:r w:rsidR="00D014A3">
              <w:t>$</w:t>
            </w:r>
            <w:r w:rsidR="008A42F6" w:rsidRPr="00D014A3">
              <w:rPr>
                <w:color w:val="000000"/>
                <w:spacing w:val="53"/>
                <w:shd w:val="solid" w:color="000000" w:fill="000000"/>
                <w:fitText w:val="330" w:id="-1032102908"/>
                <w14:textFill>
                  <w14:solidFill>
                    <w14:srgbClr w14:val="000000">
                      <w14:alpha w14:val="100000"/>
                    </w14:srgbClr>
                  </w14:solidFill>
                </w14:textFill>
              </w:rPr>
              <w:t>|||</w:t>
            </w:r>
            <w:r w:rsidR="008A42F6" w:rsidRPr="00D014A3">
              <w:rPr>
                <w:color w:val="000000"/>
                <w:spacing w:val="1"/>
                <w:shd w:val="solid" w:color="000000" w:fill="000000"/>
                <w:fitText w:val="330" w:id="-1032102908"/>
                <w14:textFill>
                  <w14:solidFill>
                    <w14:srgbClr w14:val="000000">
                      <w14:alpha w14:val="100000"/>
                    </w14:srgbClr>
                  </w14:solidFill>
                </w14:textFill>
              </w:rPr>
              <w:t>|</w:t>
            </w:r>
            <w:r w:rsidR="00654346" w:rsidRPr="001C59C3">
              <w:t xml:space="preserve">). </w:t>
            </w:r>
          </w:p>
          <w:p w14:paraId="2FCD5FA2" w14:textId="77777777" w:rsidR="00E90BE9" w:rsidRPr="001C59C3" w:rsidRDefault="00E90BE9" w:rsidP="00776D51">
            <w:pPr>
              <w:pStyle w:val="COMTabletext"/>
              <w:keepNext w:val="0"/>
              <w:widowControl w:val="0"/>
            </w:pPr>
          </w:p>
          <w:p w14:paraId="3E45434F" w14:textId="2E10AA9A" w:rsidR="00E90BE9" w:rsidRPr="001C59C3" w:rsidRDefault="00E90BE9" w:rsidP="00776D51">
            <w:pPr>
              <w:pStyle w:val="COMTabletext"/>
              <w:keepNext w:val="0"/>
              <w:widowControl w:val="0"/>
            </w:pPr>
            <w:r w:rsidRPr="001C59C3">
              <w:t xml:space="preserve">The resubmission argued the revised base case ICER/QALY gained of </w:t>
            </w:r>
            <w:r w:rsidR="00D014A3">
              <w:t>$</w:t>
            </w:r>
            <w:r w:rsidR="008A42F6" w:rsidRPr="00D014A3">
              <w:rPr>
                <w:color w:val="000000"/>
                <w:spacing w:val="53"/>
                <w:shd w:val="solid" w:color="000000" w:fill="000000"/>
                <w:fitText w:val="330" w:id="-1032102907"/>
                <w14:textFill>
                  <w14:solidFill>
                    <w14:srgbClr w14:val="000000">
                      <w14:alpha w14:val="100000"/>
                    </w14:srgbClr>
                  </w14:solidFill>
                </w14:textFill>
              </w:rPr>
              <w:t>|||</w:t>
            </w:r>
            <w:r w:rsidR="008A42F6" w:rsidRPr="00D014A3">
              <w:rPr>
                <w:color w:val="000000"/>
                <w:spacing w:val="1"/>
                <w:shd w:val="solid" w:color="000000" w:fill="000000"/>
                <w:fitText w:val="330" w:id="-1032102907"/>
                <w14:textFill>
                  <w14:solidFill>
                    <w14:srgbClr w14:val="000000">
                      <w14:alpha w14:val="100000"/>
                    </w14:srgbClr>
                  </w14:solidFill>
                </w14:textFill>
              </w:rPr>
              <w:t>|</w:t>
            </w:r>
            <w:r w:rsidR="00AC11DF">
              <w:rPr>
                <w:vertAlign w:val="superscript"/>
              </w:rPr>
              <w:t>2</w:t>
            </w:r>
            <w:r w:rsidRPr="001C59C3">
              <w:t xml:space="preserve"> </w:t>
            </w:r>
            <w:r w:rsidR="000E6CAC" w:rsidRPr="001C59C3">
              <w:t xml:space="preserve">can be considered good value for money in view of suitably conservative revisions </w:t>
            </w:r>
            <w:r w:rsidR="00BB3281" w:rsidRPr="001C59C3">
              <w:t xml:space="preserve">to the economic model that are </w:t>
            </w:r>
            <w:r w:rsidR="00E44156" w:rsidRPr="001C59C3">
              <w:t>either more reliable and plausible (e.g. utility values, weight-based dosing, adverse events) or unambiguously biased against difelikefalin (durable placebo response, no mortality impacts).</w:t>
            </w:r>
          </w:p>
        </w:tc>
      </w:tr>
      <w:tr w:rsidR="006E4A86" w:rsidRPr="001C59C3" w14:paraId="1D8ACBC6" w14:textId="77777777" w:rsidTr="00946816">
        <w:trPr>
          <w:cantSplit/>
        </w:trPr>
        <w:tc>
          <w:tcPr>
            <w:tcW w:w="5000" w:type="pct"/>
            <w:gridSpan w:val="2"/>
          </w:tcPr>
          <w:p w14:paraId="0E4238D4" w14:textId="77777777" w:rsidR="006E4A86" w:rsidRPr="001C59C3" w:rsidRDefault="006E4A86" w:rsidP="00776D51">
            <w:pPr>
              <w:pStyle w:val="COMTabletext"/>
              <w:keepNext w:val="0"/>
              <w:widowControl w:val="0"/>
              <w:rPr>
                <w:szCs w:val="20"/>
              </w:rPr>
            </w:pPr>
            <w:r w:rsidRPr="001C59C3">
              <w:rPr>
                <w:b/>
                <w:szCs w:val="20"/>
              </w:rPr>
              <w:t>Utilisation and financial impact of listing</w:t>
            </w:r>
          </w:p>
        </w:tc>
      </w:tr>
      <w:tr w:rsidR="006E4A86" w:rsidRPr="001C59C3" w14:paraId="4CD80170" w14:textId="77777777" w:rsidTr="00946816">
        <w:trPr>
          <w:cantSplit/>
        </w:trPr>
        <w:tc>
          <w:tcPr>
            <w:tcW w:w="2434" w:type="pct"/>
          </w:tcPr>
          <w:p w14:paraId="70B82B97" w14:textId="10665360" w:rsidR="006E4A86" w:rsidRPr="001C59C3" w:rsidRDefault="00D35A91" w:rsidP="00776D51">
            <w:pPr>
              <w:pStyle w:val="PBACTabletext"/>
              <w:keepNext w:val="0"/>
              <w:keepLines w:val="0"/>
              <w:widowControl w:val="0"/>
              <w:suppressLineNumbers w:val="0"/>
              <w:rPr>
                <w:rFonts w:ascii="Arial Narrow" w:hAnsi="Arial Narrow" w:cs="Calibri"/>
              </w:rPr>
            </w:pPr>
            <w:r w:rsidRPr="001C59C3">
              <w:rPr>
                <w:rFonts w:ascii="Arial Narrow" w:hAnsi="Arial Narrow" w:cs="Calibri"/>
              </w:rPr>
              <w:t xml:space="preserve">The PBAC agreed with </w:t>
            </w:r>
            <w:r w:rsidR="00AC2F4D" w:rsidRPr="001C59C3">
              <w:rPr>
                <w:rFonts w:ascii="Arial Narrow" w:hAnsi="Arial Narrow" w:cs="Calibri"/>
              </w:rPr>
              <w:t xml:space="preserve">the DUSC that the </w:t>
            </w:r>
            <w:r w:rsidR="00F57CA0" w:rsidRPr="001C59C3">
              <w:rPr>
                <w:rFonts w:ascii="Arial Narrow" w:hAnsi="Arial Narrow" w:cs="Calibri"/>
              </w:rPr>
              <w:t>estimates in the resubmission</w:t>
            </w:r>
            <w:r w:rsidR="00AC2F4D" w:rsidRPr="001C59C3">
              <w:rPr>
                <w:rFonts w:ascii="Arial Narrow" w:hAnsi="Arial Narrow" w:cs="Calibri"/>
              </w:rPr>
              <w:t xml:space="preserve"> w</w:t>
            </w:r>
            <w:r w:rsidR="00F57CA0" w:rsidRPr="001C59C3">
              <w:rPr>
                <w:rFonts w:ascii="Arial Narrow" w:hAnsi="Arial Narrow" w:cs="Calibri"/>
              </w:rPr>
              <w:t>ere</w:t>
            </w:r>
            <w:r w:rsidR="00AC2F4D" w:rsidRPr="001C59C3">
              <w:rPr>
                <w:rFonts w:ascii="Arial Narrow" w:hAnsi="Arial Narrow" w:cs="Calibri"/>
              </w:rPr>
              <w:t xml:space="preserve"> significantly underestimated</w:t>
            </w:r>
            <w:r w:rsidR="00AB6F1A" w:rsidRPr="001C59C3">
              <w:rPr>
                <w:rFonts w:ascii="Arial Narrow" w:hAnsi="Arial Narrow" w:cs="Calibri"/>
              </w:rPr>
              <w:t>,</w:t>
            </w:r>
            <w:r w:rsidR="00AC2F4D" w:rsidRPr="001C59C3">
              <w:rPr>
                <w:rFonts w:ascii="Arial Narrow" w:hAnsi="Arial Narrow" w:cs="Calibri"/>
              </w:rPr>
              <w:t xml:space="preserve"> </w:t>
            </w:r>
            <w:r w:rsidR="00FB7591" w:rsidRPr="001C59C3">
              <w:rPr>
                <w:rFonts w:ascii="Arial Narrow" w:hAnsi="Arial Narrow" w:cs="Calibri"/>
              </w:rPr>
              <w:t>with concerns raised regarding key inputs</w:t>
            </w:r>
            <w:r w:rsidR="00CF013E" w:rsidRPr="001C59C3">
              <w:rPr>
                <w:rFonts w:ascii="Arial Narrow" w:hAnsi="Arial Narrow" w:cs="Calibri"/>
              </w:rPr>
              <w:t xml:space="preserve"> of the budget impact model</w:t>
            </w:r>
            <w:r w:rsidR="00FB7591" w:rsidRPr="001C59C3">
              <w:rPr>
                <w:rFonts w:ascii="Arial Narrow" w:hAnsi="Arial Narrow" w:cs="Calibri"/>
              </w:rPr>
              <w:t xml:space="preserve">. The PBAC noted the pre-PBAC response presented revised estimates that addressed some </w:t>
            </w:r>
            <w:r w:rsidR="00EE2D48" w:rsidRPr="001C59C3">
              <w:rPr>
                <w:rFonts w:ascii="Arial Narrow" w:hAnsi="Arial Narrow" w:cs="Calibri"/>
              </w:rPr>
              <w:t>of DUSC’s concerns and</w:t>
            </w:r>
            <w:r w:rsidR="005A0BF3" w:rsidRPr="001C59C3">
              <w:rPr>
                <w:rFonts w:ascii="Arial Narrow" w:hAnsi="Arial Narrow" w:cs="Calibri"/>
              </w:rPr>
              <w:t xml:space="preserve"> considered</w:t>
            </w:r>
            <w:r w:rsidR="00384DB6" w:rsidRPr="001C59C3">
              <w:rPr>
                <w:rFonts w:ascii="Arial Narrow" w:hAnsi="Arial Narrow" w:cs="Calibri"/>
              </w:rPr>
              <w:t xml:space="preserve"> the </w:t>
            </w:r>
            <w:r w:rsidR="00F57CA0" w:rsidRPr="001C59C3">
              <w:rPr>
                <w:rFonts w:ascii="Arial Narrow" w:hAnsi="Arial Narrow" w:cs="Calibri"/>
              </w:rPr>
              <w:t xml:space="preserve">revised approach may be reasonable, however also noted it had not been independently evaluated. </w:t>
            </w:r>
            <w:r w:rsidR="0054081D" w:rsidRPr="001C59C3">
              <w:rPr>
                <w:rFonts w:ascii="Arial Narrow" w:hAnsi="Arial Narrow" w:cs="Calibri"/>
              </w:rPr>
              <w:t xml:space="preserve">The PBAC advised that a risk sharing arrangement (RSA) would be required to address any residual uncertainty with the potential </w:t>
            </w:r>
            <w:r w:rsidR="007847F7" w:rsidRPr="001C59C3">
              <w:rPr>
                <w:rFonts w:ascii="Arial Narrow" w:hAnsi="Arial Narrow" w:cs="Calibri"/>
              </w:rPr>
              <w:t xml:space="preserve">for use outside the proposed restriction, including in patients with mild pruritus (para 7.11, </w:t>
            </w:r>
            <w:r w:rsidR="007847F7" w:rsidRPr="001C59C3">
              <w:rPr>
                <w:rFonts w:ascii="Arial Narrow" w:eastAsiaTheme="majorEastAsia" w:hAnsi="Arial Narrow" w:cstheme="majorBidi"/>
                <w:bCs/>
                <w:szCs w:val="20"/>
              </w:rPr>
              <w:t xml:space="preserve">difelikefalin </w:t>
            </w:r>
            <w:r w:rsidR="00AF0214" w:rsidRPr="001C59C3">
              <w:rPr>
                <w:rFonts w:ascii="Arial Narrow" w:eastAsiaTheme="majorEastAsia" w:hAnsi="Arial Narrow" w:cstheme="majorBidi"/>
                <w:bCs/>
                <w:szCs w:val="20"/>
              </w:rPr>
              <w:t>PSD</w:t>
            </w:r>
            <w:r w:rsidR="007847F7" w:rsidRPr="001C59C3">
              <w:rPr>
                <w:rFonts w:ascii="Arial Narrow" w:eastAsiaTheme="majorEastAsia" w:hAnsi="Arial Narrow" w:cstheme="majorBidi"/>
                <w:bCs/>
                <w:szCs w:val="20"/>
              </w:rPr>
              <w:t>, March 2023 PBAC meeting).</w:t>
            </w:r>
          </w:p>
        </w:tc>
        <w:tc>
          <w:tcPr>
            <w:tcW w:w="2566" w:type="pct"/>
          </w:tcPr>
          <w:p w14:paraId="0E3F0153" w14:textId="20A61B00" w:rsidR="00FF732F" w:rsidRPr="001C59C3" w:rsidRDefault="002C309D" w:rsidP="00776D51">
            <w:pPr>
              <w:pStyle w:val="COMTabletext"/>
              <w:keepNext w:val="0"/>
              <w:widowControl w:val="0"/>
            </w:pPr>
            <w:r w:rsidRPr="001C59C3">
              <w:t xml:space="preserve">The resubmission </w:t>
            </w:r>
            <w:r w:rsidR="00245A87" w:rsidRPr="001C59C3">
              <w:t xml:space="preserve">included major structural and methodological changes to the budget impact model, with a simplified prevalence-based approach to uptake, continuation and adherence rates </w:t>
            </w:r>
            <w:r w:rsidR="003A354B" w:rsidRPr="001C59C3">
              <w:t>applied to the estimated eligible population in each year. The resubmission</w:t>
            </w:r>
            <w:r w:rsidR="00FF732F" w:rsidRPr="001C59C3">
              <w:t xml:space="preserve"> also</w:t>
            </w:r>
            <w:r w:rsidR="003A354B" w:rsidRPr="001C59C3">
              <w:t xml:space="preserve"> addressed some of DUSC’s concerns regarding key inputs of the </w:t>
            </w:r>
            <w:r w:rsidR="0021108F" w:rsidRPr="001C59C3">
              <w:t xml:space="preserve">March 2023 submission’s budget impact model. </w:t>
            </w:r>
          </w:p>
          <w:p w14:paraId="3EB3256F" w14:textId="77777777" w:rsidR="00FF732F" w:rsidRPr="001C59C3" w:rsidRDefault="00FF732F" w:rsidP="00776D51">
            <w:pPr>
              <w:pStyle w:val="COMTabletext"/>
              <w:keepNext w:val="0"/>
              <w:widowControl w:val="0"/>
            </w:pPr>
          </w:p>
          <w:p w14:paraId="646D36B1" w14:textId="58401572" w:rsidR="009C5594" w:rsidRPr="001C59C3" w:rsidRDefault="00B131FF" w:rsidP="00776D51">
            <w:pPr>
              <w:pStyle w:val="COMTabletext"/>
              <w:keepNext w:val="0"/>
              <w:widowControl w:val="0"/>
            </w:pPr>
            <w:r w:rsidRPr="001C59C3">
              <w:t xml:space="preserve">The resubmission </w:t>
            </w:r>
            <w:r w:rsidR="008E0475" w:rsidRPr="001C59C3">
              <w:t>argued that many issues with underestimation are addressed by the incorporation of formal criteria</w:t>
            </w:r>
            <w:r w:rsidR="009C5594" w:rsidRPr="001C59C3">
              <w:t xml:space="preserve"> (WI-NRS thresholds)</w:t>
            </w:r>
            <w:r w:rsidR="008E0475" w:rsidRPr="001C59C3">
              <w:t xml:space="preserve"> </w:t>
            </w:r>
            <w:r w:rsidR="00286494" w:rsidRPr="001C59C3">
              <w:t>in the restriction</w:t>
            </w:r>
            <w:r w:rsidR="00267FF9" w:rsidRPr="001C59C3">
              <w:t xml:space="preserve"> as well as a proposal for an RSA</w:t>
            </w:r>
            <w:r w:rsidR="00E322E4" w:rsidRPr="001C59C3">
              <w:t xml:space="preserve">. The RSA </w:t>
            </w:r>
            <w:r w:rsidR="009D1BB6">
              <w:t xml:space="preserve">offered by the resubmission </w:t>
            </w:r>
            <w:r w:rsidR="00E322E4" w:rsidRPr="001C59C3">
              <w:t xml:space="preserve">was based on </w:t>
            </w:r>
            <w:r w:rsidR="006064C7" w:rsidRPr="001C59C3">
              <w:t>predicted financial estimates a</w:t>
            </w:r>
            <w:r w:rsidR="00C35844" w:rsidRPr="001C59C3">
              <w:t xml:space="preserve">nd a </w:t>
            </w:r>
            <w:r w:rsidR="008A42F6" w:rsidRPr="00D014A3">
              <w:rPr>
                <w:color w:val="000000"/>
                <w:spacing w:val="53"/>
                <w:shd w:val="solid" w:color="000000" w:fill="000000"/>
                <w:fitText w:val="330" w:id="-1032102906"/>
                <w14:textFill>
                  <w14:solidFill>
                    <w14:srgbClr w14:val="000000">
                      <w14:alpha w14:val="100000"/>
                    </w14:srgbClr>
                  </w14:solidFill>
                </w14:textFill>
              </w:rPr>
              <w:t>|||</w:t>
            </w:r>
            <w:r w:rsidR="008A42F6" w:rsidRPr="00D014A3">
              <w:rPr>
                <w:color w:val="000000"/>
                <w:spacing w:val="1"/>
                <w:shd w:val="solid" w:color="000000" w:fill="000000"/>
                <w:fitText w:val="330" w:id="-1032102906"/>
                <w14:textFill>
                  <w14:solidFill>
                    <w14:srgbClr w14:val="000000">
                      <w14:alpha w14:val="100000"/>
                    </w14:srgbClr>
                  </w14:solidFill>
                </w14:textFill>
              </w:rPr>
              <w:t>|</w:t>
            </w:r>
            <w:r w:rsidR="00C35844" w:rsidRPr="001C59C3">
              <w:t>% rebate</w:t>
            </w:r>
            <w:r w:rsidR="009D1BB6">
              <w:t>.</w:t>
            </w:r>
          </w:p>
        </w:tc>
      </w:tr>
    </w:tbl>
    <w:p w14:paraId="1E104A54" w14:textId="67D8EFC2" w:rsidR="006E4A86" w:rsidRPr="001C59C3" w:rsidRDefault="006E4A86" w:rsidP="006E4A86">
      <w:pPr>
        <w:pStyle w:val="COMTablefooter"/>
      </w:pPr>
      <w:r w:rsidRPr="001C59C3">
        <w:t xml:space="preserve">Source: </w:t>
      </w:r>
      <w:r w:rsidR="007A3AC5" w:rsidRPr="001C59C3">
        <w:t>Table 2, p19 of the resubmission</w:t>
      </w:r>
    </w:p>
    <w:p w14:paraId="118B710B" w14:textId="5F2EEAC9" w:rsidR="00D84F29" w:rsidRPr="00073ED9" w:rsidRDefault="006E4A86" w:rsidP="00621588">
      <w:pPr>
        <w:pStyle w:val="COMTablefooter"/>
        <w:spacing w:after="0"/>
        <w:rPr>
          <w:szCs w:val="18"/>
        </w:rPr>
      </w:pPr>
      <w:r w:rsidRPr="00073ED9">
        <w:rPr>
          <w:szCs w:val="18"/>
        </w:rPr>
        <w:t xml:space="preserve">Abbreviations: </w:t>
      </w:r>
      <w:r w:rsidR="00112C1E" w:rsidRPr="00073ED9">
        <w:rPr>
          <w:szCs w:val="18"/>
        </w:rPr>
        <w:t>AEMP, ex-manufacturer price</w:t>
      </w:r>
      <w:r w:rsidR="0066240F" w:rsidRPr="00073ED9">
        <w:rPr>
          <w:szCs w:val="18"/>
        </w:rPr>
        <w:t>; ICER, incremental cost-effectiveness ratio; QALY, quality adjusted life year</w:t>
      </w:r>
    </w:p>
    <w:p w14:paraId="1A629D41" w14:textId="09EB0D44" w:rsidR="00073ED9" w:rsidRPr="00621588" w:rsidRDefault="00073ED9" w:rsidP="00073ED9">
      <w:pPr>
        <w:rPr>
          <w:rFonts w:ascii="Arial Narrow" w:hAnsi="Arial Narrow"/>
          <w:i/>
          <w:iCs/>
          <w:sz w:val="18"/>
          <w:szCs w:val="18"/>
        </w:rPr>
      </w:pPr>
      <w:r w:rsidRPr="00621588">
        <w:rPr>
          <w:rFonts w:ascii="Arial Narrow" w:hAnsi="Arial Narrow"/>
          <w:i/>
          <w:iCs/>
          <w:sz w:val="18"/>
          <w:szCs w:val="18"/>
        </w:rPr>
        <w:t>The redacted values correspond to the following ranges:</w:t>
      </w:r>
    </w:p>
    <w:p w14:paraId="7D22F7E6" w14:textId="567BA70C" w:rsidR="00073ED9" w:rsidRPr="00621588" w:rsidRDefault="00073ED9" w:rsidP="00073ED9">
      <w:pPr>
        <w:rPr>
          <w:rFonts w:ascii="Arial Narrow" w:hAnsi="Arial Narrow"/>
          <w:i/>
          <w:iCs/>
          <w:sz w:val="18"/>
          <w:szCs w:val="18"/>
        </w:rPr>
      </w:pPr>
      <w:r w:rsidRPr="00621588">
        <w:rPr>
          <w:rFonts w:ascii="Arial Narrow" w:hAnsi="Arial Narrow"/>
          <w:i/>
          <w:iCs/>
          <w:sz w:val="18"/>
          <w:szCs w:val="18"/>
          <w:vertAlign w:val="superscript"/>
        </w:rPr>
        <w:t>1</w:t>
      </w:r>
      <w:r w:rsidRPr="00621588">
        <w:rPr>
          <w:rFonts w:ascii="Arial Narrow" w:hAnsi="Arial Narrow"/>
          <w:i/>
          <w:iCs/>
          <w:sz w:val="18"/>
          <w:szCs w:val="18"/>
        </w:rPr>
        <w:t xml:space="preserve"> </w:t>
      </w:r>
      <w:r w:rsidR="00526FCC" w:rsidRPr="00621588">
        <w:rPr>
          <w:rFonts w:ascii="Arial Narrow" w:hAnsi="Arial Narrow"/>
          <w:i/>
          <w:iCs/>
          <w:sz w:val="18"/>
          <w:szCs w:val="18"/>
        </w:rPr>
        <w:t>$45,000 to &lt; $55,000</w:t>
      </w:r>
    </w:p>
    <w:p w14:paraId="5C575923" w14:textId="0B07DCD1" w:rsidR="00495CD8" w:rsidRPr="00621588" w:rsidRDefault="00495CD8" w:rsidP="00621588">
      <w:pPr>
        <w:rPr>
          <w:i/>
          <w:iCs/>
          <w:szCs w:val="18"/>
        </w:rPr>
      </w:pPr>
      <w:r w:rsidRPr="00621588">
        <w:rPr>
          <w:rFonts w:ascii="Arial Narrow" w:hAnsi="Arial Narrow"/>
          <w:i/>
          <w:iCs/>
          <w:sz w:val="18"/>
          <w:szCs w:val="18"/>
          <w:vertAlign w:val="superscript"/>
        </w:rPr>
        <w:t>2</w:t>
      </w:r>
      <w:r w:rsidRPr="00621588">
        <w:rPr>
          <w:rFonts w:ascii="Arial Narrow" w:hAnsi="Arial Narrow"/>
          <w:i/>
          <w:iCs/>
          <w:sz w:val="18"/>
          <w:szCs w:val="18"/>
        </w:rPr>
        <w:t xml:space="preserve"> </w:t>
      </w:r>
      <w:r w:rsidR="00AC11DF" w:rsidRPr="00621588">
        <w:rPr>
          <w:rFonts w:ascii="Arial Narrow" w:hAnsi="Arial Narrow"/>
          <w:i/>
          <w:iCs/>
          <w:sz w:val="18"/>
          <w:szCs w:val="18"/>
        </w:rPr>
        <w:t>$55,000 to &lt; $75,000</w:t>
      </w:r>
    </w:p>
    <w:p w14:paraId="610EB4C3" w14:textId="316A89A2" w:rsidR="00D4334F" w:rsidRPr="001C59C3" w:rsidRDefault="00B50DB8" w:rsidP="00D4334F">
      <w:pPr>
        <w:pStyle w:val="COMH1numbered"/>
      </w:pPr>
      <w:bookmarkStart w:id="9" w:name="_Toc107902078"/>
      <w:bookmarkStart w:id="10" w:name="_Toc144890464"/>
      <w:bookmarkEnd w:id="9"/>
      <w:r w:rsidRPr="001C59C3">
        <w:t>R</w:t>
      </w:r>
      <w:r w:rsidR="00E6334A">
        <w:t>e</w:t>
      </w:r>
      <w:r w:rsidRPr="001C59C3">
        <w:t>quested listing</w:t>
      </w:r>
      <w:bookmarkEnd w:id="10"/>
    </w:p>
    <w:p w14:paraId="178D3C97" w14:textId="6D4603AD" w:rsidR="00E6334A" w:rsidRPr="001C59C3" w:rsidRDefault="00D4334F" w:rsidP="00E6334A">
      <w:pPr>
        <w:pStyle w:val="COMexecsumnumberedpara"/>
      </w:pPr>
      <w:r w:rsidRPr="001C59C3">
        <w:t xml:space="preserve">Suggestions and additions proposed by the Secretariat are added in italics and suggested deletions are crossed out with strikethrough. </w:t>
      </w:r>
      <w:bookmarkStart w:id="11" w:name="_Hlk10480908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2121"/>
        <w:gridCol w:w="990"/>
        <w:gridCol w:w="849"/>
        <w:gridCol w:w="849"/>
        <w:gridCol w:w="723"/>
        <w:gridCol w:w="1499"/>
      </w:tblGrid>
      <w:tr w:rsidR="00E6334A" w:rsidRPr="00E6334A" w14:paraId="744CA326" w14:textId="77777777" w:rsidTr="00E6334A">
        <w:tc>
          <w:tcPr>
            <w:tcW w:w="110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D48CAEC" w14:textId="2E9FA687" w:rsidR="00FB28DA" w:rsidRPr="00E6334A" w:rsidRDefault="00FB28DA" w:rsidP="00E6334A">
            <w:pPr>
              <w:keepNext/>
              <w:tabs>
                <w:tab w:val="left" w:pos="6510"/>
              </w:tabs>
              <w:jc w:val="left"/>
              <w:rPr>
                <w:rFonts w:ascii="Arial Narrow" w:hAnsi="Arial Narrow"/>
                <w:b/>
                <w:sz w:val="20"/>
                <w:szCs w:val="20"/>
              </w:rPr>
            </w:pPr>
            <w:r w:rsidRPr="00E6334A">
              <w:rPr>
                <w:rFonts w:ascii="Arial Narrow" w:hAnsi="Arial Narrow"/>
                <w:b/>
                <w:sz w:val="20"/>
                <w:szCs w:val="20"/>
              </w:rPr>
              <w:lastRenderedPageBreak/>
              <w:t>Name, Restriction, Manner of administration and form</w:t>
            </w:r>
          </w:p>
        </w:tc>
        <w:tc>
          <w:tcPr>
            <w:tcW w:w="1176" w:type="pct"/>
            <w:tcBorders>
              <w:top w:val="single" w:sz="4" w:space="0" w:color="auto"/>
              <w:left w:val="single" w:sz="4" w:space="0" w:color="auto"/>
              <w:bottom w:val="single" w:sz="4" w:space="0" w:color="auto"/>
              <w:right w:val="single" w:sz="4" w:space="0" w:color="auto"/>
            </w:tcBorders>
            <w:vAlign w:val="center"/>
          </w:tcPr>
          <w:p w14:paraId="3BE7CAEA" w14:textId="4D84DC6A" w:rsidR="00FB28DA" w:rsidRPr="00E6334A" w:rsidRDefault="00FB28DA" w:rsidP="00E6334A">
            <w:pPr>
              <w:keepNext/>
              <w:tabs>
                <w:tab w:val="left" w:pos="6510"/>
              </w:tabs>
              <w:jc w:val="left"/>
              <w:rPr>
                <w:rFonts w:ascii="Arial Narrow" w:hAnsi="Arial Narrow"/>
                <w:b/>
                <w:sz w:val="20"/>
                <w:szCs w:val="20"/>
              </w:rPr>
            </w:pPr>
            <w:r w:rsidRPr="00E6334A">
              <w:rPr>
                <w:rFonts w:ascii="Arial Narrow" w:hAnsi="Arial Narrow"/>
                <w:b/>
                <w:sz w:val="20"/>
                <w:szCs w:val="20"/>
              </w:rPr>
              <w:t>Dispensed Price for Max. Qty a</w:t>
            </w:r>
          </w:p>
        </w:tc>
        <w:tc>
          <w:tcPr>
            <w:tcW w:w="5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6049B3" w14:textId="77777777" w:rsidR="00FB28DA" w:rsidRPr="00E6334A" w:rsidRDefault="00FB28DA" w:rsidP="00E6334A">
            <w:pPr>
              <w:keepNext/>
              <w:tabs>
                <w:tab w:val="left" w:pos="6510"/>
              </w:tabs>
              <w:jc w:val="left"/>
              <w:rPr>
                <w:rFonts w:ascii="Arial Narrow" w:hAnsi="Arial Narrow"/>
                <w:b/>
                <w:sz w:val="20"/>
                <w:szCs w:val="20"/>
              </w:rPr>
            </w:pPr>
            <w:r w:rsidRPr="00E6334A">
              <w:rPr>
                <w:rFonts w:ascii="Arial Narrow" w:hAnsi="Arial Narrow"/>
                <w:b/>
                <w:sz w:val="20"/>
                <w:szCs w:val="20"/>
              </w:rPr>
              <w:t>PBS item code</w:t>
            </w:r>
          </w:p>
        </w:tc>
        <w:tc>
          <w:tcPr>
            <w:tcW w:w="47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F837EF" w14:textId="77777777" w:rsidR="00FB28DA" w:rsidRPr="00E6334A" w:rsidRDefault="00FB28DA" w:rsidP="00E6334A">
            <w:pPr>
              <w:keepNext/>
              <w:tabs>
                <w:tab w:val="left" w:pos="6510"/>
              </w:tabs>
              <w:jc w:val="left"/>
              <w:rPr>
                <w:rFonts w:ascii="Arial Narrow" w:hAnsi="Arial Narrow"/>
                <w:b/>
                <w:sz w:val="20"/>
                <w:szCs w:val="20"/>
              </w:rPr>
            </w:pPr>
            <w:r w:rsidRPr="00E6334A">
              <w:rPr>
                <w:rFonts w:ascii="Arial Narrow" w:hAnsi="Arial Narrow"/>
                <w:b/>
                <w:sz w:val="20"/>
                <w:szCs w:val="20"/>
              </w:rPr>
              <w:t>Max. qty packs</w:t>
            </w:r>
          </w:p>
        </w:tc>
        <w:tc>
          <w:tcPr>
            <w:tcW w:w="47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86B8D9" w14:textId="77777777" w:rsidR="00FB28DA" w:rsidRPr="00E6334A" w:rsidRDefault="00FB28DA" w:rsidP="00E6334A">
            <w:pPr>
              <w:keepNext/>
              <w:tabs>
                <w:tab w:val="left" w:pos="6510"/>
              </w:tabs>
              <w:jc w:val="left"/>
              <w:rPr>
                <w:rFonts w:ascii="Arial Narrow" w:hAnsi="Arial Narrow"/>
                <w:b/>
                <w:sz w:val="20"/>
                <w:szCs w:val="20"/>
              </w:rPr>
            </w:pPr>
            <w:r w:rsidRPr="00E6334A">
              <w:rPr>
                <w:rFonts w:ascii="Arial Narrow" w:hAnsi="Arial Narrow"/>
                <w:b/>
                <w:sz w:val="20"/>
                <w:szCs w:val="20"/>
              </w:rPr>
              <w:t>Max. qty units</w:t>
            </w:r>
          </w:p>
        </w:tc>
        <w:tc>
          <w:tcPr>
            <w:tcW w:w="40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6E1B65" w14:textId="77777777" w:rsidR="00FB28DA" w:rsidRPr="00E6334A" w:rsidRDefault="00FB28DA" w:rsidP="00E6334A">
            <w:pPr>
              <w:keepNext/>
              <w:jc w:val="left"/>
              <w:rPr>
                <w:rFonts w:ascii="Arial Narrow" w:hAnsi="Arial Narrow"/>
                <w:b/>
                <w:sz w:val="20"/>
                <w:szCs w:val="20"/>
              </w:rPr>
            </w:pPr>
            <w:r w:rsidRPr="00E6334A">
              <w:rPr>
                <w:rFonts w:ascii="Arial Narrow" w:hAnsi="Arial Narrow"/>
                <w:b/>
                <w:sz w:val="20"/>
                <w:szCs w:val="20"/>
              </w:rPr>
              <w:t>№.of</w:t>
            </w:r>
          </w:p>
          <w:p w14:paraId="1D1DE53C" w14:textId="77777777" w:rsidR="00FB28DA" w:rsidRPr="00E6334A" w:rsidRDefault="00FB28DA" w:rsidP="00E6334A">
            <w:pPr>
              <w:keepNext/>
              <w:tabs>
                <w:tab w:val="left" w:pos="6510"/>
              </w:tabs>
              <w:jc w:val="left"/>
              <w:rPr>
                <w:rFonts w:ascii="Arial Narrow" w:hAnsi="Arial Narrow"/>
                <w:b/>
                <w:sz w:val="20"/>
                <w:szCs w:val="20"/>
              </w:rPr>
            </w:pPr>
            <w:r w:rsidRPr="00E6334A">
              <w:rPr>
                <w:rFonts w:ascii="Arial Narrow" w:hAnsi="Arial Narrow"/>
                <w:b/>
                <w:sz w:val="20"/>
                <w:szCs w:val="20"/>
              </w:rPr>
              <w:t>Rpts</w:t>
            </w:r>
          </w:p>
        </w:tc>
        <w:tc>
          <w:tcPr>
            <w:tcW w:w="8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EFE5B9" w14:textId="77777777" w:rsidR="00FB28DA" w:rsidRPr="00E6334A" w:rsidRDefault="00FB28DA" w:rsidP="00E6334A">
            <w:pPr>
              <w:keepNext/>
              <w:tabs>
                <w:tab w:val="left" w:pos="6510"/>
              </w:tabs>
              <w:jc w:val="left"/>
              <w:rPr>
                <w:rFonts w:ascii="Arial Narrow" w:hAnsi="Arial Narrow"/>
                <w:b/>
                <w:sz w:val="20"/>
                <w:szCs w:val="20"/>
              </w:rPr>
            </w:pPr>
            <w:r w:rsidRPr="00E6334A">
              <w:rPr>
                <w:rFonts w:ascii="Arial Narrow" w:hAnsi="Arial Narrow"/>
                <w:b/>
                <w:sz w:val="20"/>
                <w:szCs w:val="20"/>
              </w:rPr>
              <w:t>Proprietary Name and Manufacturer</w:t>
            </w:r>
          </w:p>
        </w:tc>
      </w:tr>
      <w:tr w:rsidR="00E6334A" w:rsidRPr="00E6334A" w14:paraId="390BC05F" w14:textId="77777777" w:rsidTr="00E6334A">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B1BEACE" w14:textId="0E1EFC1B" w:rsidR="00FB28DA" w:rsidRPr="00E6334A" w:rsidRDefault="009D1BB6" w:rsidP="00E6334A">
            <w:pPr>
              <w:keepNext/>
              <w:ind w:left="-108"/>
              <w:rPr>
                <w:rFonts w:ascii="Arial Narrow" w:hAnsi="Arial Narrow"/>
                <w:sz w:val="20"/>
                <w:szCs w:val="20"/>
              </w:rPr>
            </w:pPr>
            <w:r w:rsidRPr="00E6334A">
              <w:rPr>
                <w:rFonts w:ascii="Arial Narrow" w:hAnsi="Arial Narrow"/>
                <w:sz w:val="20"/>
                <w:szCs w:val="20"/>
              </w:rPr>
              <w:t xml:space="preserve">   </w:t>
            </w:r>
            <w:r w:rsidR="001C59C3" w:rsidRPr="00E6334A">
              <w:rPr>
                <w:rFonts w:ascii="Arial Narrow" w:hAnsi="Arial Narrow"/>
                <w:sz w:val="20"/>
                <w:szCs w:val="20"/>
              </w:rPr>
              <w:t>DIFELIKEFALIN</w:t>
            </w:r>
          </w:p>
        </w:tc>
      </w:tr>
      <w:tr w:rsidR="00E6334A" w:rsidRPr="00E6334A" w14:paraId="48A65BDC" w14:textId="77777777" w:rsidTr="00E6334A">
        <w:tc>
          <w:tcPr>
            <w:tcW w:w="110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AAB54A1" w14:textId="32F0FF1B" w:rsidR="00FB28DA" w:rsidRPr="00E6334A" w:rsidRDefault="00FB28DA" w:rsidP="00E6334A">
            <w:pPr>
              <w:keepNext/>
              <w:tabs>
                <w:tab w:val="left" w:pos="6510"/>
              </w:tabs>
              <w:jc w:val="left"/>
              <w:rPr>
                <w:rFonts w:ascii="Arial Narrow" w:hAnsi="Arial Narrow"/>
                <w:b/>
                <w:sz w:val="20"/>
                <w:szCs w:val="20"/>
              </w:rPr>
            </w:pPr>
            <w:r w:rsidRPr="00E6334A">
              <w:rPr>
                <w:rFonts w:ascii="Arial Narrow" w:hAnsi="Arial Narrow"/>
                <w:sz w:val="20"/>
                <w:szCs w:val="20"/>
              </w:rPr>
              <w:t xml:space="preserve">Difelikefalin 50 microgram/mL injection, 12 x 1mL </w:t>
            </w:r>
            <w:r w:rsidR="009E1449" w:rsidRPr="00E6334A">
              <w:rPr>
                <w:rFonts w:ascii="Arial Narrow" w:hAnsi="Arial Narrow"/>
                <w:sz w:val="20"/>
                <w:szCs w:val="20"/>
              </w:rPr>
              <w:t>vial</w:t>
            </w:r>
          </w:p>
        </w:tc>
        <w:tc>
          <w:tcPr>
            <w:tcW w:w="1176" w:type="pct"/>
            <w:tcBorders>
              <w:top w:val="single" w:sz="4" w:space="0" w:color="auto"/>
              <w:left w:val="single" w:sz="4" w:space="0" w:color="auto"/>
              <w:bottom w:val="single" w:sz="4" w:space="0" w:color="auto"/>
              <w:right w:val="single" w:sz="4" w:space="0" w:color="auto"/>
            </w:tcBorders>
            <w:vAlign w:val="center"/>
          </w:tcPr>
          <w:p w14:paraId="44BA170F" w14:textId="77777777" w:rsidR="00FB28DA" w:rsidRPr="00E6334A" w:rsidRDefault="00FB28DA" w:rsidP="00E6334A">
            <w:pPr>
              <w:pStyle w:val="COMTabletext"/>
              <w:keepLines/>
              <w:jc w:val="center"/>
              <w:rPr>
                <w:szCs w:val="20"/>
                <w:u w:val="single"/>
              </w:rPr>
            </w:pPr>
            <w:r w:rsidRPr="00E6334A">
              <w:rPr>
                <w:szCs w:val="20"/>
                <w:u w:val="single"/>
              </w:rPr>
              <w:t>Public</w:t>
            </w:r>
          </w:p>
          <w:p w14:paraId="32137DCE" w14:textId="77777777" w:rsidR="00FB28DA" w:rsidRPr="00E6334A" w:rsidRDefault="00FB28DA" w:rsidP="00E6334A">
            <w:pPr>
              <w:pStyle w:val="COMTabletext"/>
              <w:keepLines/>
              <w:jc w:val="center"/>
              <w:rPr>
                <w:szCs w:val="20"/>
              </w:rPr>
            </w:pPr>
            <w:r w:rsidRPr="00E6334A">
              <w:rPr>
                <w:szCs w:val="20"/>
              </w:rPr>
              <w:t>$540.00 (published)</w:t>
            </w:r>
          </w:p>
          <w:p w14:paraId="30CE1C22" w14:textId="77722499" w:rsidR="00FB28DA" w:rsidRPr="00E6334A" w:rsidRDefault="00D014A3" w:rsidP="00E6334A">
            <w:pPr>
              <w:pStyle w:val="COMTabletext"/>
              <w:keepLines/>
              <w:jc w:val="center"/>
              <w:rPr>
                <w:szCs w:val="20"/>
              </w:rPr>
            </w:pPr>
            <w:r>
              <w:rPr>
                <w:szCs w:val="20"/>
              </w:rPr>
              <w:t>$</w:t>
            </w:r>
            <w:r w:rsidR="008A42F6" w:rsidRPr="00D014A3">
              <w:rPr>
                <w:rFonts w:hint="eastAsia"/>
                <w:color w:val="000000"/>
                <w:w w:val="15"/>
                <w:szCs w:val="20"/>
                <w:shd w:val="solid" w:color="000000" w:fill="000000"/>
                <w:fitText w:val="50" w:id="-1032102905"/>
                <w14:textFill>
                  <w14:solidFill>
                    <w14:srgbClr w14:val="000000">
                      <w14:alpha w14:val="100000"/>
                    </w14:srgbClr>
                  </w14:solidFill>
                </w14:textFill>
              </w:rPr>
              <w:t xml:space="preserve">　</w:t>
            </w:r>
            <w:r w:rsidR="008A42F6" w:rsidRPr="00D014A3">
              <w:rPr>
                <w:color w:val="000000"/>
                <w:w w:val="15"/>
                <w:szCs w:val="20"/>
                <w:shd w:val="solid" w:color="000000" w:fill="000000"/>
                <w:fitText w:val="50" w:id="-1032102905"/>
                <w14:textFill>
                  <w14:solidFill>
                    <w14:srgbClr w14:val="000000">
                      <w14:alpha w14:val="100000"/>
                    </w14:srgbClr>
                  </w14:solidFill>
                </w14:textFill>
              </w:rPr>
              <w:t>|</w:t>
            </w:r>
            <w:r w:rsidR="008A42F6" w:rsidRPr="00D014A3">
              <w:rPr>
                <w:rFonts w:hint="eastAsia"/>
                <w:color w:val="000000"/>
                <w:spacing w:val="-15"/>
                <w:w w:val="15"/>
                <w:szCs w:val="20"/>
                <w:shd w:val="solid" w:color="000000" w:fill="000000"/>
                <w:fitText w:val="50" w:id="-1032102905"/>
                <w14:textFill>
                  <w14:solidFill>
                    <w14:srgbClr w14:val="000000">
                      <w14:alpha w14:val="100000"/>
                    </w14:srgbClr>
                  </w14:solidFill>
                </w14:textFill>
              </w:rPr>
              <w:t xml:space="preserve">　</w:t>
            </w:r>
            <w:r w:rsidR="00FB28DA" w:rsidRPr="00E6334A">
              <w:rPr>
                <w:szCs w:val="20"/>
              </w:rPr>
              <w:t xml:space="preserve"> (effective)</w:t>
            </w:r>
          </w:p>
          <w:p w14:paraId="6E1A0516" w14:textId="210D0319" w:rsidR="00FB28DA" w:rsidRPr="00E6334A" w:rsidRDefault="00D014A3" w:rsidP="00E6334A">
            <w:pPr>
              <w:pStyle w:val="COMTabletext"/>
              <w:keepLines/>
              <w:jc w:val="center"/>
              <w:rPr>
                <w:szCs w:val="20"/>
              </w:rPr>
            </w:pPr>
            <w:r>
              <w:rPr>
                <w:szCs w:val="20"/>
              </w:rPr>
              <w:t>$</w:t>
            </w:r>
            <w:r w:rsidR="008A42F6" w:rsidRPr="00D014A3">
              <w:rPr>
                <w:rFonts w:hint="eastAsia"/>
                <w:color w:val="000000"/>
                <w:w w:val="22"/>
                <w:szCs w:val="20"/>
                <w:shd w:val="solid" w:color="000000" w:fill="000000"/>
                <w:fitText w:val="100" w:id="-1032102904"/>
                <w14:textFill>
                  <w14:solidFill>
                    <w14:srgbClr w14:val="000000">
                      <w14:alpha w14:val="100000"/>
                    </w14:srgbClr>
                  </w14:solidFill>
                </w14:textFill>
              </w:rPr>
              <w:t xml:space="preserve">　</w:t>
            </w:r>
            <w:r w:rsidR="008A42F6" w:rsidRPr="00D014A3">
              <w:rPr>
                <w:color w:val="000000"/>
                <w:w w:val="22"/>
                <w:szCs w:val="20"/>
                <w:shd w:val="solid" w:color="000000" w:fill="000000"/>
                <w:fitText w:val="100" w:id="-1032102904"/>
                <w14:textFill>
                  <w14:solidFill>
                    <w14:srgbClr w14:val="000000">
                      <w14:alpha w14:val="100000"/>
                    </w14:srgbClr>
                  </w14:solidFill>
                </w14:textFill>
              </w:rPr>
              <w:t>|</w:t>
            </w:r>
            <w:r w:rsidR="008A42F6" w:rsidRPr="00D014A3">
              <w:rPr>
                <w:rFonts w:hint="eastAsia"/>
                <w:color w:val="000000"/>
                <w:w w:val="22"/>
                <w:szCs w:val="20"/>
                <w:shd w:val="solid" w:color="000000" w:fill="000000"/>
                <w:fitText w:val="100" w:id="-1032102904"/>
                <w14:textFill>
                  <w14:solidFill>
                    <w14:srgbClr w14:val="000000">
                      <w14:alpha w14:val="100000"/>
                    </w14:srgbClr>
                  </w14:solidFill>
                </w14:textFill>
              </w:rPr>
              <w:t xml:space="preserve">　</w:t>
            </w:r>
            <w:r w:rsidR="00FB28DA" w:rsidRPr="00E6334A">
              <w:rPr>
                <w:szCs w:val="20"/>
              </w:rPr>
              <w:t xml:space="preserve"> (</w:t>
            </w:r>
            <w:r w:rsidR="00DB1A72" w:rsidRPr="00E6334A">
              <w:rPr>
                <w:szCs w:val="20"/>
              </w:rPr>
              <w:t>p</w:t>
            </w:r>
            <w:r w:rsidR="00FB28DA" w:rsidRPr="00E6334A">
              <w:rPr>
                <w:szCs w:val="20"/>
              </w:rPr>
              <w:t>re-PBAC)</w:t>
            </w:r>
          </w:p>
          <w:p w14:paraId="77421ACB" w14:textId="77777777" w:rsidR="00FB28DA" w:rsidRPr="00E6334A" w:rsidRDefault="00FB28DA" w:rsidP="00E6334A">
            <w:pPr>
              <w:pStyle w:val="COMTabletext"/>
              <w:keepLines/>
              <w:jc w:val="center"/>
              <w:rPr>
                <w:szCs w:val="20"/>
              </w:rPr>
            </w:pPr>
          </w:p>
          <w:p w14:paraId="3E0ADD0D" w14:textId="77777777" w:rsidR="00FB28DA" w:rsidRPr="00E6334A" w:rsidRDefault="00FB28DA" w:rsidP="00E6334A">
            <w:pPr>
              <w:pStyle w:val="COMTabletext"/>
              <w:keepLines/>
              <w:jc w:val="center"/>
              <w:rPr>
                <w:szCs w:val="20"/>
                <w:u w:val="single"/>
              </w:rPr>
            </w:pPr>
            <w:r w:rsidRPr="00E6334A">
              <w:rPr>
                <w:szCs w:val="20"/>
                <w:u w:val="single"/>
              </w:rPr>
              <w:t>Private</w:t>
            </w:r>
          </w:p>
          <w:p w14:paraId="41CF0694" w14:textId="77777777" w:rsidR="00FB28DA" w:rsidRPr="00E6334A" w:rsidRDefault="00FB28DA" w:rsidP="00E6334A">
            <w:pPr>
              <w:pStyle w:val="COMTabletext"/>
              <w:keepLines/>
              <w:jc w:val="center"/>
              <w:rPr>
                <w:szCs w:val="20"/>
              </w:rPr>
            </w:pPr>
            <w:r w:rsidRPr="00E6334A">
              <w:rPr>
                <w:szCs w:val="20"/>
              </w:rPr>
              <w:t>$569.97 (published)</w:t>
            </w:r>
          </w:p>
          <w:p w14:paraId="3E3C20DA" w14:textId="1A7E8EB7" w:rsidR="00FB28DA" w:rsidRPr="00E6334A" w:rsidRDefault="00D014A3" w:rsidP="00E6334A">
            <w:pPr>
              <w:pStyle w:val="COMTabletext"/>
              <w:keepLines/>
              <w:jc w:val="center"/>
              <w:rPr>
                <w:szCs w:val="20"/>
              </w:rPr>
            </w:pPr>
            <w:r>
              <w:rPr>
                <w:szCs w:val="20"/>
              </w:rPr>
              <w:t>$</w:t>
            </w:r>
            <w:r w:rsidR="008A42F6" w:rsidRPr="00D014A3">
              <w:rPr>
                <w:rFonts w:hint="eastAsia"/>
                <w:color w:val="000000"/>
                <w:w w:val="15"/>
                <w:szCs w:val="20"/>
                <w:shd w:val="solid" w:color="000000" w:fill="000000"/>
                <w:fitText w:val="50" w:id="-1032102903"/>
                <w14:textFill>
                  <w14:solidFill>
                    <w14:srgbClr w14:val="000000">
                      <w14:alpha w14:val="100000"/>
                    </w14:srgbClr>
                  </w14:solidFill>
                </w14:textFill>
              </w:rPr>
              <w:t xml:space="preserve">　</w:t>
            </w:r>
            <w:r w:rsidR="008A42F6" w:rsidRPr="00D014A3">
              <w:rPr>
                <w:color w:val="000000"/>
                <w:w w:val="15"/>
                <w:szCs w:val="20"/>
                <w:shd w:val="solid" w:color="000000" w:fill="000000"/>
                <w:fitText w:val="50" w:id="-1032102903"/>
                <w14:textFill>
                  <w14:solidFill>
                    <w14:srgbClr w14:val="000000">
                      <w14:alpha w14:val="100000"/>
                    </w14:srgbClr>
                  </w14:solidFill>
                </w14:textFill>
              </w:rPr>
              <w:t>|</w:t>
            </w:r>
            <w:r w:rsidR="008A42F6" w:rsidRPr="00D014A3">
              <w:rPr>
                <w:rFonts w:hint="eastAsia"/>
                <w:color w:val="000000"/>
                <w:spacing w:val="-15"/>
                <w:w w:val="15"/>
                <w:szCs w:val="20"/>
                <w:shd w:val="solid" w:color="000000" w:fill="000000"/>
                <w:fitText w:val="50" w:id="-1032102903"/>
                <w14:textFill>
                  <w14:solidFill>
                    <w14:srgbClr w14:val="000000">
                      <w14:alpha w14:val="100000"/>
                    </w14:srgbClr>
                  </w14:solidFill>
                </w14:textFill>
              </w:rPr>
              <w:t xml:space="preserve">　</w:t>
            </w:r>
            <w:r w:rsidR="00FB28DA" w:rsidRPr="00E6334A">
              <w:rPr>
                <w:szCs w:val="20"/>
              </w:rPr>
              <w:t xml:space="preserve"> (effective)</w:t>
            </w:r>
          </w:p>
          <w:p w14:paraId="12DFC6B2" w14:textId="37AC11BF" w:rsidR="00FB28DA" w:rsidRPr="00E6334A" w:rsidRDefault="00D014A3" w:rsidP="00E6334A">
            <w:pPr>
              <w:keepNext/>
              <w:tabs>
                <w:tab w:val="left" w:pos="6510"/>
              </w:tabs>
              <w:jc w:val="center"/>
              <w:rPr>
                <w:rFonts w:ascii="Arial Narrow" w:hAnsi="Arial Narrow"/>
                <w:b/>
                <w:sz w:val="20"/>
                <w:szCs w:val="20"/>
              </w:rPr>
            </w:pPr>
            <w:r>
              <w:rPr>
                <w:rFonts w:ascii="Arial Narrow" w:eastAsiaTheme="majorEastAsia" w:hAnsi="Arial Narrow" w:cstheme="majorBidi"/>
                <w:bCs/>
                <w:sz w:val="20"/>
                <w:szCs w:val="20"/>
              </w:rPr>
              <w:t>$</w:t>
            </w:r>
            <w:r w:rsidR="008A42F6" w:rsidRPr="00D014A3">
              <w:rPr>
                <w:rFonts w:ascii="Arial Narrow" w:eastAsiaTheme="majorEastAsia" w:hAnsi="Arial Narrow" w:cstheme="majorBidi" w:hint="eastAsia"/>
                <w:bCs/>
                <w:color w:val="000000"/>
                <w:w w:val="22"/>
                <w:sz w:val="20"/>
                <w:szCs w:val="20"/>
                <w:shd w:val="solid" w:color="000000" w:fill="000000"/>
                <w:fitText w:val="100" w:id="-1032102902"/>
                <w14:textFill>
                  <w14:solidFill>
                    <w14:srgbClr w14:val="000000">
                      <w14:alpha w14:val="100000"/>
                    </w14:srgbClr>
                  </w14:solidFill>
                </w14:textFill>
              </w:rPr>
              <w:t xml:space="preserve">　</w:t>
            </w:r>
            <w:r w:rsidR="008A42F6" w:rsidRPr="00D014A3">
              <w:rPr>
                <w:rFonts w:ascii="Arial Narrow" w:eastAsiaTheme="majorEastAsia" w:hAnsi="Arial Narrow" w:cstheme="majorBidi"/>
                <w:bCs/>
                <w:color w:val="000000"/>
                <w:w w:val="22"/>
                <w:sz w:val="20"/>
                <w:szCs w:val="20"/>
                <w:shd w:val="solid" w:color="000000" w:fill="000000"/>
                <w:fitText w:val="100" w:id="-1032102902"/>
                <w14:textFill>
                  <w14:solidFill>
                    <w14:srgbClr w14:val="000000">
                      <w14:alpha w14:val="100000"/>
                    </w14:srgbClr>
                  </w14:solidFill>
                </w14:textFill>
              </w:rPr>
              <w:t>|</w:t>
            </w:r>
            <w:r w:rsidR="008A42F6" w:rsidRPr="00D014A3">
              <w:rPr>
                <w:rFonts w:ascii="Arial Narrow" w:eastAsiaTheme="majorEastAsia" w:hAnsi="Arial Narrow" w:cstheme="majorBidi" w:hint="eastAsia"/>
                <w:bCs/>
                <w:color w:val="000000"/>
                <w:w w:val="22"/>
                <w:sz w:val="20"/>
                <w:szCs w:val="20"/>
                <w:shd w:val="solid" w:color="000000" w:fill="000000"/>
                <w:fitText w:val="100" w:id="-1032102902"/>
                <w14:textFill>
                  <w14:solidFill>
                    <w14:srgbClr w14:val="000000">
                      <w14:alpha w14:val="100000"/>
                    </w14:srgbClr>
                  </w14:solidFill>
                </w14:textFill>
              </w:rPr>
              <w:t xml:space="preserve">　</w:t>
            </w:r>
            <w:r w:rsidR="00FB28DA" w:rsidRPr="00E6334A">
              <w:rPr>
                <w:rFonts w:ascii="Arial Narrow" w:eastAsiaTheme="majorEastAsia" w:hAnsi="Arial Narrow" w:cstheme="majorBidi"/>
                <w:bCs/>
                <w:sz w:val="20"/>
                <w:szCs w:val="20"/>
              </w:rPr>
              <w:t xml:space="preserve"> (</w:t>
            </w:r>
            <w:r w:rsidR="00DB1A72" w:rsidRPr="00E6334A">
              <w:rPr>
                <w:rFonts w:ascii="Arial Narrow" w:eastAsiaTheme="majorEastAsia" w:hAnsi="Arial Narrow" w:cstheme="majorBidi"/>
                <w:bCs/>
                <w:sz w:val="20"/>
                <w:szCs w:val="20"/>
              </w:rPr>
              <w:t>p</w:t>
            </w:r>
            <w:r w:rsidR="00FB28DA" w:rsidRPr="00E6334A">
              <w:rPr>
                <w:rFonts w:ascii="Arial Narrow" w:eastAsiaTheme="majorEastAsia" w:hAnsi="Arial Narrow" w:cstheme="majorBidi"/>
                <w:bCs/>
                <w:sz w:val="20"/>
                <w:szCs w:val="20"/>
              </w:rPr>
              <w:t>re-PBAC)</w:t>
            </w:r>
          </w:p>
        </w:tc>
        <w:tc>
          <w:tcPr>
            <w:tcW w:w="5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DD64766" w14:textId="77777777" w:rsidR="00FB28DA" w:rsidRPr="00E6334A" w:rsidRDefault="00FB28DA" w:rsidP="00E6334A">
            <w:pPr>
              <w:keepNext/>
              <w:tabs>
                <w:tab w:val="left" w:pos="6510"/>
              </w:tabs>
              <w:jc w:val="center"/>
              <w:rPr>
                <w:rFonts w:ascii="Arial Narrow" w:hAnsi="Arial Narrow"/>
                <w:bCs/>
                <w:sz w:val="20"/>
                <w:szCs w:val="20"/>
              </w:rPr>
            </w:pPr>
            <w:r w:rsidRPr="00E6334A">
              <w:rPr>
                <w:rFonts w:ascii="Arial Narrow" w:hAnsi="Arial Narrow"/>
                <w:bCs/>
                <w:sz w:val="20"/>
                <w:szCs w:val="20"/>
              </w:rPr>
              <w:t>New HSD (Public)</w:t>
            </w:r>
          </w:p>
          <w:p w14:paraId="107DD864" w14:textId="77777777" w:rsidR="00FB28DA" w:rsidRPr="00E6334A" w:rsidRDefault="00FB28DA" w:rsidP="00E6334A">
            <w:pPr>
              <w:keepNext/>
              <w:tabs>
                <w:tab w:val="left" w:pos="6510"/>
              </w:tabs>
              <w:jc w:val="center"/>
              <w:rPr>
                <w:rFonts w:ascii="Arial Narrow" w:hAnsi="Arial Narrow"/>
                <w:b/>
                <w:sz w:val="20"/>
                <w:szCs w:val="20"/>
              </w:rPr>
            </w:pPr>
            <w:r w:rsidRPr="00E6334A">
              <w:rPr>
                <w:rFonts w:ascii="Arial Narrow" w:hAnsi="Arial Narrow"/>
                <w:bCs/>
                <w:sz w:val="20"/>
                <w:szCs w:val="20"/>
              </w:rPr>
              <w:t>New HSD (Private)</w:t>
            </w:r>
          </w:p>
        </w:tc>
        <w:tc>
          <w:tcPr>
            <w:tcW w:w="47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6E340FB" w14:textId="77777777" w:rsidR="00FB28DA" w:rsidRPr="00E6334A" w:rsidRDefault="00FB28DA" w:rsidP="00E6334A">
            <w:pPr>
              <w:keepNext/>
              <w:tabs>
                <w:tab w:val="left" w:pos="6510"/>
              </w:tabs>
              <w:jc w:val="center"/>
              <w:rPr>
                <w:rFonts w:ascii="Arial Narrow" w:hAnsi="Arial Narrow"/>
                <w:bCs/>
                <w:sz w:val="20"/>
                <w:szCs w:val="20"/>
              </w:rPr>
            </w:pPr>
            <w:r w:rsidRPr="00E6334A">
              <w:rPr>
                <w:rFonts w:ascii="Arial Narrow" w:hAnsi="Arial Narrow"/>
                <w:bCs/>
                <w:sz w:val="20"/>
                <w:szCs w:val="20"/>
              </w:rPr>
              <w:t>1</w:t>
            </w:r>
          </w:p>
        </w:tc>
        <w:tc>
          <w:tcPr>
            <w:tcW w:w="47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740B00F" w14:textId="77777777" w:rsidR="00FB28DA" w:rsidRPr="00E6334A" w:rsidRDefault="00FB28DA" w:rsidP="00E6334A">
            <w:pPr>
              <w:keepNext/>
              <w:tabs>
                <w:tab w:val="left" w:pos="6510"/>
              </w:tabs>
              <w:jc w:val="center"/>
              <w:rPr>
                <w:rFonts w:ascii="Arial Narrow" w:hAnsi="Arial Narrow"/>
                <w:bCs/>
                <w:sz w:val="20"/>
                <w:szCs w:val="20"/>
              </w:rPr>
            </w:pPr>
            <w:r w:rsidRPr="00E6334A">
              <w:rPr>
                <w:rFonts w:ascii="Arial Narrow" w:hAnsi="Arial Narrow"/>
                <w:bCs/>
                <w:sz w:val="20"/>
                <w:szCs w:val="20"/>
              </w:rPr>
              <w:t>12</w:t>
            </w:r>
          </w:p>
        </w:tc>
        <w:tc>
          <w:tcPr>
            <w:tcW w:w="40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7AEDEE1" w14:textId="77777777" w:rsidR="00FB28DA" w:rsidRPr="00E6334A" w:rsidRDefault="00FB28DA" w:rsidP="00E6334A">
            <w:pPr>
              <w:keepNext/>
              <w:tabs>
                <w:tab w:val="left" w:pos="6510"/>
              </w:tabs>
              <w:jc w:val="center"/>
              <w:rPr>
                <w:rFonts w:ascii="Arial Narrow" w:hAnsi="Arial Narrow"/>
                <w:bCs/>
                <w:sz w:val="20"/>
                <w:szCs w:val="20"/>
              </w:rPr>
            </w:pPr>
            <w:r w:rsidRPr="00E6334A">
              <w:rPr>
                <w:rFonts w:ascii="Arial Narrow" w:hAnsi="Arial Narrow"/>
                <w:bCs/>
                <w:sz w:val="20"/>
                <w:szCs w:val="20"/>
              </w:rPr>
              <w:t>2</w:t>
            </w:r>
          </w:p>
        </w:tc>
        <w:tc>
          <w:tcPr>
            <w:tcW w:w="8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AA936C0" w14:textId="77777777" w:rsidR="00FB28DA" w:rsidRPr="00E6334A" w:rsidRDefault="00FB28DA" w:rsidP="00D014A3">
            <w:pPr>
              <w:keepNext/>
              <w:tabs>
                <w:tab w:val="left" w:pos="6510"/>
              </w:tabs>
              <w:ind w:left="-75" w:firstLine="475"/>
              <w:rPr>
                <w:rFonts w:ascii="Arial Narrow" w:hAnsi="Arial Narrow"/>
                <w:sz w:val="20"/>
                <w:szCs w:val="20"/>
              </w:rPr>
            </w:pPr>
            <w:r w:rsidRPr="00E6334A">
              <w:rPr>
                <w:rFonts w:ascii="Arial Narrow" w:hAnsi="Arial Narrow"/>
                <w:sz w:val="20"/>
                <w:szCs w:val="20"/>
              </w:rPr>
              <w:t>Korsuva</w:t>
            </w:r>
          </w:p>
        </w:tc>
      </w:tr>
      <w:tr w:rsidR="00E6334A" w:rsidRPr="00E6334A" w14:paraId="099E5F22" w14:textId="77777777" w:rsidTr="00E6334A">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11EE75B" w14:textId="77777777" w:rsidR="00FB28DA" w:rsidRPr="00E6334A" w:rsidRDefault="00FB28DA" w:rsidP="00E6334A">
            <w:pPr>
              <w:keepNext/>
              <w:tabs>
                <w:tab w:val="left" w:pos="6510"/>
              </w:tabs>
              <w:ind w:firstLine="720"/>
              <w:rPr>
                <w:rFonts w:ascii="Arial Narrow" w:hAnsi="Arial Narrow"/>
                <w:b/>
                <w:sz w:val="20"/>
                <w:szCs w:val="20"/>
              </w:rPr>
            </w:pPr>
            <w:r w:rsidRPr="00E6334A">
              <w:rPr>
                <w:rFonts w:ascii="Arial Narrow" w:hAnsi="Arial Narrow"/>
                <w:b/>
                <w:sz w:val="20"/>
                <w:szCs w:val="20"/>
              </w:rPr>
              <w:tab/>
            </w:r>
          </w:p>
        </w:tc>
      </w:tr>
      <w:tr w:rsidR="00E6334A" w:rsidRPr="00E6334A" w14:paraId="72548940" w14:textId="77777777" w:rsidTr="00E6334A">
        <w:trPr>
          <w:trHeight w:val="230"/>
        </w:trPr>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BB4635C" w14:textId="3742B556" w:rsidR="00FB28DA" w:rsidRPr="00E6334A" w:rsidRDefault="00017A25" w:rsidP="00E6334A">
            <w:pPr>
              <w:keepNext/>
              <w:rPr>
                <w:rFonts w:ascii="Arial Narrow" w:hAnsi="Arial Narrow"/>
                <w:b/>
                <w:sz w:val="20"/>
                <w:szCs w:val="20"/>
              </w:rPr>
            </w:pPr>
            <w:r w:rsidRPr="00E6334A">
              <w:rPr>
                <w:rFonts w:ascii="Arial Narrow" w:hAnsi="Arial Narrow"/>
                <w:b/>
                <w:sz w:val="20"/>
                <w:szCs w:val="20"/>
              </w:rPr>
              <w:t xml:space="preserve">  </w:t>
            </w:r>
            <w:r w:rsidR="00FB28DA" w:rsidRPr="00E6334A">
              <w:rPr>
                <w:rFonts w:ascii="Arial Narrow" w:hAnsi="Arial Narrow"/>
                <w:b/>
                <w:sz w:val="20"/>
                <w:szCs w:val="20"/>
              </w:rPr>
              <w:t>Restriction Summary [new 1] / Treatment of Concept: [new 2]</w:t>
            </w:r>
          </w:p>
        </w:tc>
      </w:tr>
      <w:tr w:rsidR="00E6334A" w:rsidRPr="00E6334A" w14:paraId="26481EDB" w14:textId="77777777" w:rsidTr="00E6334A">
        <w:tblPrEx>
          <w:tblCellMar>
            <w:top w:w="15" w:type="dxa"/>
            <w:bottom w:w="15" w:type="dxa"/>
          </w:tblCellMar>
        </w:tblPrEx>
        <w:trPr>
          <w:cantSplit/>
          <w:trHeight w:val="20"/>
        </w:trPr>
        <w:tc>
          <w:tcPr>
            <w:tcW w:w="5000" w:type="pct"/>
            <w:gridSpan w:val="7"/>
          </w:tcPr>
          <w:p w14:paraId="3328260A" w14:textId="77777777" w:rsidR="00CB2499" w:rsidRPr="00E6334A" w:rsidRDefault="00CB2499" w:rsidP="00E6334A">
            <w:pPr>
              <w:keepNext/>
              <w:widowControl w:val="0"/>
              <w:jc w:val="left"/>
              <w:rPr>
                <w:rFonts w:ascii="Arial Narrow" w:eastAsiaTheme="majorEastAsia" w:hAnsi="Arial Narrow" w:cstheme="majorBidi"/>
                <w:sz w:val="20"/>
                <w:szCs w:val="20"/>
              </w:rPr>
            </w:pPr>
            <w:bookmarkStart w:id="12" w:name="_Hlk104809470"/>
            <w:bookmarkEnd w:id="11"/>
            <w:r w:rsidRPr="00E6334A">
              <w:rPr>
                <w:rFonts w:ascii="Arial Narrow" w:eastAsiaTheme="majorEastAsia" w:hAnsi="Arial Narrow" w:cstheme="majorBidi"/>
                <w:b/>
                <w:bCs/>
                <w:sz w:val="20"/>
                <w:szCs w:val="20"/>
              </w:rPr>
              <w:t xml:space="preserve">Category / Program: </w:t>
            </w:r>
            <w:r w:rsidRPr="00E6334A">
              <w:rPr>
                <w:rFonts w:ascii="Arial Narrow" w:eastAsiaTheme="majorEastAsia" w:hAnsi="Arial Narrow" w:cstheme="majorBidi"/>
                <w:sz w:val="20"/>
                <w:szCs w:val="20"/>
              </w:rPr>
              <w:t>Section 100 – Highly Specialised Drugs Program {Public and Private Hospitals}</w:t>
            </w:r>
          </w:p>
        </w:tc>
      </w:tr>
      <w:tr w:rsidR="00E6334A" w:rsidRPr="00E6334A" w14:paraId="70454E73" w14:textId="77777777" w:rsidTr="00E6334A">
        <w:tblPrEx>
          <w:tblCellMar>
            <w:top w:w="15" w:type="dxa"/>
            <w:bottom w:w="15" w:type="dxa"/>
          </w:tblCellMar>
        </w:tblPrEx>
        <w:trPr>
          <w:cantSplit/>
          <w:trHeight w:val="20"/>
        </w:trPr>
        <w:tc>
          <w:tcPr>
            <w:tcW w:w="5000" w:type="pct"/>
            <w:gridSpan w:val="7"/>
          </w:tcPr>
          <w:p w14:paraId="37D48D81" w14:textId="77777777" w:rsidR="00CB2499" w:rsidRPr="00E6334A" w:rsidRDefault="00CB2499" w:rsidP="00E6334A">
            <w:pPr>
              <w:keepNext/>
              <w:widowControl w:val="0"/>
              <w:jc w:val="left"/>
              <w:rPr>
                <w:rFonts w:ascii="Arial Narrow" w:eastAsiaTheme="majorEastAsia" w:hAnsi="Arial Narrow" w:cstheme="majorBidi"/>
                <w:b/>
                <w:bCs/>
                <w:sz w:val="20"/>
                <w:szCs w:val="20"/>
              </w:rPr>
            </w:pPr>
            <w:r w:rsidRPr="00E6334A">
              <w:rPr>
                <w:rFonts w:ascii="Arial Narrow" w:eastAsiaTheme="majorEastAsia" w:hAnsi="Arial Narrow" w:cstheme="majorBidi"/>
                <w:b/>
                <w:bCs/>
                <w:sz w:val="20"/>
                <w:szCs w:val="20"/>
              </w:rPr>
              <w:t xml:space="preserve">Prescriber type: </w:t>
            </w:r>
            <w:r w:rsidRPr="00E6334A">
              <w:rPr>
                <w:rFonts w:ascii="Arial Narrow" w:eastAsiaTheme="majorEastAsia" w:hAnsi="Arial Narrow" w:cstheme="majorBidi"/>
                <w:bCs/>
                <w:sz w:val="20"/>
                <w:szCs w:val="20"/>
              </w:rPr>
              <w:fldChar w:fldCharType="begin" w:fldLock="1">
                <w:ffData>
                  <w:name w:val=""/>
                  <w:enabled/>
                  <w:calcOnExit w:val="0"/>
                  <w:checkBox>
                    <w:sizeAuto/>
                    <w:default w:val="1"/>
                  </w:checkBox>
                </w:ffData>
              </w:fldChar>
            </w:r>
            <w:r w:rsidRPr="00E6334A">
              <w:rPr>
                <w:rFonts w:ascii="Arial Narrow" w:eastAsiaTheme="majorEastAsia" w:hAnsi="Arial Narrow" w:cstheme="majorBidi"/>
                <w:bCs/>
                <w:sz w:val="20"/>
                <w:szCs w:val="20"/>
              </w:rPr>
              <w:instrText xml:space="preserve"> FORMCHECKBOX </w:instrText>
            </w:r>
            <w:r w:rsidR="00690B5F">
              <w:rPr>
                <w:rFonts w:ascii="Arial Narrow" w:eastAsiaTheme="majorEastAsia" w:hAnsi="Arial Narrow" w:cstheme="majorBidi"/>
                <w:bCs/>
                <w:sz w:val="20"/>
                <w:szCs w:val="20"/>
              </w:rPr>
            </w:r>
            <w:r w:rsidR="00690B5F">
              <w:rPr>
                <w:rFonts w:ascii="Arial Narrow" w:eastAsiaTheme="majorEastAsia" w:hAnsi="Arial Narrow" w:cstheme="majorBidi"/>
                <w:bCs/>
                <w:sz w:val="20"/>
                <w:szCs w:val="20"/>
              </w:rPr>
              <w:fldChar w:fldCharType="separate"/>
            </w:r>
            <w:r w:rsidRPr="00E6334A">
              <w:rPr>
                <w:rFonts w:ascii="Arial Narrow" w:eastAsiaTheme="majorEastAsia" w:hAnsi="Arial Narrow" w:cstheme="majorBidi"/>
                <w:bCs/>
                <w:sz w:val="20"/>
                <w:szCs w:val="20"/>
              </w:rPr>
              <w:fldChar w:fldCharType="end"/>
            </w:r>
            <w:r w:rsidRPr="00E6334A">
              <w:rPr>
                <w:rFonts w:ascii="Arial Narrow" w:eastAsiaTheme="majorEastAsia" w:hAnsi="Arial Narrow" w:cstheme="majorBidi"/>
                <w:bCs/>
                <w:sz w:val="20"/>
                <w:szCs w:val="20"/>
              </w:rPr>
              <w:t xml:space="preserve">Medical Practitioners </w:t>
            </w:r>
          </w:p>
        </w:tc>
      </w:tr>
      <w:tr w:rsidR="00E6334A" w:rsidRPr="00E6334A" w14:paraId="727D781F" w14:textId="77777777" w:rsidTr="00E6334A">
        <w:tblPrEx>
          <w:tblCellMar>
            <w:top w:w="15" w:type="dxa"/>
            <w:bottom w:w="15" w:type="dxa"/>
          </w:tblCellMar>
        </w:tblPrEx>
        <w:trPr>
          <w:cantSplit/>
          <w:trHeight w:val="20"/>
        </w:trPr>
        <w:tc>
          <w:tcPr>
            <w:tcW w:w="5000" w:type="pct"/>
            <w:gridSpan w:val="7"/>
          </w:tcPr>
          <w:p w14:paraId="2DDF81A6" w14:textId="59BA053B" w:rsidR="00CB2499" w:rsidRPr="00E6334A" w:rsidRDefault="00CB2499" w:rsidP="00E6334A">
            <w:pPr>
              <w:keepNext/>
              <w:widowControl w:val="0"/>
              <w:jc w:val="left"/>
              <w:rPr>
                <w:rFonts w:ascii="Arial Narrow" w:hAnsi="Arial Narrow" w:cstheme="majorBidi"/>
                <w:bCs/>
                <w:sz w:val="20"/>
                <w:szCs w:val="20"/>
              </w:rPr>
            </w:pPr>
            <w:r w:rsidRPr="00E6334A">
              <w:rPr>
                <w:rFonts w:ascii="Arial Narrow" w:eastAsiaTheme="majorEastAsia" w:hAnsi="Arial Narrow" w:cstheme="majorBidi"/>
                <w:b/>
                <w:bCs/>
                <w:sz w:val="20"/>
                <w:szCs w:val="20"/>
              </w:rPr>
              <w:t xml:space="preserve">Restriction type: </w:t>
            </w:r>
            <w:r w:rsidRPr="00E6334A">
              <w:rPr>
                <w:rFonts w:ascii="Arial Narrow" w:hAnsi="Arial Narrow" w:cstheme="majorBidi"/>
                <w:bCs/>
                <w:sz w:val="20"/>
                <w:szCs w:val="20"/>
              </w:rPr>
              <w:t xml:space="preserve"> </w:t>
            </w:r>
            <w:r w:rsidRPr="00E6334A">
              <w:rPr>
                <w:rFonts w:ascii="Arial Narrow" w:hAnsi="Arial Narrow" w:cstheme="majorBidi"/>
                <w:bCs/>
                <w:sz w:val="20"/>
                <w:szCs w:val="20"/>
              </w:rPr>
              <w:fldChar w:fldCharType="begin" w:fldLock="1">
                <w:ffData>
                  <w:name w:val="Check3"/>
                  <w:enabled/>
                  <w:calcOnExit w:val="0"/>
                  <w:checkBox>
                    <w:sizeAuto/>
                    <w:default w:val="1"/>
                  </w:checkBox>
                </w:ffData>
              </w:fldChar>
            </w:r>
            <w:r w:rsidRPr="00E6334A">
              <w:rPr>
                <w:rFonts w:ascii="Arial Narrow" w:hAnsi="Arial Narrow" w:cstheme="majorBidi"/>
                <w:bCs/>
                <w:sz w:val="20"/>
                <w:szCs w:val="20"/>
              </w:rPr>
              <w:instrText xml:space="preserve"> FORMCHECKBOX </w:instrText>
            </w:r>
            <w:r w:rsidR="00690B5F">
              <w:rPr>
                <w:rFonts w:ascii="Arial Narrow" w:hAnsi="Arial Narrow" w:cstheme="majorBidi"/>
                <w:bCs/>
                <w:sz w:val="20"/>
                <w:szCs w:val="20"/>
              </w:rPr>
            </w:r>
            <w:r w:rsidR="00690B5F">
              <w:rPr>
                <w:rFonts w:ascii="Arial Narrow" w:hAnsi="Arial Narrow" w:cstheme="majorBidi"/>
                <w:bCs/>
                <w:sz w:val="20"/>
                <w:szCs w:val="20"/>
              </w:rPr>
              <w:fldChar w:fldCharType="separate"/>
            </w:r>
            <w:r w:rsidRPr="00E6334A">
              <w:rPr>
                <w:rFonts w:ascii="Arial Narrow" w:hAnsi="Arial Narrow" w:cstheme="majorBidi"/>
                <w:bCs/>
                <w:sz w:val="20"/>
                <w:szCs w:val="20"/>
              </w:rPr>
              <w:fldChar w:fldCharType="end"/>
            </w:r>
            <w:r w:rsidRPr="00E6334A">
              <w:rPr>
                <w:rFonts w:ascii="Arial Narrow" w:hAnsi="Arial Narrow" w:cstheme="majorBidi"/>
                <w:bCs/>
                <w:sz w:val="20"/>
                <w:szCs w:val="20"/>
              </w:rPr>
              <w:t xml:space="preserve">Authority Required </w:t>
            </w:r>
            <w:r w:rsidR="004D1243" w:rsidRPr="00E6334A">
              <w:rPr>
                <w:rFonts w:ascii="Arial Narrow" w:hAnsi="Arial Narrow" w:cstheme="majorBidi"/>
                <w:bCs/>
                <w:sz w:val="20"/>
                <w:szCs w:val="20"/>
              </w:rPr>
              <w:t>- T</w:t>
            </w:r>
            <w:r w:rsidRPr="00E6334A">
              <w:rPr>
                <w:rFonts w:ascii="Arial Narrow" w:hAnsi="Arial Narrow" w:cstheme="majorBidi"/>
                <w:bCs/>
                <w:sz w:val="20"/>
                <w:szCs w:val="20"/>
              </w:rPr>
              <w:t>elephone/</w:t>
            </w:r>
            <w:r w:rsidR="004D1243" w:rsidRPr="00E6334A">
              <w:rPr>
                <w:rFonts w:ascii="Arial Narrow" w:hAnsi="Arial Narrow" w:cstheme="majorBidi"/>
                <w:bCs/>
                <w:sz w:val="20"/>
                <w:szCs w:val="20"/>
              </w:rPr>
              <w:t>O</w:t>
            </w:r>
            <w:r w:rsidRPr="00E6334A">
              <w:rPr>
                <w:rFonts w:ascii="Arial Narrow" w:hAnsi="Arial Narrow" w:cstheme="majorBidi"/>
                <w:bCs/>
                <w:sz w:val="20"/>
                <w:szCs w:val="20"/>
              </w:rPr>
              <w:t xml:space="preserve">nline PBS Authorities system </w:t>
            </w:r>
          </w:p>
        </w:tc>
      </w:tr>
      <w:tr w:rsidR="00E6334A" w:rsidRPr="00E6334A" w14:paraId="4B912991" w14:textId="77777777" w:rsidTr="00E6334A">
        <w:tblPrEx>
          <w:tblCellMar>
            <w:top w:w="15" w:type="dxa"/>
            <w:bottom w:w="15" w:type="dxa"/>
          </w:tblCellMar>
        </w:tblPrEx>
        <w:trPr>
          <w:cantSplit/>
          <w:trHeight w:val="20"/>
        </w:trPr>
        <w:tc>
          <w:tcPr>
            <w:tcW w:w="5000" w:type="pct"/>
            <w:gridSpan w:val="7"/>
            <w:vAlign w:val="center"/>
          </w:tcPr>
          <w:p w14:paraId="0954C91A" w14:textId="77777777" w:rsidR="00D4334F" w:rsidRPr="00E6334A" w:rsidRDefault="00D4334F" w:rsidP="00E6334A">
            <w:pPr>
              <w:keepNext/>
              <w:rPr>
                <w:rFonts w:ascii="Arial Narrow" w:hAnsi="Arial Narrow"/>
                <w:b/>
                <w:bCs/>
                <w:sz w:val="20"/>
                <w:szCs w:val="20"/>
              </w:rPr>
            </w:pPr>
            <w:r w:rsidRPr="00E6334A">
              <w:rPr>
                <w:rFonts w:ascii="Arial Narrow" w:hAnsi="Arial Narrow"/>
                <w:b/>
                <w:bCs/>
                <w:sz w:val="20"/>
                <w:szCs w:val="20"/>
              </w:rPr>
              <w:t xml:space="preserve">Administrative Advice: </w:t>
            </w:r>
          </w:p>
          <w:p w14:paraId="3BE7ED8E" w14:textId="14B3AC29" w:rsidR="00D4334F" w:rsidRPr="00E6334A" w:rsidRDefault="00D4334F" w:rsidP="00E6334A">
            <w:pPr>
              <w:keepNext/>
              <w:widowControl w:val="0"/>
              <w:jc w:val="left"/>
              <w:rPr>
                <w:rFonts w:ascii="Arial Narrow" w:eastAsiaTheme="majorEastAsia" w:hAnsi="Arial Narrow" w:cstheme="majorBidi"/>
                <w:b/>
                <w:bCs/>
                <w:sz w:val="20"/>
                <w:szCs w:val="20"/>
              </w:rPr>
            </w:pPr>
            <w:r w:rsidRPr="00E6334A">
              <w:rPr>
                <w:rFonts w:ascii="Arial Narrow" w:hAnsi="Arial Narrow"/>
                <w:sz w:val="20"/>
                <w:szCs w:val="20"/>
              </w:rPr>
              <w:t>No increase to the maximum number of repeats may be authorised.</w:t>
            </w:r>
          </w:p>
        </w:tc>
      </w:tr>
      <w:tr w:rsidR="00E6334A" w:rsidRPr="00E6334A" w14:paraId="236D0A1C" w14:textId="77777777" w:rsidTr="00E6334A">
        <w:tblPrEx>
          <w:tblCellMar>
            <w:top w:w="15" w:type="dxa"/>
            <w:bottom w:w="15" w:type="dxa"/>
          </w:tblCellMar>
        </w:tblPrEx>
        <w:trPr>
          <w:cantSplit/>
          <w:trHeight w:val="20"/>
        </w:trPr>
        <w:tc>
          <w:tcPr>
            <w:tcW w:w="5000" w:type="pct"/>
            <w:gridSpan w:val="7"/>
            <w:vAlign w:val="center"/>
          </w:tcPr>
          <w:p w14:paraId="4BE05FD5" w14:textId="77777777" w:rsidR="00D4334F" w:rsidRPr="00E6334A" w:rsidRDefault="00D4334F" w:rsidP="00E6334A">
            <w:pPr>
              <w:keepNext/>
              <w:rPr>
                <w:rFonts w:ascii="Arial Narrow" w:hAnsi="Arial Narrow"/>
                <w:b/>
                <w:bCs/>
                <w:sz w:val="20"/>
                <w:szCs w:val="20"/>
              </w:rPr>
            </w:pPr>
            <w:r w:rsidRPr="00E6334A">
              <w:rPr>
                <w:rFonts w:ascii="Arial Narrow" w:hAnsi="Arial Narrow"/>
                <w:b/>
                <w:bCs/>
                <w:sz w:val="20"/>
                <w:szCs w:val="20"/>
              </w:rPr>
              <w:t xml:space="preserve">Administrative Advice: </w:t>
            </w:r>
          </w:p>
          <w:p w14:paraId="2F6DD40F" w14:textId="79C95E65" w:rsidR="00D4334F" w:rsidRPr="00E6334A" w:rsidRDefault="00D4334F" w:rsidP="00E6334A">
            <w:pPr>
              <w:keepNext/>
              <w:widowControl w:val="0"/>
              <w:jc w:val="left"/>
              <w:rPr>
                <w:rFonts w:ascii="Arial Narrow" w:eastAsiaTheme="majorEastAsia" w:hAnsi="Arial Narrow" w:cstheme="majorBidi"/>
                <w:b/>
                <w:bCs/>
                <w:sz w:val="20"/>
                <w:szCs w:val="20"/>
              </w:rPr>
            </w:pPr>
            <w:r w:rsidRPr="00E6334A">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E6334A" w:rsidRPr="00E6334A" w14:paraId="15DE6A24" w14:textId="77777777" w:rsidTr="00E6334A">
        <w:tblPrEx>
          <w:tblCellMar>
            <w:top w:w="15" w:type="dxa"/>
            <w:bottom w:w="15" w:type="dxa"/>
          </w:tblCellMar>
        </w:tblPrEx>
        <w:trPr>
          <w:cantSplit/>
          <w:trHeight w:val="20"/>
        </w:trPr>
        <w:tc>
          <w:tcPr>
            <w:tcW w:w="5000" w:type="pct"/>
            <w:gridSpan w:val="7"/>
            <w:vAlign w:val="center"/>
          </w:tcPr>
          <w:p w14:paraId="0A6208A2" w14:textId="77777777" w:rsidR="00D4334F" w:rsidRPr="00E6334A" w:rsidRDefault="00D4334F" w:rsidP="00E6334A">
            <w:pPr>
              <w:keepNext/>
              <w:rPr>
                <w:rFonts w:ascii="Arial Narrow" w:hAnsi="Arial Narrow"/>
                <w:b/>
                <w:bCs/>
                <w:sz w:val="20"/>
                <w:szCs w:val="20"/>
              </w:rPr>
            </w:pPr>
            <w:r w:rsidRPr="00E6334A">
              <w:rPr>
                <w:rFonts w:ascii="Arial Narrow" w:hAnsi="Arial Narrow"/>
                <w:b/>
                <w:bCs/>
                <w:sz w:val="20"/>
                <w:szCs w:val="20"/>
              </w:rPr>
              <w:t xml:space="preserve">Administrative Advice: </w:t>
            </w:r>
          </w:p>
          <w:p w14:paraId="5E8E8232" w14:textId="77777777" w:rsidR="004D1243" w:rsidRPr="00E6334A" w:rsidRDefault="004D1243" w:rsidP="00E6334A">
            <w:pPr>
              <w:keepNext/>
              <w:rPr>
                <w:rFonts w:ascii="Arial Narrow" w:hAnsi="Arial Narrow"/>
                <w:i/>
                <w:iCs/>
                <w:sz w:val="20"/>
                <w:szCs w:val="20"/>
              </w:rPr>
            </w:pPr>
            <w:r w:rsidRPr="00E6334A">
              <w:rPr>
                <w:rFonts w:ascii="Arial Narrow" w:hAnsi="Arial Narrow"/>
                <w:i/>
                <w:iCs/>
                <w:sz w:val="20"/>
                <w:szCs w:val="20"/>
              </w:rPr>
              <w:t>The latest 24-hour Worst Itching Intensity Numerical Rating Scale (WI-NRS) is version [Sponsor to advise]. See the following article for details:</w:t>
            </w:r>
          </w:p>
          <w:p w14:paraId="1C2591C8" w14:textId="77777777" w:rsidR="004D1243" w:rsidRPr="00E6334A" w:rsidRDefault="004D1243" w:rsidP="00E6334A">
            <w:pPr>
              <w:keepNext/>
              <w:rPr>
                <w:rFonts w:ascii="Arial Narrow" w:hAnsi="Arial Narrow"/>
                <w:i/>
                <w:iCs/>
                <w:sz w:val="20"/>
                <w:szCs w:val="20"/>
              </w:rPr>
            </w:pPr>
          </w:p>
          <w:p w14:paraId="3AEC49F7" w14:textId="6856626C" w:rsidR="00D4334F" w:rsidRPr="00E6334A" w:rsidRDefault="004D1243" w:rsidP="00E6334A">
            <w:pPr>
              <w:keepNext/>
              <w:rPr>
                <w:rFonts w:ascii="Arial Narrow" w:hAnsi="Arial Narrow"/>
                <w:i/>
                <w:iCs/>
                <w:sz w:val="20"/>
                <w:szCs w:val="20"/>
              </w:rPr>
            </w:pPr>
            <w:r w:rsidRPr="00E6334A">
              <w:rPr>
                <w:rFonts w:ascii="Arial Narrow" w:hAnsi="Arial Narrow"/>
                <w:i/>
                <w:iCs/>
                <w:sz w:val="20"/>
                <w:szCs w:val="20"/>
              </w:rPr>
              <w:t>[Sponsor to advise]</w:t>
            </w:r>
          </w:p>
        </w:tc>
      </w:tr>
      <w:tr w:rsidR="00E6334A" w:rsidRPr="00E6334A" w14:paraId="1AC24B31" w14:textId="77777777" w:rsidTr="00E6334A">
        <w:tblPrEx>
          <w:tblCellMar>
            <w:top w:w="15" w:type="dxa"/>
            <w:bottom w:w="15" w:type="dxa"/>
          </w:tblCellMar>
        </w:tblPrEx>
        <w:trPr>
          <w:cantSplit/>
          <w:trHeight w:val="20"/>
        </w:trPr>
        <w:tc>
          <w:tcPr>
            <w:tcW w:w="5000" w:type="pct"/>
            <w:gridSpan w:val="7"/>
            <w:vAlign w:val="center"/>
          </w:tcPr>
          <w:p w14:paraId="52762DA7" w14:textId="77777777" w:rsidR="00D4334F" w:rsidRPr="00E6334A" w:rsidRDefault="00D4334F" w:rsidP="00E6334A">
            <w:pPr>
              <w:keepNext/>
              <w:widowControl w:val="0"/>
              <w:jc w:val="left"/>
              <w:rPr>
                <w:rFonts w:ascii="Arial Narrow" w:eastAsiaTheme="majorEastAsia" w:hAnsi="Arial Narrow" w:cstheme="majorBidi"/>
                <w:sz w:val="20"/>
                <w:szCs w:val="20"/>
              </w:rPr>
            </w:pPr>
            <w:r w:rsidRPr="00E6334A">
              <w:rPr>
                <w:rFonts w:ascii="Arial Narrow" w:eastAsiaTheme="majorEastAsia" w:hAnsi="Arial Narrow" w:cstheme="majorBidi"/>
                <w:b/>
                <w:bCs/>
                <w:sz w:val="20"/>
                <w:szCs w:val="20"/>
              </w:rPr>
              <w:t xml:space="preserve">Severity: </w:t>
            </w:r>
            <w:r w:rsidRPr="00E6334A">
              <w:rPr>
                <w:rFonts w:ascii="Arial Narrow" w:eastAsiaTheme="majorEastAsia" w:hAnsi="Arial Narrow" w:cstheme="majorBidi"/>
                <w:sz w:val="20"/>
                <w:szCs w:val="20"/>
              </w:rPr>
              <w:t>Moderate to severe</w:t>
            </w:r>
          </w:p>
        </w:tc>
      </w:tr>
      <w:tr w:rsidR="00E6334A" w:rsidRPr="00E6334A" w14:paraId="57B04C24" w14:textId="77777777" w:rsidTr="00E6334A">
        <w:tblPrEx>
          <w:tblCellMar>
            <w:top w:w="15" w:type="dxa"/>
            <w:bottom w:w="15" w:type="dxa"/>
          </w:tblCellMar>
        </w:tblPrEx>
        <w:trPr>
          <w:cantSplit/>
          <w:trHeight w:val="20"/>
        </w:trPr>
        <w:tc>
          <w:tcPr>
            <w:tcW w:w="5000" w:type="pct"/>
            <w:gridSpan w:val="7"/>
            <w:vAlign w:val="center"/>
          </w:tcPr>
          <w:p w14:paraId="2ACB6361" w14:textId="77777777" w:rsidR="00D4334F" w:rsidRPr="00E6334A" w:rsidRDefault="00D4334F" w:rsidP="00E6334A">
            <w:pPr>
              <w:keepNext/>
              <w:widowControl w:val="0"/>
              <w:jc w:val="left"/>
              <w:rPr>
                <w:rFonts w:ascii="Arial Narrow" w:eastAsiaTheme="majorEastAsia" w:hAnsi="Arial Narrow" w:cstheme="majorBidi"/>
                <w:b/>
                <w:bCs/>
                <w:sz w:val="20"/>
                <w:szCs w:val="20"/>
              </w:rPr>
            </w:pPr>
            <w:r w:rsidRPr="00E6334A">
              <w:rPr>
                <w:rFonts w:ascii="Arial Narrow" w:eastAsiaTheme="majorEastAsia" w:hAnsi="Arial Narrow" w:cstheme="majorBidi"/>
                <w:b/>
                <w:bCs/>
                <w:sz w:val="20"/>
                <w:szCs w:val="20"/>
              </w:rPr>
              <w:t xml:space="preserve">Condition: </w:t>
            </w:r>
            <w:r w:rsidRPr="00E6334A">
              <w:rPr>
                <w:rFonts w:ascii="Arial Narrow" w:eastAsiaTheme="majorEastAsia" w:hAnsi="Arial Narrow" w:cstheme="majorBidi"/>
                <w:sz w:val="20"/>
                <w:szCs w:val="20"/>
              </w:rPr>
              <w:t>Pruritus (itching) associated with chronic kidney disease</w:t>
            </w:r>
          </w:p>
        </w:tc>
      </w:tr>
      <w:tr w:rsidR="00E6334A" w:rsidRPr="00E6334A" w14:paraId="5B8F1AEA" w14:textId="77777777" w:rsidTr="00E6334A">
        <w:tblPrEx>
          <w:tblCellMar>
            <w:top w:w="15" w:type="dxa"/>
            <w:bottom w:w="15" w:type="dxa"/>
          </w:tblCellMar>
        </w:tblPrEx>
        <w:trPr>
          <w:cantSplit/>
          <w:trHeight w:val="20"/>
        </w:trPr>
        <w:tc>
          <w:tcPr>
            <w:tcW w:w="5000" w:type="pct"/>
            <w:gridSpan w:val="7"/>
            <w:vAlign w:val="center"/>
            <w:hideMark/>
          </w:tcPr>
          <w:p w14:paraId="2165DAFF" w14:textId="77777777" w:rsidR="00D4334F" w:rsidRPr="00E6334A" w:rsidRDefault="00D4334F" w:rsidP="00E6334A">
            <w:pPr>
              <w:keepNext/>
              <w:widowControl w:val="0"/>
              <w:jc w:val="left"/>
              <w:rPr>
                <w:rFonts w:ascii="Arial Narrow" w:eastAsiaTheme="majorEastAsia" w:hAnsi="Arial Narrow" w:cstheme="majorBidi"/>
                <w:bCs/>
                <w:sz w:val="20"/>
                <w:szCs w:val="20"/>
              </w:rPr>
            </w:pPr>
            <w:r w:rsidRPr="00E6334A">
              <w:rPr>
                <w:rFonts w:ascii="Arial Narrow" w:eastAsiaTheme="majorEastAsia" w:hAnsi="Arial Narrow" w:cstheme="majorBidi"/>
                <w:b/>
                <w:bCs/>
                <w:sz w:val="20"/>
                <w:szCs w:val="20"/>
              </w:rPr>
              <w:t>Indication:</w:t>
            </w:r>
            <w:r w:rsidRPr="00E6334A">
              <w:rPr>
                <w:rFonts w:ascii="Arial Narrow" w:eastAsiaTheme="majorEastAsia" w:hAnsi="Arial Narrow" w:cstheme="majorBidi"/>
                <w:bCs/>
                <w:sz w:val="20"/>
                <w:szCs w:val="20"/>
              </w:rPr>
              <w:t xml:space="preserve"> Moderate to severe pruritus (itching) associated with chronic kidney disease</w:t>
            </w:r>
          </w:p>
        </w:tc>
      </w:tr>
      <w:tr w:rsidR="00E6334A" w:rsidRPr="00E6334A" w14:paraId="072F6A66" w14:textId="77777777" w:rsidTr="00E6334A">
        <w:tblPrEx>
          <w:tblCellMar>
            <w:top w:w="15" w:type="dxa"/>
            <w:bottom w:w="15" w:type="dxa"/>
          </w:tblCellMar>
        </w:tblPrEx>
        <w:trPr>
          <w:cantSplit/>
          <w:trHeight w:val="20"/>
        </w:trPr>
        <w:tc>
          <w:tcPr>
            <w:tcW w:w="5000" w:type="pct"/>
            <w:gridSpan w:val="7"/>
            <w:vAlign w:val="center"/>
            <w:hideMark/>
          </w:tcPr>
          <w:p w14:paraId="1C085847" w14:textId="4E153CB6" w:rsidR="00D4334F" w:rsidRPr="00E6334A" w:rsidRDefault="004D1243" w:rsidP="00E6334A">
            <w:pPr>
              <w:keepNext/>
              <w:widowControl w:val="0"/>
              <w:jc w:val="left"/>
              <w:rPr>
                <w:rFonts w:ascii="Arial Narrow" w:eastAsiaTheme="majorEastAsia" w:hAnsi="Arial Narrow" w:cstheme="majorBidi"/>
                <w:bCs/>
                <w:sz w:val="20"/>
                <w:szCs w:val="20"/>
              </w:rPr>
            </w:pPr>
            <w:r w:rsidRPr="00E6334A">
              <w:rPr>
                <w:rFonts w:ascii="Arial Narrow" w:eastAsiaTheme="majorEastAsia" w:hAnsi="Arial Narrow" w:cstheme="majorBidi"/>
                <w:b/>
                <w:bCs/>
                <w:sz w:val="20"/>
                <w:szCs w:val="20"/>
              </w:rPr>
              <w:t xml:space="preserve">Treatment Phase: </w:t>
            </w:r>
            <w:r w:rsidR="00D4334F" w:rsidRPr="00E6334A">
              <w:rPr>
                <w:rFonts w:ascii="Arial Narrow" w:eastAsiaTheme="majorEastAsia" w:hAnsi="Arial Narrow" w:cstheme="majorBidi"/>
                <w:sz w:val="20"/>
                <w:szCs w:val="20"/>
              </w:rPr>
              <w:t>Initial treatment</w:t>
            </w:r>
          </w:p>
        </w:tc>
      </w:tr>
      <w:tr w:rsidR="00E6334A" w:rsidRPr="00E6334A" w14:paraId="548C7778" w14:textId="77777777" w:rsidTr="00E6334A">
        <w:tblPrEx>
          <w:tblCellMar>
            <w:top w:w="15" w:type="dxa"/>
            <w:bottom w:w="15" w:type="dxa"/>
          </w:tblCellMar>
        </w:tblPrEx>
        <w:trPr>
          <w:cantSplit/>
          <w:trHeight w:val="20"/>
        </w:trPr>
        <w:tc>
          <w:tcPr>
            <w:tcW w:w="5000" w:type="pct"/>
            <w:gridSpan w:val="7"/>
            <w:vAlign w:val="center"/>
          </w:tcPr>
          <w:p w14:paraId="41116CEC" w14:textId="4F7BDC51" w:rsidR="00D4334F" w:rsidRPr="00E6334A" w:rsidRDefault="00D4334F" w:rsidP="00E6334A">
            <w:pPr>
              <w:keepNext/>
              <w:widowControl w:val="0"/>
              <w:jc w:val="left"/>
              <w:rPr>
                <w:rFonts w:ascii="Arial Narrow" w:eastAsiaTheme="majorEastAsia" w:hAnsi="Arial Narrow" w:cstheme="majorBidi"/>
                <w:bCs/>
                <w:sz w:val="20"/>
                <w:szCs w:val="20"/>
              </w:rPr>
            </w:pPr>
            <w:r w:rsidRPr="00E6334A">
              <w:rPr>
                <w:rFonts w:ascii="Arial Narrow" w:hAnsi="Arial Narrow"/>
                <w:b/>
                <w:bCs/>
                <w:strike/>
                <w:sz w:val="20"/>
                <w:szCs w:val="20"/>
              </w:rPr>
              <w:t>Clinical criteria:</w:t>
            </w:r>
          </w:p>
        </w:tc>
      </w:tr>
      <w:tr w:rsidR="00E6334A" w:rsidRPr="00E6334A" w14:paraId="6969549B" w14:textId="77777777" w:rsidTr="00E6334A">
        <w:tblPrEx>
          <w:tblCellMar>
            <w:top w:w="15" w:type="dxa"/>
            <w:bottom w:w="15" w:type="dxa"/>
          </w:tblCellMar>
        </w:tblPrEx>
        <w:trPr>
          <w:cantSplit/>
          <w:trHeight w:val="20"/>
        </w:trPr>
        <w:tc>
          <w:tcPr>
            <w:tcW w:w="5000" w:type="pct"/>
            <w:gridSpan w:val="7"/>
            <w:vAlign w:val="center"/>
          </w:tcPr>
          <w:p w14:paraId="2BD0195A" w14:textId="5DBFF7E0" w:rsidR="00D4334F" w:rsidRPr="00E6334A" w:rsidRDefault="00D4334F" w:rsidP="00E6334A">
            <w:pPr>
              <w:keepNext/>
              <w:widowControl w:val="0"/>
              <w:jc w:val="left"/>
              <w:rPr>
                <w:rFonts w:ascii="Arial Narrow" w:eastAsiaTheme="majorEastAsia" w:hAnsi="Arial Narrow" w:cstheme="majorBidi"/>
                <w:bCs/>
                <w:sz w:val="20"/>
                <w:szCs w:val="20"/>
              </w:rPr>
            </w:pPr>
            <w:r w:rsidRPr="00E6334A">
              <w:rPr>
                <w:rFonts w:ascii="Arial Narrow" w:hAnsi="Arial Narrow"/>
                <w:strike/>
                <w:sz w:val="20"/>
                <w:szCs w:val="20"/>
              </w:rPr>
              <w:t>Patient must have chronic kidney disease</w:t>
            </w:r>
          </w:p>
        </w:tc>
      </w:tr>
      <w:tr w:rsidR="00E6334A" w:rsidRPr="00E6334A" w14:paraId="060A8DE7" w14:textId="77777777" w:rsidTr="00E6334A">
        <w:tblPrEx>
          <w:tblCellMar>
            <w:top w:w="15" w:type="dxa"/>
            <w:bottom w:w="15" w:type="dxa"/>
          </w:tblCellMar>
        </w:tblPrEx>
        <w:trPr>
          <w:cantSplit/>
          <w:trHeight w:val="20"/>
        </w:trPr>
        <w:tc>
          <w:tcPr>
            <w:tcW w:w="5000" w:type="pct"/>
            <w:gridSpan w:val="7"/>
            <w:vAlign w:val="center"/>
          </w:tcPr>
          <w:p w14:paraId="08DFA005" w14:textId="28953C8B" w:rsidR="00D4334F" w:rsidRPr="00E6334A" w:rsidRDefault="00D4334F" w:rsidP="00E6334A">
            <w:pPr>
              <w:keepNext/>
              <w:widowControl w:val="0"/>
              <w:jc w:val="left"/>
              <w:rPr>
                <w:rFonts w:ascii="Arial Narrow" w:eastAsiaTheme="majorEastAsia" w:hAnsi="Arial Narrow" w:cstheme="majorBidi"/>
                <w:bCs/>
                <w:sz w:val="20"/>
                <w:szCs w:val="20"/>
              </w:rPr>
            </w:pPr>
            <w:r w:rsidRPr="00E6334A">
              <w:rPr>
                <w:rFonts w:ascii="Arial Narrow" w:hAnsi="Arial Narrow"/>
                <w:b/>
                <w:bCs/>
                <w:strike/>
                <w:sz w:val="20"/>
                <w:szCs w:val="20"/>
              </w:rPr>
              <w:t>AND</w:t>
            </w:r>
          </w:p>
        </w:tc>
      </w:tr>
      <w:tr w:rsidR="00E6334A" w:rsidRPr="00E6334A" w14:paraId="3B07C9A2" w14:textId="77777777" w:rsidTr="00E6334A">
        <w:tblPrEx>
          <w:tblCellMar>
            <w:top w:w="15" w:type="dxa"/>
            <w:bottom w:w="15" w:type="dxa"/>
          </w:tblCellMar>
        </w:tblPrEx>
        <w:trPr>
          <w:cantSplit/>
          <w:trHeight w:val="20"/>
        </w:trPr>
        <w:tc>
          <w:tcPr>
            <w:tcW w:w="5000" w:type="pct"/>
            <w:gridSpan w:val="7"/>
            <w:vAlign w:val="center"/>
          </w:tcPr>
          <w:p w14:paraId="5DF27F3A" w14:textId="0040771E" w:rsidR="00D4334F" w:rsidRPr="00E6334A" w:rsidRDefault="00D4334F" w:rsidP="00E6334A">
            <w:pPr>
              <w:keepNext/>
              <w:widowControl w:val="0"/>
              <w:jc w:val="left"/>
              <w:rPr>
                <w:rFonts w:ascii="Arial Narrow" w:eastAsiaTheme="majorEastAsia" w:hAnsi="Arial Narrow" w:cstheme="majorBidi"/>
                <w:bCs/>
                <w:sz w:val="20"/>
                <w:szCs w:val="20"/>
              </w:rPr>
            </w:pPr>
            <w:r w:rsidRPr="00E6334A">
              <w:rPr>
                <w:rFonts w:ascii="Arial Narrow" w:hAnsi="Arial Narrow"/>
                <w:b/>
                <w:bCs/>
                <w:sz w:val="20"/>
                <w:szCs w:val="20"/>
              </w:rPr>
              <w:t>Clinical criteria:</w:t>
            </w:r>
          </w:p>
        </w:tc>
      </w:tr>
      <w:tr w:rsidR="00E6334A" w:rsidRPr="00E6334A" w14:paraId="09DD295D" w14:textId="77777777" w:rsidTr="00E6334A">
        <w:tblPrEx>
          <w:tblCellMar>
            <w:top w:w="15" w:type="dxa"/>
            <w:bottom w:w="15" w:type="dxa"/>
          </w:tblCellMar>
        </w:tblPrEx>
        <w:trPr>
          <w:cantSplit/>
          <w:trHeight w:val="20"/>
        </w:trPr>
        <w:tc>
          <w:tcPr>
            <w:tcW w:w="5000" w:type="pct"/>
            <w:gridSpan w:val="7"/>
            <w:vAlign w:val="center"/>
          </w:tcPr>
          <w:p w14:paraId="34CF2578" w14:textId="44266C7A" w:rsidR="00D4334F" w:rsidRPr="00E6334A" w:rsidRDefault="00D4334F" w:rsidP="00E6334A">
            <w:pPr>
              <w:keepNext/>
              <w:widowControl w:val="0"/>
              <w:jc w:val="left"/>
              <w:rPr>
                <w:rFonts w:ascii="Arial Narrow" w:eastAsiaTheme="majorEastAsia" w:hAnsi="Arial Narrow" w:cstheme="majorBidi"/>
                <w:sz w:val="20"/>
                <w:szCs w:val="20"/>
              </w:rPr>
            </w:pPr>
            <w:r w:rsidRPr="00E6334A">
              <w:rPr>
                <w:rFonts w:ascii="Arial Narrow" w:hAnsi="Arial Narrow"/>
                <w:sz w:val="20"/>
                <w:szCs w:val="20"/>
              </w:rPr>
              <w:t>Patient must be on optimised haemodialysis</w:t>
            </w:r>
          </w:p>
        </w:tc>
      </w:tr>
      <w:tr w:rsidR="00E6334A" w:rsidRPr="00E6334A" w14:paraId="06A94F74" w14:textId="77777777" w:rsidTr="00E6334A">
        <w:tblPrEx>
          <w:tblCellMar>
            <w:top w:w="15" w:type="dxa"/>
            <w:bottom w:w="15" w:type="dxa"/>
          </w:tblCellMar>
        </w:tblPrEx>
        <w:trPr>
          <w:cantSplit/>
          <w:trHeight w:val="20"/>
        </w:trPr>
        <w:tc>
          <w:tcPr>
            <w:tcW w:w="5000" w:type="pct"/>
            <w:gridSpan w:val="7"/>
            <w:vAlign w:val="center"/>
          </w:tcPr>
          <w:p w14:paraId="0488942E" w14:textId="111C4F1A" w:rsidR="00D4334F" w:rsidRPr="00E6334A" w:rsidRDefault="00D4334F" w:rsidP="00E6334A">
            <w:pPr>
              <w:keepNext/>
              <w:widowControl w:val="0"/>
              <w:jc w:val="left"/>
              <w:rPr>
                <w:rFonts w:ascii="Arial Narrow" w:eastAsiaTheme="majorEastAsia" w:hAnsi="Arial Narrow" w:cstheme="majorBidi"/>
                <w:bCs/>
                <w:sz w:val="20"/>
                <w:szCs w:val="20"/>
              </w:rPr>
            </w:pPr>
            <w:r w:rsidRPr="00E6334A">
              <w:rPr>
                <w:rFonts w:ascii="Arial Narrow" w:hAnsi="Arial Narrow"/>
                <w:b/>
                <w:bCs/>
                <w:i/>
                <w:iCs/>
                <w:sz w:val="20"/>
                <w:szCs w:val="20"/>
              </w:rPr>
              <w:t>AND</w:t>
            </w:r>
          </w:p>
        </w:tc>
      </w:tr>
      <w:tr w:rsidR="00E6334A" w:rsidRPr="00E6334A" w14:paraId="16EB0D27" w14:textId="77777777" w:rsidTr="00E6334A">
        <w:tblPrEx>
          <w:tblCellMar>
            <w:top w:w="15" w:type="dxa"/>
            <w:bottom w:w="15" w:type="dxa"/>
          </w:tblCellMar>
        </w:tblPrEx>
        <w:trPr>
          <w:cantSplit/>
          <w:trHeight w:val="20"/>
        </w:trPr>
        <w:tc>
          <w:tcPr>
            <w:tcW w:w="5000" w:type="pct"/>
            <w:gridSpan w:val="7"/>
            <w:vAlign w:val="center"/>
          </w:tcPr>
          <w:p w14:paraId="2859C519" w14:textId="061364F3" w:rsidR="00D4334F" w:rsidRPr="00E6334A" w:rsidRDefault="00D4334F" w:rsidP="00E6334A">
            <w:pPr>
              <w:keepNext/>
              <w:widowControl w:val="0"/>
              <w:jc w:val="left"/>
              <w:rPr>
                <w:rFonts w:ascii="Arial Narrow" w:eastAsiaTheme="majorEastAsia" w:hAnsi="Arial Narrow" w:cstheme="majorBidi"/>
                <w:b/>
                <w:bCs/>
                <w:sz w:val="20"/>
                <w:szCs w:val="20"/>
              </w:rPr>
            </w:pPr>
            <w:r w:rsidRPr="00E6334A">
              <w:rPr>
                <w:rFonts w:ascii="Arial Narrow" w:hAnsi="Arial Narrow"/>
                <w:b/>
                <w:bCs/>
                <w:sz w:val="20"/>
                <w:szCs w:val="20"/>
              </w:rPr>
              <w:t>Clinical criteria:</w:t>
            </w:r>
          </w:p>
        </w:tc>
      </w:tr>
      <w:tr w:rsidR="00E6334A" w:rsidRPr="00E6334A" w14:paraId="6BE0DD27" w14:textId="77777777" w:rsidTr="00E6334A">
        <w:tblPrEx>
          <w:tblCellMar>
            <w:top w:w="15" w:type="dxa"/>
            <w:bottom w:w="15" w:type="dxa"/>
          </w:tblCellMar>
        </w:tblPrEx>
        <w:trPr>
          <w:cantSplit/>
          <w:trHeight w:val="20"/>
        </w:trPr>
        <w:tc>
          <w:tcPr>
            <w:tcW w:w="5000" w:type="pct"/>
            <w:gridSpan w:val="7"/>
            <w:vAlign w:val="center"/>
          </w:tcPr>
          <w:p w14:paraId="52644611" w14:textId="31148336" w:rsidR="00D4334F" w:rsidRPr="00E6334A" w:rsidRDefault="00D4334F" w:rsidP="00E6334A">
            <w:pPr>
              <w:keepNext/>
              <w:widowControl w:val="0"/>
              <w:jc w:val="left"/>
              <w:rPr>
                <w:rFonts w:ascii="Arial Narrow" w:eastAsiaTheme="majorEastAsia" w:hAnsi="Arial Narrow" w:cstheme="majorBidi"/>
                <w:sz w:val="20"/>
                <w:szCs w:val="20"/>
              </w:rPr>
            </w:pPr>
            <w:r w:rsidRPr="00E6334A">
              <w:rPr>
                <w:rFonts w:ascii="Arial Narrow" w:hAnsi="Arial Narrow"/>
                <w:sz w:val="20"/>
                <w:szCs w:val="20"/>
              </w:rPr>
              <w:t>Patient must be on haemodialysis for at least 3 months</w:t>
            </w:r>
          </w:p>
        </w:tc>
      </w:tr>
      <w:tr w:rsidR="00E6334A" w:rsidRPr="00E6334A" w14:paraId="566C6EAD" w14:textId="77777777" w:rsidTr="00E6334A">
        <w:tblPrEx>
          <w:tblCellMar>
            <w:top w:w="15" w:type="dxa"/>
            <w:bottom w:w="15" w:type="dxa"/>
          </w:tblCellMar>
        </w:tblPrEx>
        <w:trPr>
          <w:cantSplit/>
          <w:trHeight w:val="20"/>
        </w:trPr>
        <w:tc>
          <w:tcPr>
            <w:tcW w:w="5000" w:type="pct"/>
            <w:gridSpan w:val="7"/>
            <w:vAlign w:val="center"/>
          </w:tcPr>
          <w:p w14:paraId="2C911F59" w14:textId="7AFA8CA6" w:rsidR="00D4334F" w:rsidRPr="00E6334A" w:rsidRDefault="00D4334F" w:rsidP="00E6334A">
            <w:pPr>
              <w:keepNext/>
              <w:widowControl w:val="0"/>
              <w:jc w:val="left"/>
              <w:rPr>
                <w:rFonts w:ascii="Arial Narrow" w:eastAsiaTheme="majorEastAsia" w:hAnsi="Arial Narrow" w:cstheme="majorBidi"/>
                <w:b/>
                <w:bCs/>
                <w:sz w:val="20"/>
                <w:szCs w:val="20"/>
              </w:rPr>
            </w:pPr>
            <w:r w:rsidRPr="00E6334A">
              <w:rPr>
                <w:rFonts w:ascii="Arial Narrow" w:hAnsi="Arial Narrow"/>
                <w:b/>
                <w:bCs/>
                <w:sz w:val="20"/>
                <w:szCs w:val="20"/>
              </w:rPr>
              <w:t>AND</w:t>
            </w:r>
          </w:p>
        </w:tc>
      </w:tr>
      <w:tr w:rsidR="00E6334A" w:rsidRPr="00E6334A" w14:paraId="3355A4FB" w14:textId="77777777" w:rsidTr="00E6334A">
        <w:tblPrEx>
          <w:tblCellMar>
            <w:top w:w="15" w:type="dxa"/>
            <w:bottom w:w="15" w:type="dxa"/>
          </w:tblCellMar>
        </w:tblPrEx>
        <w:trPr>
          <w:cantSplit/>
          <w:trHeight w:val="20"/>
        </w:trPr>
        <w:tc>
          <w:tcPr>
            <w:tcW w:w="5000" w:type="pct"/>
            <w:gridSpan w:val="7"/>
            <w:vAlign w:val="center"/>
          </w:tcPr>
          <w:p w14:paraId="18DEB86B" w14:textId="78F2BAEE" w:rsidR="00D4334F" w:rsidRPr="00E6334A" w:rsidRDefault="00D4334F" w:rsidP="00E6334A">
            <w:pPr>
              <w:keepNext/>
              <w:widowControl w:val="0"/>
              <w:jc w:val="left"/>
              <w:rPr>
                <w:rFonts w:ascii="Arial Narrow" w:eastAsiaTheme="majorEastAsia" w:hAnsi="Arial Narrow" w:cstheme="majorBidi"/>
                <w:b/>
                <w:bCs/>
                <w:sz w:val="20"/>
                <w:szCs w:val="20"/>
              </w:rPr>
            </w:pPr>
            <w:r w:rsidRPr="00E6334A">
              <w:rPr>
                <w:rFonts w:ascii="Arial Narrow" w:hAnsi="Arial Narrow"/>
                <w:b/>
                <w:bCs/>
                <w:sz w:val="20"/>
                <w:szCs w:val="20"/>
              </w:rPr>
              <w:t>Clinical criteria:</w:t>
            </w:r>
          </w:p>
        </w:tc>
      </w:tr>
      <w:tr w:rsidR="00E6334A" w:rsidRPr="00E6334A" w14:paraId="5F028F7A" w14:textId="77777777" w:rsidTr="00E6334A">
        <w:tblPrEx>
          <w:tblCellMar>
            <w:top w:w="15" w:type="dxa"/>
            <w:bottom w:w="15" w:type="dxa"/>
          </w:tblCellMar>
        </w:tblPrEx>
        <w:trPr>
          <w:cantSplit/>
          <w:trHeight w:val="20"/>
        </w:trPr>
        <w:tc>
          <w:tcPr>
            <w:tcW w:w="5000" w:type="pct"/>
            <w:gridSpan w:val="7"/>
            <w:vAlign w:val="center"/>
          </w:tcPr>
          <w:p w14:paraId="77A70F4A" w14:textId="12FA3BC4" w:rsidR="00D4334F" w:rsidRPr="00E6334A" w:rsidRDefault="00D4334F" w:rsidP="00E6334A">
            <w:pPr>
              <w:keepNext/>
              <w:widowControl w:val="0"/>
              <w:jc w:val="left"/>
              <w:rPr>
                <w:rFonts w:ascii="Arial Narrow" w:eastAsiaTheme="majorEastAsia" w:hAnsi="Arial Narrow" w:cstheme="majorBidi"/>
                <w:b/>
                <w:bCs/>
                <w:sz w:val="20"/>
                <w:szCs w:val="20"/>
              </w:rPr>
            </w:pPr>
            <w:r w:rsidRPr="00E6334A">
              <w:rPr>
                <w:rFonts w:ascii="Arial Narrow" w:hAnsi="Arial Narrow"/>
                <w:sz w:val="20"/>
                <w:szCs w:val="20"/>
              </w:rPr>
              <w:t xml:space="preserve">The condition must be confirmed based on both physical examination and patient history </w:t>
            </w:r>
            <w:r w:rsidRPr="00E6334A">
              <w:rPr>
                <w:rFonts w:ascii="Arial Narrow" w:hAnsi="Arial Narrow"/>
                <w:strike/>
                <w:sz w:val="20"/>
                <w:szCs w:val="20"/>
              </w:rPr>
              <w:t>(</w:t>
            </w:r>
            <w:r w:rsidRPr="00E6334A">
              <w:rPr>
                <w:rFonts w:ascii="Arial Narrow" w:hAnsi="Arial Narrow"/>
                <w:sz w:val="20"/>
                <w:szCs w:val="20"/>
              </w:rPr>
              <w:t>to exclude any factors that may be triggering the pruritus</w:t>
            </w:r>
            <w:r w:rsidRPr="00E6334A">
              <w:rPr>
                <w:rFonts w:ascii="Arial Narrow" w:hAnsi="Arial Narrow"/>
                <w:strike/>
                <w:sz w:val="20"/>
                <w:szCs w:val="20"/>
              </w:rPr>
              <w:t>)</w:t>
            </w:r>
          </w:p>
        </w:tc>
      </w:tr>
      <w:tr w:rsidR="00E6334A" w:rsidRPr="00E6334A" w14:paraId="46FFDE25" w14:textId="77777777" w:rsidTr="00E6334A">
        <w:tblPrEx>
          <w:tblCellMar>
            <w:top w:w="15" w:type="dxa"/>
            <w:bottom w:w="15" w:type="dxa"/>
          </w:tblCellMar>
        </w:tblPrEx>
        <w:trPr>
          <w:cantSplit/>
          <w:trHeight w:val="20"/>
        </w:trPr>
        <w:tc>
          <w:tcPr>
            <w:tcW w:w="5000" w:type="pct"/>
            <w:gridSpan w:val="7"/>
            <w:vAlign w:val="center"/>
          </w:tcPr>
          <w:p w14:paraId="0047366F" w14:textId="24D3990F" w:rsidR="00D4334F" w:rsidRPr="00E6334A" w:rsidRDefault="00D4334F" w:rsidP="00E6334A">
            <w:pPr>
              <w:keepNext/>
              <w:widowControl w:val="0"/>
              <w:jc w:val="left"/>
              <w:rPr>
                <w:rFonts w:ascii="Arial Narrow" w:eastAsiaTheme="majorEastAsia" w:hAnsi="Arial Narrow" w:cstheme="majorBidi"/>
                <w:b/>
                <w:bCs/>
                <w:sz w:val="20"/>
                <w:szCs w:val="20"/>
              </w:rPr>
            </w:pPr>
            <w:r w:rsidRPr="00E6334A">
              <w:rPr>
                <w:rFonts w:ascii="Arial Narrow" w:hAnsi="Arial Narrow"/>
                <w:b/>
                <w:bCs/>
                <w:sz w:val="20"/>
                <w:szCs w:val="20"/>
              </w:rPr>
              <w:t>AND</w:t>
            </w:r>
          </w:p>
        </w:tc>
      </w:tr>
      <w:tr w:rsidR="00E6334A" w:rsidRPr="00E6334A" w14:paraId="753ED5D0" w14:textId="77777777" w:rsidTr="00E6334A">
        <w:tblPrEx>
          <w:tblCellMar>
            <w:top w:w="15" w:type="dxa"/>
            <w:bottom w:w="15" w:type="dxa"/>
          </w:tblCellMar>
        </w:tblPrEx>
        <w:trPr>
          <w:cantSplit/>
          <w:trHeight w:val="20"/>
        </w:trPr>
        <w:tc>
          <w:tcPr>
            <w:tcW w:w="5000" w:type="pct"/>
            <w:gridSpan w:val="7"/>
            <w:vAlign w:val="center"/>
          </w:tcPr>
          <w:p w14:paraId="60FA1685" w14:textId="64A39988" w:rsidR="00D4334F" w:rsidRPr="00E6334A" w:rsidRDefault="00D4334F" w:rsidP="00E6334A">
            <w:pPr>
              <w:keepNext/>
              <w:widowControl w:val="0"/>
              <w:jc w:val="left"/>
              <w:rPr>
                <w:rFonts w:ascii="Arial Narrow" w:eastAsiaTheme="majorEastAsia" w:hAnsi="Arial Narrow" w:cstheme="majorBidi"/>
                <w:bCs/>
                <w:sz w:val="20"/>
                <w:szCs w:val="20"/>
              </w:rPr>
            </w:pPr>
            <w:r w:rsidRPr="00E6334A">
              <w:rPr>
                <w:rFonts w:ascii="Arial Narrow" w:hAnsi="Arial Narrow"/>
                <w:b/>
                <w:bCs/>
                <w:sz w:val="20"/>
                <w:szCs w:val="20"/>
              </w:rPr>
              <w:t>Clinical criteria</w:t>
            </w:r>
          </w:p>
        </w:tc>
      </w:tr>
      <w:tr w:rsidR="00E6334A" w:rsidRPr="00E6334A" w14:paraId="63BE1D80" w14:textId="77777777" w:rsidTr="00E6334A">
        <w:tblPrEx>
          <w:tblCellMar>
            <w:top w:w="15" w:type="dxa"/>
            <w:bottom w:w="15" w:type="dxa"/>
          </w:tblCellMar>
        </w:tblPrEx>
        <w:trPr>
          <w:cantSplit/>
          <w:trHeight w:val="20"/>
        </w:trPr>
        <w:tc>
          <w:tcPr>
            <w:tcW w:w="5000" w:type="pct"/>
            <w:gridSpan w:val="7"/>
            <w:vAlign w:val="center"/>
          </w:tcPr>
          <w:p w14:paraId="069D832E" w14:textId="7345E260" w:rsidR="00D4334F" w:rsidRPr="00E6334A" w:rsidRDefault="00D4334F" w:rsidP="00E6334A">
            <w:pPr>
              <w:keepNext/>
              <w:widowControl w:val="0"/>
              <w:jc w:val="left"/>
              <w:rPr>
                <w:rFonts w:ascii="Arial Narrow" w:eastAsiaTheme="majorEastAsia" w:hAnsi="Arial Narrow" w:cstheme="majorBidi"/>
                <w:bCs/>
                <w:sz w:val="20"/>
                <w:szCs w:val="20"/>
              </w:rPr>
            </w:pPr>
            <w:r w:rsidRPr="00E6334A">
              <w:rPr>
                <w:rFonts w:ascii="Arial Narrow" w:hAnsi="Arial Narrow"/>
                <w:sz w:val="20"/>
                <w:szCs w:val="20"/>
              </w:rPr>
              <w:t>Patient must have experienced itch that persists for at least 6 weeks despite best supportive care.</w:t>
            </w:r>
          </w:p>
        </w:tc>
      </w:tr>
      <w:tr w:rsidR="00E6334A" w:rsidRPr="00E6334A" w14:paraId="0AE46B5E" w14:textId="77777777" w:rsidTr="00E6334A">
        <w:tblPrEx>
          <w:tblCellMar>
            <w:top w:w="15" w:type="dxa"/>
            <w:bottom w:w="15" w:type="dxa"/>
          </w:tblCellMar>
        </w:tblPrEx>
        <w:trPr>
          <w:cantSplit/>
          <w:trHeight w:val="20"/>
        </w:trPr>
        <w:tc>
          <w:tcPr>
            <w:tcW w:w="5000" w:type="pct"/>
            <w:gridSpan w:val="7"/>
            <w:vAlign w:val="center"/>
          </w:tcPr>
          <w:p w14:paraId="0F7EB4A2" w14:textId="5B0A7343" w:rsidR="00D4334F" w:rsidRPr="00E6334A" w:rsidRDefault="00D4334F" w:rsidP="00E6334A">
            <w:pPr>
              <w:keepNext/>
              <w:widowControl w:val="0"/>
              <w:jc w:val="left"/>
              <w:rPr>
                <w:rFonts w:ascii="Arial Narrow" w:eastAsiaTheme="majorEastAsia" w:hAnsi="Arial Narrow" w:cstheme="majorBidi"/>
                <w:sz w:val="20"/>
                <w:szCs w:val="20"/>
              </w:rPr>
            </w:pPr>
            <w:r w:rsidRPr="00E6334A">
              <w:rPr>
                <w:rFonts w:ascii="Arial Narrow" w:hAnsi="Arial Narrow"/>
                <w:b/>
                <w:bCs/>
                <w:sz w:val="20"/>
                <w:szCs w:val="20"/>
              </w:rPr>
              <w:t>AND</w:t>
            </w:r>
          </w:p>
        </w:tc>
      </w:tr>
      <w:tr w:rsidR="00E6334A" w:rsidRPr="00E6334A" w14:paraId="754E99CD" w14:textId="77777777" w:rsidTr="00E6334A">
        <w:tblPrEx>
          <w:tblCellMar>
            <w:top w:w="15" w:type="dxa"/>
            <w:bottom w:w="15" w:type="dxa"/>
          </w:tblCellMar>
        </w:tblPrEx>
        <w:trPr>
          <w:cantSplit/>
          <w:trHeight w:val="20"/>
        </w:trPr>
        <w:tc>
          <w:tcPr>
            <w:tcW w:w="5000" w:type="pct"/>
            <w:gridSpan w:val="7"/>
            <w:vAlign w:val="center"/>
          </w:tcPr>
          <w:p w14:paraId="77F7B7AF" w14:textId="3AF4AAE1" w:rsidR="00D4334F" w:rsidRPr="00E6334A" w:rsidRDefault="00D4334F" w:rsidP="00E6334A">
            <w:pPr>
              <w:keepNext/>
              <w:widowControl w:val="0"/>
              <w:jc w:val="left"/>
              <w:rPr>
                <w:rFonts w:ascii="Arial Narrow" w:eastAsiaTheme="majorEastAsia" w:hAnsi="Arial Narrow" w:cstheme="majorBidi"/>
                <w:sz w:val="20"/>
                <w:szCs w:val="20"/>
              </w:rPr>
            </w:pPr>
            <w:r w:rsidRPr="00E6334A">
              <w:rPr>
                <w:rFonts w:ascii="Arial Narrow" w:hAnsi="Arial Narrow"/>
                <w:b/>
                <w:bCs/>
                <w:sz w:val="20"/>
                <w:szCs w:val="20"/>
              </w:rPr>
              <w:t>Clinical criteria:</w:t>
            </w:r>
          </w:p>
        </w:tc>
      </w:tr>
      <w:tr w:rsidR="00E6334A" w:rsidRPr="00E6334A" w14:paraId="3C8E5F6D" w14:textId="77777777" w:rsidTr="00E6334A">
        <w:tblPrEx>
          <w:tblCellMar>
            <w:top w:w="15" w:type="dxa"/>
            <w:bottom w:w="15" w:type="dxa"/>
          </w:tblCellMar>
        </w:tblPrEx>
        <w:trPr>
          <w:cantSplit/>
          <w:trHeight w:val="20"/>
        </w:trPr>
        <w:tc>
          <w:tcPr>
            <w:tcW w:w="5000" w:type="pct"/>
            <w:gridSpan w:val="7"/>
            <w:vAlign w:val="center"/>
          </w:tcPr>
          <w:p w14:paraId="636F3698" w14:textId="574C55E6" w:rsidR="00D4334F" w:rsidRPr="00E6334A" w:rsidRDefault="00D4334F" w:rsidP="00E6334A">
            <w:pPr>
              <w:keepNext/>
              <w:widowControl w:val="0"/>
              <w:jc w:val="left"/>
              <w:rPr>
                <w:rFonts w:ascii="Arial Narrow" w:eastAsiaTheme="majorEastAsia" w:hAnsi="Arial Narrow" w:cstheme="majorBidi"/>
                <w:sz w:val="20"/>
                <w:szCs w:val="20"/>
                <w:highlight w:val="green"/>
              </w:rPr>
            </w:pPr>
            <w:r w:rsidRPr="00E6334A">
              <w:rPr>
                <w:rFonts w:ascii="Arial Narrow" w:hAnsi="Arial Narrow"/>
                <w:sz w:val="20"/>
                <w:szCs w:val="20"/>
              </w:rPr>
              <w:lastRenderedPageBreak/>
              <w:t>Patient must have a 24-hour Worst Itching Intensity Numerical Rating Scale (WI-NRS) baseline score of more than 4.</w:t>
            </w:r>
          </w:p>
        </w:tc>
      </w:tr>
      <w:tr w:rsidR="00E6334A" w:rsidRPr="00E6334A" w14:paraId="5415D36B" w14:textId="77777777" w:rsidTr="00E6334A">
        <w:tblPrEx>
          <w:tblCellMar>
            <w:top w:w="15" w:type="dxa"/>
            <w:bottom w:w="15" w:type="dxa"/>
          </w:tblCellMar>
        </w:tblPrEx>
        <w:trPr>
          <w:cantSplit/>
          <w:trHeight w:val="20"/>
        </w:trPr>
        <w:tc>
          <w:tcPr>
            <w:tcW w:w="5000" w:type="pct"/>
            <w:gridSpan w:val="7"/>
            <w:vAlign w:val="center"/>
          </w:tcPr>
          <w:p w14:paraId="3CEFBC41" w14:textId="2688426E" w:rsidR="00D4334F" w:rsidRPr="00E6334A" w:rsidRDefault="00D4334F" w:rsidP="00E6334A">
            <w:pPr>
              <w:keepNext/>
              <w:widowControl w:val="0"/>
              <w:jc w:val="left"/>
              <w:rPr>
                <w:rFonts w:ascii="Arial Narrow" w:eastAsiaTheme="majorEastAsia" w:hAnsi="Arial Narrow" w:cstheme="majorBidi"/>
                <w:bCs/>
                <w:sz w:val="20"/>
                <w:szCs w:val="20"/>
              </w:rPr>
            </w:pPr>
            <w:r w:rsidRPr="00E6334A">
              <w:rPr>
                <w:rFonts w:ascii="Arial Narrow" w:hAnsi="Arial Narrow"/>
                <w:b/>
                <w:bCs/>
                <w:sz w:val="20"/>
                <w:szCs w:val="20"/>
              </w:rPr>
              <w:t>AND</w:t>
            </w:r>
          </w:p>
        </w:tc>
      </w:tr>
      <w:tr w:rsidR="00E6334A" w:rsidRPr="00E6334A" w14:paraId="4CA04259" w14:textId="77777777" w:rsidTr="00E6334A">
        <w:tblPrEx>
          <w:tblCellMar>
            <w:top w:w="15" w:type="dxa"/>
            <w:bottom w:w="15" w:type="dxa"/>
          </w:tblCellMar>
        </w:tblPrEx>
        <w:trPr>
          <w:cantSplit/>
          <w:trHeight w:val="20"/>
        </w:trPr>
        <w:tc>
          <w:tcPr>
            <w:tcW w:w="5000" w:type="pct"/>
            <w:gridSpan w:val="7"/>
            <w:vAlign w:val="center"/>
          </w:tcPr>
          <w:p w14:paraId="645C867C" w14:textId="546942B0" w:rsidR="00D4334F" w:rsidRPr="00E6334A" w:rsidRDefault="00D4334F" w:rsidP="00E6334A">
            <w:pPr>
              <w:keepNext/>
              <w:widowControl w:val="0"/>
              <w:jc w:val="left"/>
              <w:rPr>
                <w:rFonts w:ascii="Arial Narrow" w:eastAsiaTheme="majorEastAsia" w:hAnsi="Arial Narrow" w:cstheme="majorBidi"/>
                <w:bCs/>
                <w:sz w:val="20"/>
                <w:szCs w:val="20"/>
              </w:rPr>
            </w:pPr>
            <w:r w:rsidRPr="00E6334A">
              <w:rPr>
                <w:rFonts w:ascii="Arial Narrow" w:hAnsi="Arial Narrow"/>
                <w:b/>
                <w:bCs/>
                <w:sz w:val="20"/>
                <w:szCs w:val="20"/>
              </w:rPr>
              <w:t>Clinical criteria:</w:t>
            </w:r>
          </w:p>
        </w:tc>
      </w:tr>
      <w:tr w:rsidR="00E6334A" w:rsidRPr="00E6334A" w14:paraId="12C2A370" w14:textId="77777777" w:rsidTr="00E6334A">
        <w:tblPrEx>
          <w:tblCellMar>
            <w:top w:w="15" w:type="dxa"/>
            <w:bottom w:w="15" w:type="dxa"/>
          </w:tblCellMar>
        </w:tblPrEx>
        <w:trPr>
          <w:cantSplit/>
          <w:trHeight w:val="20"/>
        </w:trPr>
        <w:tc>
          <w:tcPr>
            <w:tcW w:w="5000" w:type="pct"/>
            <w:gridSpan w:val="7"/>
            <w:vAlign w:val="center"/>
          </w:tcPr>
          <w:p w14:paraId="3B1E4179" w14:textId="653033C6" w:rsidR="00D4334F" w:rsidRPr="00E6334A" w:rsidRDefault="00D4334F" w:rsidP="00E6334A">
            <w:pPr>
              <w:keepNext/>
              <w:widowControl w:val="0"/>
              <w:jc w:val="left"/>
              <w:rPr>
                <w:rFonts w:ascii="Arial Narrow" w:eastAsiaTheme="majorEastAsia" w:hAnsi="Arial Narrow" w:cstheme="majorBidi"/>
                <w:bCs/>
                <w:sz w:val="20"/>
                <w:szCs w:val="20"/>
              </w:rPr>
            </w:pPr>
            <w:r w:rsidRPr="00E6334A">
              <w:rPr>
                <w:rFonts w:ascii="Arial Narrow" w:hAnsi="Arial Narrow"/>
                <w:sz w:val="20"/>
                <w:szCs w:val="20"/>
              </w:rPr>
              <w:t>Patient must not receive more than 12 weeks of treatment with this drug under this treatment phase</w:t>
            </w:r>
          </w:p>
        </w:tc>
      </w:tr>
      <w:tr w:rsidR="00E6334A" w:rsidRPr="00E6334A" w14:paraId="62AFDD85" w14:textId="77777777" w:rsidTr="00E6334A">
        <w:tblPrEx>
          <w:tblCellMar>
            <w:top w:w="15" w:type="dxa"/>
            <w:bottom w:w="15" w:type="dxa"/>
          </w:tblCellMar>
        </w:tblPrEx>
        <w:trPr>
          <w:cantSplit/>
          <w:trHeight w:val="20"/>
        </w:trPr>
        <w:tc>
          <w:tcPr>
            <w:tcW w:w="5000" w:type="pct"/>
            <w:gridSpan w:val="7"/>
            <w:vAlign w:val="center"/>
          </w:tcPr>
          <w:p w14:paraId="5004C96B" w14:textId="053F2AF8" w:rsidR="00D4334F" w:rsidRPr="00E6334A" w:rsidRDefault="00D4334F" w:rsidP="00E6334A">
            <w:pPr>
              <w:keepNext/>
              <w:widowControl w:val="0"/>
              <w:jc w:val="left"/>
              <w:rPr>
                <w:rFonts w:ascii="Arial Narrow" w:eastAsiaTheme="majorEastAsia" w:hAnsi="Arial Narrow" w:cstheme="majorBidi"/>
                <w:bCs/>
                <w:sz w:val="20"/>
                <w:szCs w:val="20"/>
              </w:rPr>
            </w:pPr>
            <w:r w:rsidRPr="00E6334A">
              <w:rPr>
                <w:rFonts w:ascii="Arial Narrow" w:hAnsi="Arial Narrow"/>
                <w:b/>
                <w:bCs/>
                <w:sz w:val="20"/>
                <w:szCs w:val="20"/>
              </w:rPr>
              <w:t>AND</w:t>
            </w:r>
          </w:p>
        </w:tc>
      </w:tr>
      <w:tr w:rsidR="00E6334A" w:rsidRPr="00E6334A" w14:paraId="096497A5" w14:textId="77777777" w:rsidTr="00E6334A">
        <w:tblPrEx>
          <w:tblCellMar>
            <w:top w:w="15" w:type="dxa"/>
            <w:bottom w:w="15" w:type="dxa"/>
          </w:tblCellMar>
        </w:tblPrEx>
        <w:trPr>
          <w:cantSplit/>
          <w:trHeight w:val="20"/>
        </w:trPr>
        <w:tc>
          <w:tcPr>
            <w:tcW w:w="5000" w:type="pct"/>
            <w:gridSpan w:val="7"/>
            <w:vAlign w:val="center"/>
          </w:tcPr>
          <w:p w14:paraId="0FD21461" w14:textId="63601F1E" w:rsidR="00D4334F" w:rsidRPr="00E6334A" w:rsidRDefault="00D4334F" w:rsidP="00E6334A">
            <w:pPr>
              <w:keepNext/>
              <w:widowControl w:val="0"/>
              <w:jc w:val="left"/>
              <w:rPr>
                <w:rFonts w:ascii="Arial Narrow" w:eastAsiaTheme="majorEastAsia" w:hAnsi="Arial Narrow" w:cstheme="majorBidi"/>
                <w:bCs/>
                <w:i/>
                <w:iCs/>
                <w:sz w:val="20"/>
                <w:szCs w:val="20"/>
              </w:rPr>
            </w:pPr>
            <w:r w:rsidRPr="00E6334A">
              <w:rPr>
                <w:rFonts w:ascii="Arial Narrow" w:hAnsi="Arial Narrow"/>
                <w:b/>
                <w:bCs/>
                <w:sz w:val="20"/>
                <w:szCs w:val="20"/>
              </w:rPr>
              <w:t>Treatment criteria:</w:t>
            </w:r>
          </w:p>
        </w:tc>
      </w:tr>
      <w:tr w:rsidR="00E6334A" w:rsidRPr="00E6334A" w14:paraId="54784A19" w14:textId="77777777" w:rsidTr="00E6334A">
        <w:tblPrEx>
          <w:tblCellMar>
            <w:top w:w="15" w:type="dxa"/>
            <w:bottom w:w="15" w:type="dxa"/>
          </w:tblCellMar>
        </w:tblPrEx>
        <w:trPr>
          <w:cantSplit/>
          <w:trHeight w:val="20"/>
        </w:trPr>
        <w:tc>
          <w:tcPr>
            <w:tcW w:w="5000" w:type="pct"/>
            <w:gridSpan w:val="7"/>
            <w:vAlign w:val="center"/>
          </w:tcPr>
          <w:p w14:paraId="731A5693" w14:textId="7996B67C" w:rsidR="00D4334F" w:rsidRPr="00E6334A" w:rsidRDefault="00D4334F" w:rsidP="00E6334A">
            <w:pPr>
              <w:keepNext/>
              <w:widowControl w:val="0"/>
              <w:jc w:val="left"/>
              <w:rPr>
                <w:rFonts w:ascii="Arial Narrow" w:eastAsiaTheme="majorEastAsia" w:hAnsi="Arial Narrow" w:cstheme="majorBidi"/>
                <w:bCs/>
                <w:sz w:val="20"/>
                <w:szCs w:val="20"/>
              </w:rPr>
            </w:pPr>
            <w:r w:rsidRPr="00E6334A">
              <w:rPr>
                <w:rFonts w:ascii="Arial Narrow" w:hAnsi="Arial Narrow" w:cs="Arial Narrow"/>
                <w:i/>
                <w:iCs/>
                <w:sz w:val="20"/>
                <w:szCs w:val="20"/>
              </w:rPr>
              <w:t>Must be treated by at least one of (i) a renal physician, (ii) nephrologist, (iii) allergist.</w:t>
            </w:r>
          </w:p>
        </w:tc>
      </w:tr>
      <w:tr w:rsidR="00E6334A" w:rsidRPr="00E6334A" w14:paraId="41CF53E2" w14:textId="77777777" w:rsidTr="00E6334A">
        <w:tblPrEx>
          <w:tblCellMar>
            <w:top w:w="15" w:type="dxa"/>
            <w:bottom w:w="15" w:type="dxa"/>
          </w:tblCellMar>
        </w:tblPrEx>
        <w:trPr>
          <w:cantSplit/>
          <w:trHeight w:val="20"/>
        </w:trPr>
        <w:tc>
          <w:tcPr>
            <w:tcW w:w="5000" w:type="pct"/>
            <w:gridSpan w:val="7"/>
            <w:vAlign w:val="center"/>
          </w:tcPr>
          <w:p w14:paraId="25BF954C" w14:textId="25E3A52A" w:rsidR="00D4334F" w:rsidRPr="00E6334A" w:rsidRDefault="00D4334F" w:rsidP="00E6334A">
            <w:pPr>
              <w:keepNext/>
              <w:widowControl w:val="0"/>
              <w:jc w:val="left"/>
              <w:rPr>
                <w:rFonts w:ascii="Arial Narrow" w:eastAsiaTheme="majorEastAsia" w:hAnsi="Arial Narrow" w:cstheme="majorBidi"/>
                <w:bCs/>
                <w:sz w:val="20"/>
                <w:szCs w:val="20"/>
              </w:rPr>
            </w:pPr>
            <w:r w:rsidRPr="00E6334A">
              <w:rPr>
                <w:rFonts w:ascii="Arial Narrow" w:hAnsi="Arial Narrow"/>
                <w:b/>
                <w:bCs/>
                <w:sz w:val="20"/>
                <w:szCs w:val="20"/>
              </w:rPr>
              <w:t>AND</w:t>
            </w:r>
          </w:p>
        </w:tc>
      </w:tr>
      <w:tr w:rsidR="00E6334A" w:rsidRPr="00E6334A" w14:paraId="14654996" w14:textId="77777777" w:rsidTr="00E6334A">
        <w:tblPrEx>
          <w:tblCellMar>
            <w:top w:w="15" w:type="dxa"/>
            <w:bottom w:w="15" w:type="dxa"/>
          </w:tblCellMar>
        </w:tblPrEx>
        <w:trPr>
          <w:cantSplit/>
          <w:trHeight w:val="20"/>
        </w:trPr>
        <w:tc>
          <w:tcPr>
            <w:tcW w:w="5000" w:type="pct"/>
            <w:gridSpan w:val="7"/>
            <w:vAlign w:val="center"/>
          </w:tcPr>
          <w:p w14:paraId="49D1E5AF" w14:textId="29440850" w:rsidR="00D4334F" w:rsidRPr="00E6334A" w:rsidRDefault="00D4334F" w:rsidP="00E6334A">
            <w:pPr>
              <w:keepNext/>
              <w:widowControl w:val="0"/>
              <w:jc w:val="left"/>
              <w:rPr>
                <w:rFonts w:ascii="Arial Narrow" w:eastAsiaTheme="majorEastAsia" w:hAnsi="Arial Narrow" w:cstheme="majorBidi"/>
                <w:b/>
                <w:sz w:val="20"/>
                <w:szCs w:val="20"/>
              </w:rPr>
            </w:pPr>
            <w:r w:rsidRPr="00E6334A">
              <w:rPr>
                <w:rFonts w:ascii="Arial Narrow" w:hAnsi="Arial Narrow"/>
                <w:b/>
                <w:bCs/>
                <w:sz w:val="20"/>
                <w:szCs w:val="20"/>
              </w:rPr>
              <w:t>Population criteria:</w:t>
            </w:r>
          </w:p>
        </w:tc>
      </w:tr>
      <w:tr w:rsidR="00E6334A" w:rsidRPr="00E6334A" w14:paraId="0AF90B8E" w14:textId="77777777" w:rsidTr="00E6334A">
        <w:tblPrEx>
          <w:tblCellMar>
            <w:top w:w="15" w:type="dxa"/>
            <w:bottom w:w="15" w:type="dxa"/>
          </w:tblCellMar>
        </w:tblPrEx>
        <w:trPr>
          <w:cantSplit/>
          <w:trHeight w:val="20"/>
        </w:trPr>
        <w:tc>
          <w:tcPr>
            <w:tcW w:w="5000" w:type="pct"/>
            <w:gridSpan w:val="7"/>
            <w:vAlign w:val="center"/>
          </w:tcPr>
          <w:p w14:paraId="0121DBC7" w14:textId="31FFA68D" w:rsidR="00D4334F" w:rsidRPr="00E6334A" w:rsidRDefault="00D4334F" w:rsidP="00E6334A">
            <w:pPr>
              <w:keepNext/>
              <w:widowControl w:val="0"/>
              <w:jc w:val="left"/>
              <w:rPr>
                <w:rFonts w:ascii="Arial Narrow" w:eastAsiaTheme="majorEastAsia" w:hAnsi="Arial Narrow" w:cstheme="majorBidi"/>
                <w:bCs/>
                <w:sz w:val="20"/>
                <w:szCs w:val="20"/>
              </w:rPr>
            </w:pPr>
            <w:r w:rsidRPr="00E6334A">
              <w:rPr>
                <w:rFonts w:ascii="Arial Narrow" w:hAnsi="Arial Narrow"/>
                <w:sz w:val="20"/>
                <w:szCs w:val="20"/>
              </w:rPr>
              <w:t>Patient must be at least 18 years of age</w:t>
            </w:r>
          </w:p>
        </w:tc>
      </w:tr>
      <w:tr w:rsidR="00E6334A" w:rsidRPr="00E6334A" w14:paraId="33E17780" w14:textId="77777777" w:rsidTr="00E6334A">
        <w:tblPrEx>
          <w:tblCellMar>
            <w:top w:w="15" w:type="dxa"/>
            <w:bottom w:w="15" w:type="dxa"/>
          </w:tblCellMar>
        </w:tblPrEx>
        <w:trPr>
          <w:cantSplit/>
          <w:trHeight w:val="20"/>
        </w:trPr>
        <w:tc>
          <w:tcPr>
            <w:tcW w:w="5000" w:type="pct"/>
            <w:gridSpan w:val="7"/>
            <w:vAlign w:val="center"/>
          </w:tcPr>
          <w:p w14:paraId="37A53F9F" w14:textId="77777777" w:rsidR="00D4334F" w:rsidRPr="00E6334A" w:rsidRDefault="00D4334F" w:rsidP="00E6334A">
            <w:pPr>
              <w:keepNext/>
              <w:rPr>
                <w:rFonts w:ascii="Arial Narrow" w:hAnsi="Arial Narrow"/>
                <w:sz w:val="20"/>
                <w:szCs w:val="20"/>
              </w:rPr>
            </w:pPr>
            <w:r w:rsidRPr="00E6334A">
              <w:rPr>
                <w:rFonts w:ascii="Arial Narrow" w:hAnsi="Arial Narrow"/>
                <w:b/>
                <w:bCs/>
                <w:sz w:val="20"/>
                <w:szCs w:val="20"/>
              </w:rPr>
              <w:t xml:space="preserve">Prescribing Instructions: </w:t>
            </w:r>
          </w:p>
          <w:p w14:paraId="59868CC7" w14:textId="77777777" w:rsidR="00D4334F" w:rsidRPr="00E6334A" w:rsidRDefault="00D4334F" w:rsidP="00E6334A">
            <w:pPr>
              <w:keepNext/>
              <w:rPr>
                <w:rFonts w:ascii="Arial Narrow" w:hAnsi="Arial Narrow"/>
                <w:sz w:val="20"/>
                <w:szCs w:val="20"/>
              </w:rPr>
            </w:pPr>
            <w:r w:rsidRPr="00E6334A">
              <w:rPr>
                <w:rFonts w:ascii="Arial Narrow" w:hAnsi="Arial Narrow"/>
                <w:sz w:val="20"/>
                <w:szCs w:val="20"/>
              </w:rPr>
              <w:t xml:space="preserve">Prescriber must exclude any other causes of pruritus which include any of the following: </w:t>
            </w:r>
          </w:p>
          <w:p w14:paraId="19D39C37" w14:textId="77777777" w:rsidR="00D4334F" w:rsidRPr="00E6334A" w:rsidRDefault="00D4334F" w:rsidP="00E6334A">
            <w:pPr>
              <w:keepNext/>
              <w:rPr>
                <w:rFonts w:ascii="Arial Narrow" w:hAnsi="Arial Narrow"/>
                <w:sz w:val="20"/>
                <w:szCs w:val="20"/>
              </w:rPr>
            </w:pPr>
            <w:r w:rsidRPr="00E6334A">
              <w:rPr>
                <w:rFonts w:ascii="Arial Narrow" w:hAnsi="Arial Narrow"/>
                <w:sz w:val="20"/>
                <w:szCs w:val="20"/>
              </w:rPr>
              <w:t>(i) drug/dialysis related (e.g., opioid-related pruritus)</w:t>
            </w:r>
          </w:p>
          <w:p w14:paraId="661CAF5D" w14:textId="77777777" w:rsidR="00D4334F" w:rsidRPr="00E6334A" w:rsidRDefault="00D4334F" w:rsidP="00E6334A">
            <w:pPr>
              <w:keepNext/>
              <w:rPr>
                <w:rFonts w:ascii="Arial Narrow" w:hAnsi="Arial Narrow"/>
                <w:sz w:val="20"/>
                <w:szCs w:val="20"/>
              </w:rPr>
            </w:pPr>
            <w:r w:rsidRPr="00E6334A">
              <w:rPr>
                <w:rFonts w:ascii="Arial Narrow" w:hAnsi="Arial Narrow"/>
                <w:sz w:val="20"/>
                <w:szCs w:val="20"/>
              </w:rPr>
              <w:t>(ii) drug hypersensitivity or adverse effect; contact dermatitis; allergy</w:t>
            </w:r>
            <w:r w:rsidRPr="00E6334A">
              <w:rPr>
                <w:rFonts w:ascii="Arial Narrow" w:hAnsi="Arial Narrow"/>
                <w:strike/>
                <w:sz w:val="20"/>
                <w:szCs w:val="20"/>
              </w:rPr>
              <w:t>)</w:t>
            </w:r>
            <w:r w:rsidRPr="00E6334A">
              <w:rPr>
                <w:rFonts w:ascii="Arial Narrow" w:hAnsi="Arial Narrow"/>
                <w:sz w:val="20"/>
                <w:szCs w:val="20"/>
              </w:rPr>
              <w:t xml:space="preserve">  </w:t>
            </w:r>
          </w:p>
          <w:p w14:paraId="0F3D0B26" w14:textId="75806444" w:rsidR="00D4334F" w:rsidRPr="00E6334A" w:rsidRDefault="00D4334F" w:rsidP="00E6334A">
            <w:pPr>
              <w:keepNext/>
              <w:widowControl w:val="0"/>
              <w:jc w:val="left"/>
              <w:rPr>
                <w:rFonts w:ascii="Arial Narrow" w:eastAsiaTheme="majorEastAsia" w:hAnsi="Arial Narrow" w:cstheme="majorBidi"/>
                <w:bCs/>
                <w:sz w:val="20"/>
                <w:szCs w:val="20"/>
              </w:rPr>
            </w:pPr>
            <w:r w:rsidRPr="00E6334A">
              <w:rPr>
                <w:rFonts w:ascii="Arial Narrow" w:hAnsi="Arial Narrow"/>
                <w:sz w:val="20"/>
                <w:szCs w:val="20"/>
              </w:rPr>
              <w:t>(iii) differential diagnoses (e.g., xerosis; infestations; iron deficiency; liver disease; polycythaemia vera/leukemia/lymphoma; hypothyroidism; uncontrolled diabetes).</w:t>
            </w:r>
          </w:p>
        </w:tc>
      </w:tr>
      <w:tr w:rsidR="00E6334A" w:rsidRPr="00E6334A" w14:paraId="1D33EA1C" w14:textId="77777777" w:rsidTr="00E6334A">
        <w:tblPrEx>
          <w:tblCellMar>
            <w:top w:w="15" w:type="dxa"/>
            <w:bottom w:w="15" w:type="dxa"/>
          </w:tblCellMar>
        </w:tblPrEx>
        <w:trPr>
          <w:cantSplit/>
          <w:trHeight w:val="20"/>
        </w:trPr>
        <w:tc>
          <w:tcPr>
            <w:tcW w:w="5000" w:type="pct"/>
            <w:gridSpan w:val="7"/>
            <w:vAlign w:val="center"/>
          </w:tcPr>
          <w:p w14:paraId="59936A9B" w14:textId="77777777" w:rsidR="00D4334F" w:rsidRPr="00E6334A" w:rsidRDefault="00D4334F" w:rsidP="00E6334A">
            <w:pPr>
              <w:keepNext/>
              <w:rPr>
                <w:rFonts w:ascii="Arial Narrow" w:hAnsi="Arial Narrow"/>
                <w:sz w:val="20"/>
                <w:szCs w:val="20"/>
              </w:rPr>
            </w:pPr>
            <w:r w:rsidRPr="00E6334A">
              <w:rPr>
                <w:rFonts w:ascii="Arial Narrow" w:hAnsi="Arial Narrow"/>
                <w:b/>
                <w:bCs/>
                <w:sz w:val="20"/>
                <w:szCs w:val="20"/>
              </w:rPr>
              <w:t xml:space="preserve">Prescribing Instructions: </w:t>
            </w:r>
          </w:p>
          <w:p w14:paraId="076D975A" w14:textId="77777777" w:rsidR="00D4334F" w:rsidRPr="00E6334A" w:rsidRDefault="00D4334F" w:rsidP="00E6334A">
            <w:pPr>
              <w:keepNext/>
              <w:rPr>
                <w:rFonts w:ascii="Arial Narrow" w:hAnsi="Arial Narrow"/>
                <w:sz w:val="20"/>
                <w:szCs w:val="20"/>
              </w:rPr>
            </w:pPr>
            <w:r w:rsidRPr="00E6334A">
              <w:rPr>
                <w:rFonts w:ascii="Arial Narrow" w:hAnsi="Arial Narrow"/>
                <w:sz w:val="20"/>
                <w:szCs w:val="20"/>
              </w:rPr>
              <w:t>Best supportive care for patients with chronic kidney disease-associated pruritus is not limited to but includes:</w:t>
            </w:r>
          </w:p>
          <w:p w14:paraId="1253FF69" w14:textId="77777777" w:rsidR="00D4334F" w:rsidRPr="00E6334A" w:rsidRDefault="00D4334F" w:rsidP="00E6334A">
            <w:pPr>
              <w:keepNext/>
              <w:rPr>
                <w:rFonts w:ascii="Arial Narrow" w:hAnsi="Arial Narrow"/>
                <w:sz w:val="20"/>
                <w:szCs w:val="20"/>
              </w:rPr>
            </w:pPr>
            <w:r w:rsidRPr="00E6334A">
              <w:rPr>
                <w:rFonts w:ascii="Arial Narrow" w:hAnsi="Arial Narrow"/>
                <w:sz w:val="20"/>
                <w:szCs w:val="20"/>
              </w:rPr>
              <w:t xml:space="preserve">(i) optimisation of dialysis, </w:t>
            </w:r>
          </w:p>
          <w:p w14:paraId="3B7A1CF6" w14:textId="77777777" w:rsidR="00D4334F" w:rsidRPr="00E6334A" w:rsidRDefault="00D4334F" w:rsidP="00E6334A">
            <w:pPr>
              <w:keepNext/>
              <w:rPr>
                <w:rFonts w:ascii="Arial Narrow" w:hAnsi="Arial Narrow"/>
                <w:sz w:val="20"/>
                <w:szCs w:val="20"/>
              </w:rPr>
            </w:pPr>
            <w:r w:rsidRPr="00E6334A">
              <w:rPr>
                <w:rFonts w:ascii="Arial Narrow" w:hAnsi="Arial Narrow"/>
                <w:sz w:val="20"/>
                <w:szCs w:val="20"/>
              </w:rPr>
              <w:t xml:space="preserve">(ii) skin hydration and nutrition (with the use of moisturiser, emollients, barrier creams or oils) </w:t>
            </w:r>
          </w:p>
          <w:p w14:paraId="3BD95F90" w14:textId="56B5DD96" w:rsidR="00D4334F" w:rsidRPr="00E6334A" w:rsidRDefault="00D4334F" w:rsidP="00E6334A">
            <w:pPr>
              <w:keepNext/>
              <w:widowControl w:val="0"/>
              <w:jc w:val="left"/>
              <w:rPr>
                <w:rFonts w:ascii="Arial Narrow" w:eastAsiaTheme="majorEastAsia" w:hAnsi="Arial Narrow" w:cstheme="majorBidi"/>
                <w:bCs/>
                <w:sz w:val="20"/>
                <w:szCs w:val="20"/>
              </w:rPr>
            </w:pPr>
            <w:r w:rsidRPr="00E6334A">
              <w:rPr>
                <w:rFonts w:ascii="Arial Narrow" w:hAnsi="Arial Narrow"/>
                <w:sz w:val="20"/>
                <w:szCs w:val="20"/>
              </w:rPr>
              <w:t>(iii) patient education on the importance of avoiding or minimising scratching.</w:t>
            </w:r>
          </w:p>
        </w:tc>
      </w:tr>
      <w:tr w:rsidR="00E6334A" w:rsidRPr="00E6334A" w14:paraId="4DE4CDC6" w14:textId="77777777" w:rsidTr="00E6334A">
        <w:tblPrEx>
          <w:tblCellMar>
            <w:top w:w="15" w:type="dxa"/>
            <w:bottom w:w="15" w:type="dxa"/>
          </w:tblCellMar>
        </w:tblPrEx>
        <w:trPr>
          <w:cantSplit/>
          <w:trHeight w:val="20"/>
        </w:trPr>
        <w:tc>
          <w:tcPr>
            <w:tcW w:w="5000" w:type="pct"/>
            <w:gridSpan w:val="7"/>
            <w:vAlign w:val="center"/>
          </w:tcPr>
          <w:p w14:paraId="1A02A3A1" w14:textId="77777777" w:rsidR="00D4334F" w:rsidRPr="00E6334A" w:rsidRDefault="00D4334F" w:rsidP="00E6334A">
            <w:pPr>
              <w:keepNext/>
              <w:rPr>
                <w:rFonts w:ascii="Arial Narrow" w:hAnsi="Arial Narrow"/>
                <w:b/>
                <w:bCs/>
                <w:i/>
                <w:iCs/>
                <w:sz w:val="20"/>
                <w:szCs w:val="20"/>
              </w:rPr>
            </w:pPr>
            <w:r w:rsidRPr="00E6334A">
              <w:rPr>
                <w:rFonts w:ascii="Arial Narrow" w:hAnsi="Arial Narrow"/>
                <w:b/>
                <w:bCs/>
                <w:i/>
                <w:iCs/>
                <w:sz w:val="20"/>
                <w:szCs w:val="20"/>
              </w:rPr>
              <w:t xml:space="preserve">Prescribing instructions: </w:t>
            </w:r>
          </w:p>
          <w:p w14:paraId="6BA902FE" w14:textId="724C0CAF" w:rsidR="00D4334F" w:rsidRPr="00E6334A" w:rsidRDefault="00D4334F" w:rsidP="00E6334A">
            <w:pPr>
              <w:keepNext/>
              <w:widowControl w:val="0"/>
              <w:jc w:val="left"/>
              <w:rPr>
                <w:rFonts w:ascii="Arial Narrow" w:eastAsiaTheme="majorEastAsia" w:hAnsi="Arial Narrow" w:cstheme="majorBidi"/>
                <w:bCs/>
                <w:sz w:val="20"/>
                <w:szCs w:val="20"/>
              </w:rPr>
            </w:pPr>
            <w:r w:rsidRPr="00E6334A">
              <w:rPr>
                <w:rFonts w:ascii="Arial Narrow" w:hAnsi="Arial Narrow"/>
                <w:i/>
                <w:iCs/>
                <w:sz w:val="20"/>
                <w:szCs w:val="20"/>
              </w:rPr>
              <w:t>Confirmation of eligibility for treatment with diagnostic reports must be documented in the patient's medical records.</w:t>
            </w:r>
          </w:p>
        </w:tc>
      </w:tr>
      <w:tr w:rsidR="00E6334A" w:rsidRPr="00E6334A" w14:paraId="4F16ABB9" w14:textId="77777777" w:rsidTr="00E6334A">
        <w:tblPrEx>
          <w:tblCellMar>
            <w:top w:w="15" w:type="dxa"/>
            <w:bottom w:w="15" w:type="dxa"/>
          </w:tblCellMar>
        </w:tblPrEx>
        <w:trPr>
          <w:cantSplit/>
          <w:trHeight w:val="20"/>
        </w:trPr>
        <w:tc>
          <w:tcPr>
            <w:tcW w:w="5000" w:type="pct"/>
            <w:gridSpan w:val="7"/>
            <w:vAlign w:val="center"/>
          </w:tcPr>
          <w:p w14:paraId="6A8F946D" w14:textId="77777777" w:rsidR="00D4334F" w:rsidRPr="00E6334A" w:rsidRDefault="00D4334F" w:rsidP="00E6334A">
            <w:pPr>
              <w:keepNext/>
              <w:rPr>
                <w:rFonts w:ascii="Arial Narrow" w:hAnsi="Arial Narrow"/>
                <w:sz w:val="20"/>
                <w:szCs w:val="20"/>
              </w:rPr>
            </w:pPr>
            <w:r w:rsidRPr="00E6334A">
              <w:rPr>
                <w:rFonts w:ascii="Arial Narrow" w:hAnsi="Arial Narrow"/>
                <w:b/>
                <w:bCs/>
                <w:sz w:val="20"/>
                <w:szCs w:val="20"/>
              </w:rPr>
              <w:t xml:space="preserve">Prescribing Instructions: </w:t>
            </w:r>
          </w:p>
          <w:p w14:paraId="49769A88" w14:textId="77777777" w:rsidR="00D4334F" w:rsidRPr="00E6334A" w:rsidRDefault="00D4334F" w:rsidP="00E6334A">
            <w:pPr>
              <w:keepNext/>
              <w:widowControl w:val="0"/>
              <w:jc w:val="left"/>
              <w:rPr>
                <w:rFonts w:ascii="Arial Narrow" w:hAnsi="Arial Narrow"/>
                <w:i/>
                <w:iCs/>
                <w:sz w:val="20"/>
                <w:szCs w:val="20"/>
              </w:rPr>
            </w:pPr>
            <w:r w:rsidRPr="00E6334A">
              <w:rPr>
                <w:rFonts w:ascii="Arial Narrow" w:hAnsi="Arial Narrow"/>
                <w:i/>
                <w:iCs/>
                <w:sz w:val="20"/>
                <w:szCs w:val="20"/>
              </w:rPr>
              <w:t>At the time of authority application, medical practitioners must request the appropriate number of vials to provide sufficient drug, based on the dry body weight of the patient (in kg), adequate for 4 weeks, according to the specified dosage in the approved Product Information (PI). Up to a maximum of 2 repeats will be authorised. No more than 4 doses per week will be authorised even if the number of haemodialysis treatments in a week exceeds 4.</w:t>
            </w:r>
          </w:p>
          <w:p w14:paraId="5DB6F660" w14:textId="024EDC1A" w:rsidR="00FB28DA" w:rsidRPr="00E6334A" w:rsidRDefault="00FB28DA" w:rsidP="00E6334A">
            <w:pPr>
              <w:keepNext/>
              <w:widowControl w:val="0"/>
              <w:jc w:val="left"/>
              <w:rPr>
                <w:rFonts w:ascii="Arial Narrow" w:eastAsiaTheme="majorEastAsia" w:hAnsi="Arial Narrow" w:cstheme="majorBidi"/>
                <w:bCs/>
                <w:strike/>
                <w:sz w:val="20"/>
                <w:szCs w:val="20"/>
              </w:rPr>
            </w:pPr>
            <w:r w:rsidRPr="00E6334A">
              <w:rPr>
                <w:rFonts w:ascii="Arial Narrow" w:hAnsi="Arial Narrow"/>
                <w:strike/>
                <w:sz w:val="20"/>
                <w:szCs w:val="20"/>
              </w:rPr>
              <w:t>Requests for increased quantities may be authorised to provide sufficient doses for the initial 12 weeks of therapy based on the weight-based dosing table in the approved Product Information.</w:t>
            </w:r>
          </w:p>
        </w:tc>
      </w:tr>
    </w:tbl>
    <w:p w14:paraId="15336F2C" w14:textId="1EA7C647" w:rsidR="00017A25" w:rsidRPr="00E6334A" w:rsidRDefault="00017A25" w:rsidP="00E6334A">
      <w:pPr>
        <w:keepNext/>
        <w:rPr>
          <w:rFonts w:ascii="Arial Narrow" w:hAnsi="Arial Narrow"/>
          <w:sz w:val="20"/>
          <w:szCs w:val="20"/>
        </w:rPr>
      </w:pPr>
    </w:p>
    <w:tbl>
      <w:tblPr>
        <w:tblW w:w="50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2124"/>
        <w:gridCol w:w="991"/>
        <w:gridCol w:w="851"/>
        <w:gridCol w:w="851"/>
        <w:gridCol w:w="724"/>
        <w:gridCol w:w="1501"/>
      </w:tblGrid>
      <w:tr w:rsidR="00E6334A" w:rsidRPr="00E6334A" w14:paraId="725D25FF" w14:textId="77777777" w:rsidTr="00776D51">
        <w:tc>
          <w:tcPr>
            <w:tcW w:w="110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0657EC" w14:textId="77777777" w:rsidR="00F32AAB" w:rsidRPr="00E6334A" w:rsidRDefault="00F32AAB" w:rsidP="00776D51">
            <w:pPr>
              <w:tabs>
                <w:tab w:val="left" w:pos="6510"/>
              </w:tabs>
              <w:jc w:val="left"/>
              <w:rPr>
                <w:rFonts w:ascii="Arial Narrow" w:hAnsi="Arial Narrow"/>
                <w:b/>
                <w:sz w:val="20"/>
                <w:szCs w:val="20"/>
              </w:rPr>
            </w:pPr>
            <w:r w:rsidRPr="00E6334A">
              <w:rPr>
                <w:rFonts w:ascii="Arial Narrow" w:hAnsi="Arial Narrow"/>
                <w:b/>
                <w:sz w:val="20"/>
                <w:szCs w:val="20"/>
              </w:rPr>
              <w:t>Name, Restriction, Manner of administration and form</w:t>
            </w:r>
          </w:p>
        </w:tc>
        <w:tc>
          <w:tcPr>
            <w:tcW w:w="1176" w:type="pct"/>
            <w:tcBorders>
              <w:top w:val="single" w:sz="4" w:space="0" w:color="auto"/>
              <w:left w:val="single" w:sz="4" w:space="0" w:color="auto"/>
              <w:bottom w:val="single" w:sz="4" w:space="0" w:color="auto"/>
              <w:right w:val="single" w:sz="4" w:space="0" w:color="auto"/>
            </w:tcBorders>
            <w:vAlign w:val="center"/>
          </w:tcPr>
          <w:p w14:paraId="2C67C46A" w14:textId="77777777" w:rsidR="00F32AAB" w:rsidRPr="00E6334A" w:rsidRDefault="00F32AAB" w:rsidP="00776D51">
            <w:pPr>
              <w:tabs>
                <w:tab w:val="left" w:pos="6510"/>
              </w:tabs>
              <w:jc w:val="left"/>
              <w:rPr>
                <w:rFonts w:ascii="Arial Narrow" w:hAnsi="Arial Narrow"/>
                <w:b/>
                <w:sz w:val="20"/>
                <w:szCs w:val="20"/>
              </w:rPr>
            </w:pPr>
            <w:r w:rsidRPr="00E6334A">
              <w:rPr>
                <w:rFonts w:ascii="Arial Narrow" w:hAnsi="Arial Narrow"/>
                <w:b/>
                <w:sz w:val="20"/>
                <w:szCs w:val="20"/>
              </w:rPr>
              <w:t>Dispensed Price for Max. Qty a</w:t>
            </w:r>
          </w:p>
        </w:tc>
        <w:tc>
          <w:tcPr>
            <w:tcW w:w="5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E6DB85" w14:textId="77777777" w:rsidR="00F32AAB" w:rsidRPr="00E6334A" w:rsidRDefault="00F32AAB" w:rsidP="00776D51">
            <w:pPr>
              <w:tabs>
                <w:tab w:val="left" w:pos="6510"/>
              </w:tabs>
              <w:jc w:val="left"/>
              <w:rPr>
                <w:rFonts w:ascii="Arial Narrow" w:hAnsi="Arial Narrow"/>
                <w:b/>
                <w:sz w:val="20"/>
                <w:szCs w:val="20"/>
              </w:rPr>
            </w:pPr>
            <w:r w:rsidRPr="00E6334A">
              <w:rPr>
                <w:rFonts w:ascii="Arial Narrow" w:hAnsi="Arial Narrow"/>
                <w:b/>
                <w:sz w:val="20"/>
                <w:szCs w:val="20"/>
              </w:rPr>
              <w:t>PBS item code</w:t>
            </w:r>
          </w:p>
        </w:tc>
        <w:tc>
          <w:tcPr>
            <w:tcW w:w="47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803BF4" w14:textId="77777777" w:rsidR="00F32AAB" w:rsidRPr="00E6334A" w:rsidRDefault="00F32AAB" w:rsidP="00776D51">
            <w:pPr>
              <w:tabs>
                <w:tab w:val="left" w:pos="6510"/>
              </w:tabs>
              <w:jc w:val="left"/>
              <w:rPr>
                <w:rFonts w:ascii="Arial Narrow" w:hAnsi="Arial Narrow"/>
                <w:b/>
                <w:sz w:val="20"/>
                <w:szCs w:val="20"/>
              </w:rPr>
            </w:pPr>
            <w:r w:rsidRPr="00E6334A">
              <w:rPr>
                <w:rFonts w:ascii="Arial Narrow" w:hAnsi="Arial Narrow"/>
                <w:b/>
                <w:sz w:val="20"/>
                <w:szCs w:val="20"/>
              </w:rPr>
              <w:t>Max. qty packs</w:t>
            </w:r>
          </w:p>
        </w:tc>
        <w:tc>
          <w:tcPr>
            <w:tcW w:w="47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88FA26" w14:textId="77777777" w:rsidR="00F32AAB" w:rsidRPr="00E6334A" w:rsidRDefault="00F32AAB" w:rsidP="00776D51">
            <w:pPr>
              <w:tabs>
                <w:tab w:val="left" w:pos="6510"/>
              </w:tabs>
              <w:jc w:val="left"/>
              <w:rPr>
                <w:rFonts w:ascii="Arial Narrow" w:hAnsi="Arial Narrow"/>
                <w:b/>
                <w:sz w:val="20"/>
                <w:szCs w:val="20"/>
              </w:rPr>
            </w:pPr>
            <w:r w:rsidRPr="00E6334A">
              <w:rPr>
                <w:rFonts w:ascii="Arial Narrow" w:hAnsi="Arial Narrow"/>
                <w:b/>
                <w:sz w:val="20"/>
                <w:szCs w:val="20"/>
              </w:rPr>
              <w:t>Max. qty units</w:t>
            </w:r>
          </w:p>
        </w:tc>
        <w:tc>
          <w:tcPr>
            <w:tcW w:w="40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F15CF9" w14:textId="77777777" w:rsidR="00F32AAB" w:rsidRPr="00E6334A" w:rsidRDefault="00F32AAB" w:rsidP="00776D51">
            <w:pPr>
              <w:keepNext/>
              <w:jc w:val="left"/>
              <w:rPr>
                <w:rFonts w:ascii="Arial Narrow" w:hAnsi="Arial Narrow"/>
                <w:b/>
                <w:sz w:val="20"/>
                <w:szCs w:val="20"/>
              </w:rPr>
            </w:pPr>
            <w:r w:rsidRPr="00E6334A">
              <w:rPr>
                <w:rFonts w:ascii="Arial Narrow" w:hAnsi="Arial Narrow"/>
                <w:b/>
                <w:sz w:val="20"/>
                <w:szCs w:val="20"/>
              </w:rPr>
              <w:t>№.of</w:t>
            </w:r>
          </w:p>
          <w:p w14:paraId="378875C7" w14:textId="77777777" w:rsidR="00F32AAB" w:rsidRPr="00E6334A" w:rsidRDefault="00F32AAB" w:rsidP="00776D51">
            <w:pPr>
              <w:tabs>
                <w:tab w:val="left" w:pos="6510"/>
              </w:tabs>
              <w:jc w:val="left"/>
              <w:rPr>
                <w:rFonts w:ascii="Arial Narrow" w:hAnsi="Arial Narrow"/>
                <w:b/>
                <w:sz w:val="20"/>
                <w:szCs w:val="20"/>
              </w:rPr>
            </w:pPr>
            <w:r w:rsidRPr="00E6334A">
              <w:rPr>
                <w:rFonts w:ascii="Arial Narrow" w:hAnsi="Arial Narrow"/>
                <w:b/>
                <w:sz w:val="20"/>
                <w:szCs w:val="20"/>
              </w:rPr>
              <w:t>Rpts</w:t>
            </w:r>
          </w:p>
        </w:tc>
        <w:tc>
          <w:tcPr>
            <w:tcW w:w="8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1B2B6A" w14:textId="43966587" w:rsidR="00F32AAB" w:rsidRPr="00E6334A" w:rsidRDefault="00F32AAB" w:rsidP="00776D51">
            <w:pPr>
              <w:tabs>
                <w:tab w:val="left" w:pos="6510"/>
              </w:tabs>
              <w:jc w:val="left"/>
              <w:rPr>
                <w:rFonts w:ascii="Arial Narrow" w:hAnsi="Arial Narrow"/>
                <w:b/>
                <w:sz w:val="20"/>
                <w:szCs w:val="20"/>
              </w:rPr>
            </w:pPr>
            <w:r w:rsidRPr="00E6334A">
              <w:rPr>
                <w:rFonts w:ascii="Arial Narrow" w:hAnsi="Arial Narrow"/>
                <w:b/>
                <w:sz w:val="20"/>
                <w:szCs w:val="20"/>
              </w:rPr>
              <w:t>Proprietary Name and Manufacturer</w:t>
            </w:r>
          </w:p>
        </w:tc>
      </w:tr>
      <w:tr w:rsidR="00E6334A" w:rsidRPr="00E6334A" w14:paraId="3E2278C0" w14:textId="77777777" w:rsidTr="00776D51">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A879315" w14:textId="1CF50D64" w:rsidR="00F32AAB" w:rsidRPr="00E6334A" w:rsidRDefault="009D1BB6" w:rsidP="00776D51">
            <w:pPr>
              <w:keepNext/>
              <w:ind w:left="-108"/>
              <w:rPr>
                <w:rFonts w:ascii="Arial Narrow" w:hAnsi="Arial Narrow"/>
                <w:sz w:val="20"/>
                <w:szCs w:val="20"/>
              </w:rPr>
            </w:pPr>
            <w:r w:rsidRPr="00E6334A">
              <w:rPr>
                <w:rFonts w:ascii="Arial Narrow" w:hAnsi="Arial Narrow"/>
                <w:sz w:val="20"/>
                <w:szCs w:val="20"/>
              </w:rPr>
              <w:t xml:space="preserve">   </w:t>
            </w:r>
            <w:r w:rsidR="001C59C3" w:rsidRPr="00E6334A">
              <w:rPr>
                <w:rFonts w:ascii="Arial Narrow" w:hAnsi="Arial Narrow"/>
                <w:sz w:val="20"/>
                <w:szCs w:val="20"/>
              </w:rPr>
              <w:t>DIFELIKEFALIN</w:t>
            </w:r>
          </w:p>
        </w:tc>
      </w:tr>
      <w:tr w:rsidR="00E6334A" w:rsidRPr="00E6334A" w14:paraId="17C55192" w14:textId="77777777" w:rsidTr="00F32AAB">
        <w:tc>
          <w:tcPr>
            <w:tcW w:w="110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7F3BC9" w14:textId="5BDF9CFB" w:rsidR="00F32AAB" w:rsidRPr="00E6334A" w:rsidRDefault="00F32AAB" w:rsidP="00F32AAB">
            <w:pPr>
              <w:tabs>
                <w:tab w:val="left" w:pos="6510"/>
              </w:tabs>
              <w:jc w:val="left"/>
              <w:rPr>
                <w:rFonts w:ascii="Arial Narrow" w:hAnsi="Arial Narrow"/>
                <w:b/>
                <w:sz w:val="20"/>
                <w:szCs w:val="20"/>
              </w:rPr>
            </w:pPr>
            <w:r w:rsidRPr="00E6334A">
              <w:rPr>
                <w:rFonts w:ascii="Arial Narrow" w:hAnsi="Arial Narrow"/>
                <w:sz w:val="20"/>
                <w:szCs w:val="20"/>
              </w:rPr>
              <w:t xml:space="preserve">Difelikefalin 50 microgram/mL injection, </w:t>
            </w:r>
            <w:r w:rsidRPr="00E6334A">
              <w:rPr>
                <w:rFonts w:ascii="Arial Narrow" w:hAnsi="Arial Narrow"/>
                <w:sz w:val="20"/>
                <w:szCs w:val="20"/>
              </w:rPr>
              <w:br/>
              <w:t>12 x 1mL vial</w:t>
            </w:r>
          </w:p>
        </w:tc>
        <w:tc>
          <w:tcPr>
            <w:tcW w:w="1176" w:type="pct"/>
            <w:tcBorders>
              <w:top w:val="single" w:sz="4" w:space="0" w:color="auto"/>
              <w:left w:val="single" w:sz="4" w:space="0" w:color="auto"/>
              <w:bottom w:val="single" w:sz="4" w:space="0" w:color="auto"/>
              <w:right w:val="single" w:sz="4" w:space="0" w:color="auto"/>
            </w:tcBorders>
            <w:vAlign w:val="center"/>
          </w:tcPr>
          <w:p w14:paraId="6B256648" w14:textId="77777777" w:rsidR="00F32AAB" w:rsidRPr="00E6334A" w:rsidRDefault="00F32AAB" w:rsidP="00776D51">
            <w:pPr>
              <w:pStyle w:val="COMTabletext"/>
              <w:keepLines/>
              <w:jc w:val="center"/>
              <w:rPr>
                <w:szCs w:val="20"/>
                <w:u w:val="single"/>
              </w:rPr>
            </w:pPr>
            <w:r w:rsidRPr="00E6334A">
              <w:rPr>
                <w:szCs w:val="20"/>
                <w:u w:val="single"/>
              </w:rPr>
              <w:t>Public</w:t>
            </w:r>
          </w:p>
          <w:p w14:paraId="14D1D750" w14:textId="77777777" w:rsidR="00F32AAB" w:rsidRPr="00E6334A" w:rsidRDefault="00F32AAB" w:rsidP="00776D51">
            <w:pPr>
              <w:pStyle w:val="COMTabletext"/>
              <w:keepLines/>
              <w:jc w:val="center"/>
              <w:rPr>
                <w:szCs w:val="20"/>
              </w:rPr>
            </w:pPr>
            <w:r w:rsidRPr="00E6334A">
              <w:rPr>
                <w:szCs w:val="20"/>
              </w:rPr>
              <w:t>$540.00 (published)</w:t>
            </w:r>
          </w:p>
          <w:p w14:paraId="513DD4FA" w14:textId="486A3959" w:rsidR="00F32AAB" w:rsidRPr="00E6334A" w:rsidRDefault="00D014A3" w:rsidP="00776D51">
            <w:pPr>
              <w:pStyle w:val="COMTabletext"/>
              <w:keepLines/>
              <w:jc w:val="center"/>
              <w:rPr>
                <w:szCs w:val="20"/>
              </w:rPr>
            </w:pPr>
            <w:r>
              <w:rPr>
                <w:szCs w:val="20"/>
              </w:rPr>
              <w:t>$</w:t>
            </w:r>
            <w:r w:rsidR="008A42F6" w:rsidRPr="00D014A3">
              <w:rPr>
                <w:rFonts w:hint="eastAsia"/>
                <w:color w:val="000000"/>
                <w:w w:val="15"/>
                <w:szCs w:val="20"/>
                <w:shd w:val="solid" w:color="000000" w:fill="000000"/>
                <w:fitText w:val="50" w:id="-1032102901"/>
                <w14:textFill>
                  <w14:solidFill>
                    <w14:srgbClr w14:val="000000">
                      <w14:alpha w14:val="100000"/>
                    </w14:srgbClr>
                  </w14:solidFill>
                </w14:textFill>
              </w:rPr>
              <w:t xml:space="preserve">　</w:t>
            </w:r>
            <w:r w:rsidR="008A42F6" w:rsidRPr="00D014A3">
              <w:rPr>
                <w:color w:val="000000"/>
                <w:w w:val="15"/>
                <w:szCs w:val="20"/>
                <w:shd w:val="solid" w:color="000000" w:fill="000000"/>
                <w:fitText w:val="50" w:id="-1032102901"/>
                <w14:textFill>
                  <w14:solidFill>
                    <w14:srgbClr w14:val="000000">
                      <w14:alpha w14:val="100000"/>
                    </w14:srgbClr>
                  </w14:solidFill>
                </w14:textFill>
              </w:rPr>
              <w:t>|</w:t>
            </w:r>
            <w:r w:rsidR="008A42F6" w:rsidRPr="00D014A3">
              <w:rPr>
                <w:rFonts w:hint="eastAsia"/>
                <w:color w:val="000000"/>
                <w:spacing w:val="-15"/>
                <w:w w:val="15"/>
                <w:szCs w:val="20"/>
                <w:shd w:val="solid" w:color="000000" w:fill="000000"/>
                <w:fitText w:val="50" w:id="-1032102901"/>
                <w14:textFill>
                  <w14:solidFill>
                    <w14:srgbClr w14:val="000000">
                      <w14:alpha w14:val="100000"/>
                    </w14:srgbClr>
                  </w14:solidFill>
                </w14:textFill>
              </w:rPr>
              <w:t xml:space="preserve">　</w:t>
            </w:r>
            <w:r w:rsidR="00F32AAB" w:rsidRPr="00E6334A">
              <w:rPr>
                <w:szCs w:val="20"/>
              </w:rPr>
              <w:t xml:space="preserve"> (effective)</w:t>
            </w:r>
          </w:p>
          <w:p w14:paraId="4C206E82" w14:textId="186A4817" w:rsidR="00F32AAB" w:rsidRPr="00E6334A" w:rsidRDefault="00D014A3" w:rsidP="00776D51">
            <w:pPr>
              <w:pStyle w:val="COMTabletext"/>
              <w:keepLines/>
              <w:jc w:val="center"/>
              <w:rPr>
                <w:szCs w:val="20"/>
              </w:rPr>
            </w:pPr>
            <w:r>
              <w:rPr>
                <w:szCs w:val="20"/>
              </w:rPr>
              <w:t>$</w:t>
            </w:r>
            <w:r w:rsidR="008A42F6" w:rsidRPr="00D014A3">
              <w:rPr>
                <w:rFonts w:hint="eastAsia"/>
                <w:color w:val="000000"/>
                <w:w w:val="22"/>
                <w:szCs w:val="20"/>
                <w:shd w:val="solid" w:color="000000" w:fill="000000"/>
                <w:fitText w:val="100" w:id="-1032102900"/>
                <w14:textFill>
                  <w14:solidFill>
                    <w14:srgbClr w14:val="000000">
                      <w14:alpha w14:val="100000"/>
                    </w14:srgbClr>
                  </w14:solidFill>
                </w14:textFill>
              </w:rPr>
              <w:t xml:space="preserve">　</w:t>
            </w:r>
            <w:r w:rsidR="008A42F6" w:rsidRPr="00D014A3">
              <w:rPr>
                <w:color w:val="000000"/>
                <w:w w:val="22"/>
                <w:szCs w:val="20"/>
                <w:shd w:val="solid" w:color="000000" w:fill="000000"/>
                <w:fitText w:val="100" w:id="-1032102900"/>
                <w14:textFill>
                  <w14:solidFill>
                    <w14:srgbClr w14:val="000000">
                      <w14:alpha w14:val="100000"/>
                    </w14:srgbClr>
                  </w14:solidFill>
                </w14:textFill>
              </w:rPr>
              <w:t>|</w:t>
            </w:r>
            <w:r w:rsidR="008A42F6" w:rsidRPr="00D014A3">
              <w:rPr>
                <w:rFonts w:hint="eastAsia"/>
                <w:color w:val="000000"/>
                <w:w w:val="22"/>
                <w:szCs w:val="20"/>
                <w:shd w:val="solid" w:color="000000" w:fill="000000"/>
                <w:fitText w:val="100" w:id="-1032102900"/>
                <w14:textFill>
                  <w14:solidFill>
                    <w14:srgbClr w14:val="000000">
                      <w14:alpha w14:val="100000"/>
                    </w14:srgbClr>
                  </w14:solidFill>
                </w14:textFill>
              </w:rPr>
              <w:t xml:space="preserve">　</w:t>
            </w:r>
            <w:r w:rsidR="00F32AAB" w:rsidRPr="00E6334A">
              <w:rPr>
                <w:szCs w:val="20"/>
              </w:rPr>
              <w:t xml:space="preserve"> (</w:t>
            </w:r>
            <w:r w:rsidR="00DB1A72" w:rsidRPr="00E6334A">
              <w:rPr>
                <w:szCs w:val="20"/>
              </w:rPr>
              <w:t>p</w:t>
            </w:r>
            <w:r w:rsidR="00F32AAB" w:rsidRPr="00E6334A">
              <w:rPr>
                <w:szCs w:val="20"/>
              </w:rPr>
              <w:t>re-PBAC)</w:t>
            </w:r>
          </w:p>
          <w:p w14:paraId="133C5C74" w14:textId="77777777" w:rsidR="00F32AAB" w:rsidRPr="00E6334A" w:rsidRDefault="00F32AAB" w:rsidP="00776D51">
            <w:pPr>
              <w:pStyle w:val="COMTabletext"/>
              <w:keepLines/>
              <w:jc w:val="center"/>
              <w:rPr>
                <w:szCs w:val="20"/>
              </w:rPr>
            </w:pPr>
          </w:p>
          <w:p w14:paraId="0DB37ED9" w14:textId="77777777" w:rsidR="00F32AAB" w:rsidRPr="00E6334A" w:rsidRDefault="00F32AAB" w:rsidP="00776D51">
            <w:pPr>
              <w:pStyle w:val="COMTabletext"/>
              <w:keepLines/>
              <w:jc w:val="center"/>
              <w:rPr>
                <w:szCs w:val="20"/>
                <w:u w:val="single"/>
              </w:rPr>
            </w:pPr>
            <w:r w:rsidRPr="00E6334A">
              <w:rPr>
                <w:szCs w:val="20"/>
                <w:u w:val="single"/>
              </w:rPr>
              <w:t>Private</w:t>
            </w:r>
          </w:p>
          <w:p w14:paraId="3A1600DB" w14:textId="77777777" w:rsidR="00F32AAB" w:rsidRPr="00E6334A" w:rsidRDefault="00F32AAB" w:rsidP="00776D51">
            <w:pPr>
              <w:pStyle w:val="COMTabletext"/>
              <w:keepLines/>
              <w:jc w:val="center"/>
              <w:rPr>
                <w:szCs w:val="20"/>
              </w:rPr>
            </w:pPr>
            <w:r w:rsidRPr="00E6334A">
              <w:rPr>
                <w:szCs w:val="20"/>
              </w:rPr>
              <w:t>$569.97 (published)</w:t>
            </w:r>
          </w:p>
          <w:p w14:paraId="792BA9F9" w14:textId="1A0B6CD5" w:rsidR="00F32AAB" w:rsidRPr="00E6334A" w:rsidRDefault="00D014A3" w:rsidP="00776D51">
            <w:pPr>
              <w:pStyle w:val="COMTabletext"/>
              <w:keepLines/>
              <w:jc w:val="center"/>
              <w:rPr>
                <w:szCs w:val="20"/>
              </w:rPr>
            </w:pPr>
            <w:r>
              <w:rPr>
                <w:szCs w:val="20"/>
              </w:rPr>
              <w:t>$</w:t>
            </w:r>
            <w:r w:rsidR="008A42F6" w:rsidRPr="00D014A3">
              <w:rPr>
                <w:rFonts w:hint="eastAsia"/>
                <w:color w:val="000000"/>
                <w:w w:val="15"/>
                <w:szCs w:val="20"/>
                <w:shd w:val="solid" w:color="000000" w:fill="000000"/>
                <w:fitText w:val="50" w:id="-1032102899"/>
                <w14:textFill>
                  <w14:solidFill>
                    <w14:srgbClr w14:val="000000">
                      <w14:alpha w14:val="100000"/>
                    </w14:srgbClr>
                  </w14:solidFill>
                </w14:textFill>
              </w:rPr>
              <w:t xml:space="preserve">　</w:t>
            </w:r>
            <w:r w:rsidR="008A42F6" w:rsidRPr="00D014A3">
              <w:rPr>
                <w:color w:val="000000"/>
                <w:w w:val="15"/>
                <w:szCs w:val="20"/>
                <w:shd w:val="solid" w:color="000000" w:fill="000000"/>
                <w:fitText w:val="50" w:id="-1032102899"/>
                <w14:textFill>
                  <w14:solidFill>
                    <w14:srgbClr w14:val="000000">
                      <w14:alpha w14:val="100000"/>
                    </w14:srgbClr>
                  </w14:solidFill>
                </w14:textFill>
              </w:rPr>
              <w:t>|</w:t>
            </w:r>
            <w:r w:rsidR="008A42F6" w:rsidRPr="00D014A3">
              <w:rPr>
                <w:rFonts w:hint="eastAsia"/>
                <w:color w:val="000000"/>
                <w:spacing w:val="-15"/>
                <w:w w:val="15"/>
                <w:szCs w:val="20"/>
                <w:shd w:val="solid" w:color="000000" w:fill="000000"/>
                <w:fitText w:val="50" w:id="-1032102899"/>
                <w14:textFill>
                  <w14:solidFill>
                    <w14:srgbClr w14:val="000000">
                      <w14:alpha w14:val="100000"/>
                    </w14:srgbClr>
                  </w14:solidFill>
                </w14:textFill>
              </w:rPr>
              <w:t xml:space="preserve">　</w:t>
            </w:r>
            <w:r w:rsidR="00F32AAB" w:rsidRPr="00E6334A">
              <w:rPr>
                <w:szCs w:val="20"/>
              </w:rPr>
              <w:t xml:space="preserve"> (effective)</w:t>
            </w:r>
          </w:p>
          <w:p w14:paraId="1B249C30" w14:textId="7DE0DE62" w:rsidR="00F32AAB" w:rsidRPr="00E6334A" w:rsidRDefault="00D014A3" w:rsidP="00776D51">
            <w:pPr>
              <w:tabs>
                <w:tab w:val="left" w:pos="6510"/>
              </w:tabs>
              <w:jc w:val="center"/>
              <w:rPr>
                <w:rFonts w:ascii="Arial Narrow" w:hAnsi="Arial Narrow"/>
                <w:b/>
                <w:sz w:val="20"/>
                <w:szCs w:val="20"/>
              </w:rPr>
            </w:pPr>
            <w:r>
              <w:rPr>
                <w:rFonts w:ascii="Arial Narrow" w:eastAsiaTheme="majorEastAsia" w:hAnsi="Arial Narrow" w:cstheme="majorBidi"/>
                <w:bCs/>
                <w:sz w:val="20"/>
                <w:szCs w:val="20"/>
              </w:rPr>
              <w:t>$</w:t>
            </w:r>
            <w:r w:rsidR="008A42F6" w:rsidRPr="00D014A3">
              <w:rPr>
                <w:rFonts w:ascii="Arial Narrow" w:eastAsiaTheme="majorEastAsia" w:hAnsi="Arial Narrow" w:cstheme="majorBidi" w:hint="eastAsia"/>
                <w:bCs/>
                <w:color w:val="000000"/>
                <w:w w:val="22"/>
                <w:sz w:val="20"/>
                <w:szCs w:val="20"/>
                <w:shd w:val="solid" w:color="000000" w:fill="000000"/>
                <w:fitText w:val="100" w:id="-1032102898"/>
                <w14:textFill>
                  <w14:solidFill>
                    <w14:srgbClr w14:val="000000">
                      <w14:alpha w14:val="100000"/>
                    </w14:srgbClr>
                  </w14:solidFill>
                </w14:textFill>
              </w:rPr>
              <w:t xml:space="preserve">　</w:t>
            </w:r>
            <w:r w:rsidR="008A42F6" w:rsidRPr="00D014A3">
              <w:rPr>
                <w:rFonts w:ascii="Arial Narrow" w:eastAsiaTheme="majorEastAsia" w:hAnsi="Arial Narrow" w:cstheme="majorBidi"/>
                <w:bCs/>
                <w:color w:val="000000"/>
                <w:w w:val="22"/>
                <w:sz w:val="20"/>
                <w:szCs w:val="20"/>
                <w:shd w:val="solid" w:color="000000" w:fill="000000"/>
                <w:fitText w:val="100" w:id="-1032102898"/>
                <w14:textFill>
                  <w14:solidFill>
                    <w14:srgbClr w14:val="000000">
                      <w14:alpha w14:val="100000"/>
                    </w14:srgbClr>
                  </w14:solidFill>
                </w14:textFill>
              </w:rPr>
              <w:t>|</w:t>
            </w:r>
            <w:r w:rsidR="008A42F6" w:rsidRPr="00D014A3">
              <w:rPr>
                <w:rFonts w:ascii="Arial Narrow" w:eastAsiaTheme="majorEastAsia" w:hAnsi="Arial Narrow" w:cstheme="majorBidi" w:hint="eastAsia"/>
                <w:bCs/>
                <w:color w:val="000000"/>
                <w:w w:val="22"/>
                <w:sz w:val="20"/>
                <w:szCs w:val="20"/>
                <w:shd w:val="solid" w:color="000000" w:fill="000000"/>
                <w:fitText w:val="100" w:id="-1032102898"/>
                <w14:textFill>
                  <w14:solidFill>
                    <w14:srgbClr w14:val="000000">
                      <w14:alpha w14:val="100000"/>
                    </w14:srgbClr>
                  </w14:solidFill>
                </w14:textFill>
              </w:rPr>
              <w:t xml:space="preserve">　</w:t>
            </w:r>
            <w:r w:rsidR="00F32AAB" w:rsidRPr="00E6334A">
              <w:rPr>
                <w:rFonts w:ascii="Arial Narrow" w:eastAsiaTheme="majorEastAsia" w:hAnsi="Arial Narrow" w:cstheme="majorBidi"/>
                <w:bCs/>
                <w:sz w:val="20"/>
                <w:szCs w:val="20"/>
              </w:rPr>
              <w:t xml:space="preserve"> (</w:t>
            </w:r>
            <w:r w:rsidR="00DB1A72" w:rsidRPr="00E6334A">
              <w:rPr>
                <w:rFonts w:ascii="Arial Narrow" w:eastAsiaTheme="majorEastAsia" w:hAnsi="Arial Narrow" w:cstheme="majorBidi"/>
                <w:bCs/>
                <w:sz w:val="20"/>
                <w:szCs w:val="20"/>
              </w:rPr>
              <w:t>p</w:t>
            </w:r>
            <w:r w:rsidR="00F32AAB" w:rsidRPr="00E6334A">
              <w:rPr>
                <w:rFonts w:ascii="Arial Narrow" w:eastAsiaTheme="majorEastAsia" w:hAnsi="Arial Narrow" w:cstheme="majorBidi"/>
                <w:bCs/>
                <w:sz w:val="20"/>
                <w:szCs w:val="20"/>
              </w:rPr>
              <w:t>re-PBAC)</w:t>
            </w:r>
          </w:p>
        </w:tc>
        <w:tc>
          <w:tcPr>
            <w:tcW w:w="5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688921C" w14:textId="77777777" w:rsidR="00F32AAB" w:rsidRPr="00E6334A" w:rsidRDefault="00F32AAB" w:rsidP="00776D51">
            <w:pPr>
              <w:tabs>
                <w:tab w:val="left" w:pos="6510"/>
              </w:tabs>
              <w:jc w:val="center"/>
              <w:rPr>
                <w:rFonts w:ascii="Arial Narrow" w:hAnsi="Arial Narrow"/>
                <w:bCs/>
                <w:sz w:val="20"/>
                <w:szCs w:val="20"/>
              </w:rPr>
            </w:pPr>
            <w:r w:rsidRPr="00E6334A">
              <w:rPr>
                <w:rFonts w:ascii="Arial Narrow" w:hAnsi="Arial Narrow"/>
                <w:bCs/>
                <w:sz w:val="20"/>
                <w:szCs w:val="20"/>
              </w:rPr>
              <w:t>New HSD (Public)</w:t>
            </w:r>
          </w:p>
          <w:p w14:paraId="205A309D" w14:textId="77777777" w:rsidR="00F32AAB" w:rsidRPr="00E6334A" w:rsidRDefault="00F32AAB" w:rsidP="00776D51">
            <w:pPr>
              <w:tabs>
                <w:tab w:val="left" w:pos="6510"/>
              </w:tabs>
              <w:jc w:val="center"/>
              <w:rPr>
                <w:rFonts w:ascii="Arial Narrow" w:hAnsi="Arial Narrow"/>
                <w:b/>
                <w:sz w:val="20"/>
                <w:szCs w:val="20"/>
              </w:rPr>
            </w:pPr>
            <w:r w:rsidRPr="00E6334A">
              <w:rPr>
                <w:rFonts w:ascii="Arial Narrow" w:hAnsi="Arial Narrow"/>
                <w:bCs/>
                <w:sz w:val="20"/>
                <w:szCs w:val="20"/>
              </w:rPr>
              <w:t>New HSD (Private)</w:t>
            </w:r>
          </w:p>
        </w:tc>
        <w:tc>
          <w:tcPr>
            <w:tcW w:w="47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07B4DA" w14:textId="77777777" w:rsidR="00F32AAB" w:rsidRPr="00E6334A" w:rsidRDefault="00F32AAB" w:rsidP="00776D51">
            <w:pPr>
              <w:tabs>
                <w:tab w:val="left" w:pos="6510"/>
              </w:tabs>
              <w:jc w:val="center"/>
              <w:rPr>
                <w:rFonts w:ascii="Arial Narrow" w:hAnsi="Arial Narrow"/>
                <w:bCs/>
                <w:sz w:val="20"/>
                <w:szCs w:val="20"/>
              </w:rPr>
            </w:pPr>
            <w:r w:rsidRPr="00E6334A">
              <w:rPr>
                <w:rFonts w:ascii="Arial Narrow" w:hAnsi="Arial Narrow"/>
                <w:bCs/>
                <w:sz w:val="20"/>
                <w:szCs w:val="20"/>
              </w:rPr>
              <w:t>1</w:t>
            </w:r>
          </w:p>
        </w:tc>
        <w:tc>
          <w:tcPr>
            <w:tcW w:w="47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5B1E36B" w14:textId="77777777" w:rsidR="00F32AAB" w:rsidRPr="00E6334A" w:rsidRDefault="00F32AAB" w:rsidP="00776D51">
            <w:pPr>
              <w:tabs>
                <w:tab w:val="left" w:pos="6510"/>
              </w:tabs>
              <w:jc w:val="center"/>
              <w:rPr>
                <w:rFonts w:ascii="Arial Narrow" w:hAnsi="Arial Narrow"/>
                <w:bCs/>
                <w:sz w:val="20"/>
                <w:szCs w:val="20"/>
              </w:rPr>
            </w:pPr>
            <w:r w:rsidRPr="00E6334A">
              <w:rPr>
                <w:rFonts w:ascii="Arial Narrow" w:hAnsi="Arial Narrow"/>
                <w:bCs/>
                <w:sz w:val="20"/>
                <w:szCs w:val="20"/>
              </w:rPr>
              <w:t>12</w:t>
            </w:r>
          </w:p>
        </w:tc>
        <w:tc>
          <w:tcPr>
            <w:tcW w:w="40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46E39A4" w14:textId="291669A5" w:rsidR="00F32AAB" w:rsidRPr="00E6334A" w:rsidRDefault="00F32AAB" w:rsidP="00776D51">
            <w:pPr>
              <w:tabs>
                <w:tab w:val="left" w:pos="6510"/>
              </w:tabs>
              <w:jc w:val="center"/>
              <w:rPr>
                <w:rFonts w:ascii="Arial Narrow" w:hAnsi="Arial Narrow"/>
                <w:bCs/>
                <w:sz w:val="20"/>
                <w:szCs w:val="20"/>
              </w:rPr>
            </w:pPr>
            <w:r w:rsidRPr="00E6334A">
              <w:rPr>
                <w:rFonts w:ascii="Arial Narrow" w:hAnsi="Arial Narrow"/>
                <w:bCs/>
                <w:sz w:val="20"/>
                <w:szCs w:val="20"/>
              </w:rPr>
              <w:t>5</w:t>
            </w:r>
          </w:p>
        </w:tc>
        <w:tc>
          <w:tcPr>
            <w:tcW w:w="8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A62425" w14:textId="77777777" w:rsidR="00F32AAB" w:rsidRPr="00E6334A" w:rsidRDefault="00F32AAB" w:rsidP="00D014A3">
            <w:pPr>
              <w:tabs>
                <w:tab w:val="left" w:pos="6510"/>
              </w:tabs>
              <w:ind w:firstLine="400"/>
              <w:rPr>
                <w:rFonts w:ascii="Arial Narrow" w:hAnsi="Arial Narrow"/>
                <w:sz w:val="20"/>
                <w:szCs w:val="20"/>
              </w:rPr>
            </w:pPr>
            <w:r w:rsidRPr="00E6334A">
              <w:rPr>
                <w:rFonts w:ascii="Arial Narrow" w:hAnsi="Arial Narrow"/>
                <w:sz w:val="20"/>
                <w:szCs w:val="20"/>
              </w:rPr>
              <w:t>Korsuva</w:t>
            </w:r>
          </w:p>
        </w:tc>
      </w:tr>
      <w:tr w:rsidR="00E6334A" w:rsidRPr="00E6334A" w14:paraId="615BB45A" w14:textId="77777777" w:rsidTr="00776D51">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7D71560" w14:textId="77777777" w:rsidR="00F32AAB" w:rsidRPr="00E6334A" w:rsidRDefault="00F32AAB" w:rsidP="00776D51">
            <w:pPr>
              <w:tabs>
                <w:tab w:val="left" w:pos="6510"/>
              </w:tabs>
              <w:ind w:firstLine="720"/>
              <w:rPr>
                <w:rFonts w:ascii="Arial Narrow" w:hAnsi="Arial Narrow"/>
                <w:b/>
                <w:sz w:val="20"/>
                <w:szCs w:val="20"/>
              </w:rPr>
            </w:pPr>
            <w:r w:rsidRPr="00E6334A">
              <w:rPr>
                <w:rFonts w:ascii="Arial Narrow" w:hAnsi="Arial Narrow"/>
                <w:b/>
                <w:sz w:val="20"/>
                <w:szCs w:val="20"/>
              </w:rPr>
              <w:tab/>
            </w:r>
          </w:p>
        </w:tc>
      </w:tr>
      <w:tr w:rsidR="00E6334A" w:rsidRPr="00E6334A" w14:paraId="505A68E9" w14:textId="77777777" w:rsidTr="00776D51">
        <w:trPr>
          <w:trHeight w:val="230"/>
        </w:trPr>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622CE8B" w14:textId="0B8BC8F8" w:rsidR="00F32AAB" w:rsidRPr="00E6334A" w:rsidRDefault="00F32AAB" w:rsidP="00776D51">
            <w:pPr>
              <w:rPr>
                <w:rFonts w:ascii="Arial Narrow" w:hAnsi="Arial Narrow"/>
                <w:b/>
                <w:sz w:val="20"/>
                <w:szCs w:val="20"/>
              </w:rPr>
            </w:pPr>
            <w:r w:rsidRPr="00E6334A">
              <w:rPr>
                <w:rFonts w:ascii="Arial Narrow" w:hAnsi="Arial Narrow"/>
                <w:b/>
                <w:sz w:val="20"/>
                <w:szCs w:val="20"/>
              </w:rPr>
              <w:t xml:space="preserve">  Restriction Summary [new 3] / Treatment of Concept: [new 4]</w:t>
            </w:r>
          </w:p>
        </w:tc>
      </w:tr>
      <w:tr w:rsidR="00E6334A" w:rsidRPr="00E6334A" w14:paraId="238D82F6" w14:textId="77777777" w:rsidTr="00776D51">
        <w:trPr>
          <w:trHeight w:val="230"/>
        </w:trPr>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2EB93DF" w14:textId="7853B8FD" w:rsidR="00F32AAB" w:rsidRPr="00E6334A" w:rsidRDefault="00F32AAB" w:rsidP="00F32AAB">
            <w:pPr>
              <w:rPr>
                <w:rFonts w:ascii="Arial Narrow" w:hAnsi="Arial Narrow"/>
                <w:sz w:val="20"/>
                <w:szCs w:val="20"/>
              </w:rPr>
            </w:pPr>
            <w:r w:rsidRPr="00E6334A">
              <w:rPr>
                <w:rFonts w:ascii="Arial Narrow" w:hAnsi="Arial Narrow"/>
                <w:b/>
                <w:sz w:val="20"/>
                <w:szCs w:val="20"/>
              </w:rPr>
              <w:t xml:space="preserve">  Category / Program:   </w:t>
            </w:r>
          </w:p>
          <w:p w14:paraId="48D16145" w14:textId="1C3E7FF1" w:rsidR="00F32AAB" w:rsidRPr="00E6334A" w:rsidRDefault="00F32AAB" w:rsidP="00F32AAB">
            <w:pPr>
              <w:rPr>
                <w:rFonts w:ascii="Arial Narrow" w:hAnsi="Arial Narrow"/>
                <w:b/>
                <w:sz w:val="20"/>
                <w:szCs w:val="20"/>
              </w:rPr>
            </w:pPr>
            <w:r w:rsidRPr="00E6334A">
              <w:rPr>
                <w:rFonts w:ascii="Arial Narrow" w:hAnsi="Arial Narrow"/>
                <w:sz w:val="20"/>
                <w:szCs w:val="20"/>
              </w:rPr>
              <w:t xml:space="preserve">  Section 100 – Highly Specialised Drugs Program {Public and Private Hospitals} </w:t>
            </w:r>
          </w:p>
        </w:tc>
      </w:tr>
      <w:tr w:rsidR="00E6334A" w:rsidRPr="00E6334A" w14:paraId="4BA6DAB7" w14:textId="77777777" w:rsidTr="00776D51">
        <w:trPr>
          <w:trHeight w:val="230"/>
        </w:trPr>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B1B916D" w14:textId="4F3104DB" w:rsidR="00F32AAB" w:rsidRPr="00E6334A" w:rsidRDefault="00F32AAB" w:rsidP="00F32AAB">
            <w:pPr>
              <w:rPr>
                <w:rFonts w:ascii="Arial Narrow" w:hAnsi="Arial Narrow"/>
                <w:b/>
                <w:sz w:val="20"/>
                <w:szCs w:val="20"/>
              </w:rPr>
            </w:pPr>
            <w:r w:rsidRPr="00E6334A">
              <w:rPr>
                <w:rFonts w:ascii="Arial Narrow" w:hAnsi="Arial Narrow"/>
                <w:b/>
                <w:sz w:val="20"/>
                <w:szCs w:val="20"/>
              </w:rPr>
              <w:t xml:space="preserve">  Prescriber type:  </w:t>
            </w:r>
            <w:r w:rsidRPr="00E6334A">
              <w:rPr>
                <w:rFonts w:ascii="Arial Narrow" w:hAnsi="Arial Narrow"/>
                <w:sz w:val="20"/>
                <w:szCs w:val="20"/>
              </w:rPr>
              <w:fldChar w:fldCharType="begin" w:fldLock="1">
                <w:ffData>
                  <w:name w:val=""/>
                  <w:enabled/>
                  <w:calcOnExit w:val="0"/>
                  <w:checkBox>
                    <w:sizeAuto/>
                    <w:default w:val="1"/>
                  </w:checkBox>
                </w:ffData>
              </w:fldChar>
            </w:r>
            <w:r w:rsidRPr="00E6334A">
              <w:rPr>
                <w:rFonts w:ascii="Arial Narrow" w:hAnsi="Arial Narrow"/>
                <w:sz w:val="20"/>
                <w:szCs w:val="20"/>
              </w:rPr>
              <w:instrText xml:space="preserve"> FORMCHECKBOX </w:instrText>
            </w:r>
            <w:r w:rsidR="00690B5F">
              <w:rPr>
                <w:rFonts w:ascii="Arial Narrow" w:hAnsi="Arial Narrow"/>
                <w:sz w:val="20"/>
                <w:szCs w:val="20"/>
              </w:rPr>
            </w:r>
            <w:r w:rsidR="00690B5F">
              <w:rPr>
                <w:rFonts w:ascii="Arial Narrow" w:hAnsi="Arial Narrow"/>
                <w:sz w:val="20"/>
                <w:szCs w:val="20"/>
              </w:rPr>
              <w:fldChar w:fldCharType="separate"/>
            </w:r>
            <w:r w:rsidRPr="00E6334A">
              <w:rPr>
                <w:rFonts w:ascii="Arial Narrow" w:hAnsi="Arial Narrow"/>
                <w:sz w:val="20"/>
                <w:szCs w:val="20"/>
              </w:rPr>
              <w:fldChar w:fldCharType="end"/>
            </w:r>
            <w:r w:rsidRPr="00E6334A">
              <w:rPr>
                <w:rFonts w:ascii="Arial Narrow" w:hAnsi="Arial Narrow"/>
                <w:sz w:val="20"/>
                <w:szCs w:val="20"/>
              </w:rPr>
              <w:t xml:space="preserve">Medical Practitioners  </w:t>
            </w:r>
          </w:p>
        </w:tc>
      </w:tr>
      <w:tr w:rsidR="00E6334A" w:rsidRPr="00E6334A" w14:paraId="1B6A139D" w14:textId="77777777" w:rsidTr="00776D51">
        <w:trPr>
          <w:trHeight w:val="230"/>
        </w:trPr>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DBA4581" w14:textId="1EFD95C4" w:rsidR="00F32AAB" w:rsidRPr="00E6334A" w:rsidRDefault="00F32AAB" w:rsidP="00F32AAB">
            <w:pPr>
              <w:rPr>
                <w:rFonts w:ascii="Arial Narrow" w:hAnsi="Arial Narrow"/>
                <w:b/>
                <w:sz w:val="20"/>
                <w:szCs w:val="20"/>
              </w:rPr>
            </w:pPr>
            <w:r w:rsidRPr="00E6334A">
              <w:rPr>
                <w:rFonts w:ascii="Arial Narrow" w:hAnsi="Arial Narrow"/>
                <w:b/>
                <w:sz w:val="20"/>
                <w:szCs w:val="20"/>
              </w:rPr>
              <w:t xml:space="preserve">  Restriction Level / Method:</w:t>
            </w:r>
          </w:p>
          <w:p w14:paraId="359E77E3" w14:textId="73C8573F" w:rsidR="00F32AAB" w:rsidRPr="00E6334A" w:rsidRDefault="00F32AAB" w:rsidP="00F32AAB">
            <w:pPr>
              <w:rPr>
                <w:rFonts w:ascii="Arial Narrow" w:hAnsi="Arial Narrow"/>
                <w:b/>
                <w:sz w:val="20"/>
                <w:szCs w:val="20"/>
              </w:rPr>
            </w:pPr>
            <w:r w:rsidRPr="00E6334A">
              <w:rPr>
                <w:rFonts w:ascii="Arial Narrow" w:hAnsi="Arial Narrow"/>
                <w:sz w:val="20"/>
                <w:szCs w:val="20"/>
              </w:rPr>
              <w:t xml:space="preserve">  </w:t>
            </w:r>
            <w:r w:rsidRPr="00E6334A">
              <w:rPr>
                <w:rFonts w:ascii="Arial Narrow" w:hAnsi="Arial Narrow"/>
                <w:sz w:val="20"/>
                <w:szCs w:val="20"/>
              </w:rPr>
              <w:fldChar w:fldCharType="begin" w:fldLock="1">
                <w:ffData>
                  <w:name w:val="Check3"/>
                  <w:enabled/>
                  <w:calcOnExit w:val="0"/>
                  <w:checkBox>
                    <w:sizeAuto/>
                    <w:default w:val="1"/>
                  </w:checkBox>
                </w:ffData>
              </w:fldChar>
            </w:r>
            <w:r w:rsidRPr="00E6334A">
              <w:rPr>
                <w:rFonts w:ascii="Arial Narrow" w:hAnsi="Arial Narrow"/>
                <w:sz w:val="20"/>
                <w:szCs w:val="20"/>
              </w:rPr>
              <w:instrText xml:space="preserve"> FORMCHECKBOX </w:instrText>
            </w:r>
            <w:r w:rsidR="00690B5F">
              <w:rPr>
                <w:rFonts w:ascii="Arial Narrow" w:hAnsi="Arial Narrow"/>
                <w:sz w:val="20"/>
                <w:szCs w:val="20"/>
              </w:rPr>
            </w:r>
            <w:r w:rsidR="00690B5F">
              <w:rPr>
                <w:rFonts w:ascii="Arial Narrow" w:hAnsi="Arial Narrow"/>
                <w:sz w:val="20"/>
                <w:szCs w:val="20"/>
              </w:rPr>
              <w:fldChar w:fldCharType="separate"/>
            </w:r>
            <w:r w:rsidRPr="00E6334A">
              <w:rPr>
                <w:rFonts w:ascii="Arial Narrow" w:hAnsi="Arial Narrow"/>
                <w:sz w:val="20"/>
                <w:szCs w:val="20"/>
              </w:rPr>
              <w:fldChar w:fldCharType="end"/>
            </w:r>
            <w:r w:rsidRPr="00E6334A">
              <w:rPr>
                <w:rFonts w:ascii="Arial Narrow" w:hAnsi="Arial Narrow"/>
                <w:sz w:val="20"/>
                <w:szCs w:val="20"/>
              </w:rPr>
              <w:t>Authority Required – Telephone/Online PBS Authorities system</w:t>
            </w:r>
          </w:p>
        </w:tc>
      </w:tr>
      <w:tr w:rsidR="00E6334A" w:rsidRPr="00E6334A" w14:paraId="251D7FE8" w14:textId="77777777" w:rsidTr="00776D51">
        <w:trPr>
          <w:trHeight w:val="230"/>
        </w:trPr>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79699C" w14:textId="7C4EBC0F" w:rsidR="00F32AAB" w:rsidRPr="00E6334A" w:rsidRDefault="00F32AAB" w:rsidP="00F32AAB">
            <w:pPr>
              <w:rPr>
                <w:rFonts w:ascii="Arial Narrow" w:hAnsi="Arial Narrow"/>
                <w:b/>
                <w:bCs/>
                <w:sz w:val="20"/>
                <w:szCs w:val="20"/>
              </w:rPr>
            </w:pPr>
            <w:r w:rsidRPr="00E6334A">
              <w:rPr>
                <w:rFonts w:ascii="Arial Narrow" w:hAnsi="Arial Narrow"/>
                <w:b/>
                <w:bCs/>
                <w:sz w:val="20"/>
                <w:szCs w:val="20"/>
              </w:rPr>
              <w:lastRenderedPageBreak/>
              <w:t xml:space="preserve">  Administrative Advice: </w:t>
            </w:r>
          </w:p>
          <w:p w14:paraId="428C8D82" w14:textId="330EA72D" w:rsidR="00F32AAB" w:rsidRPr="00E6334A" w:rsidRDefault="00F32AAB" w:rsidP="00F32AAB">
            <w:pPr>
              <w:rPr>
                <w:rFonts w:ascii="Arial Narrow" w:hAnsi="Arial Narrow"/>
                <w:b/>
                <w:sz w:val="20"/>
                <w:szCs w:val="20"/>
              </w:rPr>
            </w:pPr>
            <w:r w:rsidRPr="00E6334A">
              <w:rPr>
                <w:rFonts w:ascii="Arial Narrow" w:hAnsi="Arial Narrow"/>
                <w:sz w:val="20"/>
                <w:szCs w:val="20"/>
              </w:rPr>
              <w:t xml:space="preserve">  No increase to the maximum number of repeats may be authorised.</w:t>
            </w:r>
          </w:p>
        </w:tc>
      </w:tr>
      <w:tr w:rsidR="00E6334A" w:rsidRPr="00E6334A" w14:paraId="57A4A5BF" w14:textId="77777777" w:rsidTr="00776D51">
        <w:trPr>
          <w:trHeight w:val="230"/>
        </w:trPr>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FD5EEE" w14:textId="580A7714" w:rsidR="00F32AAB" w:rsidRPr="00E6334A" w:rsidRDefault="00F32AAB" w:rsidP="00F32AAB">
            <w:pPr>
              <w:rPr>
                <w:rFonts w:ascii="Arial Narrow" w:hAnsi="Arial Narrow"/>
                <w:b/>
                <w:bCs/>
                <w:sz w:val="20"/>
                <w:szCs w:val="20"/>
              </w:rPr>
            </w:pPr>
            <w:r w:rsidRPr="00E6334A">
              <w:rPr>
                <w:rFonts w:ascii="Arial Narrow" w:hAnsi="Arial Narrow"/>
                <w:b/>
                <w:bCs/>
                <w:sz w:val="20"/>
                <w:szCs w:val="20"/>
              </w:rPr>
              <w:t xml:space="preserve">  Administrative Advice: </w:t>
            </w:r>
          </w:p>
          <w:p w14:paraId="7125F13D" w14:textId="4AC566A7" w:rsidR="00F32AAB" w:rsidRPr="00E6334A" w:rsidRDefault="00F32AAB" w:rsidP="00F32AAB">
            <w:pPr>
              <w:rPr>
                <w:rFonts w:ascii="Arial Narrow" w:hAnsi="Arial Narrow"/>
                <w:b/>
                <w:sz w:val="20"/>
                <w:szCs w:val="20"/>
              </w:rPr>
            </w:pPr>
            <w:r w:rsidRPr="00E6334A">
              <w:rPr>
                <w:rFonts w:ascii="Arial Narrow" w:hAnsi="Arial Narrow"/>
                <w:sz w:val="20"/>
                <w:szCs w:val="20"/>
              </w:rPr>
              <w:t xml:space="preserve">  Applications for authorisation under this restriction may be made in real time using the Online PBS Authorities system (see   </w:t>
            </w:r>
            <w:r w:rsidRPr="00E6334A">
              <w:rPr>
                <w:rFonts w:ascii="Arial Narrow" w:hAnsi="Arial Narrow"/>
                <w:sz w:val="20"/>
                <w:szCs w:val="20"/>
              </w:rPr>
              <w:br/>
              <w:t xml:space="preserve">  www.servicesaustralia.gov.au/HPOS) or by telephone by contacting Services Australia on 1800 700 270 (hours of operation   </w:t>
            </w:r>
            <w:r w:rsidRPr="00E6334A">
              <w:rPr>
                <w:rFonts w:ascii="Arial Narrow" w:hAnsi="Arial Narrow"/>
                <w:sz w:val="20"/>
                <w:szCs w:val="20"/>
              </w:rPr>
              <w:br/>
              <w:t xml:space="preserve">  8 a.m. to 5 p.m. Monday to Friday).</w:t>
            </w:r>
          </w:p>
        </w:tc>
      </w:tr>
      <w:tr w:rsidR="00E6334A" w:rsidRPr="00E6334A" w14:paraId="358B186E" w14:textId="77777777" w:rsidTr="00776D51">
        <w:trPr>
          <w:trHeight w:val="230"/>
        </w:trPr>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F67392" w14:textId="650F2CFD" w:rsidR="00F32AAB" w:rsidRPr="00E6334A" w:rsidRDefault="00F32AAB" w:rsidP="00F32AAB">
            <w:pPr>
              <w:rPr>
                <w:rFonts w:ascii="Arial Narrow" w:hAnsi="Arial Narrow"/>
                <w:b/>
                <w:bCs/>
                <w:sz w:val="20"/>
                <w:szCs w:val="20"/>
              </w:rPr>
            </w:pPr>
            <w:r w:rsidRPr="00E6334A">
              <w:rPr>
                <w:rFonts w:ascii="Arial Narrow" w:hAnsi="Arial Narrow"/>
                <w:b/>
                <w:bCs/>
                <w:sz w:val="20"/>
                <w:szCs w:val="20"/>
              </w:rPr>
              <w:t xml:space="preserve">  Administrative Advice: </w:t>
            </w:r>
          </w:p>
          <w:p w14:paraId="7EBC9FEC" w14:textId="7F5B7805" w:rsidR="00F32AAB" w:rsidRPr="00E6334A" w:rsidRDefault="00F32AAB" w:rsidP="00F32AAB">
            <w:pPr>
              <w:rPr>
                <w:rFonts w:ascii="Arial Narrow" w:hAnsi="Arial Narrow"/>
                <w:i/>
                <w:iCs/>
                <w:sz w:val="20"/>
                <w:szCs w:val="20"/>
              </w:rPr>
            </w:pPr>
            <w:r w:rsidRPr="00E6334A">
              <w:rPr>
                <w:rFonts w:ascii="Arial Narrow" w:hAnsi="Arial Narrow"/>
                <w:i/>
                <w:iCs/>
                <w:sz w:val="20"/>
                <w:szCs w:val="20"/>
              </w:rPr>
              <w:t xml:space="preserve">  The latest 24-hour Worst Itching Intensity Numerical Rating Scale (WI-NRS) is version [Sponsor to advise]. See the following</w:t>
            </w:r>
            <w:r w:rsidRPr="00E6334A">
              <w:rPr>
                <w:rFonts w:ascii="Arial Narrow" w:hAnsi="Arial Narrow"/>
                <w:i/>
                <w:iCs/>
                <w:sz w:val="20"/>
                <w:szCs w:val="20"/>
              </w:rPr>
              <w:br/>
              <w:t xml:space="preserve">  article for details:</w:t>
            </w:r>
          </w:p>
          <w:p w14:paraId="4E914183" w14:textId="0A6C50D8" w:rsidR="00F32AAB" w:rsidRPr="00E6334A" w:rsidRDefault="00F32AAB" w:rsidP="00F32AAB">
            <w:pPr>
              <w:rPr>
                <w:rFonts w:ascii="Arial Narrow" w:hAnsi="Arial Narrow"/>
                <w:b/>
                <w:sz w:val="20"/>
                <w:szCs w:val="20"/>
              </w:rPr>
            </w:pPr>
            <w:r w:rsidRPr="00E6334A">
              <w:rPr>
                <w:rFonts w:ascii="Arial Narrow" w:hAnsi="Arial Narrow"/>
                <w:i/>
                <w:iCs/>
                <w:sz w:val="20"/>
                <w:szCs w:val="20"/>
              </w:rPr>
              <w:br/>
              <w:t xml:space="preserve">  [Sponsor to advise]</w:t>
            </w:r>
          </w:p>
        </w:tc>
      </w:tr>
      <w:tr w:rsidR="00E6334A" w:rsidRPr="00E6334A" w14:paraId="598C4BA1" w14:textId="77777777" w:rsidTr="00776D51">
        <w:trPr>
          <w:trHeight w:val="230"/>
        </w:trPr>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A845D8" w14:textId="03AF35E1" w:rsidR="00F32AAB" w:rsidRPr="00E6334A" w:rsidRDefault="00F32AAB" w:rsidP="00F32AAB">
            <w:pPr>
              <w:rPr>
                <w:rFonts w:ascii="Arial Narrow" w:hAnsi="Arial Narrow"/>
                <w:b/>
                <w:sz w:val="20"/>
                <w:szCs w:val="20"/>
              </w:rPr>
            </w:pPr>
            <w:r w:rsidRPr="00E6334A">
              <w:rPr>
                <w:rFonts w:ascii="Arial Narrow" w:hAnsi="Arial Narrow"/>
                <w:b/>
                <w:bCs/>
                <w:sz w:val="20"/>
                <w:szCs w:val="20"/>
              </w:rPr>
              <w:t xml:space="preserve">  Severity: </w:t>
            </w:r>
            <w:r w:rsidRPr="00E6334A">
              <w:rPr>
                <w:rFonts w:ascii="Arial Narrow" w:hAnsi="Arial Narrow"/>
                <w:bCs/>
                <w:sz w:val="20"/>
                <w:szCs w:val="20"/>
              </w:rPr>
              <w:t>Moderate to severe</w:t>
            </w:r>
          </w:p>
        </w:tc>
      </w:tr>
      <w:tr w:rsidR="00E6334A" w:rsidRPr="00E6334A" w14:paraId="7E74F8FF" w14:textId="77777777" w:rsidTr="00776D51">
        <w:trPr>
          <w:trHeight w:val="230"/>
        </w:trPr>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3CFAF9" w14:textId="29548258" w:rsidR="00F32AAB" w:rsidRPr="00E6334A" w:rsidRDefault="00F32AAB" w:rsidP="00F32AAB">
            <w:pPr>
              <w:rPr>
                <w:rFonts w:ascii="Arial Narrow" w:hAnsi="Arial Narrow"/>
                <w:b/>
                <w:sz w:val="20"/>
                <w:szCs w:val="20"/>
              </w:rPr>
            </w:pPr>
            <w:r w:rsidRPr="00E6334A">
              <w:rPr>
                <w:rFonts w:ascii="Arial Narrow" w:hAnsi="Arial Narrow"/>
                <w:b/>
                <w:bCs/>
                <w:sz w:val="20"/>
                <w:szCs w:val="20"/>
              </w:rPr>
              <w:t xml:space="preserve">  Condition: </w:t>
            </w:r>
            <w:r w:rsidRPr="00E6334A">
              <w:rPr>
                <w:rFonts w:ascii="Arial Narrow" w:hAnsi="Arial Narrow"/>
                <w:bCs/>
                <w:sz w:val="20"/>
                <w:szCs w:val="20"/>
              </w:rPr>
              <w:t>Pruritus (itching) associated with chronic kidney disease</w:t>
            </w:r>
          </w:p>
        </w:tc>
      </w:tr>
      <w:tr w:rsidR="00E6334A" w:rsidRPr="00E6334A" w14:paraId="511BD520" w14:textId="77777777" w:rsidTr="00776D51">
        <w:trPr>
          <w:trHeight w:val="230"/>
        </w:trPr>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D2CD54" w14:textId="2206DF04" w:rsidR="00F32AAB" w:rsidRPr="00E6334A" w:rsidRDefault="00F32AAB" w:rsidP="00F32AAB">
            <w:pPr>
              <w:rPr>
                <w:rFonts w:ascii="Arial Narrow" w:hAnsi="Arial Narrow"/>
                <w:b/>
                <w:sz w:val="20"/>
                <w:szCs w:val="20"/>
              </w:rPr>
            </w:pPr>
            <w:r w:rsidRPr="00E6334A">
              <w:rPr>
                <w:rFonts w:ascii="Arial Narrow" w:hAnsi="Arial Narrow"/>
                <w:b/>
                <w:bCs/>
                <w:sz w:val="20"/>
                <w:szCs w:val="20"/>
              </w:rPr>
              <w:t xml:space="preserve">  Indication:</w:t>
            </w:r>
            <w:r w:rsidRPr="00E6334A">
              <w:rPr>
                <w:rFonts w:ascii="Arial Narrow" w:hAnsi="Arial Narrow"/>
                <w:sz w:val="20"/>
                <w:szCs w:val="20"/>
              </w:rPr>
              <w:t xml:space="preserve"> Moderate to severe pruritus (itching) associated with chronic kidney disease</w:t>
            </w:r>
          </w:p>
        </w:tc>
      </w:tr>
      <w:tr w:rsidR="00E6334A" w:rsidRPr="00E6334A" w14:paraId="282771E2" w14:textId="77777777" w:rsidTr="00FB28DA">
        <w:tblPrEx>
          <w:tblCellMar>
            <w:top w:w="15" w:type="dxa"/>
            <w:bottom w:w="15" w:type="dxa"/>
          </w:tblCellMar>
        </w:tblPrEx>
        <w:trPr>
          <w:cantSplit/>
          <w:trHeight w:val="20"/>
        </w:trPr>
        <w:tc>
          <w:tcPr>
            <w:tcW w:w="5000" w:type="pct"/>
            <w:gridSpan w:val="7"/>
            <w:vAlign w:val="center"/>
            <w:hideMark/>
          </w:tcPr>
          <w:p w14:paraId="7D0AF35F" w14:textId="63C2F7A5" w:rsidR="00F32AAB" w:rsidRPr="00E6334A" w:rsidRDefault="00F32AAB" w:rsidP="00F32AAB">
            <w:pPr>
              <w:keepNext/>
              <w:keepLines/>
              <w:jc w:val="left"/>
              <w:rPr>
                <w:rFonts w:ascii="Arial Narrow" w:eastAsiaTheme="majorEastAsia" w:hAnsi="Arial Narrow" w:cstheme="majorBidi"/>
                <w:bCs/>
                <w:sz w:val="20"/>
                <w:szCs w:val="20"/>
              </w:rPr>
            </w:pPr>
            <w:r w:rsidRPr="00E6334A">
              <w:rPr>
                <w:rFonts w:ascii="Arial Narrow" w:eastAsiaTheme="majorEastAsia" w:hAnsi="Arial Narrow" w:cstheme="majorBidi"/>
                <w:b/>
                <w:bCs/>
                <w:sz w:val="20"/>
                <w:szCs w:val="20"/>
              </w:rPr>
              <w:t xml:space="preserve">Treatment Phase: </w:t>
            </w:r>
            <w:r w:rsidRPr="00E6334A">
              <w:rPr>
                <w:rFonts w:ascii="Arial Narrow" w:eastAsiaTheme="majorEastAsia" w:hAnsi="Arial Narrow" w:cstheme="majorBidi"/>
                <w:sz w:val="20"/>
                <w:szCs w:val="20"/>
              </w:rPr>
              <w:t>Continuing treatment</w:t>
            </w:r>
          </w:p>
        </w:tc>
      </w:tr>
      <w:tr w:rsidR="00E6334A" w:rsidRPr="00E6334A" w14:paraId="5C2E8073" w14:textId="77777777" w:rsidTr="00FB28DA">
        <w:tblPrEx>
          <w:tblCellMar>
            <w:top w:w="15" w:type="dxa"/>
            <w:bottom w:w="15" w:type="dxa"/>
          </w:tblCellMar>
        </w:tblPrEx>
        <w:trPr>
          <w:cantSplit/>
          <w:trHeight w:val="20"/>
        </w:trPr>
        <w:tc>
          <w:tcPr>
            <w:tcW w:w="5000" w:type="pct"/>
            <w:gridSpan w:val="7"/>
            <w:vAlign w:val="center"/>
          </w:tcPr>
          <w:p w14:paraId="0C48B403" w14:textId="66DFF7A3" w:rsidR="00F32AAB" w:rsidRPr="00E6334A" w:rsidRDefault="00F32AAB" w:rsidP="00F32AAB">
            <w:pPr>
              <w:keepNext/>
              <w:keepLines/>
              <w:jc w:val="left"/>
              <w:rPr>
                <w:rFonts w:ascii="Arial Narrow" w:eastAsiaTheme="majorEastAsia" w:hAnsi="Arial Narrow" w:cstheme="majorBidi"/>
                <w:bCs/>
                <w:sz w:val="20"/>
                <w:szCs w:val="20"/>
              </w:rPr>
            </w:pPr>
            <w:r w:rsidRPr="00E6334A">
              <w:rPr>
                <w:rFonts w:ascii="Arial Narrow" w:hAnsi="Arial Narrow"/>
                <w:b/>
                <w:bCs/>
                <w:sz w:val="20"/>
                <w:szCs w:val="20"/>
              </w:rPr>
              <w:t>Clinical criteria:</w:t>
            </w:r>
          </w:p>
        </w:tc>
      </w:tr>
      <w:tr w:rsidR="00E6334A" w:rsidRPr="00E6334A" w14:paraId="4980AF89" w14:textId="77777777" w:rsidTr="00FB28DA">
        <w:tblPrEx>
          <w:tblCellMar>
            <w:top w:w="15" w:type="dxa"/>
            <w:bottom w:w="15" w:type="dxa"/>
          </w:tblCellMar>
        </w:tblPrEx>
        <w:trPr>
          <w:cantSplit/>
          <w:trHeight w:val="20"/>
        </w:trPr>
        <w:tc>
          <w:tcPr>
            <w:tcW w:w="5000" w:type="pct"/>
            <w:gridSpan w:val="7"/>
            <w:vAlign w:val="center"/>
          </w:tcPr>
          <w:p w14:paraId="5F7C9583" w14:textId="392C1875" w:rsidR="00F32AAB" w:rsidRPr="00E6334A" w:rsidRDefault="00F32AAB" w:rsidP="00F32AAB">
            <w:pPr>
              <w:keepNext/>
              <w:keepLines/>
              <w:jc w:val="left"/>
              <w:rPr>
                <w:rFonts w:ascii="Arial Narrow" w:eastAsiaTheme="majorEastAsia" w:hAnsi="Arial Narrow" w:cstheme="majorBidi"/>
                <w:bCs/>
                <w:sz w:val="20"/>
                <w:szCs w:val="20"/>
              </w:rPr>
            </w:pPr>
            <w:r w:rsidRPr="00E6334A">
              <w:rPr>
                <w:rFonts w:ascii="Arial Narrow" w:hAnsi="Arial Narrow"/>
                <w:sz w:val="20"/>
                <w:szCs w:val="20"/>
              </w:rPr>
              <w:t>Patient must have previously received PBS-subsidised treatment with this drug for this condition</w:t>
            </w:r>
          </w:p>
        </w:tc>
      </w:tr>
      <w:tr w:rsidR="00E6334A" w:rsidRPr="00E6334A" w14:paraId="1F941D75" w14:textId="77777777" w:rsidTr="00FB28DA">
        <w:tblPrEx>
          <w:tblCellMar>
            <w:top w:w="15" w:type="dxa"/>
            <w:bottom w:w="15" w:type="dxa"/>
          </w:tblCellMar>
        </w:tblPrEx>
        <w:trPr>
          <w:cantSplit/>
          <w:trHeight w:val="20"/>
        </w:trPr>
        <w:tc>
          <w:tcPr>
            <w:tcW w:w="5000" w:type="pct"/>
            <w:gridSpan w:val="7"/>
            <w:vAlign w:val="center"/>
          </w:tcPr>
          <w:p w14:paraId="33820F5C" w14:textId="6BB31E16" w:rsidR="00F32AAB" w:rsidRPr="00E6334A" w:rsidRDefault="00F32AAB" w:rsidP="00F32AAB">
            <w:pPr>
              <w:keepNext/>
              <w:keepLines/>
              <w:jc w:val="left"/>
              <w:rPr>
                <w:rFonts w:ascii="Arial Narrow" w:eastAsiaTheme="majorEastAsia" w:hAnsi="Arial Narrow" w:cstheme="majorBidi"/>
                <w:bCs/>
                <w:sz w:val="20"/>
                <w:szCs w:val="20"/>
              </w:rPr>
            </w:pPr>
            <w:r w:rsidRPr="00E6334A">
              <w:rPr>
                <w:rFonts w:ascii="Arial Narrow" w:hAnsi="Arial Narrow"/>
                <w:b/>
                <w:bCs/>
                <w:sz w:val="20"/>
                <w:szCs w:val="20"/>
              </w:rPr>
              <w:t>AND</w:t>
            </w:r>
          </w:p>
        </w:tc>
      </w:tr>
      <w:tr w:rsidR="00E6334A" w:rsidRPr="00E6334A" w14:paraId="5F4D165F" w14:textId="77777777" w:rsidTr="00FB28DA">
        <w:tblPrEx>
          <w:tblCellMar>
            <w:top w:w="15" w:type="dxa"/>
            <w:bottom w:w="15" w:type="dxa"/>
          </w:tblCellMar>
        </w:tblPrEx>
        <w:trPr>
          <w:cantSplit/>
          <w:trHeight w:val="20"/>
        </w:trPr>
        <w:tc>
          <w:tcPr>
            <w:tcW w:w="5000" w:type="pct"/>
            <w:gridSpan w:val="7"/>
            <w:vAlign w:val="center"/>
          </w:tcPr>
          <w:p w14:paraId="3AEE33FC" w14:textId="51962D2C" w:rsidR="00F32AAB" w:rsidRPr="00E6334A" w:rsidRDefault="00F32AAB" w:rsidP="00F32AAB">
            <w:pPr>
              <w:keepNext/>
              <w:keepLines/>
              <w:jc w:val="left"/>
              <w:rPr>
                <w:rFonts w:ascii="Arial Narrow" w:eastAsiaTheme="majorEastAsia" w:hAnsi="Arial Narrow" w:cstheme="majorBidi"/>
                <w:bCs/>
                <w:sz w:val="20"/>
                <w:szCs w:val="20"/>
              </w:rPr>
            </w:pPr>
            <w:r w:rsidRPr="00E6334A">
              <w:rPr>
                <w:rFonts w:ascii="Arial Narrow" w:hAnsi="Arial Narrow"/>
                <w:b/>
                <w:bCs/>
                <w:strike/>
                <w:sz w:val="20"/>
                <w:szCs w:val="20"/>
              </w:rPr>
              <w:t>Clinical criteria</w:t>
            </w:r>
          </w:p>
        </w:tc>
      </w:tr>
      <w:tr w:rsidR="00E6334A" w:rsidRPr="00E6334A" w14:paraId="2FF6B39E" w14:textId="77777777" w:rsidTr="00FB28DA">
        <w:tblPrEx>
          <w:tblCellMar>
            <w:top w:w="15" w:type="dxa"/>
            <w:bottom w:w="15" w:type="dxa"/>
          </w:tblCellMar>
        </w:tblPrEx>
        <w:trPr>
          <w:cantSplit/>
          <w:trHeight w:val="20"/>
        </w:trPr>
        <w:tc>
          <w:tcPr>
            <w:tcW w:w="5000" w:type="pct"/>
            <w:gridSpan w:val="7"/>
            <w:vAlign w:val="center"/>
          </w:tcPr>
          <w:p w14:paraId="24B0DC0D" w14:textId="094FE281" w:rsidR="00F32AAB" w:rsidRPr="00E6334A" w:rsidRDefault="00F32AAB" w:rsidP="00F32AAB">
            <w:pPr>
              <w:keepNext/>
              <w:keepLines/>
              <w:jc w:val="left"/>
              <w:rPr>
                <w:rFonts w:ascii="Arial Narrow" w:eastAsiaTheme="majorEastAsia" w:hAnsi="Arial Narrow" w:cstheme="majorBidi"/>
                <w:bCs/>
                <w:sz w:val="20"/>
                <w:szCs w:val="20"/>
              </w:rPr>
            </w:pPr>
            <w:r w:rsidRPr="00E6334A">
              <w:rPr>
                <w:rFonts w:ascii="Arial Narrow" w:hAnsi="Arial Narrow"/>
                <w:strike/>
                <w:sz w:val="20"/>
                <w:szCs w:val="20"/>
              </w:rPr>
              <w:t xml:space="preserve">Patient must have demonstrated / sustained an adequate response to treatment with this drug </w:t>
            </w:r>
          </w:p>
        </w:tc>
      </w:tr>
      <w:tr w:rsidR="00E6334A" w:rsidRPr="00E6334A" w14:paraId="0B32A909" w14:textId="77777777" w:rsidTr="00FB28DA">
        <w:tblPrEx>
          <w:tblCellMar>
            <w:top w:w="15" w:type="dxa"/>
            <w:bottom w:w="15" w:type="dxa"/>
          </w:tblCellMar>
        </w:tblPrEx>
        <w:trPr>
          <w:cantSplit/>
          <w:trHeight w:val="20"/>
        </w:trPr>
        <w:tc>
          <w:tcPr>
            <w:tcW w:w="5000" w:type="pct"/>
            <w:gridSpan w:val="7"/>
            <w:vAlign w:val="center"/>
          </w:tcPr>
          <w:p w14:paraId="3A167927" w14:textId="58B12975" w:rsidR="00F32AAB" w:rsidRPr="00E6334A" w:rsidRDefault="00F32AAB" w:rsidP="00F32AAB">
            <w:pPr>
              <w:keepNext/>
              <w:keepLines/>
              <w:jc w:val="left"/>
              <w:rPr>
                <w:rFonts w:ascii="Arial Narrow" w:eastAsiaTheme="majorEastAsia" w:hAnsi="Arial Narrow" w:cstheme="majorBidi"/>
                <w:bCs/>
                <w:sz w:val="20"/>
                <w:szCs w:val="20"/>
              </w:rPr>
            </w:pPr>
            <w:r w:rsidRPr="00E6334A">
              <w:rPr>
                <w:rFonts w:ascii="Arial Narrow" w:hAnsi="Arial Narrow"/>
                <w:b/>
                <w:bCs/>
                <w:strike/>
                <w:sz w:val="20"/>
                <w:szCs w:val="20"/>
              </w:rPr>
              <w:t>AND</w:t>
            </w:r>
          </w:p>
        </w:tc>
      </w:tr>
      <w:tr w:rsidR="00E6334A" w:rsidRPr="00E6334A" w14:paraId="3856841D" w14:textId="77777777" w:rsidTr="00FB28DA">
        <w:tblPrEx>
          <w:tblCellMar>
            <w:top w:w="15" w:type="dxa"/>
            <w:bottom w:w="15" w:type="dxa"/>
          </w:tblCellMar>
        </w:tblPrEx>
        <w:trPr>
          <w:cantSplit/>
          <w:trHeight w:val="20"/>
        </w:trPr>
        <w:tc>
          <w:tcPr>
            <w:tcW w:w="5000" w:type="pct"/>
            <w:gridSpan w:val="7"/>
            <w:vAlign w:val="center"/>
          </w:tcPr>
          <w:p w14:paraId="4BD1527E" w14:textId="1F9048FE" w:rsidR="00F32AAB" w:rsidRPr="00E6334A" w:rsidRDefault="00F32AAB" w:rsidP="00F32AAB">
            <w:pPr>
              <w:keepNext/>
              <w:keepLines/>
              <w:jc w:val="left"/>
              <w:rPr>
                <w:rFonts w:ascii="Arial Narrow" w:eastAsiaTheme="majorEastAsia" w:hAnsi="Arial Narrow" w:cstheme="majorBidi"/>
                <w:bCs/>
                <w:sz w:val="20"/>
                <w:szCs w:val="20"/>
              </w:rPr>
            </w:pPr>
            <w:r w:rsidRPr="00E6334A">
              <w:rPr>
                <w:rFonts w:ascii="Arial Narrow" w:hAnsi="Arial Narrow"/>
                <w:b/>
                <w:bCs/>
                <w:sz w:val="20"/>
                <w:szCs w:val="20"/>
              </w:rPr>
              <w:t>Clinical criteria:</w:t>
            </w:r>
          </w:p>
        </w:tc>
      </w:tr>
      <w:tr w:rsidR="00E6334A" w:rsidRPr="00E6334A" w14:paraId="42B13B9D" w14:textId="77777777" w:rsidTr="00FB28DA">
        <w:tblPrEx>
          <w:tblCellMar>
            <w:top w:w="15" w:type="dxa"/>
            <w:bottom w:w="15" w:type="dxa"/>
          </w:tblCellMar>
        </w:tblPrEx>
        <w:trPr>
          <w:cantSplit/>
          <w:trHeight w:val="20"/>
        </w:trPr>
        <w:tc>
          <w:tcPr>
            <w:tcW w:w="5000" w:type="pct"/>
            <w:gridSpan w:val="7"/>
            <w:vAlign w:val="center"/>
          </w:tcPr>
          <w:p w14:paraId="160B1855" w14:textId="7D4D09CB" w:rsidR="00F32AAB" w:rsidRPr="00E6334A" w:rsidRDefault="00F32AAB" w:rsidP="00F32AAB">
            <w:pPr>
              <w:keepNext/>
              <w:keepLines/>
              <w:jc w:val="left"/>
              <w:rPr>
                <w:rFonts w:ascii="Arial Narrow" w:eastAsiaTheme="majorEastAsia" w:hAnsi="Arial Narrow" w:cstheme="majorBidi"/>
                <w:bCs/>
                <w:sz w:val="20"/>
                <w:szCs w:val="20"/>
              </w:rPr>
            </w:pPr>
            <w:r w:rsidRPr="00E6334A">
              <w:rPr>
                <w:rFonts w:ascii="Arial Narrow" w:hAnsi="Arial Narrow"/>
                <w:sz w:val="20"/>
                <w:szCs w:val="20"/>
              </w:rPr>
              <w:t>Patient must have demonstrated / sustained an adequate response to treatment with this drug including at least a 3-point improvement from baseline in 24-hour Worst Itching Intensity Numerical Rating Scale (WI-NRS) score.</w:t>
            </w:r>
          </w:p>
        </w:tc>
      </w:tr>
      <w:tr w:rsidR="00E6334A" w:rsidRPr="00E6334A" w14:paraId="61C7A17D" w14:textId="77777777" w:rsidTr="00FB28DA">
        <w:tblPrEx>
          <w:tblCellMar>
            <w:top w:w="15" w:type="dxa"/>
            <w:bottom w:w="15" w:type="dxa"/>
          </w:tblCellMar>
        </w:tblPrEx>
        <w:trPr>
          <w:cantSplit/>
          <w:trHeight w:val="20"/>
        </w:trPr>
        <w:tc>
          <w:tcPr>
            <w:tcW w:w="5000" w:type="pct"/>
            <w:gridSpan w:val="7"/>
            <w:vAlign w:val="center"/>
          </w:tcPr>
          <w:p w14:paraId="154DB93A" w14:textId="0F7DA291" w:rsidR="00F32AAB" w:rsidRPr="00E6334A" w:rsidRDefault="00F32AAB" w:rsidP="00F32AAB">
            <w:pPr>
              <w:keepNext/>
              <w:keepLines/>
              <w:jc w:val="left"/>
              <w:rPr>
                <w:rFonts w:ascii="Arial Narrow" w:eastAsiaTheme="majorEastAsia" w:hAnsi="Arial Narrow" w:cstheme="majorBidi"/>
                <w:bCs/>
                <w:sz w:val="20"/>
                <w:szCs w:val="20"/>
              </w:rPr>
            </w:pPr>
            <w:r w:rsidRPr="00E6334A">
              <w:rPr>
                <w:rFonts w:ascii="Arial Narrow" w:hAnsi="Arial Narrow"/>
                <w:b/>
                <w:bCs/>
                <w:sz w:val="20"/>
                <w:szCs w:val="20"/>
              </w:rPr>
              <w:t>AND</w:t>
            </w:r>
          </w:p>
        </w:tc>
      </w:tr>
      <w:tr w:rsidR="00E6334A" w:rsidRPr="00E6334A" w14:paraId="2B05D0D4" w14:textId="77777777" w:rsidTr="00FB28DA">
        <w:tblPrEx>
          <w:tblCellMar>
            <w:top w:w="15" w:type="dxa"/>
            <w:bottom w:w="15" w:type="dxa"/>
          </w:tblCellMar>
        </w:tblPrEx>
        <w:trPr>
          <w:cantSplit/>
          <w:trHeight w:val="20"/>
        </w:trPr>
        <w:tc>
          <w:tcPr>
            <w:tcW w:w="5000" w:type="pct"/>
            <w:gridSpan w:val="7"/>
            <w:vAlign w:val="center"/>
          </w:tcPr>
          <w:p w14:paraId="6C845034" w14:textId="61D244DA" w:rsidR="00F32AAB" w:rsidRPr="00E6334A" w:rsidRDefault="00F32AAB" w:rsidP="00F32AAB">
            <w:pPr>
              <w:keepNext/>
              <w:keepLines/>
              <w:jc w:val="left"/>
              <w:rPr>
                <w:rFonts w:ascii="Arial Narrow" w:eastAsiaTheme="majorEastAsia" w:hAnsi="Arial Narrow" w:cstheme="majorBidi"/>
                <w:bCs/>
                <w:sz w:val="20"/>
                <w:szCs w:val="20"/>
              </w:rPr>
            </w:pPr>
            <w:r w:rsidRPr="00E6334A">
              <w:rPr>
                <w:rFonts w:ascii="Arial Narrow" w:hAnsi="Arial Narrow"/>
                <w:b/>
                <w:bCs/>
                <w:sz w:val="20"/>
                <w:szCs w:val="20"/>
              </w:rPr>
              <w:t>Treatment criteria:</w:t>
            </w:r>
          </w:p>
        </w:tc>
      </w:tr>
      <w:tr w:rsidR="00E6334A" w:rsidRPr="00E6334A" w14:paraId="0DF32B13" w14:textId="77777777" w:rsidTr="00FB28DA">
        <w:tblPrEx>
          <w:tblCellMar>
            <w:top w:w="15" w:type="dxa"/>
            <w:bottom w:w="15" w:type="dxa"/>
          </w:tblCellMar>
        </w:tblPrEx>
        <w:trPr>
          <w:cantSplit/>
          <w:trHeight w:val="20"/>
        </w:trPr>
        <w:tc>
          <w:tcPr>
            <w:tcW w:w="5000" w:type="pct"/>
            <w:gridSpan w:val="7"/>
            <w:vAlign w:val="center"/>
          </w:tcPr>
          <w:p w14:paraId="5B6D5F70" w14:textId="5AA85787" w:rsidR="00F32AAB" w:rsidRPr="00E6334A" w:rsidRDefault="00F32AAB" w:rsidP="00F32AAB">
            <w:pPr>
              <w:keepNext/>
              <w:keepLines/>
              <w:jc w:val="left"/>
              <w:rPr>
                <w:rFonts w:ascii="Arial Narrow" w:eastAsiaTheme="majorEastAsia" w:hAnsi="Arial Narrow" w:cstheme="majorBidi"/>
                <w:bCs/>
                <w:sz w:val="20"/>
                <w:szCs w:val="20"/>
              </w:rPr>
            </w:pPr>
            <w:r w:rsidRPr="00E6334A">
              <w:rPr>
                <w:rFonts w:ascii="Arial Narrow" w:hAnsi="Arial Narrow" w:cs="Arial Narrow"/>
                <w:sz w:val="20"/>
                <w:szCs w:val="20"/>
              </w:rPr>
              <w:t>Must be treated by at least one of (i) a renal physician, (ii) nephrologist, (iii) allergist, (iv) medical practitioner in consultation with one of these specialists.</w:t>
            </w:r>
          </w:p>
        </w:tc>
      </w:tr>
      <w:tr w:rsidR="00E6334A" w:rsidRPr="00E6334A" w14:paraId="4FE7F301" w14:textId="77777777" w:rsidTr="00FB28DA">
        <w:tblPrEx>
          <w:tblCellMar>
            <w:top w:w="15" w:type="dxa"/>
            <w:bottom w:w="15" w:type="dxa"/>
          </w:tblCellMar>
        </w:tblPrEx>
        <w:trPr>
          <w:cantSplit/>
          <w:trHeight w:val="20"/>
        </w:trPr>
        <w:tc>
          <w:tcPr>
            <w:tcW w:w="5000" w:type="pct"/>
            <w:gridSpan w:val="7"/>
            <w:vAlign w:val="center"/>
          </w:tcPr>
          <w:p w14:paraId="7CADBD41" w14:textId="77777777" w:rsidR="00F32AAB" w:rsidRPr="00E6334A" w:rsidRDefault="00F32AAB" w:rsidP="00F32AAB">
            <w:pPr>
              <w:rPr>
                <w:rFonts w:ascii="Arial Narrow" w:hAnsi="Arial Narrow"/>
                <w:b/>
                <w:bCs/>
                <w:i/>
                <w:iCs/>
                <w:sz w:val="20"/>
                <w:szCs w:val="20"/>
              </w:rPr>
            </w:pPr>
            <w:r w:rsidRPr="00E6334A">
              <w:rPr>
                <w:rFonts w:ascii="Arial Narrow" w:hAnsi="Arial Narrow"/>
                <w:b/>
                <w:bCs/>
                <w:i/>
                <w:iCs/>
                <w:sz w:val="20"/>
                <w:szCs w:val="20"/>
              </w:rPr>
              <w:t xml:space="preserve">Prescribing instructions: </w:t>
            </w:r>
          </w:p>
          <w:p w14:paraId="439BED35" w14:textId="304268FD" w:rsidR="00F32AAB" w:rsidRPr="00E6334A" w:rsidRDefault="00F32AAB" w:rsidP="00F32AAB">
            <w:pPr>
              <w:keepNext/>
              <w:keepLines/>
              <w:jc w:val="left"/>
              <w:rPr>
                <w:rFonts w:ascii="Arial Narrow" w:eastAsiaTheme="majorEastAsia" w:hAnsi="Arial Narrow" w:cstheme="majorBidi"/>
                <w:bCs/>
                <w:sz w:val="20"/>
                <w:szCs w:val="20"/>
              </w:rPr>
            </w:pPr>
            <w:r w:rsidRPr="00E6334A">
              <w:rPr>
                <w:rFonts w:ascii="Arial Narrow" w:hAnsi="Arial Narrow"/>
                <w:i/>
                <w:iCs/>
                <w:sz w:val="20"/>
                <w:szCs w:val="20"/>
              </w:rPr>
              <w:t>Confirmation of eligibility for treatment with diagnostic reports must be documented in the patient's medical records.</w:t>
            </w:r>
          </w:p>
        </w:tc>
      </w:tr>
      <w:tr w:rsidR="00E6334A" w:rsidRPr="00E6334A" w14:paraId="24F0ABF6" w14:textId="77777777" w:rsidTr="00FB28DA">
        <w:tblPrEx>
          <w:tblCellMar>
            <w:top w:w="15" w:type="dxa"/>
            <w:bottom w:w="15" w:type="dxa"/>
          </w:tblCellMar>
        </w:tblPrEx>
        <w:trPr>
          <w:cantSplit/>
          <w:trHeight w:val="20"/>
        </w:trPr>
        <w:tc>
          <w:tcPr>
            <w:tcW w:w="5000" w:type="pct"/>
            <w:gridSpan w:val="7"/>
            <w:vAlign w:val="center"/>
          </w:tcPr>
          <w:p w14:paraId="7EC28DD8" w14:textId="77777777" w:rsidR="00F32AAB" w:rsidRPr="00E6334A" w:rsidRDefault="00F32AAB" w:rsidP="00F32AAB">
            <w:pPr>
              <w:rPr>
                <w:rFonts w:ascii="Arial Narrow" w:hAnsi="Arial Narrow"/>
                <w:b/>
                <w:bCs/>
                <w:i/>
                <w:iCs/>
                <w:sz w:val="20"/>
                <w:szCs w:val="20"/>
              </w:rPr>
            </w:pPr>
            <w:r w:rsidRPr="00E6334A">
              <w:rPr>
                <w:rFonts w:ascii="Arial Narrow" w:hAnsi="Arial Narrow"/>
                <w:b/>
                <w:bCs/>
                <w:i/>
                <w:iCs/>
                <w:sz w:val="20"/>
                <w:szCs w:val="20"/>
              </w:rPr>
              <w:t xml:space="preserve">Prescribing Instructions: </w:t>
            </w:r>
          </w:p>
          <w:p w14:paraId="54DD00F5" w14:textId="77777777" w:rsidR="00F32AAB" w:rsidRPr="00E6334A" w:rsidRDefault="00F32AAB" w:rsidP="00F32AAB">
            <w:pPr>
              <w:keepNext/>
              <w:keepLines/>
              <w:jc w:val="left"/>
              <w:rPr>
                <w:rFonts w:ascii="Arial Narrow" w:hAnsi="Arial Narrow"/>
                <w:i/>
                <w:iCs/>
                <w:sz w:val="20"/>
                <w:szCs w:val="20"/>
              </w:rPr>
            </w:pPr>
            <w:r w:rsidRPr="00E6334A">
              <w:rPr>
                <w:rFonts w:ascii="Arial Narrow" w:hAnsi="Arial Narrow"/>
                <w:i/>
                <w:iCs/>
                <w:sz w:val="20"/>
                <w:szCs w:val="20"/>
              </w:rPr>
              <w:t>At the time of authority application, medical practitioners must request the appropriate number of vials to provide sufficient drug, based on the dry body weight of the patient (in kg), adequate for 4 weeks, according to the specified dosage in the approved Product Information (PI). Up to a maximum of 5 repeats will be authorised. No more than 4 doses per week will be authorised even if the number of haemodialysis treatments in a week exceeds 4.</w:t>
            </w:r>
          </w:p>
          <w:p w14:paraId="106244A8" w14:textId="082A789B" w:rsidR="00F32AAB" w:rsidRPr="00E6334A" w:rsidRDefault="00F32AAB" w:rsidP="00F32AAB">
            <w:pPr>
              <w:keepNext/>
              <w:keepLines/>
              <w:jc w:val="left"/>
              <w:rPr>
                <w:rFonts w:ascii="Arial Narrow" w:eastAsiaTheme="majorEastAsia" w:hAnsi="Arial Narrow" w:cstheme="majorBidi"/>
                <w:bCs/>
                <w:strike/>
                <w:sz w:val="20"/>
                <w:szCs w:val="20"/>
              </w:rPr>
            </w:pPr>
            <w:r w:rsidRPr="00E6334A">
              <w:rPr>
                <w:rFonts w:ascii="Arial Narrow" w:hAnsi="Arial Narrow"/>
                <w:strike/>
                <w:sz w:val="20"/>
                <w:szCs w:val="20"/>
              </w:rPr>
              <w:t>Requests for increased quantities may be authorised to provide sufficient doses for the 24 weeks (continuing or grandfather) of therapy based on the weight-based dosing table in the approved Product Information.</w:t>
            </w:r>
          </w:p>
        </w:tc>
      </w:tr>
      <w:tr w:rsidR="00E6334A" w:rsidRPr="00E6334A" w14:paraId="3D2AEF9C" w14:textId="77777777" w:rsidTr="00FB28DA">
        <w:tblPrEx>
          <w:tblCellMar>
            <w:top w:w="15" w:type="dxa"/>
            <w:bottom w:w="15" w:type="dxa"/>
          </w:tblCellMar>
        </w:tblPrEx>
        <w:trPr>
          <w:cantSplit/>
          <w:trHeight w:val="20"/>
        </w:trPr>
        <w:tc>
          <w:tcPr>
            <w:tcW w:w="5000" w:type="pct"/>
            <w:gridSpan w:val="7"/>
            <w:vAlign w:val="center"/>
          </w:tcPr>
          <w:p w14:paraId="5E98D418" w14:textId="77777777" w:rsidR="00F32AAB" w:rsidRPr="00E6334A" w:rsidRDefault="00F32AAB" w:rsidP="00F32AAB">
            <w:pPr>
              <w:rPr>
                <w:rFonts w:ascii="Arial Narrow" w:hAnsi="Arial Narrow"/>
                <w:b/>
                <w:bCs/>
                <w:i/>
                <w:iCs/>
                <w:sz w:val="20"/>
                <w:szCs w:val="20"/>
              </w:rPr>
            </w:pPr>
          </w:p>
          <w:p w14:paraId="4B209CC4" w14:textId="3336F66F" w:rsidR="00F32AAB" w:rsidRPr="00E6334A" w:rsidRDefault="00F32AAB" w:rsidP="00F32AAB">
            <w:pPr>
              <w:rPr>
                <w:rFonts w:ascii="Arial Narrow" w:hAnsi="Arial Narrow"/>
                <w:b/>
                <w:bCs/>
                <w:i/>
                <w:iCs/>
                <w:sz w:val="20"/>
                <w:szCs w:val="20"/>
              </w:rPr>
            </w:pPr>
          </w:p>
        </w:tc>
      </w:tr>
      <w:tr w:rsidR="00E6334A" w:rsidRPr="00E6334A" w14:paraId="04862EEE" w14:textId="77777777" w:rsidTr="00FB28DA">
        <w:tblPrEx>
          <w:tblCellMar>
            <w:top w:w="15" w:type="dxa"/>
            <w:bottom w:w="15" w:type="dxa"/>
          </w:tblCellMar>
        </w:tblPrEx>
        <w:trPr>
          <w:cantSplit/>
          <w:trHeight w:val="20"/>
        </w:trPr>
        <w:tc>
          <w:tcPr>
            <w:tcW w:w="5000" w:type="pct"/>
            <w:gridSpan w:val="7"/>
            <w:vAlign w:val="center"/>
          </w:tcPr>
          <w:p w14:paraId="5661E475" w14:textId="17C13CCB" w:rsidR="00D61D74" w:rsidRPr="00E6334A" w:rsidRDefault="00D61D74" w:rsidP="00F32AAB">
            <w:pPr>
              <w:rPr>
                <w:rFonts w:ascii="Arial Narrow" w:hAnsi="Arial Narrow"/>
                <w:b/>
                <w:bCs/>
                <w:i/>
                <w:iCs/>
                <w:sz w:val="20"/>
                <w:szCs w:val="20"/>
              </w:rPr>
            </w:pPr>
            <w:r w:rsidRPr="00E6334A">
              <w:rPr>
                <w:rFonts w:ascii="Arial Narrow" w:hAnsi="Arial Narrow"/>
                <w:b/>
                <w:bCs/>
                <w:sz w:val="20"/>
                <w:szCs w:val="20"/>
              </w:rPr>
              <w:t>Restriction Summary [new 5] / Treatment of Concept: [new 6]</w:t>
            </w:r>
          </w:p>
        </w:tc>
      </w:tr>
      <w:tr w:rsidR="00E6334A" w:rsidRPr="00E6334A" w14:paraId="5D334B9A" w14:textId="77777777" w:rsidTr="00FB28DA">
        <w:tblPrEx>
          <w:tblCellMar>
            <w:top w:w="15" w:type="dxa"/>
            <w:bottom w:w="15" w:type="dxa"/>
          </w:tblCellMar>
        </w:tblPrEx>
        <w:trPr>
          <w:cantSplit/>
          <w:trHeight w:val="20"/>
        </w:trPr>
        <w:tc>
          <w:tcPr>
            <w:tcW w:w="5000" w:type="pct"/>
            <w:gridSpan w:val="7"/>
            <w:vAlign w:val="center"/>
          </w:tcPr>
          <w:p w14:paraId="4C40636E" w14:textId="6528FFEB" w:rsidR="00F32AAB" w:rsidRPr="00E6334A" w:rsidRDefault="00F32AAB" w:rsidP="00F32AAB">
            <w:pPr>
              <w:keepNext/>
              <w:widowControl w:val="0"/>
              <w:jc w:val="left"/>
              <w:rPr>
                <w:rFonts w:ascii="Arial Narrow" w:eastAsiaTheme="majorEastAsia" w:hAnsi="Arial Narrow" w:cstheme="majorBidi"/>
                <w:b/>
                <w:sz w:val="20"/>
                <w:szCs w:val="20"/>
              </w:rPr>
            </w:pPr>
            <w:r w:rsidRPr="00E6334A">
              <w:rPr>
                <w:rFonts w:ascii="Arial Narrow" w:eastAsiaTheme="majorEastAsia" w:hAnsi="Arial Narrow" w:cstheme="majorBidi"/>
                <w:b/>
                <w:bCs/>
                <w:sz w:val="20"/>
                <w:szCs w:val="20"/>
              </w:rPr>
              <w:t xml:space="preserve">Treatment Phase: </w:t>
            </w:r>
            <w:r w:rsidRPr="00E6334A">
              <w:rPr>
                <w:rFonts w:ascii="Arial Narrow" w:hAnsi="Arial Narrow"/>
                <w:sz w:val="20"/>
                <w:szCs w:val="20"/>
              </w:rPr>
              <w:t xml:space="preserve">Transitioning from non-PBS to PBS-subsidised treatment - </w:t>
            </w:r>
            <w:r w:rsidRPr="00E6334A">
              <w:rPr>
                <w:rFonts w:ascii="Arial Narrow" w:eastAsiaTheme="majorEastAsia" w:hAnsi="Arial Narrow" w:cstheme="majorBidi"/>
                <w:bCs/>
                <w:sz w:val="20"/>
                <w:szCs w:val="20"/>
              </w:rPr>
              <w:t>Grandfather treatment</w:t>
            </w:r>
          </w:p>
        </w:tc>
      </w:tr>
      <w:tr w:rsidR="00E6334A" w:rsidRPr="00E6334A" w14:paraId="4D3D2051" w14:textId="77777777" w:rsidTr="00FB28DA">
        <w:tblPrEx>
          <w:tblCellMar>
            <w:top w:w="15" w:type="dxa"/>
            <w:bottom w:w="15" w:type="dxa"/>
          </w:tblCellMar>
        </w:tblPrEx>
        <w:trPr>
          <w:cantSplit/>
          <w:trHeight w:val="20"/>
        </w:trPr>
        <w:tc>
          <w:tcPr>
            <w:tcW w:w="5000" w:type="pct"/>
            <w:gridSpan w:val="7"/>
            <w:vAlign w:val="center"/>
          </w:tcPr>
          <w:p w14:paraId="20A74CE1" w14:textId="7A379C88" w:rsidR="00F32AAB" w:rsidRPr="00E6334A" w:rsidRDefault="00F32AAB" w:rsidP="00F32AAB">
            <w:pPr>
              <w:widowControl w:val="0"/>
              <w:jc w:val="left"/>
              <w:rPr>
                <w:rFonts w:ascii="Arial Narrow" w:eastAsiaTheme="majorEastAsia" w:hAnsi="Arial Narrow" w:cstheme="majorBidi"/>
                <w:bCs/>
                <w:sz w:val="20"/>
                <w:szCs w:val="20"/>
              </w:rPr>
            </w:pPr>
            <w:r w:rsidRPr="00E6334A">
              <w:rPr>
                <w:rFonts w:ascii="Arial Narrow" w:eastAsiaTheme="majorEastAsia" w:hAnsi="Arial Narrow" w:cstheme="majorBidi"/>
                <w:b/>
                <w:bCs/>
                <w:sz w:val="20"/>
                <w:szCs w:val="20"/>
              </w:rPr>
              <w:t>Clinical criteria:</w:t>
            </w:r>
          </w:p>
        </w:tc>
      </w:tr>
      <w:tr w:rsidR="00E6334A" w:rsidRPr="00E6334A" w14:paraId="7C9B73B6" w14:textId="77777777" w:rsidTr="00FB28DA">
        <w:tblPrEx>
          <w:tblCellMar>
            <w:top w:w="15" w:type="dxa"/>
            <w:bottom w:w="15" w:type="dxa"/>
          </w:tblCellMar>
        </w:tblPrEx>
        <w:trPr>
          <w:cantSplit/>
          <w:trHeight w:val="20"/>
        </w:trPr>
        <w:tc>
          <w:tcPr>
            <w:tcW w:w="5000" w:type="pct"/>
            <w:gridSpan w:val="7"/>
            <w:vAlign w:val="center"/>
          </w:tcPr>
          <w:p w14:paraId="5390FF35" w14:textId="72B2F6B0" w:rsidR="00F32AAB" w:rsidRPr="00E6334A" w:rsidRDefault="00F32AAB" w:rsidP="00F32AAB">
            <w:pPr>
              <w:widowControl w:val="0"/>
              <w:jc w:val="left"/>
              <w:rPr>
                <w:rFonts w:ascii="Arial Narrow" w:eastAsiaTheme="majorEastAsia" w:hAnsi="Arial Narrow" w:cstheme="majorBidi"/>
                <w:b/>
                <w:bCs/>
                <w:sz w:val="20"/>
                <w:szCs w:val="20"/>
              </w:rPr>
            </w:pPr>
            <w:r w:rsidRPr="00E6334A">
              <w:rPr>
                <w:rFonts w:ascii="Arial Narrow" w:eastAsiaTheme="majorEastAsia" w:hAnsi="Arial Narrow" w:cstheme="majorBidi"/>
                <w:bCs/>
                <w:sz w:val="20"/>
                <w:szCs w:val="20"/>
              </w:rPr>
              <w:t>Patient must have been receiving non-PBS-subsidised treatment with drug for this condition prior to [PBS listing date]</w:t>
            </w:r>
          </w:p>
        </w:tc>
      </w:tr>
      <w:tr w:rsidR="00E6334A" w:rsidRPr="00E6334A" w14:paraId="52ED3ABA" w14:textId="77777777" w:rsidTr="00FB28DA">
        <w:tblPrEx>
          <w:tblCellMar>
            <w:top w:w="15" w:type="dxa"/>
            <w:bottom w:w="15" w:type="dxa"/>
          </w:tblCellMar>
        </w:tblPrEx>
        <w:trPr>
          <w:cantSplit/>
          <w:trHeight w:val="20"/>
        </w:trPr>
        <w:tc>
          <w:tcPr>
            <w:tcW w:w="5000" w:type="pct"/>
            <w:gridSpan w:val="7"/>
            <w:vAlign w:val="center"/>
          </w:tcPr>
          <w:p w14:paraId="085F813A" w14:textId="50F65CA1" w:rsidR="00F32AAB" w:rsidRPr="00E6334A" w:rsidRDefault="00F32AAB" w:rsidP="00F32AAB">
            <w:pPr>
              <w:widowControl w:val="0"/>
              <w:jc w:val="left"/>
              <w:rPr>
                <w:rFonts w:ascii="Arial Narrow" w:eastAsiaTheme="majorEastAsia" w:hAnsi="Arial Narrow" w:cstheme="majorBidi"/>
                <w:bCs/>
                <w:sz w:val="20"/>
                <w:szCs w:val="20"/>
              </w:rPr>
            </w:pPr>
            <w:r w:rsidRPr="00E6334A">
              <w:rPr>
                <w:rFonts w:ascii="Arial Narrow" w:hAnsi="Arial Narrow"/>
                <w:b/>
                <w:bCs/>
                <w:sz w:val="20"/>
                <w:szCs w:val="20"/>
              </w:rPr>
              <w:t>AND</w:t>
            </w:r>
          </w:p>
        </w:tc>
      </w:tr>
      <w:tr w:rsidR="00E6334A" w:rsidRPr="00E6334A" w14:paraId="05BF5729" w14:textId="77777777" w:rsidTr="00FB28DA">
        <w:tblPrEx>
          <w:tblCellMar>
            <w:top w:w="15" w:type="dxa"/>
            <w:bottom w:w="15" w:type="dxa"/>
          </w:tblCellMar>
        </w:tblPrEx>
        <w:trPr>
          <w:cantSplit/>
          <w:trHeight w:val="20"/>
        </w:trPr>
        <w:tc>
          <w:tcPr>
            <w:tcW w:w="5000" w:type="pct"/>
            <w:gridSpan w:val="7"/>
            <w:vAlign w:val="center"/>
          </w:tcPr>
          <w:p w14:paraId="3A486109" w14:textId="164C705F" w:rsidR="00F32AAB" w:rsidRPr="00E6334A" w:rsidRDefault="00F32AAB" w:rsidP="00F32AAB">
            <w:pPr>
              <w:widowControl w:val="0"/>
              <w:jc w:val="left"/>
              <w:rPr>
                <w:rFonts w:ascii="Arial Narrow" w:eastAsiaTheme="majorEastAsia" w:hAnsi="Arial Narrow" w:cstheme="majorBidi"/>
                <w:b/>
                <w:bCs/>
                <w:sz w:val="20"/>
                <w:szCs w:val="20"/>
              </w:rPr>
            </w:pPr>
            <w:r w:rsidRPr="00E6334A">
              <w:rPr>
                <w:rFonts w:ascii="Arial Narrow" w:hAnsi="Arial Narrow"/>
                <w:b/>
                <w:bCs/>
                <w:sz w:val="20"/>
                <w:szCs w:val="20"/>
              </w:rPr>
              <w:t>Clinical criteria:</w:t>
            </w:r>
          </w:p>
        </w:tc>
      </w:tr>
      <w:tr w:rsidR="00E6334A" w:rsidRPr="00E6334A" w14:paraId="6A01F3C1" w14:textId="77777777" w:rsidTr="00FB28DA">
        <w:tblPrEx>
          <w:tblCellMar>
            <w:top w:w="15" w:type="dxa"/>
            <w:bottom w:w="15" w:type="dxa"/>
          </w:tblCellMar>
        </w:tblPrEx>
        <w:trPr>
          <w:cantSplit/>
          <w:trHeight w:val="20"/>
        </w:trPr>
        <w:tc>
          <w:tcPr>
            <w:tcW w:w="5000" w:type="pct"/>
            <w:gridSpan w:val="7"/>
            <w:vAlign w:val="center"/>
          </w:tcPr>
          <w:p w14:paraId="0D7FB053" w14:textId="77777777" w:rsidR="00F32AAB" w:rsidRPr="00E6334A" w:rsidRDefault="00F32AAB" w:rsidP="00F32AAB">
            <w:pPr>
              <w:rPr>
                <w:rFonts w:ascii="Arial Narrow" w:hAnsi="Arial Narrow"/>
                <w:sz w:val="20"/>
                <w:szCs w:val="20"/>
              </w:rPr>
            </w:pPr>
            <w:r w:rsidRPr="00E6334A">
              <w:rPr>
                <w:rFonts w:ascii="Arial Narrow" w:hAnsi="Arial Narrow"/>
                <w:sz w:val="20"/>
                <w:szCs w:val="20"/>
              </w:rPr>
              <w:lastRenderedPageBreak/>
              <w:t>Patient must have met all other PBS eligibility criteria that a non- ‘Grandfather’ patient would ordinarily be required to meet, meaning that at the time non-PBS subsidised supply was commenced, the patient:</w:t>
            </w:r>
          </w:p>
          <w:p w14:paraId="769C2263" w14:textId="77777777" w:rsidR="00F32AAB" w:rsidRPr="00E6334A" w:rsidRDefault="00F32AAB" w:rsidP="00F32AAB">
            <w:pPr>
              <w:rPr>
                <w:rFonts w:ascii="Arial Narrow" w:hAnsi="Arial Narrow"/>
                <w:sz w:val="20"/>
                <w:szCs w:val="20"/>
              </w:rPr>
            </w:pPr>
            <w:r w:rsidRPr="00E6334A">
              <w:rPr>
                <w:rFonts w:ascii="Arial Narrow" w:hAnsi="Arial Narrow"/>
                <w:sz w:val="20"/>
                <w:szCs w:val="20"/>
              </w:rPr>
              <w:t>(i) was on optimised haemodialysis,</w:t>
            </w:r>
          </w:p>
          <w:p w14:paraId="5EE01FAE" w14:textId="77777777" w:rsidR="00F32AAB" w:rsidRPr="00E6334A" w:rsidRDefault="00F32AAB" w:rsidP="00F32AAB">
            <w:pPr>
              <w:rPr>
                <w:rFonts w:ascii="Arial Narrow" w:hAnsi="Arial Narrow"/>
                <w:sz w:val="20"/>
                <w:szCs w:val="20"/>
              </w:rPr>
            </w:pPr>
            <w:r w:rsidRPr="00E6334A">
              <w:rPr>
                <w:rFonts w:ascii="Arial Narrow" w:hAnsi="Arial Narrow"/>
                <w:sz w:val="20"/>
                <w:szCs w:val="20"/>
              </w:rPr>
              <w:t>(ii) was on haemodialysis for at least 3 months</w:t>
            </w:r>
          </w:p>
          <w:p w14:paraId="572C4FD2" w14:textId="77777777" w:rsidR="00F32AAB" w:rsidRPr="00E6334A" w:rsidRDefault="00F32AAB" w:rsidP="00F32AAB">
            <w:pPr>
              <w:rPr>
                <w:rFonts w:ascii="Arial Narrow" w:hAnsi="Arial Narrow"/>
                <w:sz w:val="20"/>
                <w:szCs w:val="20"/>
              </w:rPr>
            </w:pPr>
            <w:r w:rsidRPr="00E6334A">
              <w:rPr>
                <w:rFonts w:ascii="Arial Narrow" w:hAnsi="Arial Narrow"/>
                <w:sz w:val="20"/>
                <w:szCs w:val="20"/>
              </w:rPr>
              <w:t>(iii) had a condition confirmed based on both physical examination and patient history</w:t>
            </w:r>
          </w:p>
          <w:p w14:paraId="59FEFD8F" w14:textId="77777777" w:rsidR="00F32AAB" w:rsidRPr="00E6334A" w:rsidRDefault="00F32AAB" w:rsidP="00F32AAB">
            <w:pPr>
              <w:rPr>
                <w:rFonts w:ascii="Arial Narrow" w:hAnsi="Arial Narrow"/>
                <w:sz w:val="20"/>
                <w:szCs w:val="20"/>
              </w:rPr>
            </w:pPr>
            <w:r w:rsidRPr="00E6334A">
              <w:rPr>
                <w:rFonts w:ascii="Arial Narrow" w:hAnsi="Arial Narrow"/>
                <w:sz w:val="20"/>
                <w:szCs w:val="20"/>
              </w:rPr>
              <w:t>(iv) had experienced itch that persists for at least 6 weeks despite best supportive care.</w:t>
            </w:r>
          </w:p>
          <w:p w14:paraId="6F4FF8A0" w14:textId="265241B9" w:rsidR="00F32AAB" w:rsidRPr="00E6334A" w:rsidRDefault="00F32AAB" w:rsidP="00F32AAB">
            <w:pPr>
              <w:widowControl w:val="0"/>
              <w:jc w:val="left"/>
              <w:rPr>
                <w:rFonts w:ascii="Arial Narrow" w:eastAsiaTheme="majorEastAsia" w:hAnsi="Arial Narrow" w:cstheme="majorBidi"/>
                <w:b/>
                <w:bCs/>
                <w:sz w:val="20"/>
                <w:szCs w:val="20"/>
              </w:rPr>
            </w:pPr>
            <w:r w:rsidRPr="00E6334A">
              <w:rPr>
                <w:rFonts w:ascii="Arial Narrow" w:hAnsi="Arial Narrow"/>
                <w:sz w:val="20"/>
                <w:szCs w:val="20"/>
              </w:rPr>
              <w:t>(v) had a 24-hour Worst Itching Intensity Numerical Rating Scale (WI-NRS) of more than 4 at baseline.</w:t>
            </w:r>
          </w:p>
        </w:tc>
      </w:tr>
      <w:tr w:rsidR="00E6334A" w:rsidRPr="00E6334A" w14:paraId="373AFF4E" w14:textId="77777777" w:rsidTr="00FB28DA">
        <w:tblPrEx>
          <w:tblCellMar>
            <w:top w:w="15" w:type="dxa"/>
            <w:bottom w:w="15" w:type="dxa"/>
          </w:tblCellMar>
        </w:tblPrEx>
        <w:trPr>
          <w:cantSplit/>
          <w:trHeight w:val="20"/>
        </w:trPr>
        <w:tc>
          <w:tcPr>
            <w:tcW w:w="5000" w:type="pct"/>
            <w:gridSpan w:val="7"/>
            <w:vAlign w:val="center"/>
          </w:tcPr>
          <w:p w14:paraId="5B0A5A67" w14:textId="3CB029D4" w:rsidR="00F32AAB" w:rsidRPr="00E6334A" w:rsidRDefault="00F32AAB" w:rsidP="00F32AAB">
            <w:pPr>
              <w:rPr>
                <w:rFonts w:ascii="Arial Narrow" w:hAnsi="Arial Narrow"/>
                <w:sz w:val="20"/>
                <w:szCs w:val="20"/>
              </w:rPr>
            </w:pPr>
            <w:r w:rsidRPr="00E6334A">
              <w:rPr>
                <w:rFonts w:ascii="Arial Narrow" w:hAnsi="Arial Narrow"/>
                <w:b/>
                <w:bCs/>
                <w:sz w:val="20"/>
                <w:szCs w:val="20"/>
              </w:rPr>
              <w:t>AND</w:t>
            </w:r>
          </w:p>
        </w:tc>
      </w:tr>
      <w:tr w:rsidR="00E6334A" w:rsidRPr="00E6334A" w14:paraId="11C34B61" w14:textId="77777777" w:rsidTr="00FB28DA">
        <w:tblPrEx>
          <w:tblCellMar>
            <w:top w:w="15" w:type="dxa"/>
            <w:bottom w:w="15" w:type="dxa"/>
          </w:tblCellMar>
        </w:tblPrEx>
        <w:trPr>
          <w:cantSplit/>
          <w:trHeight w:val="20"/>
        </w:trPr>
        <w:tc>
          <w:tcPr>
            <w:tcW w:w="5000" w:type="pct"/>
            <w:gridSpan w:val="7"/>
          </w:tcPr>
          <w:p w14:paraId="601E9EE9" w14:textId="4D4178C4" w:rsidR="00F32AAB" w:rsidRPr="00E6334A" w:rsidRDefault="00F32AAB" w:rsidP="00F32AAB">
            <w:pPr>
              <w:rPr>
                <w:rFonts w:ascii="Arial Narrow" w:eastAsiaTheme="majorEastAsia" w:hAnsi="Arial Narrow" w:cstheme="majorBidi"/>
                <w:b/>
                <w:bCs/>
                <w:sz w:val="20"/>
                <w:szCs w:val="20"/>
              </w:rPr>
            </w:pPr>
            <w:r w:rsidRPr="00E6334A">
              <w:rPr>
                <w:rFonts w:ascii="Arial Narrow" w:hAnsi="Arial Narrow"/>
                <w:b/>
                <w:bCs/>
                <w:sz w:val="20"/>
                <w:szCs w:val="20"/>
              </w:rPr>
              <w:t>Clinical criteria:</w:t>
            </w:r>
          </w:p>
        </w:tc>
      </w:tr>
      <w:tr w:rsidR="00E6334A" w:rsidRPr="00E6334A" w14:paraId="321334EC" w14:textId="77777777" w:rsidTr="00FB28DA">
        <w:tblPrEx>
          <w:tblCellMar>
            <w:top w:w="15" w:type="dxa"/>
            <w:bottom w:w="15" w:type="dxa"/>
          </w:tblCellMar>
        </w:tblPrEx>
        <w:trPr>
          <w:cantSplit/>
          <w:trHeight w:val="20"/>
        </w:trPr>
        <w:tc>
          <w:tcPr>
            <w:tcW w:w="5000" w:type="pct"/>
            <w:gridSpan w:val="7"/>
          </w:tcPr>
          <w:p w14:paraId="243F790A" w14:textId="63C2CD5E" w:rsidR="00F32AAB" w:rsidRPr="00E6334A" w:rsidRDefault="00F32AAB" w:rsidP="00F32AAB">
            <w:pPr>
              <w:rPr>
                <w:rFonts w:ascii="Arial Narrow" w:eastAsiaTheme="majorEastAsia" w:hAnsi="Arial Narrow" w:cstheme="majorBidi"/>
                <w:b/>
                <w:bCs/>
                <w:sz w:val="20"/>
                <w:szCs w:val="20"/>
              </w:rPr>
            </w:pPr>
            <w:r w:rsidRPr="00E6334A">
              <w:rPr>
                <w:rFonts w:ascii="Arial Narrow" w:hAnsi="Arial Narrow"/>
                <w:sz w:val="20"/>
                <w:szCs w:val="20"/>
              </w:rPr>
              <w:t>Patient must have demonstrated / sustained an adequate response to the most recent non-PBS-subsidised treatment with this drug for this condition, including at least a 3-point improvement from baseline in 24-hour Worst Itching Intensity Numerical Rating Scale (WI-NRS) score.</w:t>
            </w:r>
          </w:p>
        </w:tc>
      </w:tr>
      <w:tr w:rsidR="00E6334A" w:rsidRPr="00E6334A" w14:paraId="560B2DBB" w14:textId="77777777" w:rsidTr="00FB28DA">
        <w:tblPrEx>
          <w:tblCellMar>
            <w:top w:w="15" w:type="dxa"/>
            <w:bottom w:w="15" w:type="dxa"/>
          </w:tblCellMar>
        </w:tblPrEx>
        <w:trPr>
          <w:cantSplit/>
          <w:trHeight w:val="20"/>
        </w:trPr>
        <w:tc>
          <w:tcPr>
            <w:tcW w:w="5000" w:type="pct"/>
            <w:gridSpan w:val="7"/>
          </w:tcPr>
          <w:p w14:paraId="5AF076D2" w14:textId="434D8B01" w:rsidR="00F32AAB" w:rsidRPr="00E6334A" w:rsidRDefault="00F32AAB" w:rsidP="00F32AAB">
            <w:pPr>
              <w:rPr>
                <w:rFonts w:ascii="Arial Narrow" w:eastAsiaTheme="majorEastAsia" w:hAnsi="Arial Narrow" w:cstheme="majorBidi"/>
                <w:sz w:val="20"/>
                <w:szCs w:val="20"/>
              </w:rPr>
            </w:pPr>
            <w:r w:rsidRPr="00E6334A">
              <w:rPr>
                <w:rFonts w:ascii="Arial Narrow" w:hAnsi="Arial Narrow"/>
                <w:b/>
                <w:bCs/>
                <w:sz w:val="20"/>
                <w:szCs w:val="20"/>
              </w:rPr>
              <w:t>AND</w:t>
            </w:r>
          </w:p>
        </w:tc>
      </w:tr>
      <w:tr w:rsidR="00E6334A" w:rsidRPr="00E6334A" w14:paraId="3858F4D5" w14:textId="77777777" w:rsidTr="00FB28DA">
        <w:tblPrEx>
          <w:tblCellMar>
            <w:top w:w="15" w:type="dxa"/>
            <w:bottom w:w="15" w:type="dxa"/>
          </w:tblCellMar>
        </w:tblPrEx>
        <w:trPr>
          <w:cantSplit/>
          <w:trHeight w:val="20"/>
        </w:trPr>
        <w:tc>
          <w:tcPr>
            <w:tcW w:w="5000" w:type="pct"/>
            <w:gridSpan w:val="7"/>
            <w:vAlign w:val="center"/>
          </w:tcPr>
          <w:p w14:paraId="0FA7EDC2" w14:textId="10DA88DF" w:rsidR="00F32AAB" w:rsidRPr="00E6334A" w:rsidRDefault="00F32AAB" w:rsidP="00F32AAB">
            <w:pPr>
              <w:rPr>
                <w:rFonts w:ascii="Arial Narrow" w:eastAsiaTheme="majorEastAsia" w:hAnsi="Arial Narrow" w:cstheme="majorBidi"/>
                <w:b/>
                <w:bCs/>
                <w:sz w:val="20"/>
                <w:szCs w:val="20"/>
              </w:rPr>
            </w:pPr>
            <w:r w:rsidRPr="00E6334A">
              <w:rPr>
                <w:rFonts w:ascii="Arial Narrow" w:hAnsi="Arial Narrow"/>
                <w:b/>
                <w:bCs/>
                <w:sz w:val="20"/>
                <w:szCs w:val="20"/>
              </w:rPr>
              <w:t>Treatment criteria:</w:t>
            </w:r>
          </w:p>
        </w:tc>
      </w:tr>
      <w:tr w:rsidR="00E6334A" w:rsidRPr="00E6334A" w14:paraId="5DD9DD93" w14:textId="77777777" w:rsidTr="00FB28DA">
        <w:tblPrEx>
          <w:tblCellMar>
            <w:top w:w="15" w:type="dxa"/>
            <w:bottom w:w="15" w:type="dxa"/>
          </w:tblCellMar>
        </w:tblPrEx>
        <w:trPr>
          <w:cantSplit/>
          <w:trHeight w:val="20"/>
        </w:trPr>
        <w:tc>
          <w:tcPr>
            <w:tcW w:w="5000" w:type="pct"/>
            <w:gridSpan w:val="7"/>
            <w:vAlign w:val="center"/>
          </w:tcPr>
          <w:p w14:paraId="2AC18EE2" w14:textId="77777777" w:rsidR="00F32AAB" w:rsidRPr="00E6334A" w:rsidRDefault="00F32AAB" w:rsidP="00F32AAB">
            <w:pPr>
              <w:autoSpaceDE w:val="0"/>
              <w:autoSpaceDN w:val="0"/>
              <w:adjustRightInd w:val="0"/>
              <w:rPr>
                <w:rFonts w:ascii="Arial Narrow" w:hAnsi="Arial Narrow" w:cs="Arial Narrow"/>
                <w:strike/>
                <w:sz w:val="20"/>
                <w:szCs w:val="20"/>
              </w:rPr>
            </w:pPr>
            <w:r w:rsidRPr="00E6334A">
              <w:rPr>
                <w:rFonts w:ascii="Arial Narrow" w:hAnsi="Arial Narrow" w:cs="Arial Narrow"/>
                <w:strike/>
                <w:sz w:val="20"/>
                <w:szCs w:val="20"/>
              </w:rPr>
              <w:t>Must be treated by, or in consultation with, any of the following specialists:</w:t>
            </w:r>
          </w:p>
          <w:p w14:paraId="5E932C99" w14:textId="77777777" w:rsidR="00F32AAB" w:rsidRPr="00E6334A" w:rsidRDefault="00F32AAB" w:rsidP="00F32AAB">
            <w:pPr>
              <w:autoSpaceDE w:val="0"/>
              <w:autoSpaceDN w:val="0"/>
              <w:adjustRightInd w:val="0"/>
              <w:rPr>
                <w:rFonts w:ascii="Arial Narrow" w:hAnsi="Arial Narrow" w:cs="Arial Narrow"/>
                <w:strike/>
                <w:sz w:val="20"/>
                <w:szCs w:val="20"/>
              </w:rPr>
            </w:pPr>
            <w:r w:rsidRPr="00E6334A">
              <w:rPr>
                <w:rFonts w:ascii="Arial Narrow" w:hAnsi="Arial Narrow" w:cs="Arial Narrow"/>
                <w:strike/>
                <w:sz w:val="20"/>
                <w:szCs w:val="20"/>
              </w:rPr>
              <w:t>renal physician, nephrologist, allergist, or general physician experienced in the management of patients with chronic kidney disease</w:t>
            </w:r>
          </w:p>
          <w:p w14:paraId="2A8C27A6" w14:textId="4F22C1C6" w:rsidR="00F32AAB" w:rsidRPr="00E6334A" w:rsidRDefault="00F32AAB" w:rsidP="00F32AAB">
            <w:pPr>
              <w:keepNext/>
              <w:keepLines/>
              <w:jc w:val="left"/>
              <w:rPr>
                <w:rFonts w:ascii="Arial Narrow" w:eastAsiaTheme="majorEastAsia" w:hAnsi="Arial Narrow" w:cstheme="majorBidi"/>
                <w:bCs/>
                <w:sz w:val="20"/>
                <w:szCs w:val="20"/>
              </w:rPr>
            </w:pPr>
            <w:r w:rsidRPr="00E6334A">
              <w:rPr>
                <w:rFonts w:ascii="Arial Narrow" w:hAnsi="Arial Narrow" w:cs="Arial Narrow"/>
                <w:i/>
                <w:iCs/>
                <w:sz w:val="20"/>
                <w:szCs w:val="20"/>
              </w:rPr>
              <w:t>Must be treated by at least one of (i) a renal physician, (ii) nephrologist, (iii) allergist, (iv) medical practitioner in consultation with one of these specialists.</w:t>
            </w:r>
          </w:p>
        </w:tc>
      </w:tr>
      <w:tr w:rsidR="00E6334A" w:rsidRPr="00E6334A" w14:paraId="7C154CA2" w14:textId="77777777" w:rsidTr="00FB28DA">
        <w:tblPrEx>
          <w:tblCellMar>
            <w:top w:w="15" w:type="dxa"/>
            <w:bottom w:w="15" w:type="dxa"/>
          </w:tblCellMar>
        </w:tblPrEx>
        <w:trPr>
          <w:cantSplit/>
          <w:trHeight w:val="20"/>
        </w:trPr>
        <w:tc>
          <w:tcPr>
            <w:tcW w:w="5000" w:type="pct"/>
            <w:gridSpan w:val="7"/>
            <w:vAlign w:val="center"/>
          </w:tcPr>
          <w:p w14:paraId="32D6F8D8" w14:textId="03709AC1" w:rsidR="00F32AAB" w:rsidRPr="00E6334A" w:rsidRDefault="00F32AAB" w:rsidP="00F32AAB">
            <w:pPr>
              <w:keepNext/>
              <w:keepLines/>
              <w:jc w:val="left"/>
              <w:rPr>
                <w:rFonts w:ascii="Arial Narrow" w:eastAsiaTheme="majorEastAsia" w:hAnsi="Arial Narrow" w:cstheme="majorBidi"/>
                <w:b/>
                <w:sz w:val="20"/>
                <w:szCs w:val="20"/>
              </w:rPr>
            </w:pPr>
            <w:r w:rsidRPr="00E6334A">
              <w:rPr>
                <w:rFonts w:ascii="Arial Narrow" w:hAnsi="Arial Narrow"/>
                <w:b/>
                <w:bCs/>
                <w:sz w:val="20"/>
                <w:szCs w:val="20"/>
              </w:rPr>
              <w:t>AND</w:t>
            </w:r>
          </w:p>
        </w:tc>
      </w:tr>
      <w:tr w:rsidR="00E6334A" w:rsidRPr="00E6334A" w14:paraId="43E7D901" w14:textId="77777777" w:rsidTr="00FB28DA">
        <w:tblPrEx>
          <w:tblCellMar>
            <w:top w:w="15" w:type="dxa"/>
            <w:bottom w:w="15" w:type="dxa"/>
          </w:tblCellMar>
        </w:tblPrEx>
        <w:trPr>
          <w:cantSplit/>
          <w:trHeight w:val="20"/>
        </w:trPr>
        <w:tc>
          <w:tcPr>
            <w:tcW w:w="5000" w:type="pct"/>
            <w:gridSpan w:val="7"/>
            <w:vAlign w:val="center"/>
          </w:tcPr>
          <w:p w14:paraId="2CDA0B14" w14:textId="11ED9F14" w:rsidR="00F32AAB" w:rsidRPr="00E6334A" w:rsidRDefault="00F32AAB" w:rsidP="00F32AAB">
            <w:pPr>
              <w:keepNext/>
              <w:keepLines/>
              <w:jc w:val="left"/>
              <w:rPr>
                <w:rFonts w:ascii="Arial Narrow" w:eastAsiaTheme="majorEastAsia" w:hAnsi="Arial Narrow" w:cstheme="majorBidi"/>
                <w:bCs/>
                <w:sz w:val="20"/>
                <w:szCs w:val="20"/>
              </w:rPr>
            </w:pPr>
            <w:r w:rsidRPr="00E6334A">
              <w:rPr>
                <w:rFonts w:ascii="Arial Narrow" w:hAnsi="Arial Narrow"/>
                <w:b/>
                <w:bCs/>
                <w:i/>
                <w:iCs/>
                <w:sz w:val="20"/>
                <w:szCs w:val="20"/>
              </w:rPr>
              <w:t>Population criteria:</w:t>
            </w:r>
          </w:p>
        </w:tc>
      </w:tr>
      <w:tr w:rsidR="00E6334A" w:rsidRPr="00E6334A" w14:paraId="40F8B22B" w14:textId="77777777" w:rsidTr="00FB28DA">
        <w:tblPrEx>
          <w:tblCellMar>
            <w:top w:w="15" w:type="dxa"/>
            <w:bottom w:w="15" w:type="dxa"/>
          </w:tblCellMar>
        </w:tblPrEx>
        <w:trPr>
          <w:cantSplit/>
          <w:trHeight w:val="20"/>
        </w:trPr>
        <w:tc>
          <w:tcPr>
            <w:tcW w:w="5000" w:type="pct"/>
            <w:gridSpan w:val="7"/>
            <w:vAlign w:val="center"/>
          </w:tcPr>
          <w:p w14:paraId="545E4E8F" w14:textId="63FC883F" w:rsidR="00F32AAB" w:rsidRPr="00E6334A" w:rsidRDefault="00F32AAB" w:rsidP="00F32AAB">
            <w:pPr>
              <w:keepNext/>
              <w:keepLines/>
              <w:jc w:val="left"/>
              <w:rPr>
                <w:rFonts w:ascii="Arial Narrow" w:eastAsiaTheme="majorEastAsia" w:hAnsi="Arial Narrow" w:cstheme="majorBidi"/>
                <w:b/>
                <w:bCs/>
                <w:sz w:val="20"/>
                <w:szCs w:val="20"/>
              </w:rPr>
            </w:pPr>
            <w:r w:rsidRPr="00E6334A">
              <w:rPr>
                <w:rFonts w:ascii="Arial Narrow" w:hAnsi="Arial Narrow"/>
                <w:i/>
                <w:iCs/>
                <w:sz w:val="20"/>
                <w:szCs w:val="20"/>
              </w:rPr>
              <w:t>Patient must be at least 18 years of age</w:t>
            </w:r>
          </w:p>
        </w:tc>
      </w:tr>
      <w:tr w:rsidR="00E6334A" w:rsidRPr="00E6334A" w14:paraId="3B4CE1D1" w14:textId="77777777" w:rsidTr="00FB28DA">
        <w:tblPrEx>
          <w:tblCellMar>
            <w:top w:w="15" w:type="dxa"/>
            <w:bottom w:w="15" w:type="dxa"/>
          </w:tblCellMar>
        </w:tblPrEx>
        <w:trPr>
          <w:cantSplit/>
          <w:trHeight w:val="20"/>
        </w:trPr>
        <w:tc>
          <w:tcPr>
            <w:tcW w:w="5000" w:type="pct"/>
            <w:gridSpan w:val="7"/>
            <w:vAlign w:val="center"/>
          </w:tcPr>
          <w:p w14:paraId="6A03CBC0" w14:textId="77777777" w:rsidR="00F32AAB" w:rsidRPr="00E6334A" w:rsidRDefault="00F32AAB" w:rsidP="00F32AAB">
            <w:pPr>
              <w:rPr>
                <w:rFonts w:ascii="Arial Narrow" w:hAnsi="Arial Narrow"/>
                <w:b/>
                <w:bCs/>
                <w:i/>
                <w:iCs/>
                <w:sz w:val="20"/>
                <w:szCs w:val="20"/>
              </w:rPr>
            </w:pPr>
            <w:r w:rsidRPr="00E6334A">
              <w:rPr>
                <w:rFonts w:ascii="Arial Narrow" w:hAnsi="Arial Narrow"/>
                <w:b/>
                <w:bCs/>
                <w:i/>
                <w:iCs/>
                <w:sz w:val="20"/>
                <w:szCs w:val="20"/>
              </w:rPr>
              <w:t xml:space="preserve">Prescribing instructions: </w:t>
            </w:r>
          </w:p>
          <w:p w14:paraId="2B2165D8" w14:textId="2EAC700C" w:rsidR="00F32AAB" w:rsidRPr="00E6334A" w:rsidRDefault="00F32AAB" w:rsidP="00F32AAB">
            <w:pPr>
              <w:keepNext/>
              <w:keepLines/>
              <w:jc w:val="left"/>
              <w:rPr>
                <w:rFonts w:ascii="Arial Narrow" w:eastAsiaTheme="majorEastAsia" w:hAnsi="Arial Narrow" w:cstheme="majorBidi"/>
                <w:bCs/>
                <w:sz w:val="20"/>
                <w:szCs w:val="20"/>
              </w:rPr>
            </w:pPr>
            <w:r w:rsidRPr="00E6334A">
              <w:rPr>
                <w:rFonts w:ascii="Arial Narrow" w:hAnsi="Arial Narrow"/>
                <w:i/>
                <w:iCs/>
                <w:sz w:val="20"/>
                <w:szCs w:val="20"/>
              </w:rPr>
              <w:t>Confirmation of eligibility for treatment with diagnostic reports must be documented in the patient's medical records.</w:t>
            </w:r>
          </w:p>
        </w:tc>
      </w:tr>
      <w:tr w:rsidR="00E6334A" w:rsidRPr="00E6334A" w14:paraId="1E89704C" w14:textId="77777777" w:rsidTr="00FB28DA">
        <w:tblPrEx>
          <w:tblCellMar>
            <w:top w:w="15" w:type="dxa"/>
            <w:bottom w:w="15" w:type="dxa"/>
          </w:tblCellMar>
        </w:tblPrEx>
        <w:trPr>
          <w:cantSplit/>
          <w:trHeight w:val="20"/>
        </w:trPr>
        <w:tc>
          <w:tcPr>
            <w:tcW w:w="5000" w:type="pct"/>
            <w:gridSpan w:val="7"/>
            <w:vAlign w:val="center"/>
          </w:tcPr>
          <w:p w14:paraId="28535A65" w14:textId="77777777" w:rsidR="00F32AAB" w:rsidRPr="00E6334A" w:rsidRDefault="00F32AAB" w:rsidP="00F32AAB">
            <w:pPr>
              <w:rPr>
                <w:rFonts w:ascii="Arial Narrow" w:hAnsi="Arial Narrow"/>
                <w:i/>
                <w:iCs/>
                <w:sz w:val="20"/>
                <w:szCs w:val="20"/>
              </w:rPr>
            </w:pPr>
            <w:r w:rsidRPr="00E6334A">
              <w:rPr>
                <w:rFonts w:ascii="Arial Narrow" w:hAnsi="Arial Narrow"/>
                <w:b/>
                <w:bCs/>
                <w:i/>
                <w:iCs/>
                <w:sz w:val="20"/>
                <w:szCs w:val="20"/>
              </w:rPr>
              <w:t xml:space="preserve">Prescribing Instructions: </w:t>
            </w:r>
          </w:p>
          <w:p w14:paraId="7F5F6418" w14:textId="77777777" w:rsidR="00F32AAB" w:rsidRPr="00E6334A" w:rsidRDefault="00F32AAB" w:rsidP="00F32AAB">
            <w:pPr>
              <w:keepNext/>
              <w:keepLines/>
              <w:jc w:val="left"/>
              <w:rPr>
                <w:rFonts w:ascii="Arial Narrow" w:hAnsi="Arial Narrow"/>
                <w:i/>
                <w:iCs/>
                <w:sz w:val="20"/>
                <w:szCs w:val="20"/>
              </w:rPr>
            </w:pPr>
            <w:r w:rsidRPr="00E6334A">
              <w:rPr>
                <w:rFonts w:ascii="Arial Narrow" w:hAnsi="Arial Narrow"/>
                <w:i/>
                <w:iCs/>
                <w:sz w:val="20"/>
                <w:szCs w:val="20"/>
              </w:rPr>
              <w:t>At the time of authority application, medical practitioners must request the appropriate number of vials to provide sufficient drug, based on the dry body weight of the patient (in kg), adequate for 4 weeks, according to the specified dosage in the approved Product Information (PI). Up to a maximum of 5 repeats will be authorised. No more than 4 doses per week will be authorised even if the number of haemodialysis treatments in a week exceeds 4.</w:t>
            </w:r>
          </w:p>
          <w:p w14:paraId="4B412DDE" w14:textId="098FE85B" w:rsidR="00F32AAB" w:rsidRPr="00E6334A" w:rsidRDefault="00F32AAB" w:rsidP="00F32AAB">
            <w:pPr>
              <w:keepNext/>
              <w:keepLines/>
              <w:jc w:val="left"/>
              <w:rPr>
                <w:rFonts w:ascii="Arial Narrow" w:eastAsiaTheme="majorEastAsia" w:hAnsi="Arial Narrow" w:cstheme="majorBidi"/>
                <w:b/>
                <w:bCs/>
                <w:strike/>
                <w:sz w:val="20"/>
                <w:szCs w:val="20"/>
              </w:rPr>
            </w:pPr>
            <w:r w:rsidRPr="00E6334A">
              <w:rPr>
                <w:rFonts w:ascii="Arial Narrow" w:hAnsi="Arial Narrow"/>
                <w:strike/>
                <w:sz w:val="20"/>
                <w:szCs w:val="20"/>
              </w:rPr>
              <w:t>Requests for increased quantities may be authorised to provide sufficient doses for the 24 weeks of therapy based on the weight-based dosing table in the approved Product Information.</w:t>
            </w:r>
          </w:p>
        </w:tc>
      </w:tr>
      <w:tr w:rsidR="00E6334A" w:rsidRPr="00E6334A" w14:paraId="47716353" w14:textId="77777777" w:rsidTr="00FB28DA">
        <w:tblPrEx>
          <w:tblCellMar>
            <w:top w:w="15" w:type="dxa"/>
            <w:bottom w:w="15" w:type="dxa"/>
          </w:tblCellMar>
        </w:tblPrEx>
        <w:trPr>
          <w:cantSplit/>
          <w:trHeight w:val="20"/>
        </w:trPr>
        <w:tc>
          <w:tcPr>
            <w:tcW w:w="5000" w:type="pct"/>
            <w:gridSpan w:val="7"/>
            <w:vAlign w:val="center"/>
          </w:tcPr>
          <w:p w14:paraId="745B0BCB" w14:textId="77777777" w:rsidR="00F32AAB" w:rsidRPr="00E6334A" w:rsidRDefault="00F32AAB" w:rsidP="00F32AAB">
            <w:pPr>
              <w:rPr>
                <w:rFonts w:ascii="Arial Narrow" w:hAnsi="Arial Narrow"/>
                <w:b/>
                <w:bCs/>
                <w:sz w:val="20"/>
                <w:szCs w:val="20"/>
              </w:rPr>
            </w:pPr>
            <w:r w:rsidRPr="00E6334A">
              <w:rPr>
                <w:rFonts w:ascii="Arial Narrow" w:hAnsi="Arial Narrow"/>
                <w:b/>
                <w:bCs/>
                <w:sz w:val="20"/>
                <w:szCs w:val="20"/>
              </w:rPr>
              <w:t>Administrative advice:</w:t>
            </w:r>
          </w:p>
          <w:p w14:paraId="6F9F2593" w14:textId="63E04DF3" w:rsidR="00F32AAB" w:rsidRPr="00E6334A" w:rsidRDefault="00F32AAB" w:rsidP="00F32AAB">
            <w:pPr>
              <w:keepNext/>
              <w:keepLines/>
              <w:jc w:val="left"/>
              <w:rPr>
                <w:rFonts w:ascii="Arial Narrow" w:eastAsiaTheme="majorEastAsia" w:hAnsi="Arial Narrow" w:cstheme="majorBidi"/>
                <w:bCs/>
                <w:sz w:val="20"/>
                <w:szCs w:val="20"/>
              </w:rPr>
            </w:pPr>
            <w:r w:rsidRPr="00E6334A">
              <w:rPr>
                <w:rFonts w:ascii="Arial Narrow" w:hAnsi="Arial Narrow"/>
                <w:sz w:val="20"/>
                <w:szCs w:val="20"/>
              </w:rPr>
              <w:t>A Grandfathered patient may qualify for PBS-subsidised treatment under this restriction once only. For continuing PBS-subsidised treatment, a Grandfathered patient must qualify under the continuing treatment criteria.</w:t>
            </w:r>
          </w:p>
        </w:tc>
      </w:tr>
      <w:tr w:rsidR="00E6334A" w:rsidRPr="00E6334A" w14:paraId="2D3B85A6" w14:textId="77777777" w:rsidTr="00FB28DA">
        <w:tblPrEx>
          <w:tblCellMar>
            <w:top w:w="15" w:type="dxa"/>
            <w:bottom w:w="15" w:type="dxa"/>
          </w:tblCellMar>
        </w:tblPrEx>
        <w:trPr>
          <w:cantSplit/>
          <w:trHeight w:val="20"/>
        </w:trPr>
        <w:tc>
          <w:tcPr>
            <w:tcW w:w="5000" w:type="pct"/>
            <w:gridSpan w:val="7"/>
            <w:vAlign w:val="center"/>
          </w:tcPr>
          <w:p w14:paraId="2F1B5000" w14:textId="77777777" w:rsidR="00F32AAB" w:rsidRPr="00E6334A" w:rsidRDefault="00F32AAB" w:rsidP="00F32AAB">
            <w:pPr>
              <w:rPr>
                <w:rFonts w:ascii="Arial Narrow" w:hAnsi="Arial Narrow"/>
                <w:b/>
                <w:bCs/>
                <w:sz w:val="20"/>
                <w:szCs w:val="20"/>
              </w:rPr>
            </w:pPr>
            <w:r w:rsidRPr="00E6334A">
              <w:rPr>
                <w:rFonts w:ascii="Arial Narrow" w:hAnsi="Arial Narrow"/>
                <w:b/>
                <w:bCs/>
                <w:sz w:val="20"/>
                <w:szCs w:val="20"/>
              </w:rPr>
              <w:t>Administrative advice:</w:t>
            </w:r>
          </w:p>
          <w:p w14:paraId="52FC1EEF" w14:textId="45D8D8FB" w:rsidR="00F32AAB" w:rsidRPr="00E6334A" w:rsidRDefault="00F32AAB" w:rsidP="00F32AAB">
            <w:pPr>
              <w:keepNext/>
              <w:keepLines/>
              <w:jc w:val="left"/>
              <w:rPr>
                <w:rFonts w:ascii="Arial Narrow" w:eastAsiaTheme="majorEastAsia" w:hAnsi="Arial Narrow" w:cstheme="majorBidi"/>
                <w:b/>
                <w:bCs/>
                <w:sz w:val="20"/>
                <w:szCs w:val="20"/>
              </w:rPr>
            </w:pPr>
            <w:r w:rsidRPr="00E6334A">
              <w:rPr>
                <w:rFonts w:ascii="Arial Narrow" w:hAnsi="Arial Narrow"/>
                <w:sz w:val="20"/>
                <w:szCs w:val="20"/>
              </w:rPr>
              <w:t>This grandfather restriction will cease to operate from 12 months after the date specified in the clinical criteria</w:t>
            </w:r>
            <w:r w:rsidRPr="00E6334A">
              <w:rPr>
                <w:rFonts w:ascii="Arial Narrow" w:hAnsi="Arial Narrow"/>
                <w:b/>
                <w:bCs/>
                <w:sz w:val="20"/>
                <w:szCs w:val="20"/>
              </w:rPr>
              <w:t>.</w:t>
            </w:r>
          </w:p>
        </w:tc>
      </w:tr>
    </w:tbl>
    <w:bookmarkEnd w:id="12"/>
    <w:p w14:paraId="22BAEBD6" w14:textId="17348523" w:rsidR="00046D64" w:rsidRPr="001C59C3" w:rsidRDefault="00A60A3C" w:rsidP="001B5DAD">
      <w:pPr>
        <w:pStyle w:val="COMTablefooter"/>
      </w:pPr>
      <w:r w:rsidRPr="001C59C3">
        <w:rPr>
          <w:vertAlign w:val="superscript"/>
        </w:rPr>
        <w:t xml:space="preserve">a </w:t>
      </w:r>
      <w:r w:rsidR="001B5DAD" w:rsidRPr="001C59C3">
        <w:t>DPMQ estimates were incorrectly calculated in in the resubmission using fees and mark-ups associated with a Section 85 listing (1 July 2022 Schedule). During the evaluation</w:t>
      </w:r>
      <w:r w:rsidR="00D61D74" w:rsidRPr="001C59C3">
        <w:t xml:space="preserve"> and preparation of the PBAC Minutes</w:t>
      </w:r>
      <w:r w:rsidR="001B5DAD" w:rsidRPr="001C59C3">
        <w:t>, DPMQ estimates were calculated for the requested Section 100 – Highly Specialised Drugs Program (Public and Private Hospital) listing using the proposed AEMPs in the resubmission</w:t>
      </w:r>
      <w:r w:rsidR="00D61D74" w:rsidRPr="001C59C3">
        <w:t xml:space="preserve"> and pre-PBAC response</w:t>
      </w:r>
      <w:r w:rsidR="001B5DAD" w:rsidRPr="001C59C3">
        <w:t xml:space="preserve"> with fees and mark-ups effective 1 July 2023.</w:t>
      </w:r>
    </w:p>
    <w:p w14:paraId="7A53C57B" w14:textId="61D231A8" w:rsidR="00561ADE" w:rsidRPr="001C59C3" w:rsidRDefault="00561ADE" w:rsidP="004F15B1">
      <w:pPr>
        <w:pStyle w:val="COMexecsumnumberedpara"/>
      </w:pPr>
      <w:bookmarkStart w:id="13" w:name="_Ref150429347"/>
      <w:r w:rsidRPr="001C59C3">
        <w:t xml:space="preserve">The resubmission proposed a special pricing arrangement with an effective AEMP of </w:t>
      </w:r>
      <w:r w:rsidR="00D014A3">
        <w:t>$</w:t>
      </w:r>
      <w:r w:rsidR="008A42F6" w:rsidRPr="00690B5F">
        <w:rPr>
          <w:color w:val="000000"/>
          <w:w w:val="15"/>
          <w:shd w:val="solid" w:color="000000" w:fill="000000"/>
          <w:fitText w:val="-20" w:id="-1032102897"/>
          <w14:textFill>
            <w14:solidFill>
              <w14:srgbClr w14:val="000000">
                <w14:alpha w14:val="100000"/>
              </w14:srgbClr>
            </w14:solidFill>
          </w14:textFill>
        </w:rPr>
        <w:t xml:space="preserve">|  </w:t>
      </w:r>
      <w:r w:rsidR="008A42F6" w:rsidRPr="00690B5F">
        <w:rPr>
          <w:color w:val="000000"/>
          <w:spacing w:val="-69"/>
          <w:w w:val="15"/>
          <w:shd w:val="solid" w:color="000000" w:fill="000000"/>
          <w:fitText w:val="-20" w:id="-1032102897"/>
          <w14:textFill>
            <w14:solidFill>
              <w14:srgbClr w14:val="000000">
                <w14:alpha w14:val="100000"/>
              </w14:srgbClr>
            </w14:solidFill>
          </w14:textFill>
        </w:rPr>
        <w:t>|</w:t>
      </w:r>
      <w:r w:rsidRPr="001C59C3">
        <w:t xml:space="preserve"> for 12 vials</w:t>
      </w:r>
      <w:r w:rsidR="00B56C36" w:rsidRPr="001C59C3">
        <w:t xml:space="preserve"> and a</w:t>
      </w:r>
      <w:r w:rsidRPr="001C59C3">
        <w:t xml:space="preserve"> published AEMP of $540</w:t>
      </w:r>
      <w:r w:rsidR="00B97CCA" w:rsidRPr="001C59C3">
        <w:t>.00</w:t>
      </w:r>
      <w:r w:rsidR="00B56C36" w:rsidRPr="001C59C3">
        <w:t xml:space="preserve"> for 12 vials</w:t>
      </w:r>
      <w:r w:rsidRPr="001C59C3">
        <w:t xml:space="preserve">. The effective AEMP </w:t>
      </w:r>
      <w:r w:rsidRPr="00411188">
        <w:t xml:space="preserve">was </w:t>
      </w:r>
      <w:r w:rsidR="002C4433" w:rsidRPr="00411188">
        <w:t>20</w:t>
      </w:r>
      <w:r w:rsidR="00B56C36" w:rsidRPr="00411188">
        <w:t>%</w:t>
      </w:r>
      <w:r w:rsidR="00B56C36" w:rsidRPr="001C59C3">
        <w:t xml:space="preserve"> lower than proposed in the March 2023 pre-PBAC response (</w:t>
      </w:r>
      <w:r w:rsidR="00D014A3">
        <w:t>$</w:t>
      </w:r>
      <w:r w:rsidR="008A42F6" w:rsidRPr="00690B5F">
        <w:rPr>
          <w:color w:val="000000"/>
          <w:w w:val="15"/>
          <w:shd w:val="solid" w:color="000000" w:fill="000000"/>
          <w:fitText w:val="-20" w:id="-1032102896"/>
          <w14:textFill>
            <w14:solidFill>
              <w14:srgbClr w14:val="000000">
                <w14:alpha w14:val="100000"/>
              </w14:srgbClr>
            </w14:solidFill>
          </w14:textFill>
        </w:rPr>
        <w:t xml:space="preserve">|  </w:t>
      </w:r>
      <w:r w:rsidR="008A42F6" w:rsidRPr="00690B5F">
        <w:rPr>
          <w:color w:val="000000"/>
          <w:spacing w:val="-69"/>
          <w:w w:val="15"/>
          <w:shd w:val="solid" w:color="000000" w:fill="000000"/>
          <w:fitText w:val="-20" w:id="-1032102896"/>
          <w14:textFill>
            <w14:solidFill>
              <w14:srgbClr w14:val="000000">
                <w14:alpha w14:val="100000"/>
              </w14:srgbClr>
            </w14:solidFill>
          </w14:textFill>
        </w:rPr>
        <w:t>|</w:t>
      </w:r>
      <w:r w:rsidR="00B56C36" w:rsidRPr="001C59C3">
        <w:t>)</w:t>
      </w:r>
      <w:r w:rsidRPr="001C59C3">
        <w:t>.</w:t>
      </w:r>
      <w:r w:rsidR="004C4A40" w:rsidRPr="001C59C3">
        <w:t xml:space="preserve"> The pre-PBAC response</w:t>
      </w:r>
      <w:r w:rsidR="00021EC8">
        <w:t xml:space="preserve"> </w:t>
      </w:r>
      <w:r w:rsidR="004C4A40" w:rsidRPr="001C59C3">
        <w:t xml:space="preserve">offered </w:t>
      </w:r>
      <w:r w:rsidR="004C4A40" w:rsidRPr="00D014A3">
        <w:t>a</w:t>
      </w:r>
      <w:r w:rsidR="00C46F5E" w:rsidRPr="00D014A3">
        <w:t xml:space="preserve"> </w:t>
      </w:r>
      <w:r w:rsidR="00C46F5E" w:rsidRPr="00690B5F">
        <w:rPr>
          <w:color w:val="000000"/>
          <w:w w:val="15"/>
          <w:shd w:val="solid" w:color="000000" w:fill="000000"/>
          <w:fitText w:val="-20" w:id="-1026324992"/>
          <w14:textFill>
            <w14:solidFill>
              <w14:srgbClr w14:val="000000">
                <w14:alpha w14:val="100000"/>
              </w14:srgbClr>
            </w14:solidFill>
          </w14:textFill>
        </w:rPr>
        <w:t xml:space="preserve">|  </w:t>
      </w:r>
      <w:r w:rsidR="00C46F5E" w:rsidRPr="00690B5F">
        <w:rPr>
          <w:color w:val="000000"/>
          <w:spacing w:val="-69"/>
          <w:w w:val="15"/>
          <w:shd w:val="solid" w:color="000000" w:fill="000000"/>
          <w:fitText w:val="-20" w:id="-1026324992"/>
          <w14:textFill>
            <w14:solidFill>
              <w14:srgbClr w14:val="000000">
                <w14:alpha w14:val="100000"/>
              </w14:srgbClr>
            </w14:solidFill>
          </w14:textFill>
        </w:rPr>
        <w:t>|</w:t>
      </w:r>
      <w:r w:rsidR="004C4A40" w:rsidRPr="00D014A3">
        <w:t>%</w:t>
      </w:r>
      <w:r w:rsidR="004C4A40" w:rsidRPr="001C59C3">
        <w:t xml:space="preserve"> price reduction resulting in an effective AEMP of </w:t>
      </w:r>
      <w:r w:rsidR="00D014A3">
        <w:t>$</w:t>
      </w:r>
      <w:r w:rsidR="008A42F6" w:rsidRPr="00690B5F">
        <w:rPr>
          <w:color w:val="000000"/>
          <w:w w:val="15"/>
          <w:shd w:val="solid" w:color="000000" w:fill="000000"/>
          <w:fitText w:val="-20" w:id="-1032102912"/>
          <w14:textFill>
            <w14:solidFill>
              <w14:srgbClr w14:val="000000">
                <w14:alpha w14:val="100000"/>
              </w14:srgbClr>
            </w14:solidFill>
          </w14:textFill>
        </w:rPr>
        <w:t xml:space="preserve">|  </w:t>
      </w:r>
      <w:r w:rsidR="008A42F6" w:rsidRPr="00690B5F">
        <w:rPr>
          <w:color w:val="000000"/>
          <w:spacing w:val="-69"/>
          <w:w w:val="15"/>
          <w:shd w:val="solid" w:color="000000" w:fill="000000"/>
          <w:fitText w:val="-20" w:id="-1032102912"/>
          <w14:textFill>
            <w14:solidFill>
              <w14:srgbClr w14:val="000000">
                <w14:alpha w14:val="100000"/>
              </w14:srgbClr>
            </w14:solidFill>
          </w14:textFill>
        </w:rPr>
        <w:t>|</w:t>
      </w:r>
      <w:r w:rsidR="004C4A40" w:rsidRPr="001C59C3">
        <w:t xml:space="preserve"> for 12 vials (</w:t>
      </w:r>
      <w:r w:rsidR="00D014A3">
        <w:t>$</w:t>
      </w:r>
      <w:r w:rsidR="008A42F6" w:rsidRPr="00690B5F">
        <w:rPr>
          <w:color w:val="000000"/>
          <w:w w:val="15"/>
          <w:shd w:val="solid" w:color="000000" w:fill="000000"/>
          <w:fitText w:val="-20" w:id="-1032102911"/>
          <w14:textFill>
            <w14:solidFill>
              <w14:srgbClr w14:val="000000">
                <w14:alpha w14:val="100000"/>
              </w14:srgbClr>
            </w14:solidFill>
          </w14:textFill>
        </w:rPr>
        <w:t xml:space="preserve">|  </w:t>
      </w:r>
      <w:r w:rsidR="008A42F6" w:rsidRPr="00690B5F">
        <w:rPr>
          <w:color w:val="000000"/>
          <w:spacing w:val="-69"/>
          <w:w w:val="15"/>
          <w:shd w:val="solid" w:color="000000" w:fill="000000"/>
          <w:fitText w:val="-20" w:id="-1032102911"/>
          <w14:textFill>
            <w14:solidFill>
              <w14:srgbClr w14:val="000000">
                <w14:alpha w14:val="100000"/>
              </w14:srgbClr>
            </w14:solidFill>
          </w14:textFill>
        </w:rPr>
        <w:t>|</w:t>
      </w:r>
      <w:r w:rsidR="004C4A40" w:rsidRPr="001C59C3">
        <w:t xml:space="preserve"> per vial).</w:t>
      </w:r>
      <w:bookmarkEnd w:id="13"/>
      <w:r w:rsidR="004C4A40" w:rsidRPr="001C59C3">
        <w:t xml:space="preserve"> </w:t>
      </w:r>
    </w:p>
    <w:p w14:paraId="67919AF2" w14:textId="4D27B264" w:rsidR="00561ADE" w:rsidRPr="001C59C3" w:rsidRDefault="00561ADE" w:rsidP="004F15B1">
      <w:pPr>
        <w:pStyle w:val="COMexecsumnumberedpara"/>
      </w:pPr>
      <w:r w:rsidRPr="001C59C3">
        <w:t xml:space="preserve">The resubmission presented an effective DPMQ of </w:t>
      </w:r>
      <w:r w:rsidR="00D014A3">
        <w:t>$</w:t>
      </w:r>
      <w:r w:rsidR="008A42F6" w:rsidRPr="00C46F5E">
        <w:rPr>
          <w:color w:val="000000"/>
          <w:w w:val="60"/>
          <w:shd w:val="solid" w:color="000000" w:fill="000000"/>
          <w:fitText w:val="470" w:id="-1032102910"/>
          <w14:textFill>
            <w14:solidFill>
              <w14:srgbClr w14:val="000000">
                <w14:alpha w14:val="100000"/>
              </w14:srgbClr>
            </w14:solidFill>
          </w14:textFill>
        </w:rPr>
        <w:t>|||  ||</w:t>
      </w:r>
      <w:r w:rsidR="008A42F6" w:rsidRPr="00C46F5E">
        <w:rPr>
          <w:color w:val="000000"/>
          <w:spacing w:val="6"/>
          <w:w w:val="60"/>
          <w:shd w:val="solid" w:color="000000" w:fill="000000"/>
          <w:fitText w:val="470" w:id="-1032102910"/>
          <w14:textFill>
            <w14:solidFill>
              <w14:srgbClr w14:val="000000">
                <w14:alpha w14:val="100000"/>
              </w14:srgbClr>
            </w14:solidFill>
          </w14:textFill>
        </w:rPr>
        <w:t>|</w:t>
      </w:r>
      <w:r w:rsidRPr="001C59C3">
        <w:t xml:space="preserve"> and published DPMQ of $616.77. These estimates were incorrectly calculated using fees and mark-ups for a </w:t>
      </w:r>
      <w:r w:rsidR="000C1DD9" w:rsidRPr="001C59C3">
        <w:t>General Schedule</w:t>
      </w:r>
      <w:r w:rsidRPr="001C59C3">
        <w:t xml:space="preserve"> listing instead of the requested Highly Specialised Drugs (HSD) Public and Private hospital program. The ESC previously noted that Complex Authority </w:t>
      </w:r>
      <w:r w:rsidRPr="001C59C3">
        <w:lastRenderedPageBreak/>
        <w:t xml:space="preserve">Required (CAR) listings under the HSD Public and Private hospital program would allow difelikefalin to be dispensed by a S90 Community Pharmacy as well as a Public/Private Hospital Pharmacy, which may assist access for patients receiving in-home dialysis (para 3.7, difelikefalin </w:t>
      </w:r>
      <w:r w:rsidR="004317DF" w:rsidRPr="001C59C3">
        <w:t>Public Summary document (</w:t>
      </w:r>
      <w:r w:rsidRPr="001C59C3">
        <w:t>PSD</w:t>
      </w:r>
      <w:r w:rsidR="004317DF" w:rsidRPr="001C59C3">
        <w:t>)</w:t>
      </w:r>
      <w:r w:rsidRPr="001C59C3">
        <w:t>, March 2023 PBAC meeting).</w:t>
      </w:r>
    </w:p>
    <w:p w14:paraId="3833573C" w14:textId="65C7323A" w:rsidR="00561ADE" w:rsidRPr="001C59C3" w:rsidRDefault="003E70A1" w:rsidP="004F15B1">
      <w:pPr>
        <w:pStyle w:val="COMexecsumnumberedpara"/>
      </w:pPr>
      <w:r w:rsidRPr="001C59C3">
        <w:t xml:space="preserve">The resubmission used effective DPMQs of </w:t>
      </w:r>
      <w:r w:rsidR="00D014A3">
        <w:t>$</w:t>
      </w:r>
      <w:r w:rsidR="008A42F6" w:rsidRPr="00F70895">
        <w:rPr>
          <w:color w:val="000000"/>
          <w:w w:val="60"/>
          <w:shd w:val="solid" w:color="000000" w:fill="000000"/>
          <w:fitText w:val="470" w:id="-1032102909"/>
          <w14:textFill>
            <w14:solidFill>
              <w14:srgbClr w14:val="000000">
                <w14:alpha w14:val="100000"/>
              </w14:srgbClr>
            </w14:solidFill>
          </w14:textFill>
        </w:rPr>
        <w:t>|||  ||</w:t>
      </w:r>
      <w:r w:rsidR="008A42F6" w:rsidRPr="00F70895">
        <w:rPr>
          <w:color w:val="000000"/>
          <w:spacing w:val="6"/>
          <w:w w:val="60"/>
          <w:shd w:val="solid" w:color="000000" w:fill="000000"/>
          <w:fitText w:val="470" w:id="-1032102909"/>
          <w14:textFill>
            <w14:solidFill>
              <w14:srgbClr w14:val="000000">
                <w14:alpha w14:val="100000"/>
              </w14:srgbClr>
            </w14:solidFill>
          </w14:textFill>
        </w:rPr>
        <w:t>|</w:t>
      </w:r>
      <w:r w:rsidRPr="001C59C3">
        <w:t xml:space="preserve"> in the economic model and </w:t>
      </w:r>
      <w:r w:rsidR="00D014A3">
        <w:t>$</w:t>
      </w:r>
      <w:r w:rsidR="008A42F6" w:rsidRPr="00F70895">
        <w:rPr>
          <w:color w:val="000000"/>
          <w:w w:val="60"/>
          <w:shd w:val="solid" w:color="000000" w:fill="000000"/>
          <w:fitText w:val="470" w:id="-1032102908"/>
          <w14:textFill>
            <w14:solidFill>
              <w14:srgbClr w14:val="000000">
                <w14:alpha w14:val="100000"/>
              </w14:srgbClr>
            </w14:solidFill>
          </w14:textFill>
        </w:rPr>
        <w:t>|||  ||</w:t>
      </w:r>
      <w:r w:rsidR="008A42F6" w:rsidRPr="00F70895">
        <w:rPr>
          <w:color w:val="000000"/>
          <w:spacing w:val="6"/>
          <w:w w:val="60"/>
          <w:shd w:val="solid" w:color="000000" w:fill="000000"/>
          <w:fitText w:val="470" w:id="-1032102908"/>
          <w14:textFill>
            <w14:solidFill>
              <w14:srgbClr w14:val="000000">
                <w14:alpha w14:val="100000"/>
              </w14:srgbClr>
            </w14:solidFill>
          </w14:textFill>
        </w:rPr>
        <w:t>|</w:t>
      </w:r>
      <w:r w:rsidRPr="001C59C3">
        <w:t xml:space="preserve"> in the financial estimates with slight differences due to rounding in the calculations. During the evaluation,</w:t>
      </w:r>
      <w:r w:rsidR="00791A57" w:rsidRPr="001C59C3">
        <w:t xml:space="preserve"> DPMQ estimates for the requested Section 100 (</w:t>
      </w:r>
      <w:r w:rsidR="00634BD8" w:rsidRPr="001C59C3">
        <w:t>HSD</w:t>
      </w:r>
      <w:r w:rsidR="00791A57" w:rsidRPr="001C59C3">
        <w:t xml:space="preserve">) listing were calculated using the proposed effective AEMP of </w:t>
      </w:r>
      <w:r w:rsidR="00D014A3">
        <w:t>$</w:t>
      </w:r>
      <w:r w:rsidR="008A42F6" w:rsidRPr="00690B5F">
        <w:rPr>
          <w:color w:val="000000"/>
          <w:w w:val="15"/>
          <w:shd w:val="solid" w:color="000000" w:fill="000000"/>
          <w:fitText w:val="-20" w:id="-1032102907"/>
          <w14:textFill>
            <w14:solidFill>
              <w14:srgbClr w14:val="000000">
                <w14:alpha w14:val="100000"/>
              </w14:srgbClr>
            </w14:solidFill>
          </w14:textFill>
        </w:rPr>
        <w:t xml:space="preserve">|  </w:t>
      </w:r>
      <w:r w:rsidR="008A42F6" w:rsidRPr="00690B5F">
        <w:rPr>
          <w:color w:val="000000"/>
          <w:spacing w:val="-69"/>
          <w:w w:val="15"/>
          <w:shd w:val="solid" w:color="000000" w:fill="000000"/>
          <w:fitText w:val="-20" w:id="-1032102907"/>
          <w14:textFill>
            <w14:solidFill>
              <w14:srgbClr w14:val="000000">
                <w14:alpha w14:val="100000"/>
              </w14:srgbClr>
            </w14:solidFill>
          </w14:textFill>
        </w:rPr>
        <w:t>|</w:t>
      </w:r>
      <w:r w:rsidR="00791A57" w:rsidRPr="001C59C3">
        <w:t xml:space="preserve"> and 1 July 2023 fees and mark-ups</w:t>
      </w:r>
      <w:r w:rsidR="00B946A1" w:rsidRPr="001C59C3">
        <w:t>.</w:t>
      </w:r>
      <w:r w:rsidRPr="001C59C3">
        <w:t xml:space="preserve"> </w:t>
      </w:r>
      <w:r w:rsidR="00B946A1" w:rsidRPr="001C59C3">
        <w:t>T</w:t>
      </w:r>
      <w:r w:rsidRPr="001C59C3">
        <w:t xml:space="preserve">he economic model and financial estimates were updated using a weighted DPMQ of </w:t>
      </w:r>
      <w:r w:rsidR="00D014A3">
        <w:t>$</w:t>
      </w:r>
      <w:r w:rsidR="008A42F6" w:rsidRPr="00690B5F">
        <w:rPr>
          <w:color w:val="000000"/>
          <w:w w:val="15"/>
          <w:shd w:val="solid" w:color="000000" w:fill="000000"/>
          <w:fitText w:val="-20" w:id="-1032102906"/>
          <w14:textFill>
            <w14:solidFill>
              <w14:srgbClr w14:val="000000">
                <w14:alpha w14:val="100000"/>
              </w14:srgbClr>
            </w14:solidFill>
          </w14:textFill>
        </w:rPr>
        <w:t xml:space="preserve">|  </w:t>
      </w:r>
      <w:r w:rsidR="008A42F6" w:rsidRPr="00690B5F">
        <w:rPr>
          <w:color w:val="000000"/>
          <w:spacing w:val="-69"/>
          <w:w w:val="15"/>
          <w:shd w:val="solid" w:color="000000" w:fill="000000"/>
          <w:fitText w:val="-20" w:id="-1032102906"/>
          <w14:textFill>
            <w14:solidFill>
              <w14:srgbClr w14:val="000000">
                <w14:alpha w14:val="100000"/>
              </w14:srgbClr>
            </w14:solidFill>
          </w14:textFill>
        </w:rPr>
        <w:t>|</w:t>
      </w:r>
      <w:r w:rsidRPr="001C59C3">
        <w:t xml:space="preserve"> assuming most patients would obtain difelikefalin through public hospitals (75% public, 25% private/</w:t>
      </w:r>
      <w:r w:rsidR="00B56C36" w:rsidRPr="001C59C3">
        <w:t xml:space="preserve">S90 </w:t>
      </w:r>
      <w:r w:rsidRPr="001C59C3">
        <w:t>community pharmacy).</w:t>
      </w:r>
    </w:p>
    <w:p w14:paraId="059997BC" w14:textId="6AB72045" w:rsidR="00F67A69" w:rsidRPr="001C59C3" w:rsidRDefault="00861459" w:rsidP="004F15B1">
      <w:pPr>
        <w:pStyle w:val="COMexecsumnumberedpara"/>
      </w:pPr>
      <w:bookmarkStart w:id="14" w:name="_Ref150509483"/>
      <w:r w:rsidRPr="001C59C3">
        <w:t>The revised restriction allows for applications for increased quantities associated with weight-based dosing but does not account for increased quantities associated with additional dialysis sessions. This was inconsistent with trial data suggesting approximately 24% of patients required at least 1 additional dose during the 12-week double-blind period.</w:t>
      </w:r>
      <w:r w:rsidR="00A60A3C" w:rsidRPr="001C59C3">
        <w:t xml:space="preserve"> The ESC</w:t>
      </w:r>
      <w:r w:rsidR="004257CE" w:rsidRPr="001C59C3">
        <w:t xml:space="preserve"> considered the addition of the following Prescribing Instruction for the initial treatment restriction would be appropriate ‘At the time of authority application, medical practitioners must request the appropriate number of vials to provide sufficient drug, based on the dry body weight of the patient (in kg), adequate for 4 weeks, according to the specified dosage in the approved Product Information (PI). Up to a maximum of 2 repeats will be authorised. No more than 4 doses per week will be authorised even if the number of haemodialysis treatments in a week exceeds 4.' The number of repeats mentioned in the Prescribing Instruction would be modified for the </w:t>
      </w:r>
      <w:r w:rsidR="005F2932" w:rsidRPr="001C59C3">
        <w:t>c</w:t>
      </w:r>
      <w:r w:rsidR="004257CE" w:rsidRPr="001C59C3">
        <w:t>ontinuing and Grandfathering restriction</w:t>
      </w:r>
      <w:r w:rsidR="00901D3B" w:rsidRPr="001C59C3">
        <w:t xml:space="preserve"> to allow up to 5 repeats (6 months in total per prescription)</w:t>
      </w:r>
      <w:r w:rsidR="004257CE" w:rsidRPr="001C59C3">
        <w:t>.</w:t>
      </w:r>
      <w:bookmarkEnd w:id="14"/>
    </w:p>
    <w:p w14:paraId="43D3790B" w14:textId="39F26114" w:rsidR="00347208" w:rsidRPr="001C59C3" w:rsidRDefault="00347208" w:rsidP="004F15B1">
      <w:pPr>
        <w:pStyle w:val="COMexecsumnumberedpara"/>
      </w:pPr>
      <w:r w:rsidRPr="001C59C3">
        <w:t xml:space="preserve">The resubmission reiterated that only the 12-vial pack size will be marketed in Australia. The ESC previously noted the sponsor’s intention for dispensed difelikefalin vials to be stored at in-centre facilities and considered the dispensing of a large number of vials at one time and the proposed storage arrangements may lead to quality use of medicines (QUM) issues. The ESC </w:t>
      </w:r>
      <w:r w:rsidR="00E22C47" w:rsidRPr="001C59C3">
        <w:t xml:space="preserve">previously </w:t>
      </w:r>
      <w:r w:rsidRPr="001C59C3">
        <w:t>considered that such QUM issues were also likely if difelikefalin was used in home-based haemodialysis. The ESC noted smaller pack sizes of 3 vials are approved by the EMA (para 3.5, difelikefalin PSD, March 2023 PBAC meeting).</w:t>
      </w:r>
    </w:p>
    <w:p w14:paraId="50DF3000" w14:textId="0915F2EF" w:rsidR="00CC35EA" w:rsidRPr="001C59C3" w:rsidRDefault="00716CD6" w:rsidP="004F15B1">
      <w:pPr>
        <w:pStyle w:val="COMexecsumnumberedpara"/>
      </w:pPr>
      <w:r w:rsidRPr="001C59C3">
        <w:t>The requested restriction is narrower than the TGA indication in terms of place in therapy (patients with inadequate response to best supportive care).</w:t>
      </w:r>
    </w:p>
    <w:p w14:paraId="0A4C8459" w14:textId="3D4ADCD2" w:rsidR="00716CD6" w:rsidRPr="001C59C3" w:rsidRDefault="00716CD6" w:rsidP="004F15B1">
      <w:pPr>
        <w:pStyle w:val="COMexecsumnumberedpara"/>
      </w:pPr>
      <w:r w:rsidRPr="001C59C3">
        <w:t xml:space="preserve">Compared to the previous submission, the current restriction allows for </w:t>
      </w:r>
      <w:r w:rsidR="00A63ABB" w:rsidRPr="001C59C3">
        <w:t xml:space="preserve">at-home dialysis patients to access treatment, is silent on the frequency of haemodialysis and includes formal initial and continuing treatment criteria using the Worst Itching Intensity </w:t>
      </w:r>
      <w:r w:rsidR="0078041C" w:rsidRPr="001C59C3">
        <w:t>Numerical</w:t>
      </w:r>
      <w:r w:rsidR="00A63ABB" w:rsidRPr="001C59C3">
        <w:t xml:space="preserve"> Rating Scale (WI-NRS) using trial-based thresholds for disease severity and response. This was consistent with PBAC’s previous consideration of difelikefalin (para 7.3, difelikefalin PSD, March 2023 PBAC meeting).</w:t>
      </w:r>
      <w:r w:rsidR="00F401AE" w:rsidRPr="001C59C3">
        <w:t xml:space="preserve"> </w:t>
      </w:r>
    </w:p>
    <w:p w14:paraId="23BD8957" w14:textId="604A1F1A" w:rsidR="00091292" w:rsidRPr="001C59C3" w:rsidRDefault="00EE7CD3" w:rsidP="004F15B1">
      <w:pPr>
        <w:pStyle w:val="COMexecsumnumberedpara"/>
      </w:pPr>
      <w:r w:rsidRPr="001C59C3">
        <w:lastRenderedPageBreak/>
        <w:t xml:space="preserve">The proposed restriction did not include a lifetime limit for treatment with difelikefalin, which was inconsistent </w:t>
      </w:r>
      <w:r w:rsidR="00C00C47" w:rsidRPr="001C59C3">
        <w:t xml:space="preserve">with </w:t>
      </w:r>
      <w:r w:rsidRPr="001C59C3">
        <w:t xml:space="preserve">modelled circumstances of use in the economic evaluation. </w:t>
      </w:r>
      <w:r w:rsidR="00E94E5D" w:rsidRPr="001C59C3">
        <w:t xml:space="preserve">However, </w:t>
      </w:r>
      <w:r w:rsidR="00E22C47" w:rsidRPr="001C59C3">
        <w:t>the ESC</w:t>
      </w:r>
      <w:r w:rsidR="00360555" w:rsidRPr="001C59C3">
        <w:t xml:space="preserve"> agreed with the Pre-Sub-Committee-Response that</w:t>
      </w:r>
      <w:r w:rsidR="00E22C47" w:rsidRPr="001C59C3">
        <w:t xml:space="preserve"> it would</w:t>
      </w:r>
      <w:r w:rsidRPr="001C59C3">
        <w:t xml:space="preserve"> be clinically appropriate to allow for episodic treatment with difelikefalin given considerable variability in the clinical presentation of CKD-associated pruritus.</w:t>
      </w:r>
      <w:r w:rsidR="000805BD" w:rsidRPr="001C59C3">
        <w:t xml:space="preserve"> </w:t>
      </w:r>
    </w:p>
    <w:p w14:paraId="23DD1929" w14:textId="60EFD870" w:rsidR="006536C0" w:rsidRPr="001C59C3" w:rsidRDefault="00A63ABB" w:rsidP="004F15B1">
      <w:pPr>
        <w:pStyle w:val="COMexecsumnumberedpara"/>
      </w:pPr>
      <w:r w:rsidRPr="001C59C3">
        <w:t xml:space="preserve">The resubmission </w:t>
      </w:r>
      <w:r w:rsidR="00582BC2" w:rsidRPr="001C59C3">
        <w:t xml:space="preserve">claimed </w:t>
      </w:r>
      <w:r w:rsidR="00C847D0" w:rsidRPr="001C59C3">
        <w:t>that the</w:t>
      </w:r>
      <w:r w:rsidR="00675238" w:rsidRPr="001C59C3">
        <w:t xml:space="preserve">re </w:t>
      </w:r>
      <w:r w:rsidR="004D0ADE" w:rsidRPr="001C59C3">
        <w:t>will still be</w:t>
      </w:r>
      <w:r w:rsidR="00675238" w:rsidRPr="001C59C3">
        <w:t xml:space="preserve"> risk of use outside the restriction given the subjective nature of the</w:t>
      </w:r>
      <w:r w:rsidR="00C847D0" w:rsidRPr="001C59C3">
        <w:t xml:space="preserve"> WI-NRS instrument. </w:t>
      </w:r>
      <w:r w:rsidR="001C541E" w:rsidRPr="001C59C3">
        <w:t xml:space="preserve">The resubmission acknowledged that usage outside the restriction </w:t>
      </w:r>
      <w:r w:rsidR="00146A26" w:rsidRPr="001C59C3">
        <w:t>is</w:t>
      </w:r>
      <w:r w:rsidR="00C847D0" w:rsidRPr="001C59C3">
        <w:t xml:space="preserve"> inconsistent with the clinical evidence, economic evaluation and financial estimates</w:t>
      </w:r>
      <w:r w:rsidR="001C541E" w:rsidRPr="001C59C3">
        <w:t xml:space="preserve"> but proposed that the</w:t>
      </w:r>
      <w:r w:rsidR="00146A26" w:rsidRPr="001C59C3">
        <w:t xml:space="preserve"> risk</w:t>
      </w:r>
      <w:r w:rsidR="001C541E" w:rsidRPr="001C59C3">
        <w:t xml:space="preserve"> be managed</w:t>
      </w:r>
      <w:r w:rsidR="00F2289C" w:rsidRPr="001C59C3">
        <w:t xml:space="preserve"> through a </w:t>
      </w:r>
      <w:r w:rsidR="001C59C3">
        <w:t>R</w:t>
      </w:r>
      <w:r w:rsidR="001C59C3" w:rsidRPr="001C59C3">
        <w:t xml:space="preserve">isk </w:t>
      </w:r>
      <w:r w:rsidR="001C59C3">
        <w:t>S</w:t>
      </w:r>
      <w:r w:rsidR="001C59C3" w:rsidRPr="001C59C3">
        <w:t xml:space="preserve">haring </w:t>
      </w:r>
      <w:r w:rsidR="001C59C3">
        <w:t>A</w:t>
      </w:r>
      <w:r w:rsidR="001C59C3" w:rsidRPr="001C59C3">
        <w:t xml:space="preserve">rrangement </w:t>
      </w:r>
      <w:r w:rsidR="00F2289C" w:rsidRPr="001C59C3">
        <w:t>based on the financial estimates of the resubmission.</w:t>
      </w:r>
      <w:r w:rsidR="005C6324" w:rsidRPr="001C59C3">
        <w:t xml:space="preserve"> The </w:t>
      </w:r>
      <w:r w:rsidR="00FD50B6">
        <w:t>Pre-Sub-Committee Response (</w:t>
      </w:r>
      <w:r w:rsidR="005C6324" w:rsidRPr="001C59C3">
        <w:t>PSCR</w:t>
      </w:r>
      <w:r w:rsidR="00FD50B6">
        <w:t>)</w:t>
      </w:r>
      <w:r w:rsidR="005C6324" w:rsidRPr="001C59C3">
        <w:t xml:space="preserve"> provided a reference (Vernon 2021) which included a version of the WI-NRS in the supplementary information that can be incorporated in the restriction.</w:t>
      </w:r>
      <w:r w:rsidR="005C6324" w:rsidRPr="001C59C3">
        <w:rPr>
          <w:rStyle w:val="FootnoteReference"/>
        </w:rPr>
        <w:footnoteReference w:id="2"/>
      </w:r>
    </w:p>
    <w:p w14:paraId="1327FDB1" w14:textId="47A1AC14" w:rsidR="00CF4B9D" w:rsidRPr="001C59C3" w:rsidRDefault="00CF4B9D" w:rsidP="004F15B1">
      <w:pPr>
        <w:pStyle w:val="COMexecsumnumberedpara"/>
      </w:pPr>
      <w:r w:rsidRPr="001C59C3">
        <w:t>There was an additional clinical criterion for adequate response in the continuing treatment restriction which may have been included in error in the resubmission.</w:t>
      </w:r>
    </w:p>
    <w:p w14:paraId="728872D7" w14:textId="0ED2B280" w:rsidR="00CF4B9D" w:rsidRPr="001C59C3" w:rsidRDefault="00CF4B9D" w:rsidP="004F15B1">
      <w:pPr>
        <w:pStyle w:val="COMexecsumnumberedpara"/>
      </w:pPr>
      <w:r w:rsidRPr="001C59C3">
        <w:t>The wording for treatment criteria was inconsistent between the proposed restrictions for initial treatment (no wording provided), continuing treatment and grandfathered treatment (different terms used for nominated specialists). The ESC previously noted advice from the Department that general practitioners ‘in consultation with specialists’ cannot initiate treatment but can continue treatment under the S100 Highly Specialised Drugs Program (Attachment 1, difelikefalin ESC advice, March 2023 PBAC meeting).</w:t>
      </w:r>
      <w:r w:rsidR="00430654" w:rsidRPr="001C59C3">
        <w:t xml:space="preserve"> The ESC noted the treatment criteria stated ‘Must be treated by at least one of (i) a renal physician, (ii) nephrologist, (iii) allergist’</w:t>
      </w:r>
      <w:r w:rsidR="00A772CA" w:rsidRPr="001C59C3">
        <w:t xml:space="preserve">. The ESC considered the </w:t>
      </w:r>
      <w:r w:rsidR="00DA6985" w:rsidRPr="001C59C3">
        <w:t>treatment criteria</w:t>
      </w:r>
      <w:r w:rsidR="00A772CA" w:rsidRPr="001C59C3">
        <w:t xml:space="preserve"> could be simplified to ‘Must be treated by a nephrologist’ as allergists are unlikely to prescribe for these patients and the Committee considered there was no difference between a renal physician and nephrologist</w:t>
      </w:r>
      <w:r w:rsidR="001C59C3">
        <w:t xml:space="preserve">. </w:t>
      </w:r>
    </w:p>
    <w:p w14:paraId="19ED6DF2" w14:textId="5744E330" w:rsidR="00051C7F" w:rsidRPr="001C59C3" w:rsidRDefault="00146A26" w:rsidP="00051C7F">
      <w:pPr>
        <w:pStyle w:val="COMexecsumnumberedpara"/>
      </w:pPr>
      <w:r w:rsidRPr="001C59C3">
        <w:t xml:space="preserve">The resubmission requested grandfathering provisions for patients enrolled in a planned patient access program (up to 50 patients) to transition to PBS-subsidised therapy. The resubmission stated that the program’s inclusion criteria are consistent with eligibility criteria in the proposed restriction. The proposed grandfathering provision also requires that patients demonstrate an adequate response to </w:t>
      </w:r>
      <w:r w:rsidRPr="001C59C3">
        <w:lastRenderedPageBreak/>
        <w:t>difelikefalin treatment, consistent with response criteria for continuing treatment. The grandfather restriction was time-limited to 12 months of treatment.</w:t>
      </w:r>
      <w:r w:rsidR="00051C7F" w:rsidRPr="001C59C3">
        <w:t xml:space="preserve"> </w:t>
      </w:r>
    </w:p>
    <w:p w14:paraId="3C3BD26B" w14:textId="25F2002E" w:rsidR="00051C7F" w:rsidRPr="00E6334A" w:rsidRDefault="00051C7F" w:rsidP="00E6334A">
      <w:pPr>
        <w:ind w:firstLine="709"/>
        <w:rPr>
          <w:rFonts w:asciiTheme="minorHAnsi" w:hAnsiTheme="minorHAnsi"/>
          <w:i/>
        </w:rPr>
      </w:pPr>
      <w:bookmarkStart w:id="15" w:name="_Hlk76375324"/>
      <w:r w:rsidRPr="001C59C3">
        <w:rPr>
          <w:rFonts w:asciiTheme="minorHAnsi" w:hAnsiTheme="minorHAnsi"/>
          <w:i/>
        </w:rPr>
        <w:t>For more detail on PBAC’s view, see section 7 PBAC outcome.</w:t>
      </w:r>
      <w:bookmarkEnd w:id="15"/>
    </w:p>
    <w:p w14:paraId="7075B85C" w14:textId="321C9B30" w:rsidR="00B50DB8" w:rsidRPr="001C59C3" w:rsidDel="00195452" w:rsidRDefault="00203181" w:rsidP="004F15B1">
      <w:pPr>
        <w:pStyle w:val="COMH1numbered"/>
      </w:pPr>
      <w:bookmarkStart w:id="16" w:name="_Toc144890465"/>
      <w:r w:rsidRPr="001C59C3" w:rsidDel="00195452">
        <w:t xml:space="preserve">Population and </w:t>
      </w:r>
      <w:r w:rsidR="008E0D3C" w:rsidRPr="001C59C3" w:rsidDel="00195452">
        <w:t>d</w:t>
      </w:r>
      <w:r w:rsidRPr="001C59C3" w:rsidDel="00195452">
        <w:t>isease</w:t>
      </w:r>
      <w:bookmarkEnd w:id="16"/>
    </w:p>
    <w:p w14:paraId="21FDD135" w14:textId="5E8BF274" w:rsidR="00894489" w:rsidRPr="001C59C3" w:rsidDel="00195452" w:rsidRDefault="00864745" w:rsidP="004F15B1">
      <w:pPr>
        <w:pStyle w:val="COMexecsumnumberedpara"/>
      </w:pPr>
      <w:r w:rsidRPr="001C59C3">
        <w:t>CKD is characterised by the gradual loss of kidney function over time which decreases the ability to filter waste products from blood. Earlier stages of this condition are typically asymptomatic, but the condition can progress over time with a variety of symptoms (e.g. tiredness, frequent urination, nausea and vomiting, itchiness, swelling) and complications (e.g. hypertension, heart failure and cardiomyopathy, anaemia, mineral and bone disorders, electrolyte abnormalities). At later stages, when the kidneys can no longer function on their own, people need kidney replacement therapy such as dialysis or kidney transplant to survive.</w:t>
      </w:r>
    </w:p>
    <w:p w14:paraId="34F9A011" w14:textId="7F50E137" w:rsidR="002C2775" w:rsidRPr="001C59C3" w:rsidDel="00195452" w:rsidRDefault="00864745" w:rsidP="004F15B1">
      <w:pPr>
        <w:pStyle w:val="COMexecsumnumberedpara"/>
      </w:pPr>
      <w:r w:rsidRPr="001C59C3">
        <w:t>CKD-associated pruritus, also known previously as uraemic pruritus, is defined as itching directly related to kidney disease without another comorbid condition to explain the itching. It is a common condition in patients with renal failure or end stage renal disease and occurs more frequently in patients undergoing haemodialysis than peritoneal dialysis. The condition is characterised by itch that most commonly affects the back; however, it can also involve the arms, head, and abdomen. More severe conditions can negatively impact sleep, mood, and quality of life; and are associated with additional complications such as infections and worse survival prognosis.</w:t>
      </w:r>
    </w:p>
    <w:p w14:paraId="11FCAAEE" w14:textId="57B69204" w:rsidR="007627BE" w:rsidRPr="001C59C3" w:rsidRDefault="00864745" w:rsidP="004F15B1">
      <w:pPr>
        <w:pStyle w:val="COMexecsumnumberedpara"/>
      </w:pPr>
      <w:r w:rsidRPr="001C59C3">
        <w:t xml:space="preserve">Currently the pathophysiology of CKD-associated pruritus is unknown, with several hypotheses including uraemic toxin build-up, histamine release, immune-mediated response, and opioid receptor dysregulation. The diagnosis of this condition </w:t>
      </w:r>
      <w:r w:rsidR="004F3164" w:rsidRPr="001C59C3">
        <w:t>can be</w:t>
      </w:r>
      <w:r w:rsidRPr="001C59C3">
        <w:t xml:space="preserve"> challenging due to variability in severity of its clinical presentation during the onset of disease, the time course, the distribution, the exacerbating/relieving factors, and its tendency to occur with co-existing skin manifestations.</w:t>
      </w:r>
    </w:p>
    <w:p w14:paraId="23DBE158" w14:textId="73793E62" w:rsidR="00294AA1" w:rsidRPr="001C59C3" w:rsidRDefault="00294AA1" w:rsidP="004F15B1">
      <w:pPr>
        <w:pStyle w:val="COMexecsumnumberedpara"/>
      </w:pPr>
      <w:r w:rsidRPr="001C59C3">
        <w:t>Difelikefalin is a highly selective kappa-opioid receptor agonist with low central nervous system penetration. Opioid receptors are known to modulate itch signals and inflammation, with kappa opioid receptor activation reducing itch and producing immunomodulatory effects.</w:t>
      </w:r>
    </w:p>
    <w:p w14:paraId="50F6A5AF" w14:textId="7BBA7224" w:rsidR="00864745" w:rsidRPr="001C59C3" w:rsidRDefault="00BC3C68" w:rsidP="004F15B1">
      <w:pPr>
        <w:pStyle w:val="COMexecsumnumberedpara"/>
        <w:rPr>
          <w:color w:val="0066FF"/>
        </w:rPr>
      </w:pPr>
      <w:r w:rsidRPr="001C59C3">
        <w:t>The resubmission positioned difelikefalin as an adjunct to best supportive care in CKD patients on haemodialysis who remain at least moderately bothered by CKD-associated pruritus despite best supportive care for 6 weeks</w:t>
      </w:r>
      <w:r w:rsidRPr="001C59C3">
        <w:rPr>
          <w:color w:val="0066FF"/>
        </w:rPr>
        <w:t xml:space="preserve">. </w:t>
      </w:r>
      <w:r w:rsidR="0014011D" w:rsidRPr="001C59C3">
        <w:t>The ESC previously considered that the management of CKD-associated pruritus in Australian practice is not well-defined (para 5.4, difelikefalin PSD, March 2023 PBAC meeting).</w:t>
      </w:r>
    </w:p>
    <w:p w14:paraId="440CE346" w14:textId="651DB9CE" w:rsidR="00051C7F" w:rsidRPr="001C59C3" w:rsidRDefault="008513D3" w:rsidP="00051C7F">
      <w:pPr>
        <w:pStyle w:val="COMexecsumnumberedpara"/>
      </w:pPr>
      <w:r w:rsidRPr="001C59C3">
        <w:t>The proposed algorithm indicated that only patients who demonstrate an adequate response to difelikefalin compared to baseline should continue treatment. The optimal duration of treatment with difelikefalin is unclear, particularly in patients with relapsing-remitting pruritus. There are limited long term data for difelikefalin.</w:t>
      </w:r>
      <w:r w:rsidR="00051C7F" w:rsidRPr="001C59C3">
        <w:t xml:space="preserve"> </w:t>
      </w:r>
    </w:p>
    <w:p w14:paraId="5D716A2C" w14:textId="247F5109" w:rsidR="00051C7F" w:rsidRPr="00E6334A" w:rsidDel="00195452" w:rsidRDefault="00051C7F" w:rsidP="00E6334A">
      <w:pPr>
        <w:ind w:firstLine="709"/>
        <w:rPr>
          <w:rFonts w:asciiTheme="minorHAnsi" w:hAnsiTheme="minorHAnsi"/>
          <w:i/>
        </w:rPr>
      </w:pPr>
      <w:r w:rsidRPr="001C59C3">
        <w:rPr>
          <w:rFonts w:asciiTheme="minorHAnsi" w:hAnsiTheme="minorHAnsi"/>
          <w:i/>
        </w:rPr>
        <w:lastRenderedPageBreak/>
        <w:t>For more detail on PBAC’s view, see section 7 PBAC outcome.</w:t>
      </w:r>
    </w:p>
    <w:p w14:paraId="51E5AE96" w14:textId="5945884B" w:rsidR="00B50DB8" w:rsidRPr="001C59C3" w:rsidRDefault="00B50DB8" w:rsidP="004F15B1">
      <w:pPr>
        <w:pStyle w:val="COMH1numbered"/>
      </w:pPr>
      <w:bookmarkStart w:id="17" w:name="_Toc144890466"/>
      <w:r w:rsidRPr="001C59C3">
        <w:t>Comparator</w:t>
      </w:r>
      <w:bookmarkEnd w:id="17"/>
    </w:p>
    <w:p w14:paraId="747A75CC" w14:textId="4617444E" w:rsidR="00A05472" w:rsidRPr="001C59C3" w:rsidRDefault="008513D3" w:rsidP="004F15B1">
      <w:pPr>
        <w:pStyle w:val="COMexecsumnumberedpara"/>
        <w:rPr>
          <w:snapToGrid/>
        </w:rPr>
      </w:pPr>
      <w:bookmarkStart w:id="18" w:name="_Ref150510944"/>
      <w:r w:rsidRPr="001C59C3">
        <w:rPr>
          <w:snapToGrid/>
        </w:rPr>
        <w:t>The resubmission nominated best supportive care as the main comparator. The PBAC previously considered that this was reasonable (para 7.4, difelikefalin PSD, March</w:t>
      </w:r>
      <w:r w:rsidR="00D014A3">
        <w:rPr>
          <w:snapToGrid/>
        </w:rPr>
        <w:t> </w:t>
      </w:r>
      <w:r w:rsidRPr="001C59C3">
        <w:rPr>
          <w:snapToGrid/>
        </w:rPr>
        <w:t>2023 PBAC meeting).</w:t>
      </w:r>
      <w:bookmarkEnd w:id="18"/>
      <w:r w:rsidR="00051C7F" w:rsidRPr="001C59C3">
        <w:rPr>
          <w:snapToGrid/>
        </w:rPr>
        <w:t xml:space="preserve"> </w:t>
      </w:r>
    </w:p>
    <w:p w14:paraId="149542F0" w14:textId="435492B2" w:rsidR="00051C7F" w:rsidRPr="00E6334A" w:rsidRDefault="00051C7F" w:rsidP="00E6334A">
      <w:pPr>
        <w:ind w:firstLine="709"/>
        <w:rPr>
          <w:rFonts w:asciiTheme="minorHAnsi" w:hAnsiTheme="minorHAnsi"/>
          <w:i/>
        </w:rPr>
      </w:pPr>
      <w:r w:rsidRPr="001C59C3">
        <w:rPr>
          <w:rFonts w:asciiTheme="minorHAnsi" w:hAnsiTheme="minorHAnsi"/>
          <w:i/>
        </w:rPr>
        <w:t>For more detail on PBAC’s view, see section 7 PBAC outcome.</w:t>
      </w:r>
    </w:p>
    <w:p w14:paraId="7F9C27C8" w14:textId="73EBD390" w:rsidR="00223D5A" w:rsidRPr="001C59C3" w:rsidRDefault="00223D5A" w:rsidP="004F15B1">
      <w:pPr>
        <w:pStyle w:val="COMH1numbered"/>
      </w:pPr>
      <w:bookmarkStart w:id="19" w:name="_Toc144890467"/>
      <w:r w:rsidRPr="001C59C3">
        <w:t>Consideration of the evidence</w:t>
      </w:r>
      <w:bookmarkStart w:id="20" w:name="_Toc22897640"/>
      <w:bookmarkEnd w:id="19"/>
    </w:p>
    <w:p w14:paraId="56DE6A6F" w14:textId="77777777" w:rsidR="00051C7F" w:rsidRPr="001C59C3" w:rsidRDefault="00051C7F" w:rsidP="00524ADB">
      <w:pPr>
        <w:pStyle w:val="3-SubsectionHeading"/>
        <w:outlineLvl w:val="1"/>
        <w:rPr>
          <w:lang w:eastAsia="en-AU"/>
        </w:rPr>
      </w:pPr>
      <w:bookmarkStart w:id="21" w:name="_Hlk76375935"/>
      <w:bookmarkStart w:id="22" w:name="_Toc144890468"/>
      <w:r w:rsidRPr="001C59C3">
        <w:rPr>
          <w:lang w:eastAsia="en-AU"/>
        </w:rPr>
        <w:t>Sponsor hearing</w:t>
      </w:r>
    </w:p>
    <w:p w14:paraId="2695A5EA" w14:textId="70217A0E" w:rsidR="00051C7F" w:rsidRPr="001C59C3" w:rsidRDefault="00051C7F" w:rsidP="00524ADB">
      <w:pPr>
        <w:widowControl w:val="0"/>
        <w:numPr>
          <w:ilvl w:val="1"/>
          <w:numId w:val="1"/>
        </w:numPr>
        <w:spacing w:after="120"/>
        <w:rPr>
          <w:rFonts w:cs="Calibri"/>
          <w:bCs/>
          <w:snapToGrid w:val="0"/>
        </w:rPr>
      </w:pPr>
      <w:r w:rsidRPr="001C59C3">
        <w:rPr>
          <w:rFonts w:cs="Calibri"/>
          <w:bCs/>
          <w:snapToGrid w:val="0"/>
        </w:rPr>
        <w:t>There was no hearing for this item.</w:t>
      </w:r>
    </w:p>
    <w:p w14:paraId="560AB8C8" w14:textId="77777777" w:rsidR="00051C7F" w:rsidRPr="001C59C3" w:rsidRDefault="00051C7F" w:rsidP="00524ADB">
      <w:pPr>
        <w:pStyle w:val="3-SubsectionHeading"/>
        <w:outlineLvl w:val="1"/>
        <w:rPr>
          <w:lang w:eastAsia="en-AU"/>
        </w:rPr>
      </w:pPr>
      <w:r w:rsidRPr="001C59C3">
        <w:rPr>
          <w:lang w:eastAsia="en-AU"/>
        </w:rPr>
        <w:t>Consumer comments</w:t>
      </w:r>
    </w:p>
    <w:p w14:paraId="07230F4C" w14:textId="4F324287" w:rsidR="005528AF" w:rsidRPr="001C59C3" w:rsidRDefault="00051C7F" w:rsidP="00051C7F">
      <w:pPr>
        <w:widowControl w:val="0"/>
        <w:numPr>
          <w:ilvl w:val="1"/>
          <w:numId w:val="1"/>
        </w:numPr>
        <w:spacing w:after="120"/>
        <w:rPr>
          <w:rFonts w:asciiTheme="minorHAnsi" w:hAnsiTheme="minorHAnsi"/>
          <w:bCs/>
          <w:snapToGrid w:val="0"/>
        </w:rPr>
      </w:pPr>
      <w:bookmarkStart w:id="23" w:name="_Hlk76382618"/>
      <w:r w:rsidRPr="001C59C3">
        <w:rPr>
          <w:rFonts w:asciiTheme="minorHAnsi" w:hAnsiTheme="minorHAnsi"/>
          <w:bCs/>
          <w:snapToGrid w:val="0"/>
        </w:rPr>
        <w:t>The PBAC noted and welcomed the input from individuals (</w:t>
      </w:r>
      <w:r w:rsidR="006C70B7" w:rsidRPr="001C59C3">
        <w:rPr>
          <w:rFonts w:asciiTheme="minorHAnsi" w:hAnsiTheme="minorHAnsi"/>
          <w:bCs/>
          <w:snapToGrid w:val="0"/>
        </w:rPr>
        <w:t>4</w:t>
      </w:r>
      <w:r w:rsidRPr="001C59C3">
        <w:rPr>
          <w:rFonts w:asciiTheme="minorHAnsi" w:hAnsiTheme="minorHAnsi"/>
          <w:bCs/>
          <w:snapToGrid w:val="0"/>
        </w:rPr>
        <w:t>), health care professionals (7) and organisations (1) via the Consumer Comments facility on the PBS website</w:t>
      </w:r>
      <w:r w:rsidR="001C59C3">
        <w:rPr>
          <w:rFonts w:asciiTheme="minorHAnsi" w:hAnsiTheme="minorHAnsi"/>
          <w:bCs/>
          <w:snapToGrid w:val="0"/>
        </w:rPr>
        <w:t xml:space="preserve">. </w:t>
      </w:r>
      <w:r w:rsidRPr="001C59C3">
        <w:rPr>
          <w:rFonts w:asciiTheme="minorHAnsi" w:hAnsiTheme="minorHAnsi"/>
          <w:bCs/>
          <w:snapToGrid w:val="0"/>
        </w:rPr>
        <w:t>The comments</w:t>
      </w:r>
      <w:r w:rsidR="006C70B7" w:rsidRPr="001C59C3">
        <w:rPr>
          <w:rFonts w:asciiTheme="minorHAnsi" w:hAnsiTheme="minorHAnsi"/>
          <w:bCs/>
          <w:snapToGrid w:val="0"/>
        </w:rPr>
        <w:t xml:space="preserve"> from individuals</w:t>
      </w:r>
      <w:r w:rsidR="005528AF" w:rsidRPr="001C59C3">
        <w:rPr>
          <w:rFonts w:asciiTheme="minorHAnsi" w:hAnsiTheme="minorHAnsi"/>
          <w:bCs/>
          <w:snapToGrid w:val="0"/>
        </w:rPr>
        <w:t xml:space="preserve"> and health care professionals</w:t>
      </w:r>
      <w:r w:rsidRPr="001C59C3">
        <w:rPr>
          <w:rFonts w:asciiTheme="minorHAnsi" w:hAnsiTheme="minorHAnsi"/>
          <w:bCs/>
          <w:snapToGrid w:val="0"/>
        </w:rPr>
        <w:t xml:space="preserve"> described </w:t>
      </w:r>
      <w:r w:rsidR="006C70B7" w:rsidRPr="001C59C3">
        <w:rPr>
          <w:rFonts w:asciiTheme="minorHAnsi" w:hAnsiTheme="minorHAnsi"/>
          <w:bCs/>
          <w:snapToGrid w:val="0"/>
        </w:rPr>
        <w:t>the severe impacts of CKD-associated pruritis on quality of life and everyday functioning, including reduced sleep quality, impacts on mental health, decreased compliance</w:t>
      </w:r>
      <w:r w:rsidR="005528AF" w:rsidRPr="001C59C3">
        <w:rPr>
          <w:rFonts w:asciiTheme="minorHAnsi" w:hAnsiTheme="minorHAnsi"/>
          <w:bCs/>
          <w:snapToGrid w:val="0"/>
        </w:rPr>
        <w:t xml:space="preserve"> with treatment and limited social function</w:t>
      </w:r>
      <w:r w:rsidR="00F5453D" w:rsidRPr="001C59C3">
        <w:rPr>
          <w:rFonts w:asciiTheme="minorHAnsi" w:hAnsiTheme="minorHAnsi"/>
          <w:bCs/>
          <w:snapToGrid w:val="0"/>
        </w:rPr>
        <w:t xml:space="preserve">. The comments </w:t>
      </w:r>
      <w:r w:rsidR="001C18C2" w:rsidRPr="001C59C3">
        <w:rPr>
          <w:rFonts w:asciiTheme="minorHAnsi" w:hAnsiTheme="minorHAnsi"/>
          <w:bCs/>
          <w:snapToGrid w:val="0"/>
        </w:rPr>
        <w:t xml:space="preserve">described the </w:t>
      </w:r>
      <w:r w:rsidR="00A21E57" w:rsidRPr="001C59C3">
        <w:rPr>
          <w:rFonts w:asciiTheme="minorHAnsi" w:hAnsiTheme="minorHAnsi"/>
          <w:bCs/>
          <w:snapToGrid w:val="0"/>
        </w:rPr>
        <w:t xml:space="preserve">current </w:t>
      </w:r>
      <w:r w:rsidR="001C18C2" w:rsidRPr="001C59C3">
        <w:rPr>
          <w:rFonts w:asciiTheme="minorHAnsi" w:hAnsiTheme="minorHAnsi"/>
          <w:bCs/>
          <w:snapToGrid w:val="0"/>
        </w:rPr>
        <w:t xml:space="preserve">lack of effective treatments </w:t>
      </w:r>
      <w:r w:rsidR="00A21E57" w:rsidRPr="001C59C3">
        <w:rPr>
          <w:rFonts w:asciiTheme="minorHAnsi" w:hAnsiTheme="minorHAnsi"/>
          <w:bCs/>
          <w:snapToGrid w:val="0"/>
        </w:rPr>
        <w:t>options for this very refractory symptom</w:t>
      </w:r>
      <w:r w:rsidR="001C18C2" w:rsidRPr="001C59C3">
        <w:rPr>
          <w:rFonts w:asciiTheme="minorHAnsi" w:hAnsiTheme="minorHAnsi"/>
          <w:bCs/>
          <w:snapToGrid w:val="0"/>
        </w:rPr>
        <w:t xml:space="preserve"> and the potential benefits provided by </w:t>
      </w:r>
      <w:r w:rsidR="005528AF" w:rsidRPr="001C59C3">
        <w:rPr>
          <w:rFonts w:asciiTheme="minorHAnsi" w:hAnsiTheme="minorHAnsi"/>
          <w:bCs/>
          <w:snapToGrid w:val="0"/>
        </w:rPr>
        <w:t xml:space="preserve">difelikefalin </w:t>
      </w:r>
      <w:r w:rsidR="001C18C2" w:rsidRPr="001C59C3">
        <w:rPr>
          <w:rFonts w:asciiTheme="minorHAnsi" w:hAnsiTheme="minorHAnsi"/>
          <w:bCs/>
          <w:snapToGrid w:val="0"/>
        </w:rPr>
        <w:t>in</w:t>
      </w:r>
      <w:r w:rsidR="00F92199" w:rsidRPr="001C59C3">
        <w:rPr>
          <w:rFonts w:asciiTheme="minorHAnsi" w:hAnsiTheme="minorHAnsi"/>
          <w:bCs/>
          <w:snapToGrid w:val="0"/>
        </w:rPr>
        <w:t xml:space="preserve"> terms of elimination of CKD-associated pruritis</w:t>
      </w:r>
      <w:r w:rsidR="00EF32BB" w:rsidRPr="001C59C3">
        <w:rPr>
          <w:rFonts w:asciiTheme="minorHAnsi" w:hAnsiTheme="minorHAnsi"/>
          <w:bCs/>
          <w:snapToGrid w:val="0"/>
        </w:rPr>
        <w:t xml:space="preserve"> symptoms</w:t>
      </w:r>
      <w:r w:rsidR="00F92199" w:rsidRPr="001C59C3">
        <w:rPr>
          <w:rFonts w:asciiTheme="minorHAnsi" w:hAnsiTheme="minorHAnsi"/>
          <w:bCs/>
          <w:snapToGrid w:val="0"/>
        </w:rPr>
        <w:t xml:space="preserve"> or a reduction </w:t>
      </w:r>
      <w:r w:rsidR="00EF32BB" w:rsidRPr="001C59C3">
        <w:rPr>
          <w:rFonts w:asciiTheme="minorHAnsi" w:hAnsiTheme="minorHAnsi"/>
          <w:bCs/>
          <w:snapToGrid w:val="0"/>
        </w:rPr>
        <w:t>in their</w:t>
      </w:r>
      <w:r w:rsidR="00F92199" w:rsidRPr="001C59C3">
        <w:rPr>
          <w:rFonts w:asciiTheme="minorHAnsi" w:hAnsiTheme="minorHAnsi"/>
          <w:bCs/>
          <w:snapToGrid w:val="0"/>
        </w:rPr>
        <w:t xml:space="preserve"> severity</w:t>
      </w:r>
      <w:r w:rsidR="001C18C2" w:rsidRPr="001C59C3">
        <w:rPr>
          <w:rFonts w:asciiTheme="minorHAnsi" w:hAnsiTheme="minorHAnsi"/>
          <w:bCs/>
          <w:snapToGrid w:val="0"/>
        </w:rPr>
        <w:t xml:space="preserve">. </w:t>
      </w:r>
    </w:p>
    <w:p w14:paraId="745FA207" w14:textId="15A12235" w:rsidR="00051C7F" w:rsidRPr="001C59C3" w:rsidRDefault="005528AF" w:rsidP="00051C7F">
      <w:pPr>
        <w:widowControl w:val="0"/>
        <w:numPr>
          <w:ilvl w:val="1"/>
          <w:numId w:val="1"/>
        </w:numPr>
        <w:spacing w:after="120"/>
        <w:rPr>
          <w:rFonts w:asciiTheme="minorHAnsi" w:hAnsiTheme="minorHAnsi"/>
          <w:bCs/>
          <w:snapToGrid w:val="0"/>
        </w:rPr>
      </w:pPr>
      <w:r w:rsidRPr="001C59C3">
        <w:rPr>
          <w:rFonts w:asciiTheme="minorHAnsi" w:hAnsiTheme="minorHAnsi"/>
          <w:bCs/>
          <w:snapToGrid w:val="0"/>
        </w:rPr>
        <w:t>The PBAC also noted the input from Kidney Health Australia</w:t>
      </w:r>
      <w:r w:rsidR="00D84F29" w:rsidRPr="001C59C3">
        <w:rPr>
          <w:rFonts w:asciiTheme="minorHAnsi" w:hAnsiTheme="minorHAnsi"/>
          <w:bCs/>
          <w:snapToGrid w:val="0"/>
        </w:rPr>
        <w:t xml:space="preserve">. </w:t>
      </w:r>
      <w:r w:rsidR="00B33961" w:rsidRPr="001C59C3">
        <w:rPr>
          <w:rFonts w:asciiTheme="minorHAnsi" w:hAnsiTheme="minorHAnsi"/>
          <w:bCs/>
          <w:snapToGrid w:val="0"/>
        </w:rPr>
        <w:t xml:space="preserve">The input </w:t>
      </w:r>
      <w:r w:rsidR="00D84F29" w:rsidRPr="001C59C3">
        <w:rPr>
          <w:rFonts w:asciiTheme="minorHAnsi" w:hAnsiTheme="minorHAnsi"/>
          <w:bCs/>
          <w:snapToGrid w:val="0"/>
        </w:rPr>
        <w:t xml:space="preserve">supported </w:t>
      </w:r>
      <w:r w:rsidRPr="001C59C3">
        <w:rPr>
          <w:rFonts w:asciiTheme="minorHAnsi" w:hAnsiTheme="minorHAnsi"/>
          <w:bCs/>
          <w:snapToGrid w:val="0"/>
        </w:rPr>
        <w:t>th</w:t>
      </w:r>
      <w:r w:rsidR="00B33961" w:rsidRPr="001C59C3">
        <w:rPr>
          <w:rFonts w:asciiTheme="minorHAnsi" w:hAnsiTheme="minorHAnsi"/>
          <w:bCs/>
          <w:snapToGrid w:val="0"/>
        </w:rPr>
        <w:t>at</w:t>
      </w:r>
      <w:r w:rsidRPr="001C59C3">
        <w:rPr>
          <w:rFonts w:asciiTheme="minorHAnsi" w:hAnsiTheme="minorHAnsi"/>
          <w:bCs/>
          <w:snapToGrid w:val="0"/>
        </w:rPr>
        <w:t xml:space="preserve"> </w:t>
      </w:r>
      <w:r w:rsidR="00D84F29" w:rsidRPr="001C59C3">
        <w:rPr>
          <w:rFonts w:asciiTheme="minorHAnsi" w:hAnsiTheme="minorHAnsi"/>
          <w:bCs/>
          <w:snapToGrid w:val="0"/>
        </w:rPr>
        <w:t>provided by individuals and health care professionals regarding</w:t>
      </w:r>
      <w:r w:rsidRPr="001C59C3">
        <w:rPr>
          <w:rFonts w:asciiTheme="minorHAnsi" w:hAnsiTheme="minorHAnsi"/>
          <w:bCs/>
          <w:snapToGrid w:val="0"/>
        </w:rPr>
        <w:t xml:space="preserve"> the quality of life impacts of CKD-associated pruritis</w:t>
      </w:r>
      <w:r w:rsidR="00D84F29" w:rsidRPr="001C59C3">
        <w:rPr>
          <w:rFonts w:asciiTheme="minorHAnsi" w:hAnsiTheme="minorHAnsi"/>
          <w:bCs/>
          <w:snapToGrid w:val="0"/>
        </w:rPr>
        <w:t>. The comments</w:t>
      </w:r>
      <w:r w:rsidRPr="001C59C3">
        <w:rPr>
          <w:rFonts w:asciiTheme="minorHAnsi" w:hAnsiTheme="minorHAnsi"/>
          <w:bCs/>
          <w:snapToGrid w:val="0"/>
        </w:rPr>
        <w:t xml:space="preserve"> </w:t>
      </w:r>
      <w:r w:rsidR="00F5453D" w:rsidRPr="001C59C3">
        <w:rPr>
          <w:rFonts w:asciiTheme="minorHAnsi" w:hAnsiTheme="minorHAnsi"/>
          <w:bCs/>
          <w:snapToGrid w:val="0"/>
        </w:rPr>
        <w:t xml:space="preserve">stated that there are limited effective therapeutic options available and noted those </w:t>
      </w:r>
      <w:r w:rsidRPr="001C59C3">
        <w:rPr>
          <w:rFonts w:asciiTheme="minorHAnsi" w:hAnsiTheme="minorHAnsi"/>
          <w:bCs/>
          <w:snapToGrid w:val="0"/>
        </w:rPr>
        <w:t>which may offer some benefit</w:t>
      </w:r>
      <w:r w:rsidR="00F5453D" w:rsidRPr="001C59C3">
        <w:rPr>
          <w:rFonts w:asciiTheme="minorHAnsi" w:hAnsiTheme="minorHAnsi"/>
          <w:bCs/>
          <w:snapToGrid w:val="0"/>
        </w:rPr>
        <w:t xml:space="preserve"> may be challenging to use in patients on dialysis and are associated with many adverse effects. </w:t>
      </w:r>
      <w:r w:rsidRPr="001C59C3">
        <w:rPr>
          <w:rFonts w:asciiTheme="minorHAnsi" w:hAnsiTheme="minorHAnsi"/>
          <w:bCs/>
          <w:snapToGrid w:val="0"/>
        </w:rPr>
        <w:t xml:space="preserve">The input also </w:t>
      </w:r>
      <w:r w:rsidR="00B33961" w:rsidRPr="001C59C3">
        <w:rPr>
          <w:rFonts w:asciiTheme="minorHAnsi" w:hAnsiTheme="minorHAnsi"/>
          <w:bCs/>
          <w:snapToGrid w:val="0"/>
        </w:rPr>
        <w:t>indicated</w:t>
      </w:r>
      <w:r w:rsidRPr="001C59C3">
        <w:rPr>
          <w:rFonts w:asciiTheme="minorHAnsi" w:hAnsiTheme="minorHAnsi"/>
          <w:bCs/>
          <w:snapToGrid w:val="0"/>
        </w:rPr>
        <w:t xml:space="preserve"> difelikefalin is effective</w:t>
      </w:r>
      <w:r w:rsidR="00D84F29" w:rsidRPr="001C59C3">
        <w:rPr>
          <w:rFonts w:asciiTheme="minorHAnsi" w:hAnsiTheme="minorHAnsi"/>
          <w:bCs/>
          <w:snapToGrid w:val="0"/>
        </w:rPr>
        <w:t xml:space="preserve"> and</w:t>
      </w:r>
      <w:r w:rsidRPr="001C59C3">
        <w:rPr>
          <w:rFonts w:asciiTheme="minorHAnsi" w:hAnsiTheme="minorHAnsi"/>
          <w:bCs/>
          <w:snapToGrid w:val="0"/>
        </w:rPr>
        <w:t xml:space="preserve"> easy to administer alongside dialysis</w:t>
      </w:r>
      <w:r w:rsidR="00D84F29" w:rsidRPr="001C59C3">
        <w:rPr>
          <w:rFonts w:asciiTheme="minorHAnsi" w:hAnsiTheme="minorHAnsi"/>
          <w:bCs/>
          <w:snapToGrid w:val="0"/>
        </w:rPr>
        <w:t xml:space="preserve">. Kidney Health Australia also </w:t>
      </w:r>
      <w:r w:rsidR="00B33961" w:rsidRPr="001C59C3">
        <w:rPr>
          <w:rFonts w:asciiTheme="minorHAnsi" w:hAnsiTheme="minorHAnsi"/>
          <w:bCs/>
          <w:snapToGrid w:val="0"/>
        </w:rPr>
        <w:t>stated that difelikefalin has low central nervous system penetration, so despite being a selective kappa opioid receptor agonist, the potential for dependence and abuse is low</w:t>
      </w:r>
      <w:r w:rsidRPr="001C59C3">
        <w:rPr>
          <w:rFonts w:asciiTheme="minorHAnsi" w:hAnsiTheme="minorHAnsi"/>
          <w:bCs/>
          <w:snapToGrid w:val="0"/>
        </w:rPr>
        <w:t xml:space="preserve">. </w:t>
      </w:r>
    </w:p>
    <w:bookmarkEnd w:id="21"/>
    <w:bookmarkEnd w:id="23"/>
    <w:p w14:paraId="609C0765" w14:textId="455C834E" w:rsidR="00B60939" w:rsidRPr="001C59C3" w:rsidRDefault="00B60939" w:rsidP="002E4F02">
      <w:pPr>
        <w:pStyle w:val="COMH2-non-numbered"/>
      </w:pPr>
      <w:r w:rsidRPr="001C59C3">
        <w:t>Clinical trials</w:t>
      </w:r>
      <w:bookmarkEnd w:id="20"/>
      <w:bookmarkEnd w:id="22"/>
    </w:p>
    <w:p w14:paraId="17DE34DC" w14:textId="1C458629" w:rsidR="007F1017" w:rsidRPr="001C59C3" w:rsidRDefault="007B3B72" w:rsidP="004F15B1">
      <w:pPr>
        <w:pStyle w:val="COMexecsumnumberedpara"/>
      </w:pPr>
      <w:r w:rsidRPr="001C59C3">
        <w:t xml:space="preserve">The resubmission was based on individual trial results and </w:t>
      </w:r>
      <w:r w:rsidRPr="001C59C3">
        <w:rPr>
          <w:i/>
          <w:iCs/>
        </w:rPr>
        <w:t>post hoc</w:t>
      </w:r>
      <w:r w:rsidRPr="001C59C3">
        <w:t xml:space="preserve"> pooled analyses of data from two head-to-head trials of intravenous difelikefalin versus placebo, conducted in the US (KALM-1) and globally (KALM-2) in patients on haemodialysis with moderate to severe CKD-associated pruritus. The data were previously considered by the PBAC.</w:t>
      </w:r>
    </w:p>
    <w:p w14:paraId="0923B9F2" w14:textId="2D5F4D3F" w:rsidR="007B3B72" w:rsidRPr="001C59C3" w:rsidRDefault="002A6D77" w:rsidP="004F15B1">
      <w:pPr>
        <w:pStyle w:val="COMexecsumnumberedpara"/>
      </w:pPr>
      <w:r w:rsidRPr="001C59C3">
        <w:t>The resubmission included supportive outcomes data based on pooled analyses of the KALM</w:t>
      </w:r>
      <w:r w:rsidR="00934549" w:rsidRPr="001C59C3">
        <w:t>-</w:t>
      </w:r>
      <w:r w:rsidRPr="001C59C3">
        <w:t xml:space="preserve">1 and KALM-2 trials (Topf 2022 and ‘Difelikefalin 2.7.3 Summary of Clinical </w:t>
      </w:r>
      <w:r w:rsidRPr="001C59C3">
        <w:lastRenderedPageBreak/>
        <w:t>Efficacy’ report in Attachment 8 of the resubmission) and supportive safety data based on data from the broader Phase III clinical trial program of difelikefalin for treatment of CKD-associated pruritus in haemodialysis patients (Fishbane 2022).</w:t>
      </w:r>
      <w:r w:rsidRPr="001C59C3">
        <w:rPr>
          <w:i/>
          <w:iCs/>
        </w:rPr>
        <w:t xml:space="preserve"> </w:t>
      </w:r>
      <w:r w:rsidRPr="001C59C3">
        <w:t>The data were previously considered by the PBAC.</w:t>
      </w:r>
    </w:p>
    <w:p w14:paraId="6F1EBB75" w14:textId="7D21B67F" w:rsidR="002A6D77" w:rsidRPr="001C59C3" w:rsidRDefault="00E427E6" w:rsidP="004F15B1">
      <w:pPr>
        <w:pStyle w:val="COMexecsumnumberedpara"/>
        <w:rPr>
          <w:i/>
          <w:iCs/>
        </w:rPr>
      </w:pPr>
      <w:r w:rsidRPr="001C59C3">
        <w:t xml:space="preserve">The resubmission included </w:t>
      </w:r>
      <w:r w:rsidR="00522A7D" w:rsidRPr="001C59C3">
        <w:t xml:space="preserve">new supportive data based on </w:t>
      </w:r>
      <w:r w:rsidR="00522A7D" w:rsidRPr="001C59C3">
        <w:rPr>
          <w:i/>
          <w:iCs/>
        </w:rPr>
        <w:t>post hoc</w:t>
      </w:r>
      <w:r w:rsidR="00522A7D" w:rsidRPr="001C59C3">
        <w:t xml:space="preserve"> analyses assessing the correlation between changes in itch severity and sleep quality based on the pivotal trials and a single-arm study of difelikefalin</w:t>
      </w:r>
      <w:r w:rsidR="00FB3993" w:rsidRPr="001C59C3">
        <w:t xml:space="preserve"> (unpublished, Weiner 2023 draft manuscript provided in the resubmission) and supplementary data based on patient-reported outcomes from 15 patients enrolled in the global difelikefalin managed access program. These data have not previously been considered by the PBAC.</w:t>
      </w:r>
    </w:p>
    <w:p w14:paraId="256C1637" w14:textId="3E8DC1C1" w:rsidR="00FB3993" w:rsidRPr="001C59C3" w:rsidRDefault="00FB3993" w:rsidP="004F15B1">
      <w:pPr>
        <w:pStyle w:val="COMexecsumnumberedpara"/>
      </w:pPr>
      <w:r w:rsidRPr="001C59C3">
        <w:t>The resubmission excluded Study 3105, a Phase III, single-arm, 12-week study of difelikefalin in patients on haemodialysis with moderate to severe CKD-associated pruritus</w:t>
      </w:r>
      <w:r w:rsidR="00F92BF5" w:rsidRPr="001C59C3">
        <w:t xml:space="preserve"> as it was an uncontrolled study</w:t>
      </w:r>
      <w:r w:rsidRPr="001C59C3">
        <w:t xml:space="preserve">. The primary outcome of the study was to assess the safety profile of difelikefalin, with secondary efficacy outcomes assessed by itch intensity (WI-NRS), itch-related quality of life (5-D Itch, Skindex-10), improvement of sleep (Sleep Quality </w:t>
      </w:r>
      <w:r w:rsidR="0078041C" w:rsidRPr="001C59C3">
        <w:t>Numeric</w:t>
      </w:r>
      <w:r w:rsidRPr="001C59C3">
        <w:t xml:space="preserve"> Rating Scale) and EQ-5D descriptive data.</w:t>
      </w:r>
      <w:r w:rsidRPr="001C59C3">
        <w:rPr>
          <w:i/>
          <w:iCs/>
        </w:rPr>
        <w:t xml:space="preserve"> </w:t>
      </w:r>
      <w:r w:rsidRPr="001C59C3">
        <w:t xml:space="preserve">A summary of </w:t>
      </w:r>
      <w:r w:rsidR="00A518BD" w:rsidRPr="001C59C3">
        <w:t>EQ-5D</w:t>
      </w:r>
      <w:r w:rsidRPr="001C59C3">
        <w:t xml:space="preserve"> data from </w:t>
      </w:r>
      <w:r w:rsidR="003676E7" w:rsidRPr="001C59C3">
        <w:t>this</w:t>
      </w:r>
      <w:r w:rsidRPr="001C59C3">
        <w:t xml:space="preserve"> study was presented during the evaluation</w:t>
      </w:r>
      <w:r w:rsidR="00956496" w:rsidRPr="001C59C3">
        <w:t xml:space="preserve"> as supportive </w:t>
      </w:r>
      <w:r w:rsidR="003676E7" w:rsidRPr="001C59C3">
        <w:t>evidence</w:t>
      </w:r>
      <w:r w:rsidR="00956496" w:rsidRPr="001C59C3">
        <w:t xml:space="preserve"> </w:t>
      </w:r>
      <w:r w:rsidR="006A2518" w:rsidRPr="001C59C3">
        <w:t>given</w:t>
      </w:r>
      <w:r w:rsidR="00956496" w:rsidRPr="001C59C3">
        <w:t xml:space="preserve"> quality of life measures from generic instruments </w:t>
      </w:r>
      <w:r w:rsidR="006A2518" w:rsidRPr="001C59C3">
        <w:t>were not captured in the</w:t>
      </w:r>
      <w:r w:rsidR="00956496" w:rsidRPr="001C59C3">
        <w:t xml:space="preserve"> key trials</w:t>
      </w:r>
      <w:r w:rsidRPr="001C59C3">
        <w:t>. These data have not previously been considered by the PBAC.</w:t>
      </w:r>
    </w:p>
    <w:p w14:paraId="131D872E" w14:textId="504491FE" w:rsidR="00A518BD" w:rsidRPr="001C59C3" w:rsidRDefault="00A518BD" w:rsidP="004F15B1">
      <w:pPr>
        <w:pStyle w:val="COMexecsumnumberedpara"/>
      </w:pPr>
      <w:r w:rsidRPr="001C59C3">
        <w:t>There are multiple ongoing Phase II/Phase III trials of an oral formulation of difelikefalin for pruritus associated with advanced non-dialysis dependent CKD (stages 4-5) (NCT05342623, NCT05356403), atopic dermatitis (NCT04018027, NCT05387707), notalgia paresthetica (NCT04706975) and primary biliary cholangitis (NCT03995212).</w:t>
      </w:r>
      <w:r w:rsidRPr="001C59C3">
        <w:rPr>
          <w:i/>
          <w:iCs/>
        </w:rPr>
        <w:t xml:space="preserve"> </w:t>
      </w:r>
      <w:r w:rsidRPr="001C59C3">
        <w:t>Oral difelikefalin was in early-stage development for these indications and was not considered during the evaluation.</w:t>
      </w:r>
    </w:p>
    <w:p w14:paraId="2B59ABAC" w14:textId="7923077E" w:rsidR="00862502" w:rsidRPr="001C59C3" w:rsidRDefault="00A73134" w:rsidP="004F15B1">
      <w:pPr>
        <w:pStyle w:val="COMexecsumnumberedpara"/>
      </w:pPr>
      <w:r w:rsidRPr="001C59C3">
        <w:rPr>
          <w:snapToGrid/>
        </w:rPr>
        <w:t>Details of the</w:t>
      </w:r>
      <w:r w:rsidR="00A518BD" w:rsidRPr="001C59C3">
        <w:rPr>
          <w:snapToGrid/>
        </w:rPr>
        <w:t xml:space="preserve"> trials presented in the resubmission are provided in </w:t>
      </w:r>
      <w:r w:rsidR="00A518BD" w:rsidRPr="001C59C3">
        <w:rPr>
          <w:snapToGrid/>
        </w:rPr>
        <w:fldChar w:fldCharType="begin" w:fldLock="1"/>
      </w:r>
      <w:r w:rsidR="00A518BD" w:rsidRPr="001C59C3">
        <w:rPr>
          <w:snapToGrid/>
        </w:rPr>
        <w:instrText xml:space="preserve"> REF _Ref104803956 \h </w:instrText>
      </w:r>
      <w:r w:rsidR="00A518BD" w:rsidRPr="001C59C3">
        <w:rPr>
          <w:snapToGrid/>
        </w:rPr>
      </w:r>
      <w:r w:rsidR="00A518BD" w:rsidRPr="001C59C3">
        <w:rPr>
          <w:snapToGrid/>
        </w:rPr>
        <w:fldChar w:fldCharType="separate"/>
      </w:r>
      <w:r w:rsidR="00A518BD" w:rsidRPr="001C59C3">
        <w:t xml:space="preserve">Table </w:t>
      </w:r>
      <w:r w:rsidR="00A518BD" w:rsidRPr="009D1BB6">
        <w:t>3</w:t>
      </w:r>
      <w:r w:rsidR="00A518BD" w:rsidRPr="001C59C3">
        <w:rPr>
          <w:snapToGrid/>
        </w:rPr>
        <w:fldChar w:fldCharType="end"/>
      </w:r>
      <w:r w:rsidR="00A518BD" w:rsidRPr="001C59C3">
        <w:rPr>
          <w:snapToGrid/>
        </w:rPr>
        <w:t>.</w:t>
      </w:r>
    </w:p>
    <w:p w14:paraId="7DE3A286" w14:textId="6108A97D" w:rsidR="008E0D3C" w:rsidRPr="001C59C3" w:rsidRDefault="00696EF9" w:rsidP="002E4F02">
      <w:pPr>
        <w:pStyle w:val="COMtablefigcaption"/>
      </w:pPr>
      <w:bookmarkStart w:id="24" w:name="_Ref104803956"/>
      <w:r w:rsidRPr="001C59C3">
        <w:lastRenderedPageBreak/>
        <w:t xml:space="preserve">Table </w:t>
      </w:r>
      <w:r w:rsidR="007232F8">
        <w:fldChar w:fldCharType="begin" w:fldLock="1"/>
      </w:r>
      <w:r w:rsidR="007232F8">
        <w:instrText xml:space="preserve"> SEQ Table \* ARABIC </w:instrText>
      </w:r>
      <w:r w:rsidR="007232F8">
        <w:fldChar w:fldCharType="separate"/>
      </w:r>
      <w:r w:rsidR="008D1964" w:rsidRPr="009D1BB6">
        <w:t>3</w:t>
      </w:r>
      <w:r w:rsidR="007232F8">
        <w:fldChar w:fldCharType="end"/>
      </w:r>
      <w:bookmarkEnd w:id="24"/>
      <w:r w:rsidRPr="001C59C3">
        <w:t>:</w:t>
      </w:r>
      <w:r w:rsidR="00BC591F" w:rsidRPr="001C59C3">
        <w:t xml:space="preserve"> </w:t>
      </w:r>
      <w:r w:rsidR="008E0D3C" w:rsidRPr="001C59C3">
        <w:t xml:space="preserve">Trials and associated reports presented in the </w:t>
      </w:r>
      <w:r w:rsidR="00AD7967" w:rsidRPr="001C59C3">
        <w:t>re</w:t>
      </w:r>
      <w:r w:rsidR="008E0D3C" w:rsidRPr="001C59C3">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378"/>
        <w:gridCol w:w="2204"/>
      </w:tblGrid>
      <w:tr w:rsidR="00FF03A0" w:rsidRPr="001C59C3" w14:paraId="1215B3F5" w14:textId="77777777" w:rsidTr="00776D51">
        <w:trPr>
          <w:cantSplit/>
          <w:tblHeader/>
        </w:trPr>
        <w:tc>
          <w:tcPr>
            <w:tcW w:w="796" w:type="pct"/>
            <w:vAlign w:val="center"/>
          </w:tcPr>
          <w:p w14:paraId="44D44790" w14:textId="77777777" w:rsidR="00FF03A0" w:rsidRPr="001C59C3" w:rsidRDefault="00FF03A0" w:rsidP="00776D51">
            <w:pPr>
              <w:pStyle w:val="COMTableheadingrow"/>
              <w:keepLines/>
              <w:widowControl w:val="0"/>
              <w:rPr>
                <w:lang w:val="en-AU"/>
              </w:rPr>
            </w:pPr>
            <w:r w:rsidRPr="001C59C3">
              <w:rPr>
                <w:lang w:val="en-AU"/>
              </w:rPr>
              <w:t>Trial ID</w:t>
            </w:r>
          </w:p>
        </w:tc>
        <w:tc>
          <w:tcPr>
            <w:tcW w:w="2982" w:type="pct"/>
            <w:vAlign w:val="center"/>
          </w:tcPr>
          <w:p w14:paraId="1ECA47EA" w14:textId="77777777" w:rsidR="00FF03A0" w:rsidRPr="001C59C3" w:rsidRDefault="00FF03A0" w:rsidP="00776D51">
            <w:pPr>
              <w:pStyle w:val="COMTableheadingrow"/>
              <w:keepLines/>
              <w:widowControl w:val="0"/>
              <w:rPr>
                <w:lang w:val="en-AU"/>
              </w:rPr>
            </w:pPr>
            <w:r w:rsidRPr="001C59C3">
              <w:rPr>
                <w:lang w:val="en-AU"/>
              </w:rPr>
              <w:t>Protocol title/ Publication title</w:t>
            </w:r>
          </w:p>
        </w:tc>
        <w:tc>
          <w:tcPr>
            <w:tcW w:w="1223" w:type="pct"/>
            <w:vAlign w:val="center"/>
          </w:tcPr>
          <w:p w14:paraId="5135A55D" w14:textId="77777777" w:rsidR="00FF03A0" w:rsidRPr="001C59C3" w:rsidRDefault="00FF03A0" w:rsidP="00776D51">
            <w:pPr>
              <w:pStyle w:val="COMTableheadingrow"/>
              <w:keepLines/>
              <w:widowControl w:val="0"/>
              <w:rPr>
                <w:lang w:val="en-AU"/>
              </w:rPr>
            </w:pPr>
            <w:r w:rsidRPr="001C59C3">
              <w:rPr>
                <w:lang w:val="en-AU"/>
              </w:rPr>
              <w:t>Publication citation</w:t>
            </w:r>
          </w:p>
        </w:tc>
      </w:tr>
      <w:tr w:rsidR="00FF03A0" w:rsidRPr="001C59C3" w14:paraId="1A91643B" w14:textId="77777777" w:rsidTr="00776D51">
        <w:trPr>
          <w:cantSplit/>
        </w:trPr>
        <w:tc>
          <w:tcPr>
            <w:tcW w:w="5000" w:type="pct"/>
            <w:gridSpan w:val="3"/>
            <w:vAlign w:val="center"/>
          </w:tcPr>
          <w:p w14:paraId="65A5894E" w14:textId="77777777" w:rsidR="00FF03A0" w:rsidRPr="001C59C3" w:rsidRDefault="00FF03A0" w:rsidP="00776D51">
            <w:pPr>
              <w:pStyle w:val="COMTableheadingrow"/>
              <w:keepLines/>
              <w:widowControl w:val="0"/>
              <w:rPr>
                <w:lang w:val="en-AU"/>
              </w:rPr>
            </w:pPr>
            <w:r w:rsidRPr="001C59C3">
              <w:rPr>
                <w:lang w:val="en-AU"/>
              </w:rPr>
              <w:t>Randomised Controlled Trials</w:t>
            </w:r>
          </w:p>
        </w:tc>
      </w:tr>
      <w:tr w:rsidR="00FF03A0" w:rsidRPr="001C59C3" w14:paraId="427D7433" w14:textId="77777777" w:rsidTr="00776D51">
        <w:trPr>
          <w:cantSplit/>
        </w:trPr>
        <w:tc>
          <w:tcPr>
            <w:tcW w:w="796" w:type="pct"/>
            <w:vMerge w:val="restart"/>
            <w:vAlign w:val="center"/>
          </w:tcPr>
          <w:p w14:paraId="56BEFEAE" w14:textId="77777777" w:rsidR="00FF03A0" w:rsidRPr="001C59C3" w:rsidRDefault="00FF03A0" w:rsidP="00776D51">
            <w:pPr>
              <w:pStyle w:val="COMTabletext"/>
              <w:keepLines/>
              <w:widowControl w:val="0"/>
            </w:pPr>
            <w:r w:rsidRPr="001C59C3">
              <w:t>KALM-1 (CLIN3102; NCT03422653)</w:t>
            </w:r>
          </w:p>
        </w:tc>
        <w:tc>
          <w:tcPr>
            <w:tcW w:w="2982" w:type="pct"/>
            <w:tcBorders>
              <w:top w:val="single" w:sz="4" w:space="0" w:color="auto"/>
              <w:bottom w:val="nil"/>
            </w:tcBorders>
            <w:vAlign w:val="center"/>
          </w:tcPr>
          <w:p w14:paraId="783D2B7B" w14:textId="77777777" w:rsidR="00FF03A0" w:rsidRPr="001C59C3" w:rsidRDefault="00FF03A0" w:rsidP="00776D51">
            <w:pPr>
              <w:pStyle w:val="COMTabletext"/>
              <w:keepLines/>
              <w:widowControl w:val="0"/>
              <w:rPr>
                <w:szCs w:val="18"/>
              </w:rPr>
            </w:pPr>
            <w:r w:rsidRPr="001C59C3">
              <w:rPr>
                <w:szCs w:val="18"/>
              </w:rPr>
              <w:t>Clinical Study Report (October 2020). A Multicenter, Double-Blind, Randomized, Placebo Controlled Study to Evaluate the Safety and Efficacy of Intravenous CR845 in Hemodialysis Patients with Moderate-to-Severe Pruritus, with a 52 Week Open-Label Extension.</w:t>
            </w:r>
          </w:p>
        </w:tc>
        <w:tc>
          <w:tcPr>
            <w:tcW w:w="1223" w:type="pct"/>
            <w:tcBorders>
              <w:top w:val="single" w:sz="4" w:space="0" w:color="auto"/>
              <w:bottom w:val="nil"/>
            </w:tcBorders>
            <w:vAlign w:val="center"/>
          </w:tcPr>
          <w:p w14:paraId="5DB9F874" w14:textId="77777777" w:rsidR="00FF03A0" w:rsidRPr="001C59C3" w:rsidRDefault="00FF03A0" w:rsidP="00776D51">
            <w:pPr>
              <w:pStyle w:val="COMTabletext"/>
              <w:keepLines/>
              <w:widowControl w:val="0"/>
            </w:pPr>
            <w:r w:rsidRPr="001C59C3">
              <w:t>Internal study report</w:t>
            </w:r>
          </w:p>
        </w:tc>
      </w:tr>
      <w:tr w:rsidR="00FF03A0" w:rsidRPr="001C59C3" w14:paraId="7C799C48" w14:textId="77777777" w:rsidTr="00776D51">
        <w:trPr>
          <w:cantSplit/>
        </w:trPr>
        <w:tc>
          <w:tcPr>
            <w:tcW w:w="796" w:type="pct"/>
            <w:vMerge/>
            <w:tcBorders>
              <w:bottom w:val="nil"/>
            </w:tcBorders>
            <w:vAlign w:val="center"/>
          </w:tcPr>
          <w:p w14:paraId="61DF9E3E" w14:textId="77777777" w:rsidR="00FF03A0" w:rsidRPr="001C59C3" w:rsidRDefault="00FF03A0" w:rsidP="00776D51">
            <w:pPr>
              <w:pStyle w:val="COMTabletext"/>
              <w:keepLines/>
              <w:widowControl w:val="0"/>
            </w:pPr>
          </w:p>
        </w:tc>
        <w:tc>
          <w:tcPr>
            <w:tcW w:w="2982" w:type="pct"/>
            <w:tcBorders>
              <w:top w:val="nil"/>
              <w:bottom w:val="nil"/>
            </w:tcBorders>
            <w:vAlign w:val="center"/>
          </w:tcPr>
          <w:p w14:paraId="5AC6A8EF" w14:textId="77777777" w:rsidR="00FF03A0" w:rsidRPr="001C59C3" w:rsidRDefault="00FF03A0" w:rsidP="00776D51">
            <w:pPr>
              <w:pStyle w:val="COMTabletext"/>
              <w:keepLines/>
              <w:widowControl w:val="0"/>
              <w:rPr>
                <w:szCs w:val="18"/>
              </w:rPr>
            </w:pPr>
            <w:r w:rsidRPr="001C59C3">
              <w:rPr>
                <w:szCs w:val="18"/>
              </w:rPr>
              <w:t xml:space="preserve">Fishbane S et al (2020). A Phase 3 Trial of Difelikefalin in Hemodialysis Patients with Pruritus. </w:t>
            </w:r>
          </w:p>
        </w:tc>
        <w:tc>
          <w:tcPr>
            <w:tcW w:w="1223" w:type="pct"/>
            <w:tcBorders>
              <w:top w:val="nil"/>
              <w:bottom w:val="nil"/>
            </w:tcBorders>
            <w:vAlign w:val="center"/>
          </w:tcPr>
          <w:p w14:paraId="124BAEB2" w14:textId="77777777" w:rsidR="00FF03A0" w:rsidRPr="001C59C3" w:rsidRDefault="00FF03A0" w:rsidP="00776D51">
            <w:pPr>
              <w:pStyle w:val="COMTabletext"/>
              <w:keepLines/>
              <w:widowControl w:val="0"/>
              <w:rPr>
                <w:szCs w:val="18"/>
              </w:rPr>
            </w:pPr>
            <w:r w:rsidRPr="001C59C3">
              <w:rPr>
                <w:szCs w:val="18"/>
              </w:rPr>
              <w:t>The New England Journal of Medicine 382(3): 222–232</w:t>
            </w:r>
          </w:p>
        </w:tc>
      </w:tr>
      <w:tr w:rsidR="00FF03A0" w:rsidRPr="001C59C3" w14:paraId="01055A5A" w14:textId="77777777" w:rsidTr="00776D51">
        <w:trPr>
          <w:cantSplit/>
        </w:trPr>
        <w:tc>
          <w:tcPr>
            <w:tcW w:w="796" w:type="pct"/>
            <w:tcBorders>
              <w:bottom w:val="single" w:sz="4" w:space="0" w:color="auto"/>
            </w:tcBorders>
            <w:vAlign w:val="center"/>
          </w:tcPr>
          <w:p w14:paraId="606D6A25" w14:textId="77777777" w:rsidR="00FF03A0" w:rsidRPr="001C59C3" w:rsidRDefault="00FF03A0" w:rsidP="00776D51">
            <w:pPr>
              <w:pStyle w:val="COMTabletext"/>
              <w:keepLines/>
              <w:widowControl w:val="0"/>
            </w:pPr>
            <w:r w:rsidRPr="001C59C3">
              <w:t>KALM -2 (CLIN3103; NCT03636269)</w:t>
            </w:r>
          </w:p>
        </w:tc>
        <w:tc>
          <w:tcPr>
            <w:tcW w:w="2982" w:type="pct"/>
            <w:tcBorders>
              <w:bottom w:val="single" w:sz="4" w:space="0" w:color="auto"/>
            </w:tcBorders>
            <w:vAlign w:val="center"/>
          </w:tcPr>
          <w:p w14:paraId="608DEE2C" w14:textId="77777777" w:rsidR="00FF03A0" w:rsidRPr="001C59C3" w:rsidRDefault="00FF03A0" w:rsidP="00776D51">
            <w:pPr>
              <w:pStyle w:val="COMTabletext"/>
              <w:keepLines/>
              <w:widowControl w:val="0"/>
            </w:pPr>
            <w:r w:rsidRPr="001C59C3">
              <w:t>A Multicenter, Double-Blind, Randomized, PBO Controlled Study to Evaluate the Safety and Efficacy of Intravenous CR845 in Hemodialysis Patients with Moderate-to-Severe Pruritus, with a 52 Week Open-Label Extension.</w:t>
            </w:r>
          </w:p>
        </w:tc>
        <w:tc>
          <w:tcPr>
            <w:tcW w:w="1223" w:type="pct"/>
            <w:tcBorders>
              <w:bottom w:val="single" w:sz="4" w:space="0" w:color="auto"/>
            </w:tcBorders>
            <w:vAlign w:val="center"/>
          </w:tcPr>
          <w:p w14:paraId="3FF6FAEE" w14:textId="77777777" w:rsidR="00FF03A0" w:rsidRPr="001C59C3" w:rsidRDefault="00FF03A0" w:rsidP="00776D51">
            <w:pPr>
              <w:pStyle w:val="COMTabletext"/>
              <w:keepLines/>
              <w:widowControl w:val="0"/>
            </w:pPr>
            <w:r w:rsidRPr="001C59C3">
              <w:t>Internal study report</w:t>
            </w:r>
          </w:p>
        </w:tc>
      </w:tr>
      <w:tr w:rsidR="00FF03A0" w:rsidRPr="001C59C3" w14:paraId="3B097E6E" w14:textId="77777777" w:rsidTr="00776D51">
        <w:trPr>
          <w:cantSplit/>
        </w:trPr>
        <w:tc>
          <w:tcPr>
            <w:tcW w:w="5000" w:type="pct"/>
            <w:gridSpan w:val="3"/>
            <w:tcBorders>
              <w:top w:val="single" w:sz="4" w:space="0" w:color="auto"/>
              <w:bottom w:val="single" w:sz="4" w:space="0" w:color="auto"/>
            </w:tcBorders>
            <w:vAlign w:val="center"/>
          </w:tcPr>
          <w:p w14:paraId="4567D2A9" w14:textId="77777777" w:rsidR="00FF03A0" w:rsidRPr="001C59C3" w:rsidRDefault="00FF03A0" w:rsidP="00776D51">
            <w:pPr>
              <w:pStyle w:val="COMTabletext"/>
              <w:keepLines/>
              <w:widowControl w:val="0"/>
            </w:pPr>
            <w:r w:rsidRPr="001C59C3">
              <w:rPr>
                <w:b/>
                <w:bCs w:val="0"/>
              </w:rPr>
              <w:t>Uncontrolled studies</w:t>
            </w:r>
          </w:p>
        </w:tc>
      </w:tr>
      <w:tr w:rsidR="00FF03A0" w:rsidRPr="001C59C3" w14:paraId="3C7A3CDF" w14:textId="77777777" w:rsidTr="00776D51">
        <w:trPr>
          <w:cantSplit/>
        </w:trPr>
        <w:tc>
          <w:tcPr>
            <w:tcW w:w="796" w:type="pct"/>
            <w:tcBorders>
              <w:top w:val="nil"/>
              <w:bottom w:val="single" w:sz="4" w:space="0" w:color="auto"/>
            </w:tcBorders>
            <w:vAlign w:val="center"/>
          </w:tcPr>
          <w:p w14:paraId="76440984" w14:textId="77777777" w:rsidR="00FF03A0" w:rsidRPr="001C59C3" w:rsidRDefault="00FF03A0" w:rsidP="00776D51">
            <w:pPr>
              <w:pStyle w:val="COMTabletext"/>
              <w:keepLines/>
              <w:widowControl w:val="0"/>
            </w:pPr>
            <w:r w:rsidRPr="001C59C3">
              <w:t>KALM-1 OLE (NCT03422653)</w:t>
            </w:r>
          </w:p>
        </w:tc>
        <w:tc>
          <w:tcPr>
            <w:tcW w:w="2982" w:type="pct"/>
            <w:tcBorders>
              <w:top w:val="single" w:sz="4" w:space="0" w:color="auto"/>
              <w:bottom w:val="single" w:sz="4" w:space="0" w:color="auto"/>
            </w:tcBorders>
            <w:vAlign w:val="center"/>
          </w:tcPr>
          <w:p w14:paraId="2B2DF8B4" w14:textId="77777777" w:rsidR="00FF03A0" w:rsidRPr="001C59C3" w:rsidRDefault="00FF03A0" w:rsidP="00776D51">
            <w:pPr>
              <w:pStyle w:val="COMTabletext"/>
              <w:keepLines/>
              <w:widowControl w:val="0"/>
              <w:rPr>
                <w:szCs w:val="18"/>
              </w:rPr>
            </w:pPr>
            <w:r w:rsidRPr="001C59C3">
              <w:rPr>
                <w:szCs w:val="18"/>
              </w:rPr>
              <w:t>Clinical Study Report for the Open-label Extension Phase (October 2020). A Multicenter, Double-blind, Randomized, Placebo-controlled Study to Evaluate the Safety and Efficacy of Intravenous CR845 in Hemodialysis Patients with Moderate-to-Severe Pruritus, with a 52 Week Open-label Extension.</w:t>
            </w:r>
          </w:p>
        </w:tc>
        <w:tc>
          <w:tcPr>
            <w:tcW w:w="1223" w:type="pct"/>
            <w:tcBorders>
              <w:top w:val="single" w:sz="4" w:space="0" w:color="auto"/>
              <w:bottom w:val="single" w:sz="4" w:space="0" w:color="auto"/>
            </w:tcBorders>
            <w:vAlign w:val="center"/>
          </w:tcPr>
          <w:p w14:paraId="1DAACCA9" w14:textId="77777777" w:rsidR="00FF03A0" w:rsidRPr="001C59C3" w:rsidRDefault="00FF03A0" w:rsidP="00776D51">
            <w:pPr>
              <w:pStyle w:val="COMTabletext"/>
              <w:keepLines/>
              <w:widowControl w:val="0"/>
            </w:pPr>
            <w:r w:rsidRPr="001C59C3">
              <w:t>Internal study report</w:t>
            </w:r>
          </w:p>
        </w:tc>
      </w:tr>
      <w:tr w:rsidR="00FF03A0" w:rsidRPr="001C59C3" w14:paraId="53766CCC" w14:textId="77777777" w:rsidTr="00776D51">
        <w:trPr>
          <w:cantSplit/>
        </w:trPr>
        <w:tc>
          <w:tcPr>
            <w:tcW w:w="796" w:type="pct"/>
            <w:tcBorders>
              <w:top w:val="nil"/>
              <w:bottom w:val="single" w:sz="4" w:space="0" w:color="auto"/>
            </w:tcBorders>
            <w:vAlign w:val="center"/>
          </w:tcPr>
          <w:p w14:paraId="387E09CF" w14:textId="77777777" w:rsidR="00FF03A0" w:rsidRPr="001C59C3" w:rsidRDefault="00FF03A0" w:rsidP="00776D51">
            <w:pPr>
              <w:pStyle w:val="COMTabletext"/>
              <w:keepLines/>
              <w:widowControl w:val="0"/>
            </w:pPr>
            <w:r w:rsidRPr="001C59C3">
              <w:t>KALM-2 OLE (NCT03636269)</w:t>
            </w:r>
          </w:p>
        </w:tc>
        <w:tc>
          <w:tcPr>
            <w:tcW w:w="2982" w:type="pct"/>
            <w:tcBorders>
              <w:top w:val="nil"/>
              <w:bottom w:val="single" w:sz="4" w:space="0" w:color="auto"/>
            </w:tcBorders>
            <w:vAlign w:val="center"/>
          </w:tcPr>
          <w:p w14:paraId="564B1906" w14:textId="77777777" w:rsidR="00FF03A0" w:rsidRPr="001C59C3" w:rsidRDefault="00FF03A0" w:rsidP="00776D51">
            <w:pPr>
              <w:pStyle w:val="COMTabletext"/>
              <w:keepLines/>
              <w:widowControl w:val="0"/>
              <w:rPr>
                <w:szCs w:val="18"/>
              </w:rPr>
            </w:pPr>
            <w:r w:rsidRPr="001C59C3">
              <w:rPr>
                <w:szCs w:val="18"/>
              </w:rPr>
              <w:t>Clinical Study Report for the Open-label Extension Phase (November 2020). A Multicenter, Double-Blind, Randomized, Placebo Controlled Study to Evaluate the Safety and Efficacy of Intravenous CR845 in Hemodialysis Patients with Moderate-to-Severe Pruritus, with a 52 Week Open-label Extension</w:t>
            </w:r>
          </w:p>
        </w:tc>
        <w:tc>
          <w:tcPr>
            <w:tcW w:w="1223" w:type="pct"/>
            <w:tcBorders>
              <w:top w:val="nil"/>
              <w:bottom w:val="single" w:sz="4" w:space="0" w:color="auto"/>
            </w:tcBorders>
            <w:vAlign w:val="center"/>
          </w:tcPr>
          <w:p w14:paraId="1A0BD851" w14:textId="77777777" w:rsidR="00FF03A0" w:rsidRPr="001C59C3" w:rsidRDefault="00FF03A0" w:rsidP="00776D51">
            <w:pPr>
              <w:pStyle w:val="COMTabletext"/>
              <w:keepLines/>
              <w:widowControl w:val="0"/>
            </w:pPr>
            <w:r w:rsidRPr="001C59C3">
              <w:t>Internal study report</w:t>
            </w:r>
          </w:p>
        </w:tc>
      </w:tr>
      <w:tr w:rsidR="00FF03A0" w:rsidRPr="001C59C3" w14:paraId="7711159E" w14:textId="77777777" w:rsidTr="00776D51">
        <w:trPr>
          <w:cantSplit/>
        </w:trPr>
        <w:tc>
          <w:tcPr>
            <w:tcW w:w="5000" w:type="pct"/>
            <w:gridSpan w:val="3"/>
            <w:tcBorders>
              <w:top w:val="nil"/>
              <w:bottom w:val="single" w:sz="4" w:space="0" w:color="auto"/>
            </w:tcBorders>
            <w:vAlign w:val="center"/>
          </w:tcPr>
          <w:p w14:paraId="0138B1FE" w14:textId="77777777" w:rsidR="00FF03A0" w:rsidRPr="001C59C3" w:rsidRDefault="00FF03A0" w:rsidP="00776D51">
            <w:pPr>
              <w:pStyle w:val="COMTabletext"/>
              <w:keepLines/>
              <w:widowControl w:val="0"/>
              <w:rPr>
                <w:b/>
                <w:bCs w:val="0"/>
              </w:rPr>
            </w:pPr>
            <w:r w:rsidRPr="001C59C3">
              <w:rPr>
                <w:b/>
                <w:bCs w:val="0"/>
              </w:rPr>
              <w:t>Pooled analyses</w:t>
            </w:r>
          </w:p>
        </w:tc>
      </w:tr>
      <w:tr w:rsidR="00FF03A0" w:rsidRPr="001C59C3" w14:paraId="1E79077D" w14:textId="77777777" w:rsidTr="00776D51">
        <w:trPr>
          <w:cantSplit/>
        </w:trPr>
        <w:tc>
          <w:tcPr>
            <w:tcW w:w="796" w:type="pct"/>
            <w:tcBorders>
              <w:top w:val="nil"/>
              <w:bottom w:val="single" w:sz="4" w:space="0" w:color="auto"/>
            </w:tcBorders>
            <w:vAlign w:val="center"/>
          </w:tcPr>
          <w:p w14:paraId="65773F04" w14:textId="77777777" w:rsidR="00FF03A0" w:rsidRPr="001C59C3" w:rsidRDefault="00FF03A0" w:rsidP="00776D51">
            <w:pPr>
              <w:pStyle w:val="COMTabletext"/>
              <w:keepLines/>
              <w:widowControl w:val="0"/>
            </w:pPr>
            <w:r w:rsidRPr="001C59C3">
              <w:t>KALM-1 and KALM-2 trials</w:t>
            </w:r>
          </w:p>
        </w:tc>
        <w:tc>
          <w:tcPr>
            <w:tcW w:w="2982" w:type="pct"/>
            <w:tcBorders>
              <w:top w:val="nil"/>
              <w:bottom w:val="single" w:sz="4" w:space="0" w:color="auto"/>
            </w:tcBorders>
            <w:vAlign w:val="center"/>
          </w:tcPr>
          <w:p w14:paraId="2AB96222" w14:textId="77777777" w:rsidR="00FF03A0" w:rsidRPr="001C59C3" w:rsidRDefault="00FF03A0" w:rsidP="00776D51">
            <w:pPr>
              <w:pStyle w:val="COMTabletext"/>
              <w:keepLines/>
              <w:widowControl w:val="0"/>
              <w:rPr>
                <w:szCs w:val="18"/>
              </w:rPr>
            </w:pPr>
            <w:r w:rsidRPr="001C59C3">
              <w:rPr>
                <w:szCs w:val="18"/>
              </w:rPr>
              <w:t>Topf J et al (2022). Efficacy of Difelikefalin for the Treatment of Moderate to Severe Pruritus in Hemodialysis Patients: Pooled Analysis of KALM-1 and KALM-2 Phase 3 Studies.</w:t>
            </w:r>
          </w:p>
        </w:tc>
        <w:tc>
          <w:tcPr>
            <w:tcW w:w="1223" w:type="pct"/>
            <w:tcBorders>
              <w:top w:val="nil"/>
              <w:bottom w:val="single" w:sz="4" w:space="0" w:color="auto"/>
            </w:tcBorders>
            <w:vAlign w:val="center"/>
          </w:tcPr>
          <w:p w14:paraId="24F6787D" w14:textId="77777777" w:rsidR="00FF03A0" w:rsidRPr="001C59C3" w:rsidRDefault="00FF03A0" w:rsidP="00776D51">
            <w:pPr>
              <w:pStyle w:val="COMTabletext"/>
              <w:keepLines/>
              <w:widowControl w:val="0"/>
            </w:pPr>
            <w:r w:rsidRPr="001C59C3">
              <w:t>Kidney Medicine 4(8):100512</w:t>
            </w:r>
          </w:p>
        </w:tc>
      </w:tr>
      <w:tr w:rsidR="00FF03A0" w:rsidRPr="001C59C3" w14:paraId="7DCEFDF8" w14:textId="77777777" w:rsidTr="00776D51">
        <w:trPr>
          <w:cantSplit/>
        </w:trPr>
        <w:tc>
          <w:tcPr>
            <w:tcW w:w="796" w:type="pct"/>
            <w:tcBorders>
              <w:top w:val="nil"/>
              <w:bottom w:val="single" w:sz="4" w:space="0" w:color="auto"/>
            </w:tcBorders>
            <w:vAlign w:val="center"/>
          </w:tcPr>
          <w:p w14:paraId="2421031B" w14:textId="77777777" w:rsidR="00FF03A0" w:rsidRPr="001C59C3" w:rsidRDefault="00FF03A0" w:rsidP="00776D51">
            <w:pPr>
              <w:pStyle w:val="COMTabletext"/>
              <w:keepLines/>
              <w:widowControl w:val="0"/>
            </w:pPr>
            <w:r w:rsidRPr="001C59C3">
              <w:t>KALM-1, KALM-2 and CLIN2101 trials</w:t>
            </w:r>
          </w:p>
        </w:tc>
        <w:tc>
          <w:tcPr>
            <w:tcW w:w="2982" w:type="pct"/>
            <w:tcBorders>
              <w:top w:val="nil"/>
              <w:bottom w:val="single" w:sz="4" w:space="0" w:color="auto"/>
            </w:tcBorders>
            <w:vAlign w:val="center"/>
          </w:tcPr>
          <w:p w14:paraId="2180DB3B" w14:textId="77777777" w:rsidR="00FF03A0" w:rsidRPr="001C59C3" w:rsidRDefault="00FF03A0" w:rsidP="00776D51">
            <w:pPr>
              <w:pStyle w:val="COMTabletext"/>
              <w:keepLines/>
              <w:widowControl w:val="0"/>
              <w:rPr>
                <w:szCs w:val="18"/>
              </w:rPr>
            </w:pPr>
            <w:r w:rsidRPr="001C59C3">
              <w:rPr>
                <w:szCs w:val="18"/>
              </w:rPr>
              <w:t>Difelikefalin 2.7.3 Summary of Clinical Efficacy, 5 August 2021</w:t>
            </w:r>
          </w:p>
        </w:tc>
        <w:tc>
          <w:tcPr>
            <w:tcW w:w="1223" w:type="pct"/>
            <w:tcBorders>
              <w:top w:val="nil"/>
              <w:bottom w:val="single" w:sz="4" w:space="0" w:color="auto"/>
            </w:tcBorders>
            <w:vAlign w:val="center"/>
          </w:tcPr>
          <w:p w14:paraId="676737A7" w14:textId="77777777" w:rsidR="00FF03A0" w:rsidRPr="001C59C3" w:rsidRDefault="00FF03A0" w:rsidP="00776D51">
            <w:pPr>
              <w:pStyle w:val="COMTabletext"/>
              <w:keepLines/>
              <w:widowControl w:val="0"/>
            </w:pPr>
            <w:r w:rsidRPr="001C59C3">
              <w:t>Internal analyses report</w:t>
            </w:r>
          </w:p>
        </w:tc>
      </w:tr>
      <w:tr w:rsidR="00FF03A0" w:rsidRPr="001C59C3" w14:paraId="3756A35A" w14:textId="77777777" w:rsidTr="00776D51">
        <w:trPr>
          <w:cantSplit/>
        </w:trPr>
        <w:tc>
          <w:tcPr>
            <w:tcW w:w="796" w:type="pct"/>
            <w:tcBorders>
              <w:top w:val="single" w:sz="4" w:space="0" w:color="auto"/>
              <w:bottom w:val="single" w:sz="4" w:space="0" w:color="auto"/>
            </w:tcBorders>
            <w:vAlign w:val="center"/>
          </w:tcPr>
          <w:p w14:paraId="08F2206A" w14:textId="77777777" w:rsidR="00FF03A0" w:rsidRPr="001C59C3" w:rsidRDefault="00FF03A0" w:rsidP="00776D51">
            <w:pPr>
              <w:pStyle w:val="COMTabletext"/>
              <w:keepLines/>
              <w:widowControl w:val="0"/>
            </w:pPr>
            <w:r w:rsidRPr="001C59C3">
              <w:t>KALM-1, KALM-2, CLIN3101 and CLIN3105 studies</w:t>
            </w:r>
          </w:p>
        </w:tc>
        <w:tc>
          <w:tcPr>
            <w:tcW w:w="2982" w:type="pct"/>
            <w:tcBorders>
              <w:top w:val="single" w:sz="4" w:space="0" w:color="auto"/>
              <w:bottom w:val="single" w:sz="4" w:space="0" w:color="auto"/>
            </w:tcBorders>
            <w:vAlign w:val="center"/>
          </w:tcPr>
          <w:p w14:paraId="4BD225CC" w14:textId="77777777" w:rsidR="00FF03A0" w:rsidRPr="001C59C3" w:rsidRDefault="00FF03A0" w:rsidP="00776D51">
            <w:pPr>
              <w:pStyle w:val="COMTabletext"/>
              <w:keepLines/>
              <w:widowControl w:val="0"/>
              <w:rPr>
                <w:szCs w:val="18"/>
              </w:rPr>
            </w:pPr>
            <w:r w:rsidRPr="001C59C3">
              <w:rPr>
                <w:szCs w:val="18"/>
              </w:rPr>
              <w:t>Fishbane S et al (2022). Safety and Tolerability of Difelikefalin for the Treatment of Moderate to Severe Pruritus in Hemodialysis Patients: Pooled Analysis From the Phase 3 Clinical Trial Program.</w:t>
            </w:r>
          </w:p>
        </w:tc>
        <w:tc>
          <w:tcPr>
            <w:tcW w:w="1223" w:type="pct"/>
            <w:tcBorders>
              <w:top w:val="single" w:sz="4" w:space="0" w:color="auto"/>
              <w:bottom w:val="single" w:sz="4" w:space="0" w:color="auto"/>
            </w:tcBorders>
            <w:vAlign w:val="center"/>
          </w:tcPr>
          <w:p w14:paraId="5800F227" w14:textId="77777777" w:rsidR="00FF03A0" w:rsidRPr="001C59C3" w:rsidRDefault="00FF03A0" w:rsidP="00776D51">
            <w:pPr>
              <w:pStyle w:val="COMTabletext"/>
              <w:keepLines/>
              <w:widowControl w:val="0"/>
            </w:pPr>
            <w:r w:rsidRPr="001C59C3">
              <w:t>Kidney Medicine 4(8):100513</w:t>
            </w:r>
          </w:p>
        </w:tc>
      </w:tr>
    </w:tbl>
    <w:p w14:paraId="51D8173A" w14:textId="022E2D91" w:rsidR="008E0D3C" w:rsidRPr="001C59C3" w:rsidRDefault="008E0D3C" w:rsidP="00EC5836">
      <w:pPr>
        <w:pStyle w:val="COMTablefooter"/>
        <w:rPr>
          <w:sz w:val="20"/>
        </w:rPr>
      </w:pPr>
      <w:r w:rsidRPr="001C59C3">
        <w:t xml:space="preserve">Source: </w:t>
      </w:r>
      <w:r w:rsidR="00A61189" w:rsidRPr="001C59C3">
        <w:t>Table 14, p67 and Attachment 6 (A to D) of the resubmission</w:t>
      </w:r>
    </w:p>
    <w:p w14:paraId="1DD06D7D" w14:textId="0F7C47A8" w:rsidR="007F1017" w:rsidRPr="001C59C3" w:rsidRDefault="008F120A" w:rsidP="004F15B1">
      <w:pPr>
        <w:pStyle w:val="COMexecsumnumberedpara"/>
        <w:rPr>
          <w:color w:val="0066FF"/>
        </w:rPr>
      </w:pPr>
      <w:r w:rsidRPr="001C59C3">
        <w:t xml:space="preserve">The key features of the </w:t>
      </w:r>
      <w:r w:rsidR="00161F5F" w:rsidRPr="001C59C3">
        <w:t>included trials</w:t>
      </w:r>
      <w:r w:rsidRPr="001C59C3">
        <w:t xml:space="preserve"> are summarised in</w:t>
      </w:r>
      <w:r w:rsidR="00D6076E" w:rsidRPr="001C59C3">
        <w:t xml:space="preserve"> </w:t>
      </w:r>
      <w:r w:rsidR="00D6076E" w:rsidRPr="001C59C3">
        <w:fldChar w:fldCharType="begin" w:fldLock="1"/>
      </w:r>
      <w:r w:rsidR="00D6076E" w:rsidRPr="001C59C3">
        <w:instrText xml:space="preserve"> REF _Ref104804098 \h  \* MERGEFORMAT </w:instrText>
      </w:r>
      <w:r w:rsidR="00D6076E" w:rsidRPr="001C59C3">
        <w:fldChar w:fldCharType="separate"/>
      </w:r>
      <w:r w:rsidR="009F6120" w:rsidRPr="001C59C3">
        <w:t>Table 4</w:t>
      </w:r>
      <w:r w:rsidR="00D6076E" w:rsidRPr="001C59C3">
        <w:fldChar w:fldCharType="end"/>
      </w:r>
      <w:r w:rsidRPr="001C59C3">
        <w:t>.</w:t>
      </w:r>
    </w:p>
    <w:p w14:paraId="355E2F15" w14:textId="5F33953A" w:rsidR="007F1017" w:rsidRPr="001C59C3" w:rsidRDefault="00696EF9" w:rsidP="00FD4ED6">
      <w:pPr>
        <w:pStyle w:val="COMtablefigcaption"/>
      </w:pPr>
      <w:bookmarkStart w:id="25" w:name="_Ref104804098"/>
      <w:r w:rsidRPr="001C59C3">
        <w:lastRenderedPageBreak/>
        <w:t xml:space="preserve">Table </w:t>
      </w:r>
      <w:r w:rsidR="007232F8">
        <w:fldChar w:fldCharType="begin" w:fldLock="1"/>
      </w:r>
      <w:r w:rsidR="007232F8">
        <w:instrText xml:space="preserve"> SEQ Table \* ARABIC </w:instrText>
      </w:r>
      <w:r w:rsidR="007232F8">
        <w:fldChar w:fldCharType="separate"/>
      </w:r>
      <w:r w:rsidR="008D1964" w:rsidRPr="009D1BB6">
        <w:t>4</w:t>
      </w:r>
      <w:r w:rsidR="007232F8">
        <w:fldChar w:fldCharType="end"/>
      </w:r>
      <w:bookmarkEnd w:id="25"/>
      <w:r w:rsidR="00D6076E" w:rsidRPr="001C59C3">
        <w:t xml:space="preserve">: </w:t>
      </w:r>
      <w:r w:rsidR="007F1017" w:rsidRPr="001C59C3">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46"/>
        <w:gridCol w:w="700"/>
        <w:gridCol w:w="1219"/>
        <w:gridCol w:w="1037"/>
        <w:gridCol w:w="1847"/>
        <w:gridCol w:w="1259"/>
        <w:gridCol w:w="2009"/>
      </w:tblGrid>
      <w:tr w:rsidR="00AE3F02" w:rsidRPr="001C59C3" w14:paraId="4602BCC5" w14:textId="77777777" w:rsidTr="00776D51">
        <w:trPr>
          <w:cantSplit/>
          <w:tblHeader/>
        </w:trPr>
        <w:tc>
          <w:tcPr>
            <w:tcW w:w="525" w:type="pct"/>
            <w:shd w:val="clear" w:color="auto" w:fill="auto"/>
            <w:vAlign w:val="center"/>
          </w:tcPr>
          <w:p w14:paraId="023DAAA3" w14:textId="77777777" w:rsidR="00AE3F02" w:rsidRPr="001C59C3" w:rsidRDefault="00AE3F02" w:rsidP="00AE3F02">
            <w:pPr>
              <w:keepNext/>
              <w:jc w:val="left"/>
              <w:rPr>
                <w:rFonts w:ascii="Arial Narrow" w:eastAsiaTheme="majorEastAsia" w:hAnsi="Arial Narrow" w:cs="Times New Roman"/>
                <w:b/>
                <w:sz w:val="20"/>
              </w:rPr>
            </w:pPr>
            <w:r w:rsidRPr="001C59C3">
              <w:rPr>
                <w:rFonts w:ascii="Arial Narrow" w:eastAsiaTheme="majorEastAsia" w:hAnsi="Arial Narrow" w:cs="Times New Roman"/>
                <w:b/>
                <w:sz w:val="20"/>
              </w:rPr>
              <w:t>Trial</w:t>
            </w:r>
          </w:p>
        </w:tc>
        <w:tc>
          <w:tcPr>
            <w:tcW w:w="388" w:type="pct"/>
            <w:shd w:val="clear" w:color="auto" w:fill="auto"/>
            <w:vAlign w:val="center"/>
          </w:tcPr>
          <w:p w14:paraId="12C7D0C9" w14:textId="77777777" w:rsidR="00AE3F02" w:rsidRPr="001C59C3" w:rsidRDefault="00AE3F02" w:rsidP="00AE3F02">
            <w:pPr>
              <w:keepNext/>
              <w:jc w:val="center"/>
              <w:rPr>
                <w:rFonts w:ascii="Arial Narrow" w:eastAsiaTheme="majorEastAsia" w:hAnsi="Arial Narrow" w:cs="Times New Roman"/>
                <w:b/>
                <w:sz w:val="20"/>
              </w:rPr>
            </w:pPr>
            <w:r w:rsidRPr="001C59C3">
              <w:rPr>
                <w:rFonts w:ascii="Arial Narrow" w:eastAsiaTheme="majorEastAsia" w:hAnsi="Arial Narrow" w:cs="Times New Roman"/>
                <w:b/>
                <w:sz w:val="20"/>
              </w:rPr>
              <w:t>N</w:t>
            </w:r>
          </w:p>
        </w:tc>
        <w:tc>
          <w:tcPr>
            <w:tcW w:w="676" w:type="pct"/>
            <w:shd w:val="clear" w:color="auto" w:fill="auto"/>
            <w:vAlign w:val="center"/>
          </w:tcPr>
          <w:p w14:paraId="16A170E3" w14:textId="77777777" w:rsidR="00AE3F02" w:rsidRPr="001C59C3" w:rsidRDefault="00AE3F02" w:rsidP="00AE3F02">
            <w:pPr>
              <w:keepNext/>
              <w:jc w:val="center"/>
              <w:rPr>
                <w:rFonts w:ascii="Arial Narrow" w:eastAsiaTheme="majorEastAsia" w:hAnsi="Arial Narrow" w:cs="Times New Roman"/>
                <w:b/>
                <w:sz w:val="20"/>
              </w:rPr>
            </w:pPr>
            <w:r w:rsidRPr="001C59C3">
              <w:rPr>
                <w:rFonts w:ascii="Arial Narrow" w:eastAsiaTheme="majorEastAsia" w:hAnsi="Arial Narrow" w:cs="Times New Roman"/>
                <w:b/>
                <w:sz w:val="20"/>
              </w:rPr>
              <w:t>Design/ duration</w:t>
            </w:r>
          </w:p>
        </w:tc>
        <w:tc>
          <w:tcPr>
            <w:tcW w:w="575" w:type="pct"/>
            <w:shd w:val="clear" w:color="auto" w:fill="auto"/>
            <w:vAlign w:val="center"/>
          </w:tcPr>
          <w:p w14:paraId="4A7471FB" w14:textId="77777777" w:rsidR="00AE3F02" w:rsidRPr="001C59C3" w:rsidRDefault="00AE3F02" w:rsidP="00AE3F02">
            <w:pPr>
              <w:keepNext/>
              <w:jc w:val="center"/>
              <w:rPr>
                <w:rFonts w:ascii="Arial Narrow" w:eastAsiaTheme="majorEastAsia" w:hAnsi="Arial Narrow" w:cs="Times New Roman"/>
                <w:b/>
                <w:sz w:val="20"/>
              </w:rPr>
            </w:pPr>
            <w:r w:rsidRPr="001C59C3">
              <w:rPr>
                <w:rFonts w:ascii="Arial Narrow" w:eastAsiaTheme="majorEastAsia" w:hAnsi="Arial Narrow" w:cs="Times New Roman"/>
                <w:b/>
                <w:sz w:val="20"/>
              </w:rPr>
              <w:t>Risk of bias</w:t>
            </w:r>
          </w:p>
        </w:tc>
        <w:tc>
          <w:tcPr>
            <w:tcW w:w="1024" w:type="pct"/>
            <w:shd w:val="clear" w:color="auto" w:fill="auto"/>
            <w:vAlign w:val="center"/>
          </w:tcPr>
          <w:p w14:paraId="704588E4" w14:textId="77777777" w:rsidR="00AE3F02" w:rsidRPr="001C59C3" w:rsidRDefault="00AE3F02" w:rsidP="00AE3F02">
            <w:pPr>
              <w:keepNext/>
              <w:jc w:val="center"/>
              <w:rPr>
                <w:rFonts w:ascii="Arial Narrow" w:eastAsiaTheme="majorEastAsia" w:hAnsi="Arial Narrow" w:cs="Times New Roman"/>
                <w:b/>
                <w:sz w:val="20"/>
              </w:rPr>
            </w:pPr>
            <w:r w:rsidRPr="001C59C3">
              <w:rPr>
                <w:rFonts w:ascii="Arial Narrow" w:eastAsiaTheme="majorEastAsia" w:hAnsi="Arial Narrow" w:cs="Times New Roman"/>
                <w:b/>
                <w:sz w:val="20"/>
              </w:rPr>
              <w:t>Patient population</w:t>
            </w:r>
          </w:p>
        </w:tc>
        <w:tc>
          <w:tcPr>
            <w:tcW w:w="698" w:type="pct"/>
            <w:shd w:val="clear" w:color="auto" w:fill="auto"/>
            <w:vAlign w:val="center"/>
          </w:tcPr>
          <w:p w14:paraId="36A18372" w14:textId="77777777" w:rsidR="00AE3F02" w:rsidRPr="001C59C3" w:rsidRDefault="00AE3F02" w:rsidP="00AE3F02">
            <w:pPr>
              <w:keepNext/>
              <w:jc w:val="center"/>
              <w:rPr>
                <w:rFonts w:ascii="Arial Narrow" w:eastAsiaTheme="majorEastAsia" w:hAnsi="Arial Narrow" w:cs="Times New Roman"/>
                <w:b/>
                <w:sz w:val="20"/>
              </w:rPr>
            </w:pPr>
            <w:r w:rsidRPr="001C59C3">
              <w:rPr>
                <w:rFonts w:ascii="Arial Narrow" w:eastAsiaTheme="majorEastAsia" w:hAnsi="Arial Narrow" w:cs="Times New Roman"/>
                <w:b/>
                <w:sz w:val="20"/>
              </w:rPr>
              <w:t>Outcomes</w:t>
            </w:r>
          </w:p>
        </w:tc>
        <w:tc>
          <w:tcPr>
            <w:tcW w:w="1114" w:type="pct"/>
            <w:shd w:val="clear" w:color="auto" w:fill="auto"/>
            <w:vAlign w:val="center"/>
          </w:tcPr>
          <w:p w14:paraId="6D3C868D" w14:textId="77777777" w:rsidR="00AE3F02" w:rsidRPr="001C59C3" w:rsidRDefault="00AE3F02" w:rsidP="00AE3F02">
            <w:pPr>
              <w:keepNext/>
              <w:jc w:val="center"/>
              <w:rPr>
                <w:rFonts w:ascii="Arial Narrow" w:eastAsiaTheme="majorEastAsia" w:hAnsi="Arial Narrow" w:cs="Times New Roman"/>
                <w:b/>
                <w:sz w:val="20"/>
              </w:rPr>
            </w:pPr>
            <w:r w:rsidRPr="001C59C3">
              <w:rPr>
                <w:rFonts w:ascii="Arial Narrow" w:eastAsiaTheme="majorEastAsia" w:hAnsi="Arial Narrow" w:cs="Times New Roman"/>
                <w:b/>
                <w:sz w:val="20"/>
              </w:rPr>
              <w:t>Use in modelled evaluation</w:t>
            </w:r>
          </w:p>
        </w:tc>
      </w:tr>
      <w:tr w:rsidR="00AE3F02" w:rsidRPr="001C59C3" w14:paraId="0208A36D" w14:textId="77777777" w:rsidTr="00776D51">
        <w:trPr>
          <w:cantSplit/>
        </w:trPr>
        <w:tc>
          <w:tcPr>
            <w:tcW w:w="5000" w:type="pct"/>
            <w:gridSpan w:val="7"/>
            <w:shd w:val="clear" w:color="auto" w:fill="auto"/>
            <w:vAlign w:val="center"/>
          </w:tcPr>
          <w:p w14:paraId="72109A9E" w14:textId="77777777" w:rsidR="00AE3F02" w:rsidRPr="001C59C3" w:rsidRDefault="00AE3F02" w:rsidP="00AE3F02">
            <w:pPr>
              <w:keepNext/>
              <w:jc w:val="left"/>
              <w:rPr>
                <w:rFonts w:ascii="Arial Narrow" w:eastAsiaTheme="majorEastAsia" w:hAnsi="Arial Narrow" w:cs="Times New Roman"/>
                <w:b/>
                <w:sz w:val="20"/>
              </w:rPr>
            </w:pPr>
            <w:r w:rsidRPr="001C59C3">
              <w:rPr>
                <w:rFonts w:ascii="Arial Narrow" w:eastAsiaTheme="majorEastAsia" w:hAnsi="Arial Narrow" w:cs="Times New Roman"/>
                <w:b/>
                <w:sz w:val="20"/>
              </w:rPr>
              <w:t>Difelikefalin versus placebo</w:t>
            </w:r>
          </w:p>
        </w:tc>
      </w:tr>
      <w:tr w:rsidR="00AE3F02" w:rsidRPr="001C59C3" w14:paraId="139BAA23" w14:textId="77777777" w:rsidTr="00776D51">
        <w:trPr>
          <w:cantSplit/>
        </w:trPr>
        <w:tc>
          <w:tcPr>
            <w:tcW w:w="525" w:type="pct"/>
            <w:shd w:val="clear" w:color="auto" w:fill="auto"/>
            <w:vAlign w:val="center"/>
          </w:tcPr>
          <w:p w14:paraId="2072422C" w14:textId="77777777" w:rsidR="00AE3F02" w:rsidRPr="001C59C3" w:rsidRDefault="00AE3F02" w:rsidP="00AE3F02">
            <w:pPr>
              <w:keepNext/>
              <w:jc w:val="left"/>
              <w:rPr>
                <w:rFonts w:ascii="Arial Narrow" w:eastAsiaTheme="majorEastAsia" w:hAnsi="Arial Narrow" w:cstheme="majorBidi"/>
                <w:bCs/>
                <w:sz w:val="20"/>
              </w:rPr>
            </w:pPr>
            <w:r w:rsidRPr="001C59C3">
              <w:rPr>
                <w:rFonts w:ascii="Arial Narrow" w:eastAsiaTheme="majorEastAsia" w:hAnsi="Arial Narrow" w:cstheme="majorBidi"/>
                <w:bCs/>
                <w:sz w:val="20"/>
              </w:rPr>
              <w:t xml:space="preserve">KALM-1 </w:t>
            </w:r>
          </w:p>
        </w:tc>
        <w:tc>
          <w:tcPr>
            <w:tcW w:w="388" w:type="pct"/>
            <w:shd w:val="clear" w:color="auto" w:fill="auto"/>
            <w:vAlign w:val="center"/>
          </w:tcPr>
          <w:p w14:paraId="5A6166F4" w14:textId="77777777" w:rsidR="00AE3F02" w:rsidRPr="001C59C3" w:rsidRDefault="00AE3F02" w:rsidP="00AE3F02">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378</w:t>
            </w:r>
          </w:p>
        </w:tc>
        <w:tc>
          <w:tcPr>
            <w:tcW w:w="676" w:type="pct"/>
            <w:shd w:val="clear" w:color="auto" w:fill="auto"/>
            <w:vAlign w:val="center"/>
          </w:tcPr>
          <w:p w14:paraId="65B78EBB" w14:textId="77777777" w:rsidR="00AE3F02" w:rsidRPr="001C59C3" w:rsidRDefault="00AE3F02" w:rsidP="00AE3F02">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US, MC, R, DB</w:t>
            </w:r>
          </w:p>
          <w:p w14:paraId="4DEB91F2" w14:textId="77777777" w:rsidR="00AE3F02" w:rsidRPr="001C59C3" w:rsidRDefault="00AE3F02" w:rsidP="00AE3F02">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12 weeks</w:t>
            </w:r>
          </w:p>
        </w:tc>
        <w:tc>
          <w:tcPr>
            <w:tcW w:w="575" w:type="pct"/>
            <w:shd w:val="clear" w:color="auto" w:fill="auto"/>
            <w:vAlign w:val="center"/>
          </w:tcPr>
          <w:p w14:paraId="614ACDF9" w14:textId="1711E5D5" w:rsidR="00AE3F02" w:rsidRPr="001C59C3" w:rsidRDefault="00474F60" w:rsidP="00AE3F02">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Moderate</w:t>
            </w:r>
          </w:p>
        </w:tc>
        <w:tc>
          <w:tcPr>
            <w:tcW w:w="1024" w:type="pct"/>
            <w:vMerge w:val="restart"/>
            <w:shd w:val="clear" w:color="auto" w:fill="auto"/>
            <w:vAlign w:val="center"/>
          </w:tcPr>
          <w:p w14:paraId="0DCCBA3A" w14:textId="77777777" w:rsidR="00AE3F02" w:rsidRPr="001C59C3" w:rsidRDefault="00AE3F02" w:rsidP="00AE3F02">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Patients on haemodialysis with moderate/severe CKD-associated pruritus based on WI-NRS ≥4</w:t>
            </w:r>
          </w:p>
        </w:tc>
        <w:tc>
          <w:tcPr>
            <w:tcW w:w="698" w:type="pct"/>
            <w:vMerge w:val="restart"/>
            <w:shd w:val="clear" w:color="auto" w:fill="auto"/>
            <w:vAlign w:val="center"/>
          </w:tcPr>
          <w:p w14:paraId="021104B6" w14:textId="77777777" w:rsidR="00AE3F02" w:rsidRPr="001C59C3" w:rsidRDefault="00AE3F02" w:rsidP="00AE3F02">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WI-NRS, Skindex-10 and 5-D Itch scales</w:t>
            </w:r>
          </w:p>
        </w:tc>
        <w:tc>
          <w:tcPr>
            <w:tcW w:w="1114" w:type="pct"/>
            <w:shd w:val="clear" w:color="auto" w:fill="auto"/>
            <w:vAlign w:val="center"/>
          </w:tcPr>
          <w:p w14:paraId="61EE7216" w14:textId="77777777" w:rsidR="00AE3F02" w:rsidRPr="001C59C3" w:rsidRDefault="00AE3F02" w:rsidP="00AE3F02">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No</w:t>
            </w:r>
          </w:p>
        </w:tc>
      </w:tr>
      <w:tr w:rsidR="00AE3F02" w:rsidRPr="001C59C3" w14:paraId="7B25F67B" w14:textId="77777777" w:rsidTr="00776D51">
        <w:trPr>
          <w:cantSplit/>
        </w:trPr>
        <w:tc>
          <w:tcPr>
            <w:tcW w:w="525" w:type="pct"/>
            <w:shd w:val="clear" w:color="auto" w:fill="auto"/>
            <w:vAlign w:val="center"/>
          </w:tcPr>
          <w:p w14:paraId="55DAB9A9" w14:textId="77777777" w:rsidR="00AE3F02" w:rsidRPr="001C59C3" w:rsidRDefault="00AE3F02" w:rsidP="00AE3F02">
            <w:pPr>
              <w:keepNext/>
              <w:jc w:val="left"/>
              <w:rPr>
                <w:rFonts w:ascii="Arial Narrow" w:eastAsiaTheme="majorEastAsia" w:hAnsi="Arial Narrow" w:cstheme="majorBidi"/>
                <w:bCs/>
                <w:sz w:val="20"/>
              </w:rPr>
            </w:pPr>
            <w:r w:rsidRPr="001C59C3">
              <w:rPr>
                <w:rFonts w:ascii="Arial Narrow" w:eastAsiaTheme="majorEastAsia" w:hAnsi="Arial Narrow" w:cstheme="majorBidi"/>
                <w:bCs/>
                <w:sz w:val="20"/>
              </w:rPr>
              <w:t xml:space="preserve">KALM-2 </w:t>
            </w:r>
          </w:p>
        </w:tc>
        <w:tc>
          <w:tcPr>
            <w:tcW w:w="388" w:type="pct"/>
            <w:shd w:val="clear" w:color="auto" w:fill="auto"/>
            <w:vAlign w:val="center"/>
          </w:tcPr>
          <w:p w14:paraId="43116408" w14:textId="77777777" w:rsidR="00AE3F02" w:rsidRPr="001C59C3" w:rsidRDefault="00AE3F02" w:rsidP="00AE3F02">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473</w:t>
            </w:r>
          </w:p>
        </w:tc>
        <w:tc>
          <w:tcPr>
            <w:tcW w:w="676" w:type="pct"/>
            <w:shd w:val="clear" w:color="auto" w:fill="auto"/>
            <w:vAlign w:val="center"/>
          </w:tcPr>
          <w:p w14:paraId="0D37665E" w14:textId="77777777" w:rsidR="00AE3F02" w:rsidRPr="001C59C3" w:rsidRDefault="00AE3F02" w:rsidP="00AE3F02">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Global, MC, R, DB</w:t>
            </w:r>
          </w:p>
          <w:p w14:paraId="215EE75C" w14:textId="77777777" w:rsidR="00AE3F02" w:rsidRPr="001C59C3" w:rsidRDefault="00AE3F02" w:rsidP="00AE3F02">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12 weeks</w:t>
            </w:r>
          </w:p>
        </w:tc>
        <w:tc>
          <w:tcPr>
            <w:tcW w:w="575" w:type="pct"/>
            <w:shd w:val="clear" w:color="auto" w:fill="auto"/>
            <w:vAlign w:val="center"/>
          </w:tcPr>
          <w:p w14:paraId="50DE8BA3" w14:textId="01076CAA" w:rsidR="00AE3F02" w:rsidRPr="001C59C3" w:rsidRDefault="00474F60" w:rsidP="00AE3F02">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Moderate</w:t>
            </w:r>
          </w:p>
        </w:tc>
        <w:tc>
          <w:tcPr>
            <w:tcW w:w="1024" w:type="pct"/>
            <w:vMerge/>
            <w:shd w:val="clear" w:color="auto" w:fill="auto"/>
            <w:vAlign w:val="center"/>
          </w:tcPr>
          <w:p w14:paraId="049FD68B" w14:textId="77777777" w:rsidR="00AE3F02" w:rsidRPr="001C59C3" w:rsidRDefault="00AE3F02" w:rsidP="00AE3F02">
            <w:pPr>
              <w:keepNext/>
              <w:jc w:val="center"/>
              <w:rPr>
                <w:rFonts w:ascii="Arial Narrow" w:eastAsiaTheme="majorEastAsia" w:hAnsi="Arial Narrow" w:cstheme="majorBidi"/>
                <w:bCs/>
                <w:sz w:val="20"/>
              </w:rPr>
            </w:pPr>
          </w:p>
        </w:tc>
        <w:tc>
          <w:tcPr>
            <w:tcW w:w="698" w:type="pct"/>
            <w:vMerge/>
            <w:shd w:val="clear" w:color="auto" w:fill="auto"/>
            <w:vAlign w:val="center"/>
          </w:tcPr>
          <w:p w14:paraId="02F63C4F" w14:textId="77777777" w:rsidR="00AE3F02" w:rsidRPr="001C59C3" w:rsidRDefault="00AE3F02" w:rsidP="00AE3F02">
            <w:pPr>
              <w:keepNext/>
              <w:jc w:val="center"/>
              <w:rPr>
                <w:rFonts w:ascii="Arial Narrow" w:eastAsiaTheme="majorEastAsia" w:hAnsi="Arial Narrow" w:cstheme="majorBidi"/>
                <w:bCs/>
                <w:sz w:val="20"/>
              </w:rPr>
            </w:pPr>
          </w:p>
        </w:tc>
        <w:tc>
          <w:tcPr>
            <w:tcW w:w="1114" w:type="pct"/>
            <w:shd w:val="clear" w:color="auto" w:fill="auto"/>
            <w:vAlign w:val="center"/>
          </w:tcPr>
          <w:p w14:paraId="3B7463D0" w14:textId="77777777" w:rsidR="00AE3F02" w:rsidRPr="001C59C3" w:rsidRDefault="00AE3F02" w:rsidP="00AE3F02">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No</w:t>
            </w:r>
          </w:p>
        </w:tc>
      </w:tr>
      <w:tr w:rsidR="00AE3F02" w:rsidRPr="001C59C3" w14:paraId="0A16EF56" w14:textId="77777777" w:rsidTr="00776D51">
        <w:trPr>
          <w:cantSplit/>
        </w:trPr>
        <w:tc>
          <w:tcPr>
            <w:tcW w:w="525" w:type="pct"/>
            <w:shd w:val="clear" w:color="auto" w:fill="auto"/>
            <w:vAlign w:val="center"/>
          </w:tcPr>
          <w:p w14:paraId="7A6DCE4E" w14:textId="77777777" w:rsidR="00AE3F02" w:rsidRPr="001C59C3" w:rsidRDefault="00AE3F02" w:rsidP="00AE3F02">
            <w:pPr>
              <w:keepNext/>
              <w:jc w:val="left"/>
              <w:rPr>
                <w:rFonts w:ascii="Arial Narrow" w:eastAsiaTheme="majorEastAsia" w:hAnsi="Arial Narrow" w:cstheme="majorBidi"/>
                <w:bCs/>
                <w:sz w:val="20"/>
              </w:rPr>
            </w:pPr>
            <w:r w:rsidRPr="001C59C3">
              <w:rPr>
                <w:rFonts w:ascii="Arial Narrow" w:eastAsiaTheme="majorEastAsia" w:hAnsi="Arial Narrow" w:cstheme="majorBidi"/>
                <w:bCs/>
                <w:sz w:val="20"/>
              </w:rPr>
              <w:t>Pooled analysis</w:t>
            </w:r>
          </w:p>
        </w:tc>
        <w:tc>
          <w:tcPr>
            <w:tcW w:w="388" w:type="pct"/>
            <w:shd w:val="clear" w:color="auto" w:fill="auto"/>
            <w:vAlign w:val="center"/>
          </w:tcPr>
          <w:p w14:paraId="61908FD4" w14:textId="77777777" w:rsidR="00AE3F02" w:rsidRPr="001C59C3" w:rsidRDefault="00AE3F02" w:rsidP="00AE3F02">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851</w:t>
            </w:r>
          </w:p>
        </w:tc>
        <w:tc>
          <w:tcPr>
            <w:tcW w:w="2973" w:type="pct"/>
            <w:gridSpan w:val="4"/>
            <w:shd w:val="clear" w:color="auto" w:fill="auto"/>
            <w:vAlign w:val="center"/>
          </w:tcPr>
          <w:p w14:paraId="01EA9DD9" w14:textId="77777777" w:rsidR="00AE3F02" w:rsidRPr="001C59C3" w:rsidRDefault="00AE3F02" w:rsidP="00AE3F02">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Based on KALM-1 and KALM-2 whole trial populations</w:t>
            </w:r>
          </w:p>
        </w:tc>
        <w:tc>
          <w:tcPr>
            <w:tcW w:w="1114" w:type="pct"/>
            <w:shd w:val="clear" w:color="auto" w:fill="auto"/>
            <w:vAlign w:val="center"/>
          </w:tcPr>
          <w:p w14:paraId="20B63B8A" w14:textId="77777777" w:rsidR="00AE3F02" w:rsidRPr="001C59C3" w:rsidRDefault="00AE3F02" w:rsidP="00AE3F02">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Individual patient data analysis of 5-D Itch scores</w:t>
            </w:r>
          </w:p>
        </w:tc>
      </w:tr>
      <w:tr w:rsidR="00AE3F02" w:rsidRPr="001C59C3" w14:paraId="6A5D92D3" w14:textId="77777777" w:rsidTr="00776D51">
        <w:trPr>
          <w:cantSplit/>
        </w:trPr>
        <w:tc>
          <w:tcPr>
            <w:tcW w:w="5000" w:type="pct"/>
            <w:gridSpan w:val="7"/>
            <w:shd w:val="clear" w:color="auto" w:fill="auto"/>
            <w:vAlign w:val="center"/>
          </w:tcPr>
          <w:p w14:paraId="2CE86453" w14:textId="77777777" w:rsidR="00AE3F02" w:rsidRPr="001C59C3" w:rsidRDefault="00AE3F02" w:rsidP="00AE3F02">
            <w:pPr>
              <w:keepNext/>
              <w:rPr>
                <w:rFonts w:ascii="Arial Narrow" w:eastAsiaTheme="majorEastAsia" w:hAnsi="Arial Narrow" w:cstheme="majorBidi"/>
                <w:b/>
                <w:bCs/>
                <w:sz w:val="20"/>
              </w:rPr>
            </w:pPr>
            <w:r w:rsidRPr="001C59C3">
              <w:rPr>
                <w:rFonts w:ascii="Arial Narrow" w:eastAsiaTheme="majorEastAsia" w:hAnsi="Arial Narrow" w:cstheme="majorBidi"/>
                <w:b/>
                <w:bCs/>
                <w:sz w:val="20"/>
              </w:rPr>
              <w:t>Difelikefalin, single-arm studies</w:t>
            </w:r>
          </w:p>
        </w:tc>
      </w:tr>
      <w:tr w:rsidR="00AE3F02" w:rsidRPr="001C59C3" w14:paraId="2B2226CF" w14:textId="77777777" w:rsidTr="00776D51">
        <w:trPr>
          <w:cantSplit/>
        </w:trPr>
        <w:tc>
          <w:tcPr>
            <w:tcW w:w="525" w:type="pct"/>
            <w:shd w:val="clear" w:color="auto" w:fill="auto"/>
            <w:vAlign w:val="center"/>
          </w:tcPr>
          <w:p w14:paraId="22D69E38" w14:textId="77777777" w:rsidR="00AE3F02" w:rsidRPr="001C59C3" w:rsidRDefault="00AE3F02" w:rsidP="00AE3F02">
            <w:pPr>
              <w:keepNext/>
              <w:jc w:val="left"/>
              <w:rPr>
                <w:rFonts w:ascii="Arial Narrow" w:eastAsiaTheme="majorEastAsia" w:hAnsi="Arial Narrow" w:cstheme="majorBidi"/>
                <w:bCs/>
                <w:sz w:val="20"/>
              </w:rPr>
            </w:pPr>
            <w:r w:rsidRPr="001C59C3">
              <w:rPr>
                <w:rFonts w:ascii="Arial Narrow" w:eastAsiaTheme="majorEastAsia" w:hAnsi="Arial Narrow" w:cstheme="majorBidi"/>
                <w:bCs/>
                <w:sz w:val="20"/>
              </w:rPr>
              <w:t>KALM-1 OLE</w:t>
            </w:r>
          </w:p>
        </w:tc>
        <w:tc>
          <w:tcPr>
            <w:tcW w:w="388" w:type="pct"/>
            <w:shd w:val="clear" w:color="auto" w:fill="auto"/>
            <w:vAlign w:val="center"/>
          </w:tcPr>
          <w:p w14:paraId="1E807D99" w14:textId="77777777" w:rsidR="00AE3F02" w:rsidRPr="001C59C3" w:rsidRDefault="00AE3F02" w:rsidP="00AE3F02">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313</w:t>
            </w:r>
          </w:p>
        </w:tc>
        <w:tc>
          <w:tcPr>
            <w:tcW w:w="676" w:type="pct"/>
            <w:shd w:val="clear" w:color="auto" w:fill="auto"/>
            <w:vAlign w:val="center"/>
          </w:tcPr>
          <w:p w14:paraId="425F1359" w14:textId="77777777" w:rsidR="00AE3F02" w:rsidRPr="001C59C3" w:rsidRDefault="00AE3F02" w:rsidP="00AE3F02">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US, MC, OL, cross-over</w:t>
            </w:r>
          </w:p>
          <w:p w14:paraId="54762315" w14:textId="77777777" w:rsidR="00AE3F02" w:rsidRPr="001C59C3" w:rsidRDefault="00AE3F02" w:rsidP="00AE3F02">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52 weeks</w:t>
            </w:r>
          </w:p>
        </w:tc>
        <w:tc>
          <w:tcPr>
            <w:tcW w:w="575" w:type="pct"/>
            <w:shd w:val="clear" w:color="auto" w:fill="auto"/>
            <w:vAlign w:val="center"/>
          </w:tcPr>
          <w:p w14:paraId="532CD018" w14:textId="77777777" w:rsidR="00AE3F02" w:rsidRPr="001C59C3" w:rsidRDefault="00AE3F02" w:rsidP="00AE3F02">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High</w:t>
            </w:r>
          </w:p>
        </w:tc>
        <w:tc>
          <w:tcPr>
            <w:tcW w:w="1024" w:type="pct"/>
            <w:vMerge w:val="restart"/>
            <w:shd w:val="clear" w:color="auto" w:fill="auto"/>
            <w:vAlign w:val="center"/>
          </w:tcPr>
          <w:p w14:paraId="7937FF08" w14:textId="77777777" w:rsidR="00AE3F02" w:rsidRPr="001C59C3" w:rsidRDefault="00AE3F02" w:rsidP="00AE3F02">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Patients from the KALM trials who received at least 30 of 36 doses of study drug during the double-blind period</w:t>
            </w:r>
          </w:p>
        </w:tc>
        <w:tc>
          <w:tcPr>
            <w:tcW w:w="698" w:type="pct"/>
            <w:vMerge w:val="restart"/>
            <w:shd w:val="clear" w:color="auto" w:fill="auto"/>
            <w:vAlign w:val="center"/>
          </w:tcPr>
          <w:p w14:paraId="743FDFB2" w14:textId="77777777" w:rsidR="00AE3F02" w:rsidRPr="001C59C3" w:rsidRDefault="00AE3F02" w:rsidP="00AE3F02">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Safety, 5-D Itch</w:t>
            </w:r>
          </w:p>
        </w:tc>
        <w:tc>
          <w:tcPr>
            <w:tcW w:w="1114" w:type="pct"/>
            <w:shd w:val="clear" w:color="auto" w:fill="auto"/>
            <w:vAlign w:val="center"/>
          </w:tcPr>
          <w:p w14:paraId="5175B15D" w14:textId="77777777" w:rsidR="00AE3F02" w:rsidRPr="001C59C3" w:rsidRDefault="00AE3F02" w:rsidP="00AE3F02">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No</w:t>
            </w:r>
          </w:p>
        </w:tc>
      </w:tr>
      <w:tr w:rsidR="00AE3F02" w:rsidRPr="001C59C3" w14:paraId="3BCD5161" w14:textId="77777777" w:rsidTr="00776D51">
        <w:trPr>
          <w:cantSplit/>
        </w:trPr>
        <w:tc>
          <w:tcPr>
            <w:tcW w:w="525" w:type="pct"/>
            <w:shd w:val="clear" w:color="auto" w:fill="auto"/>
            <w:vAlign w:val="center"/>
          </w:tcPr>
          <w:p w14:paraId="5837ADDC" w14:textId="77777777" w:rsidR="00AE3F02" w:rsidRPr="001C59C3" w:rsidRDefault="00AE3F02" w:rsidP="00AE3F02">
            <w:pPr>
              <w:keepNext/>
              <w:jc w:val="left"/>
              <w:rPr>
                <w:rFonts w:ascii="Arial Narrow" w:eastAsiaTheme="majorEastAsia" w:hAnsi="Arial Narrow" w:cstheme="majorBidi"/>
                <w:bCs/>
                <w:sz w:val="20"/>
              </w:rPr>
            </w:pPr>
            <w:r w:rsidRPr="001C59C3">
              <w:rPr>
                <w:rFonts w:ascii="Arial Narrow" w:eastAsiaTheme="majorEastAsia" w:hAnsi="Arial Narrow" w:cstheme="majorBidi"/>
                <w:bCs/>
                <w:sz w:val="20"/>
              </w:rPr>
              <w:t>KAML-2 OLE</w:t>
            </w:r>
          </w:p>
        </w:tc>
        <w:tc>
          <w:tcPr>
            <w:tcW w:w="388" w:type="pct"/>
            <w:shd w:val="clear" w:color="auto" w:fill="auto"/>
            <w:vAlign w:val="center"/>
          </w:tcPr>
          <w:p w14:paraId="6B15C8E1" w14:textId="77777777" w:rsidR="00AE3F02" w:rsidRPr="001C59C3" w:rsidRDefault="00AE3F02" w:rsidP="00AE3F02">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399</w:t>
            </w:r>
          </w:p>
        </w:tc>
        <w:tc>
          <w:tcPr>
            <w:tcW w:w="676" w:type="pct"/>
            <w:shd w:val="clear" w:color="auto" w:fill="auto"/>
            <w:vAlign w:val="center"/>
          </w:tcPr>
          <w:p w14:paraId="3DC85886" w14:textId="77777777" w:rsidR="00AE3F02" w:rsidRPr="001C59C3" w:rsidRDefault="00AE3F02" w:rsidP="00AE3F02">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Global, MC, OL, cross-over</w:t>
            </w:r>
          </w:p>
          <w:p w14:paraId="49F8DF07" w14:textId="77777777" w:rsidR="00AE3F02" w:rsidRPr="001C59C3" w:rsidRDefault="00AE3F02" w:rsidP="00AE3F02">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52 weeks</w:t>
            </w:r>
          </w:p>
        </w:tc>
        <w:tc>
          <w:tcPr>
            <w:tcW w:w="575" w:type="pct"/>
            <w:shd w:val="clear" w:color="auto" w:fill="auto"/>
            <w:vAlign w:val="center"/>
          </w:tcPr>
          <w:p w14:paraId="6B90DAEB" w14:textId="77777777" w:rsidR="00AE3F02" w:rsidRPr="001C59C3" w:rsidRDefault="00AE3F02" w:rsidP="00AE3F02">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High</w:t>
            </w:r>
          </w:p>
        </w:tc>
        <w:tc>
          <w:tcPr>
            <w:tcW w:w="1024" w:type="pct"/>
            <w:vMerge/>
            <w:shd w:val="clear" w:color="auto" w:fill="auto"/>
            <w:vAlign w:val="center"/>
          </w:tcPr>
          <w:p w14:paraId="2F2B5F3C" w14:textId="77777777" w:rsidR="00AE3F02" w:rsidRPr="001C59C3" w:rsidRDefault="00AE3F02" w:rsidP="00AE3F02">
            <w:pPr>
              <w:keepNext/>
              <w:jc w:val="center"/>
              <w:rPr>
                <w:rFonts w:ascii="Arial Narrow" w:eastAsiaTheme="majorEastAsia" w:hAnsi="Arial Narrow" w:cstheme="majorBidi"/>
                <w:bCs/>
                <w:sz w:val="20"/>
              </w:rPr>
            </w:pPr>
          </w:p>
        </w:tc>
        <w:tc>
          <w:tcPr>
            <w:tcW w:w="698" w:type="pct"/>
            <w:vMerge/>
            <w:shd w:val="clear" w:color="auto" w:fill="auto"/>
            <w:vAlign w:val="center"/>
          </w:tcPr>
          <w:p w14:paraId="2DF14FFF" w14:textId="77777777" w:rsidR="00AE3F02" w:rsidRPr="001C59C3" w:rsidRDefault="00AE3F02" w:rsidP="00AE3F02">
            <w:pPr>
              <w:keepNext/>
              <w:jc w:val="center"/>
              <w:rPr>
                <w:rFonts w:ascii="Arial Narrow" w:eastAsiaTheme="majorEastAsia" w:hAnsi="Arial Narrow" w:cstheme="majorBidi"/>
                <w:bCs/>
                <w:sz w:val="20"/>
              </w:rPr>
            </w:pPr>
          </w:p>
        </w:tc>
        <w:tc>
          <w:tcPr>
            <w:tcW w:w="1114" w:type="pct"/>
            <w:shd w:val="clear" w:color="auto" w:fill="auto"/>
            <w:vAlign w:val="center"/>
          </w:tcPr>
          <w:p w14:paraId="1D96C341" w14:textId="77777777" w:rsidR="00AE3F02" w:rsidRPr="001C59C3" w:rsidRDefault="00AE3F02" w:rsidP="00AE3F02">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No</w:t>
            </w:r>
          </w:p>
        </w:tc>
      </w:tr>
      <w:tr w:rsidR="00AE3F02" w:rsidRPr="001C59C3" w14:paraId="6382FEC5" w14:textId="77777777" w:rsidTr="00776D51">
        <w:trPr>
          <w:cantSplit/>
        </w:trPr>
        <w:tc>
          <w:tcPr>
            <w:tcW w:w="525" w:type="pct"/>
            <w:shd w:val="clear" w:color="auto" w:fill="auto"/>
            <w:vAlign w:val="center"/>
          </w:tcPr>
          <w:p w14:paraId="4EB7DBFE" w14:textId="77777777" w:rsidR="00AE3F02" w:rsidRPr="001C59C3" w:rsidRDefault="00AE3F02" w:rsidP="00AE3F02">
            <w:pPr>
              <w:keepNext/>
              <w:jc w:val="left"/>
              <w:rPr>
                <w:rFonts w:ascii="Arial Narrow" w:eastAsiaTheme="majorEastAsia" w:hAnsi="Arial Narrow" w:cstheme="majorBidi"/>
                <w:bCs/>
                <w:sz w:val="20"/>
              </w:rPr>
            </w:pPr>
            <w:r w:rsidRPr="001C59C3">
              <w:rPr>
                <w:rFonts w:ascii="Arial Narrow" w:eastAsiaTheme="majorEastAsia" w:hAnsi="Arial Narrow" w:cstheme="majorBidi"/>
                <w:bCs/>
                <w:sz w:val="20"/>
              </w:rPr>
              <w:t>Pooled analysis</w:t>
            </w:r>
          </w:p>
        </w:tc>
        <w:tc>
          <w:tcPr>
            <w:tcW w:w="388" w:type="pct"/>
            <w:shd w:val="clear" w:color="auto" w:fill="auto"/>
            <w:vAlign w:val="center"/>
          </w:tcPr>
          <w:p w14:paraId="7E7F6C5F" w14:textId="77777777" w:rsidR="00AE3F02" w:rsidRPr="001C59C3" w:rsidRDefault="00AE3F02" w:rsidP="00AE3F02">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712</w:t>
            </w:r>
          </w:p>
        </w:tc>
        <w:tc>
          <w:tcPr>
            <w:tcW w:w="2973" w:type="pct"/>
            <w:gridSpan w:val="4"/>
            <w:shd w:val="clear" w:color="auto" w:fill="auto"/>
            <w:vAlign w:val="center"/>
          </w:tcPr>
          <w:p w14:paraId="796D7530" w14:textId="77777777" w:rsidR="00AE3F02" w:rsidRPr="001C59C3" w:rsidRDefault="00AE3F02" w:rsidP="00AE3F02">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Based on patients in the KALM-1 and KALM-2 OLE</w:t>
            </w:r>
          </w:p>
        </w:tc>
        <w:tc>
          <w:tcPr>
            <w:tcW w:w="1114" w:type="pct"/>
            <w:shd w:val="clear" w:color="auto" w:fill="auto"/>
            <w:vAlign w:val="center"/>
          </w:tcPr>
          <w:p w14:paraId="7735BC3A" w14:textId="08F8BAAD" w:rsidR="00AE3F02" w:rsidRPr="001C59C3" w:rsidRDefault="00AE3F02" w:rsidP="00AE3F02">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 xml:space="preserve">Individual patient data analysis of 5-D Itch scores. Based on the subgroup with 5-D Itch score ≥12 at baseline </w:t>
            </w:r>
            <w:r w:rsidR="007233EC" w:rsidRPr="001C59C3">
              <w:rPr>
                <w:rFonts w:ascii="Arial Narrow" w:eastAsiaTheme="majorEastAsia" w:hAnsi="Arial Narrow" w:cstheme="majorBidi"/>
                <w:bCs/>
                <w:sz w:val="20"/>
              </w:rPr>
              <w:t>and ≥</w:t>
            </w:r>
            <w:r w:rsidRPr="001C59C3">
              <w:rPr>
                <w:rFonts w:ascii="Arial Narrow" w:eastAsiaTheme="majorEastAsia" w:hAnsi="Arial Narrow" w:cstheme="majorBidi"/>
                <w:bCs/>
                <w:sz w:val="20"/>
              </w:rPr>
              <w:t>5-point improvement at 12 weeks</w:t>
            </w:r>
          </w:p>
        </w:tc>
      </w:tr>
    </w:tbl>
    <w:p w14:paraId="560080D2" w14:textId="3C8B7446" w:rsidR="00045017" w:rsidRPr="001C59C3" w:rsidRDefault="00045017" w:rsidP="00EC5836">
      <w:pPr>
        <w:pStyle w:val="COMTablefooter"/>
      </w:pPr>
      <w:r w:rsidRPr="001C59C3">
        <w:t xml:space="preserve">Source: </w:t>
      </w:r>
      <w:r w:rsidR="00AE3F02" w:rsidRPr="001C59C3">
        <w:t>Table 15, p</w:t>
      </w:r>
      <w:r w:rsidR="00896B42" w:rsidRPr="001C59C3">
        <w:t>72 of the resubmission</w:t>
      </w:r>
    </w:p>
    <w:p w14:paraId="3B07018B" w14:textId="39180C8F" w:rsidR="00BF501D" w:rsidRPr="001C59C3" w:rsidRDefault="00BF501D" w:rsidP="00BF501D">
      <w:pPr>
        <w:pStyle w:val="COMTablefooter"/>
      </w:pPr>
      <w:r w:rsidRPr="001C59C3">
        <w:t>Abbreviations: DB, double blind; MC, multi-centre; OL, open label;</w:t>
      </w:r>
      <w:r w:rsidR="00354186" w:rsidRPr="001C59C3">
        <w:t xml:space="preserve"> OLE, open label extension;</w:t>
      </w:r>
      <w:r w:rsidRPr="001C59C3">
        <w:t xml:space="preserve"> R, randomised; US, United States; WI-NRS, Worst-Itching Intensity </w:t>
      </w:r>
      <w:r w:rsidR="0078041C" w:rsidRPr="001C59C3">
        <w:t>Numerical</w:t>
      </w:r>
      <w:r w:rsidRPr="001C59C3">
        <w:t xml:space="preserve"> Rating Scale</w:t>
      </w:r>
    </w:p>
    <w:p w14:paraId="4B83BBF3" w14:textId="0B19FD31" w:rsidR="00045017" w:rsidRPr="001C59C3" w:rsidRDefault="005D2ADF" w:rsidP="004F15B1">
      <w:pPr>
        <w:pStyle w:val="COMexecsumnumberedpara"/>
      </w:pPr>
      <w:r w:rsidRPr="001C59C3">
        <w:t xml:space="preserve">The PBAC previously considered the </w:t>
      </w:r>
      <w:r w:rsidR="00296087" w:rsidRPr="001C59C3">
        <w:t xml:space="preserve">KALM-1 and KALM-2 </w:t>
      </w:r>
      <w:r w:rsidRPr="001C59C3">
        <w:t>trials to be at moderate risk of bias due to high and differential missing data (para 7.5, difelikefalin PSD, March</w:t>
      </w:r>
      <w:r w:rsidR="00D014A3">
        <w:t> </w:t>
      </w:r>
      <w:r w:rsidRPr="001C59C3">
        <w:t>2023 PBAC meeting). The resubmission acknowledged PBAC’s concerns but claimed that the risk of bias was mitigated through sensitivity analyses that produced results consistent with the primary analysis. The resubmission claimed the overall risk of bias should therefore be considered as low to moderate.</w:t>
      </w:r>
    </w:p>
    <w:p w14:paraId="02087991" w14:textId="33D6EA63" w:rsidR="005D2ADF" w:rsidRPr="001C59C3" w:rsidRDefault="005D2ADF" w:rsidP="004F15B1">
      <w:pPr>
        <w:pStyle w:val="COMexecsumnumberedpara"/>
      </w:pPr>
      <w:r w:rsidRPr="001C59C3">
        <w:t>The PBAC previously noted the subsequent single-arm open label 52-week extension phases of both trials were ceased early by the sponsor for administrative reasons (para 7.5, difelikefalin PSD, March 2023 PBAC meeting). The decision had a greater impact on the global study, KALM-2, with almost all patients discontinuing early (80% due to the sponsor stopping the study) and results only reported up to Week 36 of the open-label extension. Approximately 40% of patients discontinued early from the open-label extension period of the KALM-1 trial (approximately 20% due to the sponsor stopping the study). It may be difficult to interpret data from later timepoints of the extension studies</w:t>
      </w:r>
      <w:r w:rsidR="001C59C3">
        <w:t xml:space="preserve">. </w:t>
      </w:r>
    </w:p>
    <w:p w14:paraId="27025C94" w14:textId="1DCAFF2A" w:rsidR="005D2ADF" w:rsidRPr="001C59C3" w:rsidRDefault="005D2ADF" w:rsidP="004F15B1">
      <w:pPr>
        <w:pStyle w:val="COMexecsumnumberedpara"/>
      </w:pPr>
      <w:r w:rsidRPr="001C59C3">
        <w:t>The risk of bias was high for efficacy endpoints based on subjective patient-reported measures (24-hour WI-NRS, Skindex-10 Scale, 5-D Itch Scale and Patient Global Impression of Change) during the open-label extension periods given patients and study personnel were aware of treatments received and measurements were collected at less frequent time points.</w:t>
      </w:r>
    </w:p>
    <w:p w14:paraId="4A4FE085" w14:textId="0151DDCB" w:rsidR="00B60939" w:rsidRPr="001C59C3" w:rsidRDefault="00B60939" w:rsidP="00EC5836">
      <w:pPr>
        <w:pStyle w:val="COMH2-non-numbered"/>
      </w:pPr>
      <w:bookmarkStart w:id="26" w:name="_Toc22897641"/>
      <w:bookmarkStart w:id="27" w:name="_Toc144890469"/>
      <w:r w:rsidRPr="001C59C3">
        <w:lastRenderedPageBreak/>
        <w:t>Comparative effectiveness</w:t>
      </w:r>
      <w:bookmarkEnd w:id="26"/>
      <w:bookmarkEnd w:id="27"/>
    </w:p>
    <w:p w14:paraId="313E139B" w14:textId="38E7C4A4" w:rsidR="00B34FE2" w:rsidRPr="001C59C3" w:rsidRDefault="000D7FBA" w:rsidP="004F15B1">
      <w:pPr>
        <w:pStyle w:val="COMexecsumnumberedpara"/>
      </w:pPr>
      <w:r w:rsidRPr="001C59C3">
        <w:fldChar w:fldCharType="begin" w:fldLock="1"/>
      </w:r>
      <w:r w:rsidRPr="001C59C3">
        <w:instrText xml:space="preserve"> REF _Ref121662016 \h </w:instrText>
      </w:r>
      <w:r w:rsidRPr="001C59C3">
        <w:fldChar w:fldCharType="separate"/>
      </w:r>
      <w:r w:rsidRPr="001C59C3">
        <w:t xml:space="preserve">Table </w:t>
      </w:r>
      <w:r w:rsidRPr="009D1BB6">
        <w:t>5</w:t>
      </w:r>
      <w:r w:rsidRPr="001C59C3">
        <w:fldChar w:fldCharType="end"/>
      </w:r>
      <w:r w:rsidRPr="001C59C3">
        <w:t xml:space="preserve"> presents key results based on the WI-NRS (range 0-10) in the key trials.</w:t>
      </w:r>
    </w:p>
    <w:p w14:paraId="4F1729DF" w14:textId="6F273254" w:rsidR="000D7FBA" w:rsidRPr="001C59C3" w:rsidRDefault="000D7FBA" w:rsidP="000D7FBA">
      <w:pPr>
        <w:pStyle w:val="COMtablefigcaption"/>
      </w:pPr>
      <w:bookmarkStart w:id="28" w:name="_Ref121662016"/>
      <w:r w:rsidRPr="001C59C3">
        <w:t xml:space="preserve">Table </w:t>
      </w:r>
      <w:r w:rsidR="007232F8">
        <w:fldChar w:fldCharType="begin" w:fldLock="1"/>
      </w:r>
      <w:r w:rsidR="007232F8">
        <w:instrText xml:space="preserve"> SEQ Table \* ARABIC </w:instrText>
      </w:r>
      <w:r w:rsidR="007232F8">
        <w:fldChar w:fldCharType="separate"/>
      </w:r>
      <w:r w:rsidR="008D1964" w:rsidRPr="009D1BB6">
        <w:t>5</w:t>
      </w:r>
      <w:r w:rsidR="007232F8">
        <w:fldChar w:fldCharType="end"/>
      </w:r>
      <w:bookmarkEnd w:id="28"/>
      <w:r w:rsidRPr="001C59C3">
        <w:t>: Results based on the Worst Itching Intensity Numerical Rating Scale (WI-NRS) in the key trials (ITT)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09"/>
        <w:gridCol w:w="1185"/>
        <w:gridCol w:w="1185"/>
        <w:gridCol w:w="1185"/>
        <w:gridCol w:w="1185"/>
        <w:gridCol w:w="1185"/>
        <w:gridCol w:w="1183"/>
      </w:tblGrid>
      <w:tr w:rsidR="000D7FBA" w:rsidRPr="001C59C3" w14:paraId="706D71F7" w14:textId="77777777" w:rsidTr="00776D51">
        <w:trPr>
          <w:tblHeader/>
        </w:trPr>
        <w:tc>
          <w:tcPr>
            <w:tcW w:w="1059" w:type="pct"/>
            <w:vMerge w:val="restart"/>
            <w:vAlign w:val="center"/>
          </w:tcPr>
          <w:p w14:paraId="46AE4247" w14:textId="77777777" w:rsidR="000D7FBA" w:rsidRPr="001C59C3" w:rsidRDefault="000D7FBA" w:rsidP="00776D51">
            <w:pPr>
              <w:pStyle w:val="COMTableheadingrow"/>
              <w:rPr>
                <w:lang w:val="en-AU"/>
              </w:rPr>
            </w:pPr>
            <w:r w:rsidRPr="001C59C3">
              <w:rPr>
                <w:lang w:val="en-AU"/>
              </w:rPr>
              <w:t>Analysis</w:t>
            </w:r>
          </w:p>
        </w:tc>
        <w:tc>
          <w:tcPr>
            <w:tcW w:w="1314" w:type="pct"/>
            <w:gridSpan w:val="2"/>
            <w:vAlign w:val="center"/>
          </w:tcPr>
          <w:p w14:paraId="263177B5" w14:textId="77777777" w:rsidR="000D7FBA" w:rsidRPr="001C59C3" w:rsidRDefault="000D7FBA" w:rsidP="00776D51">
            <w:pPr>
              <w:pStyle w:val="COMTableheadingrow"/>
              <w:jc w:val="center"/>
              <w:rPr>
                <w:lang w:val="en-AU"/>
              </w:rPr>
            </w:pPr>
            <w:r w:rsidRPr="001C59C3">
              <w:rPr>
                <w:lang w:val="en-AU"/>
              </w:rPr>
              <w:t>KALM-1</w:t>
            </w:r>
          </w:p>
        </w:tc>
        <w:tc>
          <w:tcPr>
            <w:tcW w:w="1314" w:type="pct"/>
            <w:gridSpan w:val="2"/>
            <w:vAlign w:val="center"/>
          </w:tcPr>
          <w:p w14:paraId="52CA3365" w14:textId="77777777" w:rsidR="000D7FBA" w:rsidRPr="001C59C3" w:rsidRDefault="000D7FBA" w:rsidP="00776D51">
            <w:pPr>
              <w:pStyle w:val="COMTableheadingrow"/>
              <w:jc w:val="center"/>
              <w:rPr>
                <w:lang w:val="en-AU"/>
              </w:rPr>
            </w:pPr>
            <w:r w:rsidRPr="001C59C3">
              <w:rPr>
                <w:lang w:val="en-AU"/>
              </w:rPr>
              <w:t>KALM-2</w:t>
            </w:r>
          </w:p>
        </w:tc>
        <w:tc>
          <w:tcPr>
            <w:tcW w:w="1313" w:type="pct"/>
            <w:gridSpan w:val="2"/>
            <w:vAlign w:val="center"/>
          </w:tcPr>
          <w:p w14:paraId="32227EF6" w14:textId="77777777" w:rsidR="000D7FBA" w:rsidRPr="001C59C3" w:rsidRDefault="000D7FBA" w:rsidP="00776D51">
            <w:pPr>
              <w:pStyle w:val="COMTableheadingrow"/>
              <w:jc w:val="center"/>
              <w:rPr>
                <w:lang w:val="en-AU"/>
              </w:rPr>
            </w:pPr>
            <w:r w:rsidRPr="001C59C3">
              <w:rPr>
                <w:lang w:val="en-AU"/>
              </w:rPr>
              <w:t>Pooled</w:t>
            </w:r>
          </w:p>
        </w:tc>
      </w:tr>
      <w:tr w:rsidR="000D7FBA" w:rsidRPr="001C59C3" w14:paraId="38808E31" w14:textId="77777777" w:rsidTr="00776D51">
        <w:tc>
          <w:tcPr>
            <w:tcW w:w="1059" w:type="pct"/>
            <w:vMerge/>
            <w:vAlign w:val="center"/>
          </w:tcPr>
          <w:p w14:paraId="31B9FF53" w14:textId="77777777" w:rsidR="000D7FBA" w:rsidRPr="001C59C3" w:rsidRDefault="000D7FBA" w:rsidP="00776D51">
            <w:pPr>
              <w:pStyle w:val="COMTabletext"/>
            </w:pPr>
          </w:p>
        </w:tc>
        <w:tc>
          <w:tcPr>
            <w:tcW w:w="657" w:type="pct"/>
            <w:vAlign w:val="center"/>
          </w:tcPr>
          <w:p w14:paraId="4784F0E3" w14:textId="77777777" w:rsidR="000D7FBA" w:rsidRPr="001C59C3" w:rsidRDefault="000D7FBA" w:rsidP="00776D51">
            <w:pPr>
              <w:pStyle w:val="COMTabletext"/>
              <w:jc w:val="center"/>
              <w:rPr>
                <w:b/>
                <w:bCs w:val="0"/>
              </w:rPr>
            </w:pPr>
            <w:r w:rsidRPr="001C59C3">
              <w:rPr>
                <w:b/>
                <w:bCs w:val="0"/>
              </w:rPr>
              <w:t>Difelikefalin</w:t>
            </w:r>
          </w:p>
          <w:p w14:paraId="521A1738" w14:textId="77777777" w:rsidR="000D7FBA" w:rsidRPr="001C59C3" w:rsidRDefault="000D7FBA" w:rsidP="00776D51">
            <w:pPr>
              <w:pStyle w:val="COMTabletext"/>
              <w:jc w:val="center"/>
              <w:rPr>
                <w:b/>
                <w:bCs w:val="0"/>
              </w:rPr>
            </w:pPr>
            <w:r w:rsidRPr="001C59C3">
              <w:rPr>
                <w:b/>
                <w:bCs w:val="0"/>
              </w:rPr>
              <w:t>N=189</w:t>
            </w:r>
          </w:p>
        </w:tc>
        <w:tc>
          <w:tcPr>
            <w:tcW w:w="657" w:type="pct"/>
            <w:vAlign w:val="center"/>
          </w:tcPr>
          <w:p w14:paraId="4DF9A89E" w14:textId="77777777" w:rsidR="000D7FBA" w:rsidRPr="001C59C3" w:rsidRDefault="000D7FBA" w:rsidP="00776D51">
            <w:pPr>
              <w:pStyle w:val="COMTabletext"/>
              <w:jc w:val="center"/>
              <w:rPr>
                <w:b/>
                <w:bCs w:val="0"/>
              </w:rPr>
            </w:pPr>
            <w:r w:rsidRPr="001C59C3">
              <w:rPr>
                <w:b/>
                <w:bCs w:val="0"/>
              </w:rPr>
              <w:t>Placebo</w:t>
            </w:r>
          </w:p>
          <w:p w14:paraId="7DC6971A" w14:textId="77777777" w:rsidR="000D7FBA" w:rsidRPr="001C59C3" w:rsidRDefault="000D7FBA" w:rsidP="00776D51">
            <w:pPr>
              <w:pStyle w:val="COMTabletext"/>
              <w:jc w:val="center"/>
              <w:rPr>
                <w:b/>
                <w:bCs w:val="0"/>
              </w:rPr>
            </w:pPr>
            <w:r w:rsidRPr="001C59C3">
              <w:rPr>
                <w:b/>
                <w:bCs w:val="0"/>
              </w:rPr>
              <w:t>N=189</w:t>
            </w:r>
          </w:p>
        </w:tc>
        <w:tc>
          <w:tcPr>
            <w:tcW w:w="657" w:type="pct"/>
            <w:vAlign w:val="center"/>
          </w:tcPr>
          <w:p w14:paraId="469FBB41" w14:textId="77777777" w:rsidR="000D7FBA" w:rsidRPr="001C59C3" w:rsidRDefault="000D7FBA" w:rsidP="00776D51">
            <w:pPr>
              <w:pStyle w:val="COMTabletext"/>
              <w:jc w:val="center"/>
              <w:rPr>
                <w:b/>
                <w:bCs w:val="0"/>
              </w:rPr>
            </w:pPr>
            <w:r w:rsidRPr="001C59C3">
              <w:rPr>
                <w:b/>
                <w:bCs w:val="0"/>
              </w:rPr>
              <w:t>Difelikefalin</w:t>
            </w:r>
          </w:p>
          <w:p w14:paraId="78DF7B5C" w14:textId="77777777" w:rsidR="000D7FBA" w:rsidRPr="001C59C3" w:rsidRDefault="000D7FBA" w:rsidP="00776D51">
            <w:pPr>
              <w:pStyle w:val="COMTabletext"/>
              <w:jc w:val="center"/>
              <w:rPr>
                <w:b/>
                <w:bCs w:val="0"/>
              </w:rPr>
            </w:pPr>
            <w:r w:rsidRPr="001C59C3">
              <w:rPr>
                <w:b/>
                <w:bCs w:val="0"/>
              </w:rPr>
              <w:t>N=237</w:t>
            </w:r>
          </w:p>
        </w:tc>
        <w:tc>
          <w:tcPr>
            <w:tcW w:w="657" w:type="pct"/>
            <w:vAlign w:val="center"/>
          </w:tcPr>
          <w:p w14:paraId="308C74F4" w14:textId="77777777" w:rsidR="000D7FBA" w:rsidRPr="001C59C3" w:rsidRDefault="000D7FBA" w:rsidP="00776D51">
            <w:pPr>
              <w:pStyle w:val="COMTabletext"/>
              <w:jc w:val="center"/>
              <w:rPr>
                <w:b/>
                <w:bCs w:val="0"/>
              </w:rPr>
            </w:pPr>
            <w:r w:rsidRPr="001C59C3">
              <w:rPr>
                <w:b/>
                <w:bCs w:val="0"/>
              </w:rPr>
              <w:t>Placebo</w:t>
            </w:r>
          </w:p>
          <w:p w14:paraId="176F8A49" w14:textId="77777777" w:rsidR="000D7FBA" w:rsidRPr="001C59C3" w:rsidRDefault="000D7FBA" w:rsidP="00776D51">
            <w:pPr>
              <w:pStyle w:val="COMTabletext"/>
              <w:jc w:val="center"/>
              <w:rPr>
                <w:b/>
                <w:bCs w:val="0"/>
              </w:rPr>
            </w:pPr>
            <w:r w:rsidRPr="001C59C3">
              <w:rPr>
                <w:b/>
                <w:bCs w:val="0"/>
              </w:rPr>
              <w:t>N=236</w:t>
            </w:r>
          </w:p>
        </w:tc>
        <w:tc>
          <w:tcPr>
            <w:tcW w:w="657" w:type="pct"/>
            <w:vAlign w:val="center"/>
          </w:tcPr>
          <w:p w14:paraId="2D18DD99" w14:textId="77777777" w:rsidR="000D7FBA" w:rsidRPr="001C59C3" w:rsidRDefault="000D7FBA" w:rsidP="00776D51">
            <w:pPr>
              <w:pStyle w:val="COMTabletext"/>
              <w:jc w:val="center"/>
              <w:rPr>
                <w:b/>
                <w:bCs w:val="0"/>
              </w:rPr>
            </w:pPr>
            <w:r w:rsidRPr="001C59C3">
              <w:rPr>
                <w:b/>
                <w:bCs w:val="0"/>
              </w:rPr>
              <w:t>Difelikefalin</w:t>
            </w:r>
          </w:p>
          <w:p w14:paraId="2DFA1093" w14:textId="77777777" w:rsidR="000D7FBA" w:rsidRPr="001C59C3" w:rsidRDefault="000D7FBA" w:rsidP="00776D51">
            <w:pPr>
              <w:pStyle w:val="COMTabletext"/>
              <w:jc w:val="center"/>
              <w:rPr>
                <w:b/>
                <w:bCs w:val="0"/>
              </w:rPr>
            </w:pPr>
            <w:r w:rsidRPr="001C59C3">
              <w:rPr>
                <w:b/>
                <w:bCs w:val="0"/>
              </w:rPr>
              <w:t>N=426</w:t>
            </w:r>
          </w:p>
        </w:tc>
        <w:tc>
          <w:tcPr>
            <w:tcW w:w="656" w:type="pct"/>
            <w:vAlign w:val="center"/>
          </w:tcPr>
          <w:p w14:paraId="6D5A90A5" w14:textId="77777777" w:rsidR="000D7FBA" w:rsidRPr="001C59C3" w:rsidRDefault="000D7FBA" w:rsidP="00776D51">
            <w:pPr>
              <w:pStyle w:val="COMTabletext"/>
              <w:jc w:val="center"/>
              <w:rPr>
                <w:b/>
                <w:bCs w:val="0"/>
              </w:rPr>
            </w:pPr>
            <w:r w:rsidRPr="001C59C3">
              <w:rPr>
                <w:b/>
                <w:bCs w:val="0"/>
              </w:rPr>
              <w:t>Placebo</w:t>
            </w:r>
          </w:p>
          <w:p w14:paraId="466C0174" w14:textId="77777777" w:rsidR="000D7FBA" w:rsidRPr="001C59C3" w:rsidRDefault="000D7FBA" w:rsidP="00776D51">
            <w:pPr>
              <w:pStyle w:val="COMTabletext"/>
              <w:jc w:val="center"/>
              <w:rPr>
                <w:b/>
                <w:bCs w:val="0"/>
              </w:rPr>
            </w:pPr>
            <w:r w:rsidRPr="001C59C3">
              <w:rPr>
                <w:b/>
                <w:bCs w:val="0"/>
              </w:rPr>
              <w:t>N=427</w:t>
            </w:r>
          </w:p>
        </w:tc>
      </w:tr>
      <w:tr w:rsidR="000D7FBA" w:rsidRPr="001C59C3" w14:paraId="266768B2" w14:textId="77777777" w:rsidTr="00776D51">
        <w:tc>
          <w:tcPr>
            <w:tcW w:w="5000" w:type="pct"/>
            <w:gridSpan w:val="7"/>
            <w:vAlign w:val="center"/>
          </w:tcPr>
          <w:p w14:paraId="36DBB97B" w14:textId="77777777" w:rsidR="000D7FBA" w:rsidRPr="009D1BB6" w:rsidRDefault="000D7FBA" w:rsidP="00776D51">
            <w:pPr>
              <w:pStyle w:val="COMTableheadingrow"/>
              <w:rPr>
                <w:lang w:val="en-AU"/>
              </w:rPr>
            </w:pPr>
            <w:r w:rsidRPr="009D1BB6">
              <w:rPr>
                <w:lang w:val="en-AU"/>
              </w:rPr>
              <w:t>Proportion of patients with ≥3-point improvement in WI-NRS score from baseline to Week 12 (primary outcome)</w:t>
            </w:r>
          </w:p>
        </w:tc>
      </w:tr>
      <w:tr w:rsidR="000D7FBA" w:rsidRPr="001C59C3" w14:paraId="4FBE39E7" w14:textId="77777777" w:rsidTr="00776D51">
        <w:tc>
          <w:tcPr>
            <w:tcW w:w="1059" w:type="pct"/>
            <w:vAlign w:val="center"/>
          </w:tcPr>
          <w:p w14:paraId="6828334D" w14:textId="77777777" w:rsidR="000D7FBA" w:rsidRPr="001C59C3" w:rsidRDefault="000D7FBA" w:rsidP="00776D51">
            <w:pPr>
              <w:pStyle w:val="COMTabletext"/>
            </w:pPr>
            <w:r w:rsidRPr="001C59C3">
              <w:t xml:space="preserve">Observed, n/N (%) </w:t>
            </w:r>
            <w:r w:rsidRPr="001C59C3">
              <w:rPr>
                <w:vertAlign w:val="superscript"/>
              </w:rPr>
              <w:t>a</w:t>
            </w:r>
            <w:r w:rsidRPr="001C59C3">
              <w:t xml:space="preserve"> </w:t>
            </w:r>
          </w:p>
        </w:tc>
        <w:tc>
          <w:tcPr>
            <w:tcW w:w="657" w:type="pct"/>
            <w:vAlign w:val="center"/>
          </w:tcPr>
          <w:p w14:paraId="69450B7A" w14:textId="77777777" w:rsidR="000D7FBA" w:rsidRPr="001C59C3" w:rsidRDefault="000D7FBA" w:rsidP="00776D51">
            <w:pPr>
              <w:pStyle w:val="COMTabletext"/>
              <w:jc w:val="center"/>
            </w:pPr>
            <w:r w:rsidRPr="001C59C3">
              <w:t>82/157 (52.2)</w:t>
            </w:r>
          </w:p>
        </w:tc>
        <w:tc>
          <w:tcPr>
            <w:tcW w:w="657" w:type="pct"/>
            <w:vAlign w:val="center"/>
          </w:tcPr>
          <w:p w14:paraId="18D646DA" w14:textId="77777777" w:rsidR="000D7FBA" w:rsidRPr="001C59C3" w:rsidRDefault="000D7FBA" w:rsidP="00776D51">
            <w:pPr>
              <w:pStyle w:val="COMTabletext"/>
              <w:jc w:val="center"/>
            </w:pPr>
            <w:r w:rsidRPr="001C59C3">
              <w:t>51/165 (30.9)</w:t>
            </w:r>
          </w:p>
        </w:tc>
        <w:tc>
          <w:tcPr>
            <w:tcW w:w="657" w:type="pct"/>
            <w:vAlign w:val="center"/>
          </w:tcPr>
          <w:p w14:paraId="6F68D283" w14:textId="77777777" w:rsidR="000D7FBA" w:rsidRPr="001C59C3" w:rsidRDefault="000D7FBA" w:rsidP="00776D51">
            <w:pPr>
              <w:pStyle w:val="COMTabletext"/>
              <w:jc w:val="center"/>
            </w:pPr>
            <w:r w:rsidRPr="001C59C3">
              <w:t>95/191 (49.7)</w:t>
            </w:r>
          </w:p>
        </w:tc>
        <w:tc>
          <w:tcPr>
            <w:tcW w:w="657" w:type="pct"/>
            <w:vAlign w:val="center"/>
          </w:tcPr>
          <w:p w14:paraId="2360EA12" w14:textId="77777777" w:rsidR="000D7FBA" w:rsidRPr="001C59C3" w:rsidRDefault="000D7FBA" w:rsidP="00776D51">
            <w:pPr>
              <w:pStyle w:val="COMTabletext"/>
              <w:jc w:val="center"/>
            </w:pPr>
            <w:r w:rsidRPr="001C59C3">
              <w:t>77/207 (37.2)</w:t>
            </w:r>
          </w:p>
        </w:tc>
        <w:tc>
          <w:tcPr>
            <w:tcW w:w="657" w:type="pct"/>
            <w:vAlign w:val="center"/>
          </w:tcPr>
          <w:p w14:paraId="58007F64" w14:textId="77777777" w:rsidR="000D7FBA" w:rsidRPr="001C59C3" w:rsidRDefault="000D7FBA" w:rsidP="00776D51">
            <w:pPr>
              <w:pStyle w:val="COMTabletext"/>
              <w:jc w:val="center"/>
            </w:pPr>
            <w:r w:rsidRPr="001C59C3">
              <w:t>-</w:t>
            </w:r>
          </w:p>
        </w:tc>
        <w:tc>
          <w:tcPr>
            <w:tcW w:w="656" w:type="pct"/>
            <w:vAlign w:val="center"/>
          </w:tcPr>
          <w:p w14:paraId="26240AC7" w14:textId="77777777" w:rsidR="000D7FBA" w:rsidRPr="001C59C3" w:rsidRDefault="000D7FBA" w:rsidP="00776D51">
            <w:pPr>
              <w:pStyle w:val="COMTabletext"/>
              <w:jc w:val="center"/>
            </w:pPr>
            <w:r w:rsidRPr="001C59C3">
              <w:t>-</w:t>
            </w:r>
          </w:p>
        </w:tc>
      </w:tr>
      <w:tr w:rsidR="000D7FBA" w:rsidRPr="001C59C3" w14:paraId="3C7E3A8B" w14:textId="77777777" w:rsidTr="00776D51">
        <w:tc>
          <w:tcPr>
            <w:tcW w:w="1059" w:type="pct"/>
            <w:vAlign w:val="center"/>
          </w:tcPr>
          <w:p w14:paraId="4FC022F1" w14:textId="77777777" w:rsidR="000D7FBA" w:rsidRPr="001C59C3" w:rsidRDefault="000D7FBA" w:rsidP="00776D51">
            <w:pPr>
              <w:pStyle w:val="COMTabletext"/>
            </w:pPr>
            <w:r w:rsidRPr="001C59C3">
              <w:t>Missing, n/N (%)</w:t>
            </w:r>
          </w:p>
        </w:tc>
        <w:tc>
          <w:tcPr>
            <w:tcW w:w="657" w:type="pct"/>
            <w:vAlign w:val="center"/>
          </w:tcPr>
          <w:p w14:paraId="19095118" w14:textId="77777777" w:rsidR="000D7FBA" w:rsidRPr="001C59C3" w:rsidRDefault="000D7FBA" w:rsidP="00776D51">
            <w:pPr>
              <w:pStyle w:val="COMTabletext"/>
              <w:jc w:val="center"/>
            </w:pPr>
            <w:r w:rsidRPr="001C59C3">
              <w:t>32/189 (16.9)</w:t>
            </w:r>
          </w:p>
        </w:tc>
        <w:tc>
          <w:tcPr>
            <w:tcW w:w="657" w:type="pct"/>
            <w:vAlign w:val="center"/>
          </w:tcPr>
          <w:p w14:paraId="1578BB85" w14:textId="77777777" w:rsidR="000D7FBA" w:rsidRPr="001C59C3" w:rsidRDefault="000D7FBA" w:rsidP="00776D51">
            <w:pPr>
              <w:pStyle w:val="COMTabletext"/>
              <w:jc w:val="center"/>
            </w:pPr>
            <w:r w:rsidRPr="001C59C3">
              <w:t>24/189 (12.7)</w:t>
            </w:r>
          </w:p>
        </w:tc>
        <w:tc>
          <w:tcPr>
            <w:tcW w:w="657" w:type="pct"/>
            <w:vAlign w:val="center"/>
          </w:tcPr>
          <w:p w14:paraId="53BEA0D3" w14:textId="77777777" w:rsidR="000D7FBA" w:rsidRPr="001C59C3" w:rsidRDefault="000D7FBA" w:rsidP="00776D51">
            <w:pPr>
              <w:pStyle w:val="COMTabletext"/>
              <w:jc w:val="center"/>
            </w:pPr>
            <w:r w:rsidRPr="001C59C3">
              <w:t>46/237 (19.4)</w:t>
            </w:r>
          </w:p>
        </w:tc>
        <w:tc>
          <w:tcPr>
            <w:tcW w:w="657" w:type="pct"/>
            <w:vAlign w:val="center"/>
          </w:tcPr>
          <w:p w14:paraId="532CB1BE" w14:textId="77777777" w:rsidR="000D7FBA" w:rsidRPr="001C59C3" w:rsidRDefault="000D7FBA" w:rsidP="00776D51">
            <w:pPr>
              <w:pStyle w:val="COMTabletext"/>
              <w:jc w:val="center"/>
            </w:pPr>
            <w:r w:rsidRPr="001C59C3">
              <w:t>29/236 (12.3)</w:t>
            </w:r>
          </w:p>
        </w:tc>
        <w:tc>
          <w:tcPr>
            <w:tcW w:w="657" w:type="pct"/>
            <w:vAlign w:val="center"/>
          </w:tcPr>
          <w:p w14:paraId="74AB9FDC" w14:textId="77777777" w:rsidR="000D7FBA" w:rsidRPr="001C59C3" w:rsidRDefault="000D7FBA" w:rsidP="00776D51">
            <w:pPr>
              <w:pStyle w:val="COMTabletext"/>
              <w:jc w:val="center"/>
            </w:pPr>
            <w:r w:rsidRPr="001C59C3">
              <w:t>-</w:t>
            </w:r>
          </w:p>
        </w:tc>
        <w:tc>
          <w:tcPr>
            <w:tcW w:w="656" w:type="pct"/>
            <w:vAlign w:val="center"/>
          </w:tcPr>
          <w:p w14:paraId="7720B2F4" w14:textId="77777777" w:rsidR="000D7FBA" w:rsidRPr="001C59C3" w:rsidRDefault="000D7FBA" w:rsidP="00776D51">
            <w:pPr>
              <w:pStyle w:val="COMTabletext"/>
              <w:jc w:val="center"/>
            </w:pPr>
            <w:r w:rsidRPr="001C59C3">
              <w:t>-</w:t>
            </w:r>
          </w:p>
        </w:tc>
      </w:tr>
      <w:tr w:rsidR="000D7FBA" w:rsidRPr="001C59C3" w14:paraId="2C45544D" w14:textId="77777777" w:rsidTr="00776D51">
        <w:tc>
          <w:tcPr>
            <w:tcW w:w="1059" w:type="pct"/>
            <w:vAlign w:val="center"/>
          </w:tcPr>
          <w:p w14:paraId="5198C2BB" w14:textId="77777777" w:rsidR="000D7FBA" w:rsidRPr="001C59C3" w:rsidRDefault="000D7FBA" w:rsidP="00776D51">
            <w:pPr>
              <w:pStyle w:val="COMTabletext"/>
              <w:rPr>
                <w:vertAlign w:val="superscript"/>
              </w:rPr>
            </w:pPr>
            <w:r w:rsidRPr="001C59C3">
              <w:t xml:space="preserve">LS means estimate, % (95% CI) </w:t>
            </w:r>
            <w:r w:rsidRPr="001C59C3">
              <w:rPr>
                <w:vertAlign w:val="superscript"/>
              </w:rPr>
              <w:t>b</w:t>
            </w:r>
          </w:p>
        </w:tc>
        <w:tc>
          <w:tcPr>
            <w:tcW w:w="657" w:type="pct"/>
            <w:vAlign w:val="center"/>
          </w:tcPr>
          <w:p w14:paraId="6C7370C6" w14:textId="77777777" w:rsidR="000D7FBA" w:rsidRPr="001C59C3" w:rsidRDefault="000D7FBA" w:rsidP="00776D51">
            <w:pPr>
              <w:pStyle w:val="COMTabletext"/>
              <w:jc w:val="center"/>
            </w:pPr>
            <w:r w:rsidRPr="001C59C3">
              <w:t xml:space="preserve">51.0 </w:t>
            </w:r>
          </w:p>
          <w:p w14:paraId="23BA4AE7" w14:textId="77777777" w:rsidR="000D7FBA" w:rsidRPr="001C59C3" w:rsidRDefault="000D7FBA" w:rsidP="00776D51">
            <w:pPr>
              <w:pStyle w:val="COMTabletext"/>
              <w:jc w:val="center"/>
            </w:pPr>
            <w:r w:rsidRPr="001C59C3">
              <w:t>(42.9, 58.9)</w:t>
            </w:r>
          </w:p>
        </w:tc>
        <w:tc>
          <w:tcPr>
            <w:tcW w:w="657" w:type="pct"/>
            <w:vAlign w:val="center"/>
          </w:tcPr>
          <w:p w14:paraId="3CD833D8" w14:textId="77777777" w:rsidR="000D7FBA" w:rsidRPr="001C59C3" w:rsidRDefault="000D7FBA" w:rsidP="00776D51">
            <w:pPr>
              <w:pStyle w:val="COMTabletext"/>
              <w:jc w:val="center"/>
            </w:pPr>
            <w:r w:rsidRPr="001C59C3">
              <w:t xml:space="preserve">27.6 </w:t>
            </w:r>
          </w:p>
          <w:p w14:paraId="4D49BA96" w14:textId="77777777" w:rsidR="000D7FBA" w:rsidRPr="001C59C3" w:rsidRDefault="000D7FBA" w:rsidP="00776D51">
            <w:pPr>
              <w:pStyle w:val="COMTabletext"/>
              <w:jc w:val="center"/>
            </w:pPr>
            <w:r w:rsidRPr="001C59C3">
              <w:t>(20.2, 36.6)</w:t>
            </w:r>
          </w:p>
        </w:tc>
        <w:tc>
          <w:tcPr>
            <w:tcW w:w="657" w:type="pct"/>
            <w:vAlign w:val="center"/>
          </w:tcPr>
          <w:p w14:paraId="2087F385" w14:textId="77777777" w:rsidR="000D7FBA" w:rsidRPr="001C59C3" w:rsidRDefault="000D7FBA" w:rsidP="00776D51">
            <w:pPr>
              <w:pStyle w:val="COMTabletext"/>
              <w:jc w:val="center"/>
            </w:pPr>
            <w:r w:rsidRPr="001C59C3">
              <w:t>54.0</w:t>
            </w:r>
          </w:p>
          <w:p w14:paraId="1A9605CB" w14:textId="77777777" w:rsidR="000D7FBA" w:rsidRPr="001C59C3" w:rsidRDefault="000D7FBA" w:rsidP="00776D51">
            <w:pPr>
              <w:pStyle w:val="COMTabletext"/>
              <w:jc w:val="center"/>
            </w:pPr>
            <w:r w:rsidRPr="001C59C3">
              <w:t>(43.9, 63.9)</w:t>
            </w:r>
          </w:p>
        </w:tc>
        <w:tc>
          <w:tcPr>
            <w:tcW w:w="657" w:type="pct"/>
            <w:vAlign w:val="center"/>
          </w:tcPr>
          <w:p w14:paraId="0868F35F" w14:textId="77777777" w:rsidR="000D7FBA" w:rsidRPr="001C59C3" w:rsidRDefault="000D7FBA" w:rsidP="00776D51">
            <w:pPr>
              <w:pStyle w:val="COMTabletext"/>
              <w:jc w:val="center"/>
            </w:pPr>
            <w:r w:rsidRPr="001C59C3">
              <w:t>42.2</w:t>
            </w:r>
          </w:p>
          <w:p w14:paraId="3D4D46F3" w14:textId="77777777" w:rsidR="000D7FBA" w:rsidRPr="001C59C3" w:rsidRDefault="000D7FBA" w:rsidP="00776D51">
            <w:pPr>
              <w:pStyle w:val="COMTabletext"/>
              <w:jc w:val="center"/>
            </w:pPr>
            <w:r w:rsidRPr="001C59C3">
              <w:t>(32.5, 52.5)</w:t>
            </w:r>
          </w:p>
        </w:tc>
        <w:tc>
          <w:tcPr>
            <w:tcW w:w="657" w:type="pct"/>
            <w:vAlign w:val="center"/>
          </w:tcPr>
          <w:p w14:paraId="58A79E09" w14:textId="77777777" w:rsidR="000D7FBA" w:rsidRPr="001C59C3" w:rsidRDefault="000D7FBA" w:rsidP="00776D51">
            <w:pPr>
              <w:pStyle w:val="COMTabletext"/>
              <w:jc w:val="center"/>
            </w:pPr>
            <w:r w:rsidRPr="001C59C3">
              <w:t>51.1</w:t>
            </w:r>
          </w:p>
          <w:p w14:paraId="31669D3B" w14:textId="77777777" w:rsidR="000D7FBA" w:rsidRPr="001C59C3" w:rsidRDefault="000D7FBA" w:rsidP="00776D51">
            <w:pPr>
              <w:pStyle w:val="COMTabletext"/>
              <w:jc w:val="center"/>
            </w:pPr>
            <w:r w:rsidRPr="001C59C3">
              <w:t>(45.0, 57.2)</w:t>
            </w:r>
          </w:p>
        </w:tc>
        <w:tc>
          <w:tcPr>
            <w:tcW w:w="656" w:type="pct"/>
            <w:vAlign w:val="center"/>
          </w:tcPr>
          <w:p w14:paraId="48AAB1BB" w14:textId="77777777" w:rsidR="000D7FBA" w:rsidRPr="001C59C3" w:rsidRDefault="000D7FBA" w:rsidP="00776D51">
            <w:pPr>
              <w:pStyle w:val="COMTabletext"/>
              <w:jc w:val="center"/>
            </w:pPr>
            <w:r w:rsidRPr="001C59C3">
              <w:t>35.2</w:t>
            </w:r>
          </w:p>
          <w:p w14:paraId="57712FD8" w14:textId="77777777" w:rsidR="000D7FBA" w:rsidRPr="001C59C3" w:rsidRDefault="000D7FBA" w:rsidP="00776D51">
            <w:pPr>
              <w:pStyle w:val="COMTabletext"/>
              <w:jc w:val="center"/>
            </w:pPr>
            <w:r w:rsidRPr="001C59C3">
              <w:t>(29.7, 41.1)</w:t>
            </w:r>
          </w:p>
        </w:tc>
      </w:tr>
      <w:tr w:rsidR="000D7FBA" w:rsidRPr="001C59C3" w14:paraId="59B877CE" w14:textId="77777777" w:rsidTr="00776D51">
        <w:tc>
          <w:tcPr>
            <w:tcW w:w="1059" w:type="pct"/>
            <w:vAlign w:val="center"/>
          </w:tcPr>
          <w:p w14:paraId="7ABFD7D9" w14:textId="77777777" w:rsidR="000D7FBA" w:rsidRPr="001C59C3" w:rsidRDefault="000D7FBA" w:rsidP="00776D51">
            <w:pPr>
              <w:pStyle w:val="COMTabletext"/>
              <w:rPr>
                <w:vertAlign w:val="superscript"/>
              </w:rPr>
            </w:pPr>
            <w:r w:rsidRPr="001C59C3">
              <w:t xml:space="preserve">Odds ratio (95% CI) </w:t>
            </w:r>
            <w:r w:rsidRPr="001C59C3">
              <w:rPr>
                <w:vertAlign w:val="superscript"/>
              </w:rPr>
              <w:t>b</w:t>
            </w:r>
          </w:p>
        </w:tc>
        <w:tc>
          <w:tcPr>
            <w:tcW w:w="1314" w:type="pct"/>
            <w:gridSpan w:val="2"/>
            <w:vAlign w:val="center"/>
          </w:tcPr>
          <w:p w14:paraId="2CC8A3C8" w14:textId="77777777" w:rsidR="000D7FBA" w:rsidRPr="001C59C3" w:rsidRDefault="000D7FBA" w:rsidP="00776D51">
            <w:pPr>
              <w:pStyle w:val="COMTabletext"/>
              <w:jc w:val="center"/>
              <w:rPr>
                <w:b/>
                <w:bCs w:val="0"/>
              </w:rPr>
            </w:pPr>
            <w:r w:rsidRPr="001C59C3">
              <w:rPr>
                <w:b/>
                <w:bCs w:val="0"/>
              </w:rPr>
              <w:t>2.72 (1.72, 4.30)</w:t>
            </w:r>
          </w:p>
        </w:tc>
        <w:tc>
          <w:tcPr>
            <w:tcW w:w="1314" w:type="pct"/>
            <w:gridSpan w:val="2"/>
            <w:vAlign w:val="center"/>
          </w:tcPr>
          <w:p w14:paraId="2840048D" w14:textId="77777777" w:rsidR="000D7FBA" w:rsidRPr="001C59C3" w:rsidRDefault="000D7FBA" w:rsidP="00776D51">
            <w:pPr>
              <w:pStyle w:val="COMTabletext"/>
              <w:jc w:val="center"/>
              <w:rPr>
                <w:b/>
                <w:bCs w:val="0"/>
              </w:rPr>
            </w:pPr>
            <w:r w:rsidRPr="001C59C3">
              <w:rPr>
                <w:b/>
                <w:bCs w:val="0"/>
              </w:rPr>
              <w:t>1.61 (1.08, 2.41)</w:t>
            </w:r>
          </w:p>
        </w:tc>
        <w:tc>
          <w:tcPr>
            <w:tcW w:w="1313" w:type="pct"/>
            <w:gridSpan w:val="2"/>
            <w:vAlign w:val="center"/>
          </w:tcPr>
          <w:p w14:paraId="3AFB6758" w14:textId="77777777" w:rsidR="000D7FBA" w:rsidRPr="001C59C3" w:rsidRDefault="000D7FBA" w:rsidP="00776D51">
            <w:pPr>
              <w:pStyle w:val="COMTabletext"/>
              <w:jc w:val="center"/>
            </w:pPr>
            <w:r w:rsidRPr="001C59C3">
              <w:t>1.93 (1.44, 2.57)</w:t>
            </w:r>
          </w:p>
        </w:tc>
      </w:tr>
      <w:tr w:rsidR="000D7FBA" w:rsidRPr="001C59C3" w14:paraId="6256A207" w14:textId="77777777" w:rsidTr="00776D51">
        <w:tc>
          <w:tcPr>
            <w:tcW w:w="5000" w:type="pct"/>
            <w:gridSpan w:val="7"/>
            <w:vAlign w:val="center"/>
          </w:tcPr>
          <w:p w14:paraId="14D8F5B3" w14:textId="77777777" w:rsidR="000D7FBA" w:rsidRPr="009D1BB6" w:rsidRDefault="000D7FBA" w:rsidP="00776D51">
            <w:pPr>
              <w:pStyle w:val="COMTableheadingrow"/>
              <w:rPr>
                <w:lang w:val="en-AU"/>
              </w:rPr>
            </w:pPr>
            <w:r w:rsidRPr="009D1BB6">
              <w:rPr>
                <w:lang w:val="en-AU"/>
              </w:rPr>
              <w:t>Proportion of patients with ≥4-point improvement in WI-NRS score from baseline to Week 12 (secondary outcome)</w:t>
            </w:r>
          </w:p>
        </w:tc>
      </w:tr>
      <w:tr w:rsidR="000D7FBA" w:rsidRPr="001C59C3" w14:paraId="341C78EE" w14:textId="77777777" w:rsidTr="00776D51">
        <w:tc>
          <w:tcPr>
            <w:tcW w:w="1059" w:type="pct"/>
            <w:vAlign w:val="center"/>
          </w:tcPr>
          <w:p w14:paraId="3092C3C1" w14:textId="77777777" w:rsidR="000D7FBA" w:rsidRPr="001C59C3" w:rsidRDefault="000D7FBA" w:rsidP="00776D51">
            <w:pPr>
              <w:pStyle w:val="COMTabletext"/>
            </w:pPr>
            <w:r w:rsidRPr="001C59C3">
              <w:t xml:space="preserve">Observed, n/N (%) </w:t>
            </w:r>
            <w:r w:rsidRPr="001C59C3">
              <w:rPr>
                <w:vertAlign w:val="superscript"/>
              </w:rPr>
              <w:t>a</w:t>
            </w:r>
            <w:r w:rsidRPr="001C59C3">
              <w:t xml:space="preserve"> </w:t>
            </w:r>
          </w:p>
        </w:tc>
        <w:tc>
          <w:tcPr>
            <w:tcW w:w="657" w:type="pct"/>
            <w:vAlign w:val="center"/>
          </w:tcPr>
          <w:p w14:paraId="096C9B75" w14:textId="77777777" w:rsidR="000D7FBA" w:rsidRPr="001C59C3" w:rsidRDefault="000D7FBA" w:rsidP="00776D51">
            <w:pPr>
              <w:pStyle w:val="COMTabletext"/>
              <w:jc w:val="center"/>
            </w:pPr>
            <w:r w:rsidRPr="001C59C3">
              <w:t>64/157 (40.8)</w:t>
            </w:r>
          </w:p>
        </w:tc>
        <w:tc>
          <w:tcPr>
            <w:tcW w:w="657" w:type="pct"/>
            <w:vAlign w:val="center"/>
          </w:tcPr>
          <w:p w14:paraId="269490E7" w14:textId="77777777" w:rsidR="000D7FBA" w:rsidRPr="001C59C3" w:rsidRDefault="000D7FBA" w:rsidP="00776D51">
            <w:pPr>
              <w:pStyle w:val="COMTabletext"/>
              <w:jc w:val="center"/>
            </w:pPr>
            <w:r w:rsidRPr="001C59C3">
              <w:t>35/165 (21.2)</w:t>
            </w:r>
          </w:p>
        </w:tc>
        <w:tc>
          <w:tcPr>
            <w:tcW w:w="657" w:type="pct"/>
            <w:vAlign w:val="center"/>
          </w:tcPr>
          <w:p w14:paraId="2C87A6A4" w14:textId="77777777" w:rsidR="000D7FBA" w:rsidRPr="001C59C3" w:rsidRDefault="000D7FBA" w:rsidP="00776D51">
            <w:pPr>
              <w:pStyle w:val="COMTabletext"/>
              <w:jc w:val="center"/>
            </w:pPr>
            <w:r w:rsidRPr="001C59C3">
              <w:t>72/191 (37.7)</w:t>
            </w:r>
          </w:p>
        </w:tc>
        <w:tc>
          <w:tcPr>
            <w:tcW w:w="657" w:type="pct"/>
            <w:vAlign w:val="center"/>
          </w:tcPr>
          <w:p w14:paraId="6B10A84F" w14:textId="77777777" w:rsidR="000D7FBA" w:rsidRPr="001C59C3" w:rsidRDefault="000D7FBA" w:rsidP="00776D51">
            <w:pPr>
              <w:pStyle w:val="COMTabletext"/>
              <w:jc w:val="center"/>
            </w:pPr>
            <w:r w:rsidRPr="001C59C3">
              <w:t>52/207 (25.2)</w:t>
            </w:r>
          </w:p>
        </w:tc>
        <w:tc>
          <w:tcPr>
            <w:tcW w:w="657" w:type="pct"/>
            <w:vAlign w:val="center"/>
          </w:tcPr>
          <w:p w14:paraId="7915CA85" w14:textId="77777777" w:rsidR="000D7FBA" w:rsidRPr="001C59C3" w:rsidRDefault="000D7FBA" w:rsidP="00776D51">
            <w:pPr>
              <w:pStyle w:val="COMTabletext"/>
              <w:jc w:val="center"/>
            </w:pPr>
            <w:r w:rsidRPr="001C59C3">
              <w:t>-</w:t>
            </w:r>
          </w:p>
        </w:tc>
        <w:tc>
          <w:tcPr>
            <w:tcW w:w="656" w:type="pct"/>
            <w:vAlign w:val="center"/>
          </w:tcPr>
          <w:p w14:paraId="540738D7" w14:textId="77777777" w:rsidR="000D7FBA" w:rsidRPr="001C59C3" w:rsidRDefault="000D7FBA" w:rsidP="00776D51">
            <w:pPr>
              <w:pStyle w:val="COMTabletext"/>
              <w:jc w:val="center"/>
            </w:pPr>
            <w:r w:rsidRPr="001C59C3">
              <w:t>-</w:t>
            </w:r>
          </w:p>
        </w:tc>
      </w:tr>
      <w:tr w:rsidR="000D7FBA" w:rsidRPr="001C59C3" w14:paraId="5905FD0E" w14:textId="77777777" w:rsidTr="00776D51">
        <w:tc>
          <w:tcPr>
            <w:tcW w:w="1059" w:type="pct"/>
            <w:vAlign w:val="center"/>
          </w:tcPr>
          <w:p w14:paraId="435820B9" w14:textId="77777777" w:rsidR="000D7FBA" w:rsidRPr="001C59C3" w:rsidRDefault="000D7FBA" w:rsidP="00776D51">
            <w:pPr>
              <w:pStyle w:val="COMTabletext"/>
            </w:pPr>
            <w:r w:rsidRPr="001C59C3">
              <w:t>Missing, n/N (%)</w:t>
            </w:r>
          </w:p>
        </w:tc>
        <w:tc>
          <w:tcPr>
            <w:tcW w:w="657" w:type="pct"/>
            <w:vAlign w:val="center"/>
          </w:tcPr>
          <w:p w14:paraId="26EC2004" w14:textId="77777777" w:rsidR="000D7FBA" w:rsidRPr="001C59C3" w:rsidRDefault="000D7FBA" w:rsidP="00776D51">
            <w:pPr>
              <w:pStyle w:val="COMTabletext"/>
              <w:jc w:val="center"/>
            </w:pPr>
            <w:r w:rsidRPr="001C59C3">
              <w:t>32/189 (16.9)</w:t>
            </w:r>
          </w:p>
        </w:tc>
        <w:tc>
          <w:tcPr>
            <w:tcW w:w="657" w:type="pct"/>
            <w:vAlign w:val="center"/>
          </w:tcPr>
          <w:p w14:paraId="4B9505E1" w14:textId="77777777" w:rsidR="000D7FBA" w:rsidRPr="001C59C3" w:rsidRDefault="000D7FBA" w:rsidP="00776D51">
            <w:pPr>
              <w:pStyle w:val="COMTabletext"/>
              <w:jc w:val="center"/>
            </w:pPr>
            <w:r w:rsidRPr="001C59C3">
              <w:t>24/189 (12.7)</w:t>
            </w:r>
          </w:p>
        </w:tc>
        <w:tc>
          <w:tcPr>
            <w:tcW w:w="657" w:type="pct"/>
            <w:vAlign w:val="center"/>
          </w:tcPr>
          <w:p w14:paraId="2F0F6D12" w14:textId="77777777" w:rsidR="000D7FBA" w:rsidRPr="001C59C3" w:rsidRDefault="000D7FBA" w:rsidP="00776D51">
            <w:pPr>
              <w:pStyle w:val="COMTabletext"/>
              <w:jc w:val="center"/>
            </w:pPr>
            <w:r w:rsidRPr="001C59C3">
              <w:t>46/237 (19.4)</w:t>
            </w:r>
          </w:p>
        </w:tc>
        <w:tc>
          <w:tcPr>
            <w:tcW w:w="657" w:type="pct"/>
            <w:vAlign w:val="center"/>
          </w:tcPr>
          <w:p w14:paraId="7DD80754" w14:textId="77777777" w:rsidR="000D7FBA" w:rsidRPr="001C59C3" w:rsidRDefault="000D7FBA" w:rsidP="00776D51">
            <w:pPr>
              <w:pStyle w:val="COMTabletext"/>
              <w:jc w:val="center"/>
            </w:pPr>
            <w:r w:rsidRPr="001C59C3">
              <w:t>29/236 (12.3)</w:t>
            </w:r>
          </w:p>
        </w:tc>
        <w:tc>
          <w:tcPr>
            <w:tcW w:w="657" w:type="pct"/>
            <w:vAlign w:val="center"/>
          </w:tcPr>
          <w:p w14:paraId="639E1FC5" w14:textId="77777777" w:rsidR="000D7FBA" w:rsidRPr="001C59C3" w:rsidRDefault="000D7FBA" w:rsidP="00776D51">
            <w:pPr>
              <w:pStyle w:val="COMTabletext"/>
              <w:jc w:val="center"/>
            </w:pPr>
            <w:r w:rsidRPr="001C59C3">
              <w:t>-</w:t>
            </w:r>
          </w:p>
        </w:tc>
        <w:tc>
          <w:tcPr>
            <w:tcW w:w="656" w:type="pct"/>
            <w:vAlign w:val="center"/>
          </w:tcPr>
          <w:p w14:paraId="4435A4F4" w14:textId="77777777" w:rsidR="000D7FBA" w:rsidRPr="001C59C3" w:rsidRDefault="000D7FBA" w:rsidP="00776D51">
            <w:pPr>
              <w:pStyle w:val="COMTabletext"/>
              <w:jc w:val="center"/>
            </w:pPr>
            <w:r w:rsidRPr="001C59C3">
              <w:t>-</w:t>
            </w:r>
          </w:p>
        </w:tc>
      </w:tr>
      <w:tr w:rsidR="000D7FBA" w:rsidRPr="001C59C3" w14:paraId="39CE5210" w14:textId="77777777" w:rsidTr="00776D51">
        <w:tc>
          <w:tcPr>
            <w:tcW w:w="1059" w:type="pct"/>
            <w:vAlign w:val="center"/>
          </w:tcPr>
          <w:p w14:paraId="55C9E8D0" w14:textId="77777777" w:rsidR="000D7FBA" w:rsidRPr="001C59C3" w:rsidRDefault="000D7FBA" w:rsidP="00776D51">
            <w:pPr>
              <w:pStyle w:val="COMTabletext"/>
              <w:rPr>
                <w:vertAlign w:val="superscript"/>
              </w:rPr>
            </w:pPr>
            <w:r w:rsidRPr="001C59C3">
              <w:t xml:space="preserve">LS means estimate, % (95% CI) </w:t>
            </w:r>
            <w:r w:rsidRPr="001C59C3">
              <w:rPr>
                <w:vertAlign w:val="superscript"/>
              </w:rPr>
              <w:t>b</w:t>
            </w:r>
          </w:p>
        </w:tc>
        <w:tc>
          <w:tcPr>
            <w:tcW w:w="657" w:type="pct"/>
            <w:vAlign w:val="center"/>
          </w:tcPr>
          <w:p w14:paraId="3DF54E87" w14:textId="77777777" w:rsidR="000D7FBA" w:rsidRPr="001C59C3" w:rsidRDefault="000D7FBA" w:rsidP="00776D51">
            <w:pPr>
              <w:pStyle w:val="COMTabletext"/>
              <w:jc w:val="center"/>
            </w:pPr>
            <w:r w:rsidRPr="001C59C3">
              <w:t xml:space="preserve">38.9 </w:t>
            </w:r>
          </w:p>
          <w:p w14:paraId="06D25827" w14:textId="77777777" w:rsidR="000D7FBA" w:rsidRPr="001C59C3" w:rsidRDefault="000D7FBA" w:rsidP="00776D51">
            <w:pPr>
              <w:pStyle w:val="COMTabletext"/>
              <w:jc w:val="center"/>
            </w:pPr>
            <w:r w:rsidRPr="001C59C3">
              <w:t>(29.8, 48.7)</w:t>
            </w:r>
          </w:p>
        </w:tc>
        <w:tc>
          <w:tcPr>
            <w:tcW w:w="657" w:type="pct"/>
            <w:vAlign w:val="center"/>
          </w:tcPr>
          <w:p w14:paraId="4E8C921B" w14:textId="77777777" w:rsidR="000D7FBA" w:rsidRPr="001C59C3" w:rsidRDefault="000D7FBA" w:rsidP="00776D51">
            <w:pPr>
              <w:pStyle w:val="COMTabletext"/>
              <w:jc w:val="center"/>
            </w:pPr>
            <w:r w:rsidRPr="001C59C3">
              <w:t>18.0</w:t>
            </w:r>
          </w:p>
          <w:p w14:paraId="01CDE9A8" w14:textId="77777777" w:rsidR="000D7FBA" w:rsidRPr="001C59C3" w:rsidRDefault="000D7FBA" w:rsidP="00776D51">
            <w:pPr>
              <w:pStyle w:val="COMTabletext"/>
              <w:jc w:val="center"/>
            </w:pPr>
            <w:r w:rsidRPr="001C59C3">
              <w:t>(12.1, 26.0)</w:t>
            </w:r>
          </w:p>
        </w:tc>
        <w:tc>
          <w:tcPr>
            <w:tcW w:w="657" w:type="pct"/>
            <w:vAlign w:val="center"/>
          </w:tcPr>
          <w:p w14:paraId="53898F52" w14:textId="77777777" w:rsidR="000D7FBA" w:rsidRPr="001C59C3" w:rsidRDefault="000D7FBA" w:rsidP="00776D51">
            <w:pPr>
              <w:pStyle w:val="COMTabletext"/>
              <w:jc w:val="center"/>
            </w:pPr>
            <w:r w:rsidRPr="001C59C3">
              <w:t>41.2</w:t>
            </w:r>
          </w:p>
          <w:p w14:paraId="5F4C2CF5" w14:textId="77777777" w:rsidR="000D7FBA" w:rsidRPr="001C59C3" w:rsidRDefault="000D7FBA" w:rsidP="00776D51">
            <w:pPr>
              <w:pStyle w:val="COMTabletext"/>
              <w:jc w:val="center"/>
            </w:pPr>
            <w:r w:rsidRPr="001C59C3">
              <w:t>(33.0, 50.0)</w:t>
            </w:r>
          </w:p>
        </w:tc>
        <w:tc>
          <w:tcPr>
            <w:tcW w:w="657" w:type="pct"/>
            <w:vAlign w:val="center"/>
          </w:tcPr>
          <w:p w14:paraId="0865A0A1" w14:textId="77777777" w:rsidR="000D7FBA" w:rsidRPr="001C59C3" w:rsidRDefault="000D7FBA" w:rsidP="00776D51">
            <w:pPr>
              <w:pStyle w:val="COMTabletext"/>
              <w:jc w:val="center"/>
            </w:pPr>
            <w:r w:rsidRPr="001C59C3">
              <w:t>28.4</w:t>
            </w:r>
          </w:p>
          <w:p w14:paraId="3DCFEA00" w14:textId="77777777" w:rsidR="000D7FBA" w:rsidRPr="001C59C3" w:rsidRDefault="000D7FBA" w:rsidP="00776D51">
            <w:pPr>
              <w:pStyle w:val="COMTabletext"/>
              <w:jc w:val="center"/>
            </w:pPr>
            <w:r w:rsidRPr="001C59C3">
              <w:t>(21.3, 36.7)</w:t>
            </w:r>
          </w:p>
        </w:tc>
        <w:tc>
          <w:tcPr>
            <w:tcW w:w="657" w:type="pct"/>
            <w:vAlign w:val="center"/>
          </w:tcPr>
          <w:p w14:paraId="6C50CD9A" w14:textId="77777777" w:rsidR="000D7FBA" w:rsidRPr="001C59C3" w:rsidRDefault="000D7FBA" w:rsidP="00776D51">
            <w:pPr>
              <w:pStyle w:val="COMTabletext"/>
              <w:jc w:val="center"/>
            </w:pPr>
            <w:r w:rsidRPr="001C59C3">
              <w:t>38.7</w:t>
            </w:r>
          </w:p>
          <w:p w14:paraId="72EC7159" w14:textId="77777777" w:rsidR="000D7FBA" w:rsidRPr="001C59C3" w:rsidRDefault="000D7FBA" w:rsidP="00776D51">
            <w:pPr>
              <w:pStyle w:val="COMTabletext"/>
              <w:jc w:val="center"/>
            </w:pPr>
            <w:r w:rsidRPr="001C59C3">
              <w:t>(32.8, 45.0)</w:t>
            </w:r>
          </w:p>
        </w:tc>
        <w:tc>
          <w:tcPr>
            <w:tcW w:w="656" w:type="pct"/>
            <w:vAlign w:val="center"/>
          </w:tcPr>
          <w:p w14:paraId="73C54C74" w14:textId="77777777" w:rsidR="000D7FBA" w:rsidRPr="001C59C3" w:rsidRDefault="000D7FBA" w:rsidP="00776D51">
            <w:pPr>
              <w:pStyle w:val="COMTabletext"/>
              <w:jc w:val="center"/>
            </w:pPr>
            <w:r w:rsidRPr="001C59C3">
              <w:t>23.4</w:t>
            </w:r>
          </w:p>
          <w:p w14:paraId="7312F859" w14:textId="77777777" w:rsidR="000D7FBA" w:rsidRPr="001C59C3" w:rsidRDefault="000D7FBA" w:rsidP="00776D51">
            <w:pPr>
              <w:pStyle w:val="COMTabletext"/>
              <w:jc w:val="center"/>
            </w:pPr>
            <w:r w:rsidRPr="001C59C3">
              <w:t>(18.7, 28.8)</w:t>
            </w:r>
          </w:p>
        </w:tc>
      </w:tr>
      <w:tr w:rsidR="000D7FBA" w:rsidRPr="001C59C3" w14:paraId="73986CC1" w14:textId="77777777" w:rsidTr="00776D51">
        <w:tc>
          <w:tcPr>
            <w:tcW w:w="1059" w:type="pct"/>
            <w:vAlign w:val="center"/>
          </w:tcPr>
          <w:p w14:paraId="3B2F00A9" w14:textId="77777777" w:rsidR="000D7FBA" w:rsidRPr="001C59C3" w:rsidRDefault="000D7FBA" w:rsidP="00776D51">
            <w:pPr>
              <w:pStyle w:val="COMTabletext"/>
              <w:rPr>
                <w:vertAlign w:val="superscript"/>
              </w:rPr>
            </w:pPr>
            <w:r w:rsidRPr="001C59C3">
              <w:t xml:space="preserve">Odds ratio (95% CI) </w:t>
            </w:r>
            <w:r w:rsidRPr="001C59C3">
              <w:rPr>
                <w:vertAlign w:val="superscript"/>
              </w:rPr>
              <w:t>b</w:t>
            </w:r>
          </w:p>
        </w:tc>
        <w:tc>
          <w:tcPr>
            <w:tcW w:w="1314" w:type="pct"/>
            <w:gridSpan w:val="2"/>
            <w:vAlign w:val="center"/>
          </w:tcPr>
          <w:p w14:paraId="15392CDD" w14:textId="77777777" w:rsidR="000D7FBA" w:rsidRPr="001C59C3" w:rsidRDefault="000D7FBA" w:rsidP="00776D51">
            <w:pPr>
              <w:pStyle w:val="COMTabletext"/>
              <w:jc w:val="center"/>
              <w:rPr>
                <w:b/>
                <w:bCs w:val="0"/>
              </w:rPr>
            </w:pPr>
            <w:r w:rsidRPr="001C59C3">
              <w:rPr>
                <w:b/>
                <w:bCs w:val="0"/>
              </w:rPr>
              <w:t>2.89 (1.75, 4.76)</w:t>
            </w:r>
          </w:p>
        </w:tc>
        <w:tc>
          <w:tcPr>
            <w:tcW w:w="1314" w:type="pct"/>
            <w:gridSpan w:val="2"/>
            <w:vAlign w:val="center"/>
          </w:tcPr>
          <w:p w14:paraId="4D7AC91D" w14:textId="77777777" w:rsidR="000D7FBA" w:rsidRPr="001C59C3" w:rsidRDefault="000D7FBA" w:rsidP="00776D51">
            <w:pPr>
              <w:pStyle w:val="COMTabletext"/>
              <w:jc w:val="center"/>
              <w:rPr>
                <w:b/>
                <w:bCs w:val="0"/>
              </w:rPr>
            </w:pPr>
            <w:r w:rsidRPr="001C59C3">
              <w:rPr>
                <w:b/>
                <w:bCs w:val="0"/>
              </w:rPr>
              <w:t>1.77 (1.14, 2.74)</w:t>
            </w:r>
          </w:p>
        </w:tc>
        <w:tc>
          <w:tcPr>
            <w:tcW w:w="1313" w:type="pct"/>
            <w:gridSpan w:val="2"/>
            <w:vAlign w:val="center"/>
          </w:tcPr>
          <w:p w14:paraId="7A824B87" w14:textId="77777777" w:rsidR="000D7FBA" w:rsidRPr="001C59C3" w:rsidRDefault="000D7FBA" w:rsidP="00776D51">
            <w:pPr>
              <w:pStyle w:val="COMTabletext"/>
              <w:jc w:val="center"/>
            </w:pPr>
            <w:r w:rsidRPr="001C59C3">
              <w:t>2.07 (1.51, 2.84)</w:t>
            </w:r>
          </w:p>
        </w:tc>
      </w:tr>
    </w:tbl>
    <w:p w14:paraId="39912BEA" w14:textId="46AE33FE" w:rsidR="000D7FBA" w:rsidRPr="001C59C3" w:rsidRDefault="000D7FBA" w:rsidP="000D7FBA">
      <w:pPr>
        <w:pStyle w:val="COMTablefooter"/>
        <w:keepNext/>
      </w:pPr>
      <w:r w:rsidRPr="001C59C3">
        <w:t xml:space="preserve">Source: </w:t>
      </w:r>
      <w:r w:rsidR="00A95FB5" w:rsidRPr="001C59C3">
        <w:t>Table 25, p106; Table 26, p110 of the resubmission</w:t>
      </w:r>
    </w:p>
    <w:p w14:paraId="114E76F8" w14:textId="77777777" w:rsidR="000D7FBA" w:rsidRPr="001C59C3" w:rsidRDefault="000D7FBA" w:rsidP="000D7FBA">
      <w:pPr>
        <w:pStyle w:val="COMTablefooter"/>
        <w:keepNext/>
      </w:pPr>
      <w:r w:rsidRPr="001C59C3">
        <w:t>Abbreviations: CI, confidence interval; LS, least squares</w:t>
      </w:r>
    </w:p>
    <w:p w14:paraId="0A36BC19" w14:textId="77777777" w:rsidR="000D7FBA" w:rsidRPr="001C59C3" w:rsidRDefault="000D7FBA" w:rsidP="000D7FBA">
      <w:pPr>
        <w:pStyle w:val="COMTablefooter"/>
        <w:keepNext/>
      </w:pPr>
      <w:r w:rsidRPr="001C59C3">
        <w:rPr>
          <w:vertAlign w:val="superscript"/>
        </w:rPr>
        <w:t>a</w:t>
      </w:r>
      <w:r w:rsidRPr="001C59C3">
        <w:t xml:space="preserve"> Counts and percentages were based on non-missing data</w:t>
      </w:r>
    </w:p>
    <w:p w14:paraId="70DAC0CE" w14:textId="77777777" w:rsidR="000D7FBA" w:rsidRPr="001C59C3" w:rsidRDefault="000D7FBA" w:rsidP="000D7FBA">
      <w:pPr>
        <w:pStyle w:val="COMTablefooter"/>
      </w:pPr>
      <w:r w:rsidRPr="001C59C3">
        <w:rPr>
          <w:vertAlign w:val="superscript"/>
        </w:rPr>
        <w:t>b</w:t>
      </w:r>
      <w:r w:rsidRPr="001C59C3">
        <w:t xml:space="preserve"> Estimated using a logistic regression with terms for treatment group, baseline WI-NRS score, baseline anti-itch medications and presence of specific medical conditions. Region was also included in the model for the KALM-2 analysis while a region/study variable was included in the model for the pooled analysis. Missing values were imputed using multiple imputation under missing at random assumptions</w:t>
      </w:r>
    </w:p>
    <w:p w14:paraId="132381BF" w14:textId="77777777" w:rsidR="000D7FBA" w:rsidRPr="001C59C3" w:rsidRDefault="000D7FBA" w:rsidP="000D7FBA">
      <w:pPr>
        <w:pStyle w:val="COMTablefooter"/>
        <w:keepNext/>
        <w:rPr>
          <w:rFonts w:eastAsia="Calibri"/>
        </w:rPr>
      </w:pPr>
      <w:r w:rsidRPr="001C59C3">
        <w:rPr>
          <w:rFonts w:eastAsia="Calibri"/>
          <w:b/>
        </w:rPr>
        <w:t>Bold</w:t>
      </w:r>
      <w:r w:rsidRPr="001C59C3">
        <w:rPr>
          <w:rFonts w:eastAsia="Calibri"/>
        </w:rPr>
        <w:t xml:space="preserve"> indicates statistically significant results. Pooled analyses were conducted </w:t>
      </w:r>
      <w:r w:rsidRPr="001C59C3">
        <w:rPr>
          <w:rFonts w:eastAsia="Calibri"/>
          <w:i/>
          <w:iCs/>
        </w:rPr>
        <w:t>post hoc</w:t>
      </w:r>
      <w:r w:rsidRPr="001C59C3">
        <w:rPr>
          <w:rFonts w:eastAsia="Calibri"/>
        </w:rPr>
        <w:t xml:space="preserve"> and were unadjusted for multiplicity</w:t>
      </w:r>
    </w:p>
    <w:p w14:paraId="6447AD4D" w14:textId="27AA780E" w:rsidR="006E3A25" w:rsidRPr="001C59C3" w:rsidRDefault="006E3A25" w:rsidP="004F15B1">
      <w:pPr>
        <w:pStyle w:val="COMexecsumnumberedpara"/>
      </w:pPr>
      <w:r w:rsidRPr="001C59C3">
        <w:t>A statistically significantly greater proportion of patients treated with difelikefalin achieved a ≥3-point improvement in WI-NRS score at Week 12 from baseline compared to those receiving placebo. Sensitivity analyses using alternative methods of handling missing data including a non-responder analysis produced results that were consistent with the primary analysis.</w:t>
      </w:r>
    </w:p>
    <w:p w14:paraId="6BC14086" w14:textId="77777777" w:rsidR="00D13989" w:rsidRPr="001C59C3" w:rsidRDefault="00D13989" w:rsidP="004F15B1">
      <w:pPr>
        <w:pStyle w:val="COMexecsumnumberedpara"/>
      </w:pPr>
      <w:r w:rsidRPr="001C59C3">
        <w:t>Results based on the secondary endpoint using a higher 4-point threshold were also statistically significant in favour of difelikefalin. The absolute proportion of patients achieving response in each arm was lower compared to response defined using a 3-point improvement, however, the difference between arms appeared similar.</w:t>
      </w:r>
    </w:p>
    <w:p w14:paraId="48E59E3F" w14:textId="3F5382B7" w:rsidR="00B00040" w:rsidRPr="001C59C3" w:rsidRDefault="009D6675" w:rsidP="004F15B1">
      <w:pPr>
        <w:pStyle w:val="COMexecsumnumberedpara"/>
      </w:pPr>
      <w:r w:rsidRPr="001C59C3">
        <w:t>R</w:t>
      </w:r>
      <w:r w:rsidR="00B26B71" w:rsidRPr="001C59C3">
        <w:t>esponse rates in the difelikefalin arms were similar in both trials but varied substantially for the placebo arms (difference exceeding 10%). Th</w:t>
      </w:r>
      <w:r w:rsidR="00065DCA" w:rsidRPr="001C59C3">
        <w:t xml:space="preserve">is difference </w:t>
      </w:r>
      <w:r w:rsidR="00B26B71" w:rsidRPr="001C59C3">
        <w:t xml:space="preserve">appears to be the primary driver of </w:t>
      </w:r>
      <w:r w:rsidR="006C2CEA" w:rsidRPr="001C59C3">
        <w:t>a numerically</w:t>
      </w:r>
      <w:r w:rsidR="00B26B71" w:rsidRPr="001C59C3">
        <w:t xml:space="preserve"> </w:t>
      </w:r>
      <w:r w:rsidR="001A2623" w:rsidRPr="001C59C3">
        <w:t xml:space="preserve">smaller incremental benefit </w:t>
      </w:r>
      <w:r w:rsidR="00B26B71" w:rsidRPr="001C59C3">
        <w:t xml:space="preserve">associated with difelikefalin </w:t>
      </w:r>
      <w:r w:rsidR="006C2CEA" w:rsidRPr="001C59C3">
        <w:t xml:space="preserve">in KALM-2 </w:t>
      </w:r>
      <w:r w:rsidR="00B26B71" w:rsidRPr="001C59C3">
        <w:t>(12%)</w:t>
      </w:r>
      <w:r w:rsidR="006C2CEA" w:rsidRPr="001C59C3">
        <w:t xml:space="preserve"> compared to KALM-1 (23%)</w:t>
      </w:r>
      <w:r w:rsidR="00B26B71" w:rsidRPr="001C59C3">
        <w:t>.</w:t>
      </w:r>
    </w:p>
    <w:p w14:paraId="3952B0EF" w14:textId="5C64E77E" w:rsidR="000D7FBA" w:rsidRPr="001C59C3" w:rsidRDefault="005D44C4" w:rsidP="004F15B1">
      <w:pPr>
        <w:pStyle w:val="COMexecsumnumberedpara"/>
      </w:pPr>
      <w:r w:rsidRPr="001C59C3">
        <w:t xml:space="preserve">The resubmission noted the high placebo response rates in both trials but claimed that this was not unexpected given the subjective nature of itch. The resubmission claimed that strong placebo effects have previously been observed in dermatological studies that rely on patient-reported outcomes. The resubmission claimed that specific reasons for the difference in magnitude of placebo response between the trials were unclear but could be due to the larger site number and region-specific variation in the global study. However, additional analyses indicated that similar response rates were </w:t>
      </w:r>
      <w:r w:rsidRPr="001C59C3">
        <w:lastRenderedPageBreak/>
        <w:t>observed across regions and that placebo response rates in US patients were also higher in the global KALM-2 study (37.3%) than in the KALM-1 US study (27.6%)</w:t>
      </w:r>
      <w:r w:rsidR="00A95FB5" w:rsidRPr="001C59C3">
        <w:t>.</w:t>
      </w:r>
      <w:r w:rsidRPr="001C59C3">
        <w:t xml:space="preserve"> </w:t>
      </w:r>
    </w:p>
    <w:p w14:paraId="4F9B0E34" w14:textId="7D65345B" w:rsidR="005D44C4" w:rsidRPr="001C59C3" w:rsidRDefault="00045FAE" w:rsidP="004F15B1">
      <w:pPr>
        <w:pStyle w:val="COMexecsumnumberedpara"/>
      </w:pPr>
      <w:r w:rsidRPr="001C59C3">
        <w:t xml:space="preserve">The key trials also included secondary outcomes based on </w:t>
      </w:r>
      <w:r w:rsidR="00B1108B" w:rsidRPr="001C59C3">
        <w:t xml:space="preserve">multi-dimensional itch-related quality of life questionnaires, Skindex-10 (range, 0-60) and 5-D Itch Scales (range, 5-25). </w:t>
      </w:r>
      <w:r w:rsidR="008876A1" w:rsidRPr="001C59C3">
        <w:t>The resubmission claimed that a 15-point improvement from baseline total Skindex-10 score and a 5-point improvement from baseline 5-D Itch scores represented clinically meaningful changes. Data to support these claims were not provided in the resubmission.</w:t>
      </w:r>
    </w:p>
    <w:p w14:paraId="139958EB" w14:textId="28F82B86" w:rsidR="00D0090C" w:rsidRPr="001C59C3" w:rsidRDefault="00D0090C" w:rsidP="004F15B1">
      <w:pPr>
        <w:pStyle w:val="COMexecsumnumberedpara"/>
      </w:pPr>
      <w:r w:rsidRPr="001C59C3">
        <w:t>In KALM-1, treatment with difelikefalin was associated with a statistically significantly improvement in the total Skindex-10 score at Week 12 from baseline</w:t>
      </w:r>
      <w:r w:rsidR="00DB6420" w:rsidRPr="001C59C3">
        <w:t xml:space="preserve"> (-5.1, 95% CI: </w:t>
      </w:r>
      <w:r w:rsidR="00DB6420" w:rsidRPr="001C59C3">
        <w:noBreakHyphen/>
        <w:t>8.0, -2.3)</w:t>
      </w:r>
      <w:r w:rsidRPr="001C59C3">
        <w:t>. In KALM-2, the difelikefalin group showed a numerical improvement in total Skindex-10 score compared to placebo but the result did not achieve statistical significance</w:t>
      </w:r>
      <w:r w:rsidR="00307888" w:rsidRPr="001C59C3">
        <w:t xml:space="preserve"> (-1.8, 95% CI: -4.3, 0.8)</w:t>
      </w:r>
      <w:r w:rsidRPr="001C59C3">
        <w:t>. Pooled estimates of treatment effect were similar to results from the individual studies.</w:t>
      </w:r>
    </w:p>
    <w:p w14:paraId="45B5057B" w14:textId="2C3A7C3C" w:rsidR="006F03D4" w:rsidRPr="001C59C3" w:rsidRDefault="00B579DF" w:rsidP="004F15B1">
      <w:pPr>
        <w:pStyle w:val="COMexecsumnumberedpara"/>
      </w:pPr>
      <w:r w:rsidRPr="001C59C3">
        <w:t>In KALM-1, d</w:t>
      </w:r>
      <w:r w:rsidR="00A35542" w:rsidRPr="001C59C3">
        <w:t>ifelikefalin treatment was associated with a</w:t>
      </w:r>
      <w:r w:rsidRPr="001C59C3">
        <w:t xml:space="preserve"> statistically significant</w:t>
      </w:r>
      <w:r w:rsidR="00A35542" w:rsidRPr="001C59C3">
        <w:t xml:space="preserve"> improvement on the 5-D Itch scale at Week 12 from baseline (-1.3, 95% CI: -2.0, -0.5). The result from KALM-2 could not be considered statistically significant based on the hierarchical testing order as the prior secondary endpoint (total Skindex-10 score at Week 12) was not statistically significant.</w:t>
      </w:r>
    </w:p>
    <w:p w14:paraId="37CFB392" w14:textId="77777777" w:rsidR="00315B72" w:rsidRPr="001C59C3" w:rsidRDefault="00315B72" w:rsidP="004F15B1">
      <w:pPr>
        <w:pStyle w:val="COMexecsumnumberedpara"/>
      </w:pPr>
      <w:r w:rsidRPr="001C59C3">
        <w:t>Results for exploratory outcomes based on the proportion of patients achieving ≥15-point improvement on the Skindex-10 scale and the proportion of patients achieving ≥5-point improvement on the 5-D Itch scale suggested a greater proportion of patients treated with difelikefalin achieved these response thresholds compared to those on placebo.</w:t>
      </w:r>
      <w:r w:rsidRPr="001C59C3">
        <w:rPr>
          <w:i/>
          <w:iCs/>
        </w:rPr>
        <w:t xml:space="preserve"> </w:t>
      </w:r>
      <w:r w:rsidRPr="001C59C3">
        <w:t>Placebo response rates based on these measures were also high (42-48%), similar to response measures using the WI-NRS scale.</w:t>
      </w:r>
    </w:p>
    <w:p w14:paraId="22D826FF" w14:textId="021AE945" w:rsidR="008876A1" w:rsidRPr="001C59C3" w:rsidRDefault="007B3336" w:rsidP="004F15B1">
      <w:pPr>
        <w:pStyle w:val="COMexecsumnumberedpara"/>
      </w:pPr>
      <w:r w:rsidRPr="001C59C3">
        <w:t xml:space="preserve">The proportions of patients achieving ≥5-point improvement on the 5-D Itch scale from an analysis of individual patient data in the KALM trials were used to determine response, and consequently treatment continuation rates </w:t>
      </w:r>
      <w:r w:rsidR="00855A86" w:rsidRPr="001C59C3">
        <w:t xml:space="preserve">at 12 weeks </w:t>
      </w:r>
      <w:r w:rsidRPr="001C59C3">
        <w:t>for difelikefalin in the economic model (different response rates by pruritus severity of none 92.3%, mild 68.9%, moderate 32.9% and severe 10.7%) and financial estimates (51.3% overall). The 51.3% overall response rate for difelikefalin appeared similar to results from the pooled analyses (52.1%)</w:t>
      </w:r>
      <w:r w:rsidR="00513F69" w:rsidRPr="001C59C3">
        <w:t>.</w:t>
      </w:r>
    </w:p>
    <w:p w14:paraId="39072656" w14:textId="4C919362" w:rsidR="007B3336" w:rsidRPr="001C59C3" w:rsidRDefault="00B2275C" w:rsidP="004F15B1">
      <w:pPr>
        <w:pStyle w:val="COMexecsumnumberedpara"/>
      </w:pPr>
      <w:r w:rsidRPr="001C59C3">
        <w:t>The resubmission did not present results from the open-label extension periods of the KALM-1 and KALM-2 trials despite the use of these data in the economic model. Key results from the open-label extension periods were presented during the evaluation, as these are the only long-term data available for difelikefalin.</w:t>
      </w:r>
    </w:p>
    <w:p w14:paraId="4B6DF737" w14:textId="271EDB34" w:rsidR="006F03D4" w:rsidRPr="001C59C3" w:rsidRDefault="00042C6F" w:rsidP="004F15B1">
      <w:pPr>
        <w:pStyle w:val="COMexecsumnumberedpara"/>
      </w:pPr>
      <w:r w:rsidRPr="001C59C3">
        <w:fldChar w:fldCharType="begin" w:fldLock="1"/>
      </w:r>
      <w:r w:rsidRPr="001C59C3">
        <w:instrText xml:space="preserve"> REF _Ref142579118 \h </w:instrText>
      </w:r>
      <w:r w:rsidRPr="001C59C3">
        <w:fldChar w:fldCharType="separate"/>
      </w:r>
      <w:r w:rsidRPr="001C59C3">
        <w:t xml:space="preserve">Figure </w:t>
      </w:r>
      <w:r w:rsidRPr="009D1BB6">
        <w:t>1</w:t>
      </w:r>
      <w:r w:rsidRPr="001C59C3">
        <w:fldChar w:fldCharType="end"/>
      </w:r>
      <w:r w:rsidRPr="001C59C3">
        <w:t xml:space="preserve"> </w:t>
      </w:r>
      <w:r w:rsidR="006F03D4" w:rsidRPr="001C59C3">
        <w:t xml:space="preserve">presents the mean change from baseline in total 5-D itch score </w:t>
      </w:r>
      <w:r w:rsidR="00792F4E" w:rsidRPr="001C59C3">
        <w:t>in</w:t>
      </w:r>
      <w:r w:rsidR="006F03D4" w:rsidRPr="001C59C3">
        <w:t xml:space="preserve"> the 12-week double-blind treatment period and 52-week open-label extension </w:t>
      </w:r>
      <w:r w:rsidR="00792F4E" w:rsidRPr="001C59C3">
        <w:t>of</w:t>
      </w:r>
      <w:r w:rsidR="006F03D4" w:rsidRPr="001C59C3">
        <w:t xml:space="preserve"> KALM-1.</w:t>
      </w:r>
    </w:p>
    <w:p w14:paraId="1B264A43" w14:textId="56F4F6F1" w:rsidR="00042C6F" w:rsidRPr="001C59C3" w:rsidRDefault="00042C6F" w:rsidP="00042C6F">
      <w:pPr>
        <w:pStyle w:val="Caption"/>
        <w:jc w:val="left"/>
      </w:pPr>
      <w:bookmarkStart w:id="29" w:name="_Ref142579118"/>
      <w:r w:rsidRPr="001C59C3">
        <w:lastRenderedPageBreak/>
        <w:t xml:space="preserve">Figure </w:t>
      </w:r>
      <w:r w:rsidR="007232F8">
        <w:fldChar w:fldCharType="begin" w:fldLock="1"/>
      </w:r>
      <w:r w:rsidR="007232F8">
        <w:instrText xml:space="preserve"> SEQ Figure \* ARABIC </w:instrText>
      </w:r>
      <w:r w:rsidR="007232F8">
        <w:fldChar w:fldCharType="separate"/>
      </w:r>
      <w:r w:rsidR="00824BD1" w:rsidRPr="009D1BB6">
        <w:t>1</w:t>
      </w:r>
      <w:r w:rsidR="007232F8">
        <w:fldChar w:fldCharType="end"/>
      </w:r>
      <w:bookmarkEnd w:id="29"/>
      <w:r w:rsidRPr="001C59C3">
        <w:t>: Mean change from double-blind baseline in total 5-D Itch scale score by visit in KALM-1</w:t>
      </w:r>
    </w:p>
    <w:p w14:paraId="41FD1A22" w14:textId="77777777" w:rsidR="00792F4E" w:rsidRPr="001C59C3" w:rsidRDefault="00792F4E" w:rsidP="00792F4E">
      <w:pPr>
        <w:keepNext/>
        <w:jc w:val="left"/>
        <w:rPr>
          <w:rFonts w:ascii="Arial Narrow" w:eastAsiaTheme="majorEastAsia" w:hAnsi="Arial Narrow" w:cs="Times New Roman"/>
          <w:b/>
          <w:sz w:val="20"/>
        </w:rPr>
      </w:pPr>
      <w:r w:rsidRPr="009D1BB6">
        <w:rPr>
          <w:rFonts w:ascii="Arial Narrow" w:eastAsiaTheme="majorEastAsia" w:hAnsi="Arial Narrow" w:cs="Times New Roman"/>
          <w:b/>
          <w:noProof/>
          <w:sz w:val="20"/>
        </w:rPr>
        <w:drawing>
          <wp:inline distT="0" distB="0" distL="0" distR="0" wp14:anchorId="3B3883BE" wp14:editId="22FCB277">
            <wp:extent cx="5732145" cy="2487930"/>
            <wp:effectExtent l="0" t="0" r="1905" b="7620"/>
            <wp:docPr id="6" name="Picture 6" descr="Figure 1: Mean change from double-blind baseline in total 5-D Itch scale score by visit in KAL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igure 1: Mean change from double-blind baseline in total 5-D Itch scale score by visit in KALM-1"/>
                    <pic:cNvPicPr/>
                  </pic:nvPicPr>
                  <pic:blipFill>
                    <a:blip r:embed="rId8"/>
                    <a:stretch>
                      <a:fillRect/>
                    </a:stretch>
                  </pic:blipFill>
                  <pic:spPr>
                    <a:xfrm>
                      <a:off x="0" y="0"/>
                      <a:ext cx="5732145" cy="2487930"/>
                    </a:xfrm>
                    <a:prstGeom prst="rect">
                      <a:avLst/>
                    </a:prstGeom>
                  </pic:spPr>
                </pic:pic>
              </a:graphicData>
            </a:graphic>
          </wp:inline>
        </w:drawing>
      </w:r>
    </w:p>
    <w:p w14:paraId="25E06B76" w14:textId="4C7C879D" w:rsidR="00792F4E" w:rsidRPr="001C59C3" w:rsidRDefault="00792F4E" w:rsidP="00792F4E">
      <w:pPr>
        <w:pStyle w:val="COMTablefooter"/>
      </w:pPr>
      <w:r w:rsidRPr="001C59C3">
        <w:t>Source: Figure 14, p107 of the ‘Difelikefalin 2.7.3 Summary of Clinical Efficacy’ report, Attachment 8 of the resubmission</w:t>
      </w:r>
    </w:p>
    <w:p w14:paraId="2D8750EE" w14:textId="77777777" w:rsidR="00792F4E" w:rsidRPr="001C59C3" w:rsidRDefault="00792F4E" w:rsidP="00792F4E">
      <w:pPr>
        <w:pStyle w:val="COMTablefooter"/>
      </w:pPr>
      <w:r w:rsidRPr="001C59C3">
        <w:t>Abbreviations: CR845, difelikefalin; DB, double-blind; CI, confidence interval; LS, least squares; OL, open-label</w:t>
      </w:r>
    </w:p>
    <w:p w14:paraId="6D9C3D9B" w14:textId="49257CE2" w:rsidR="00792F4E" w:rsidRPr="001C59C3" w:rsidRDefault="00611B32" w:rsidP="004F15B1">
      <w:pPr>
        <w:pStyle w:val="COMexecsumnumberedpara"/>
      </w:pPr>
      <w:r w:rsidRPr="001C59C3">
        <w:t>The results suggest that improvements in total 5-D Itch scale scores were maintained over time. Similar improvements were observed in patients randomised to placebo who switched to difelikefalin during the extension period.</w:t>
      </w:r>
      <w:r w:rsidR="001B1921" w:rsidRPr="001C59C3">
        <w:t xml:space="preserve"> Observations towards the end of the 52-week study should be interpreted with caution as the sponsor stopped the study early, with approximately 60% of patients completing 52 weeks of treatment.</w:t>
      </w:r>
    </w:p>
    <w:p w14:paraId="13EB85C2" w14:textId="7017BF33" w:rsidR="00F25CC3" w:rsidRPr="001C59C3" w:rsidRDefault="00F25CC3" w:rsidP="004F15B1">
      <w:pPr>
        <w:pStyle w:val="COMexecsumnumberedpara"/>
      </w:pPr>
      <w:r w:rsidRPr="001C59C3">
        <w:fldChar w:fldCharType="begin" w:fldLock="1"/>
      </w:r>
      <w:r w:rsidRPr="001C59C3">
        <w:instrText xml:space="preserve"> REF _Ref142579281 \h </w:instrText>
      </w:r>
      <w:r w:rsidRPr="001C59C3">
        <w:fldChar w:fldCharType="separate"/>
      </w:r>
      <w:r w:rsidRPr="001C59C3">
        <w:t xml:space="preserve">Figure </w:t>
      </w:r>
      <w:r w:rsidRPr="009D1BB6">
        <w:t>2</w:t>
      </w:r>
      <w:r w:rsidRPr="001C59C3">
        <w:fldChar w:fldCharType="end"/>
      </w:r>
      <w:r w:rsidRPr="001C59C3">
        <w:t xml:space="preserve"> presents the mean change from baseline in total 5-D itch score over the 12-week double-blind treatment period and 52-week open-label extension in KALM-2.</w:t>
      </w:r>
    </w:p>
    <w:p w14:paraId="50D2E217" w14:textId="4D21A9A1" w:rsidR="00F25CC3" w:rsidRPr="001C59C3" w:rsidRDefault="00F25CC3" w:rsidP="00F25CC3">
      <w:pPr>
        <w:pStyle w:val="Caption"/>
        <w:jc w:val="left"/>
      </w:pPr>
      <w:bookmarkStart w:id="30" w:name="_Ref142579281"/>
      <w:r w:rsidRPr="001C59C3">
        <w:t xml:space="preserve">Figure </w:t>
      </w:r>
      <w:r w:rsidR="007232F8">
        <w:fldChar w:fldCharType="begin" w:fldLock="1"/>
      </w:r>
      <w:r w:rsidR="007232F8">
        <w:instrText xml:space="preserve"> SEQ Figure \* ARABIC </w:instrText>
      </w:r>
      <w:r w:rsidR="007232F8">
        <w:fldChar w:fldCharType="separate"/>
      </w:r>
      <w:r w:rsidR="00824BD1" w:rsidRPr="009D1BB6">
        <w:t>2</w:t>
      </w:r>
      <w:r w:rsidR="007232F8">
        <w:fldChar w:fldCharType="end"/>
      </w:r>
      <w:bookmarkEnd w:id="30"/>
      <w:r w:rsidRPr="001C59C3">
        <w:t>: Mean change from double-blind baseline in total 5-D Itch scale score by visit in KALM-2</w:t>
      </w:r>
    </w:p>
    <w:p w14:paraId="15B01D1D" w14:textId="77777777" w:rsidR="00F25CC3" w:rsidRPr="001C59C3" w:rsidRDefault="00F25CC3" w:rsidP="00481704">
      <w:pPr>
        <w:keepNext/>
        <w:jc w:val="left"/>
        <w:rPr>
          <w:rFonts w:ascii="Arial Narrow" w:eastAsiaTheme="majorEastAsia" w:hAnsi="Arial Narrow" w:cs="Times New Roman"/>
          <w:b/>
          <w:sz w:val="20"/>
        </w:rPr>
      </w:pPr>
      <w:r w:rsidRPr="009D1BB6">
        <w:rPr>
          <w:rFonts w:ascii="Arial Narrow" w:eastAsiaTheme="majorEastAsia" w:hAnsi="Arial Narrow" w:cs="Times New Roman"/>
          <w:b/>
          <w:noProof/>
          <w:sz w:val="20"/>
        </w:rPr>
        <w:drawing>
          <wp:inline distT="0" distB="0" distL="0" distR="0" wp14:anchorId="5C3F1827" wp14:editId="7CF94BD4">
            <wp:extent cx="5732145" cy="2528570"/>
            <wp:effectExtent l="0" t="0" r="1905" b="5080"/>
            <wp:docPr id="11" name="Picture 11" descr="Figure 2: Mean change from double-blind baseline in total 5-D Itch scale score by visit in KAL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Figure 2: Mean change from double-blind baseline in total 5-D Itch scale score by visit in KALM-2"/>
                    <pic:cNvPicPr/>
                  </pic:nvPicPr>
                  <pic:blipFill>
                    <a:blip r:embed="rId9"/>
                    <a:stretch>
                      <a:fillRect/>
                    </a:stretch>
                  </pic:blipFill>
                  <pic:spPr>
                    <a:xfrm>
                      <a:off x="0" y="0"/>
                      <a:ext cx="5732145" cy="2528570"/>
                    </a:xfrm>
                    <a:prstGeom prst="rect">
                      <a:avLst/>
                    </a:prstGeom>
                  </pic:spPr>
                </pic:pic>
              </a:graphicData>
            </a:graphic>
          </wp:inline>
        </w:drawing>
      </w:r>
    </w:p>
    <w:p w14:paraId="20599B3B" w14:textId="1C4B2EA9" w:rsidR="00F25CC3" w:rsidRPr="00A97352" w:rsidRDefault="00F25CC3" w:rsidP="00621588">
      <w:pPr>
        <w:keepNext/>
        <w:jc w:val="left"/>
        <w:rPr>
          <w:szCs w:val="18"/>
        </w:rPr>
      </w:pPr>
      <w:r w:rsidRPr="00621588">
        <w:rPr>
          <w:rFonts w:ascii="Arial Narrow" w:hAnsi="Arial Narrow"/>
          <w:sz w:val="18"/>
          <w:szCs w:val="18"/>
        </w:rPr>
        <w:t xml:space="preserve">Source: Figure 16, p109 of the ‘Difelikefalin 2.7.3 Summary of Clinical Efficacy’ report, Attachment 8 of the resubmission </w:t>
      </w:r>
    </w:p>
    <w:p w14:paraId="28A4FB08" w14:textId="77777777" w:rsidR="00F25CC3" w:rsidRPr="001C59C3" w:rsidRDefault="00F25CC3" w:rsidP="00F25CC3">
      <w:pPr>
        <w:pStyle w:val="COMTablefooter"/>
      </w:pPr>
      <w:r w:rsidRPr="001C59C3">
        <w:t>Abbreviations: CR845, difelikefalin; DB, double-blind; CI, confidence interval; LS, least squares; OL, open-label</w:t>
      </w:r>
    </w:p>
    <w:p w14:paraId="4EEBF4DC" w14:textId="4C515F7E" w:rsidR="00B2275C" w:rsidRPr="001C59C3" w:rsidRDefault="00F25CC3" w:rsidP="004F15B1">
      <w:pPr>
        <w:pStyle w:val="COMexecsumnumberedpara"/>
      </w:pPr>
      <w:r w:rsidRPr="001C59C3">
        <w:t xml:space="preserve">Improvements in 5-D Itch scale score associated with difelikefalin treatment were maintained for both treatment sequence groups through Week 36 of the extension </w:t>
      </w:r>
      <w:r w:rsidRPr="001C59C3">
        <w:lastRenderedPageBreak/>
        <w:t>period.</w:t>
      </w:r>
      <w:r w:rsidRPr="001C59C3">
        <w:rPr>
          <w:i/>
          <w:iCs/>
        </w:rPr>
        <w:t xml:space="preserve"> </w:t>
      </w:r>
      <w:r w:rsidRPr="001C59C3">
        <w:t>Data beyond Week 36 was not reported as the sponsor stopped the study early.</w:t>
      </w:r>
    </w:p>
    <w:p w14:paraId="2F4154CB" w14:textId="478459D3" w:rsidR="00625578" w:rsidRPr="001C59C3" w:rsidRDefault="00625578" w:rsidP="004F15B1">
      <w:pPr>
        <w:pStyle w:val="COMexecsumnumberedpara"/>
      </w:pPr>
      <w:r w:rsidRPr="001C59C3">
        <w:t xml:space="preserve">No quality of life outcomes </w:t>
      </w:r>
      <w:r w:rsidR="009101AD" w:rsidRPr="001C59C3">
        <w:t>based on generic instruments (e.g. EQ-5D, SF-36) were captured in the key trials.</w:t>
      </w:r>
    </w:p>
    <w:p w14:paraId="5A486ED4" w14:textId="6560E5C2" w:rsidR="009101AD" w:rsidRPr="001C59C3" w:rsidRDefault="009101AD" w:rsidP="004F15B1">
      <w:pPr>
        <w:pStyle w:val="COMexecsumnumberedpara"/>
      </w:pPr>
      <w:r w:rsidRPr="001C59C3">
        <w:t>There were no pre-specified subgroup analyses in the key trials.</w:t>
      </w:r>
    </w:p>
    <w:p w14:paraId="53201AC9" w14:textId="7F4B74B6" w:rsidR="00CC7456" w:rsidRPr="001C59C3" w:rsidRDefault="00CC7456" w:rsidP="00CC7456">
      <w:pPr>
        <w:pStyle w:val="COMexecsumnumberedpara"/>
        <w:numPr>
          <w:ilvl w:val="1"/>
          <w:numId w:val="1"/>
        </w:numPr>
      </w:pPr>
      <w:r w:rsidRPr="001C59C3">
        <w:t xml:space="preserve">The </w:t>
      </w:r>
      <w:r w:rsidR="00855A86" w:rsidRPr="001C59C3">
        <w:t>re</w:t>
      </w:r>
      <w:r w:rsidRPr="001C59C3">
        <w:t xml:space="preserve">submission presented results from a post hoc subgroup analysis for patients with ≥3-point and ≥4-point improvements in WI-NRS from baseline to Week 12, using pooled data across the KALM-1 and KALM-2 trials. Results were generally consistent with those in the overall population. </w:t>
      </w:r>
      <w:r w:rsidR="00552231" w:rsidRPr="001C59C3">
        <w:t>The results should be interpreted with caution as they were conducted post hoc with no testing for treatment effect interactions.</w:t>
      </w:r>
    </w:p>
    <w:p w14:paraId="33F5AAC2" w14:textId="6806B6D9" w:rsidR="009101AD" w:rsidRPr="001C59C3" w:rsidRDefault="00CC5FC0" w:rsidP="004F15B1">
      <w:pPr>
        <w:pStyle w:val="COMexecsumnumberedpara"/>
      </w:pPr>
      <w:r w:rsidRPr="001C59C3">
        <w:t>No subgroup characteristics or results were presented for patients with 5-D Itch score ≥12 at baseline who were responders (defined as ≥5-point improvement at 12 weeks) in the KALM trials, used to inform the extrapolated period of the economic model.</w:t>
      </w:r>
    </w:p>
    <w:p w14:paraId="130BE32D" w14:textId="6562CFC4" w:rsidR="000446DE" w:rsidRPr="001C59C3" w:rsidRDefault="000446DE" w:rsidP="004F15B1">
      <w:pPr>
        <w:pStyle w:val="COMexecsumnumberedpara"/>
      </w:pPr>
      <w:r w:rsidRPr="001C59C3">
        <w:t>The following supportive data have not previously been considered by the PBAC.</w:t>
      </w:r>
    </w:p>
    <w:p w14:paraId="25CD9AE7" w14:textId="2D956622" w:rsidR="00CC5FC0" w:rsidRPr="001C59C3" w:rsidRDefault="00C55F4B" w:rsidP="004F15B1">
      <w:pPr>
        <w:pStyle w:val="COMexecsumnumberedpara"/>
      </w:pPr>
      <w:r w:rsidRPr="001C59C3">
        <w:t xml:space="preserve">The resubmission provided a brief discussion of a correlation study between itch intensity and sleep quality based on </w:t>
      </w:r>
      <w:r w:rsidRPr="001C59C3">
        <w:rPr>
          <w:i/>
          <w:iCs/>
        </w:rPr>
        <w:t>post hoc</w:t>
      </w:r>
      <w:r w:rsidRPr="001C59C3">
        <w:t xml:space="preserve"> analyses of patient reported outcomes from the key trials (KALM-1 and KALM-2) and a Phase III single-arm study of difelikefalin (CLIN3105). </w:t>
      </w:r>
      <w:r w:rsidR="00570D6D" w:rsidRPr="001C59C3">
        <w:t xml:space="preserve">The study </w:t>
      </w:r>
      <w:r w:rsidR="00184077" w:rsidRPr="001C59C3">
        <w:t>assess</w:t>
      </w:r>
      <w:r w:rsidR="00570D6D" w:rsidRPr="001C59C3">
        <w:t>ed</w:t>
      </w:r>
      <w:r w:rsidR="00184077" w:rsidRPr="001C59C3">
        <w:t xml:space="preserve"> the relationship between </w:t>
      </w:r>
      <w:r w:rsidR="008D782B" w:rsidRPr="001C59C3">
        <w:t>WI-NRS</w:t>
      </w:r>
      <w:r w:rsidR="00CE7A3D" w:rsidRPr="001C59C3">
        <w:t xml:space="preserve"> score</w:t>
      </w:r>
      <w:r w:rsidR="00B12EE6" w:rsidRPr="001C59C3">
        <w:t xml:space="preserve">s, a sleep quality </w:t>
      </w:r>
      <w:r w:rsidR="0078041C" w:rsidRPr="001C59C3">
        <w:t>numeric</w:t>
      </w:r>
      <w:r w:rsidR="00B12EE6" w:rsidRPr="001C59C3">
        <w:t xml:space="preserve"> rating scale</w:t>
      </w:r>
      <w:r w:rsidR="008D782B" w:rsidRPr="001C59C3">
        <w:t xml:space="preserve"> </w:t>
      </w:r>
      <w:r w:rsidR="00FB2734" w:rsidRPr="001C59C3">
        <w:t xml:space="preserve">and </w:t>
      </w:r>
      <w:r w:rsidR="008D782B" w:rsidRPr="001C59C3">
        <w:t>5</w:t>
      </w:r>
      <w:r w:rsidR="008D782B" w:rsidRPr="001C59C3">
        <w:noBreakHyphen/>
        <w:t xml:space="preserve">D Itch sleep disability question </w:t>
      </w:r>
      <w:r w:rsidR="00570D6D" w:rsidRPr="001C59C3">
        <w:t>using Spearman correlation coefficients.</w:t>
      </w:r>
      <w:r w:rsidR="00570D6D" w:rsidRPr="001C59C3">
        <w:rPr>
          <w:i/>
          <w:iCs/>
        </w:rPr>
        <w:t xml:space="preserve"> </w:t>
      </w:r>
    </w:p>
    <w:p w14:paraId="0E83B225" w14:textId="7B4A9196" w:rsidR="008E2C83" w:rsidRPr="001C59C3" w:rsidRDefault="00B17855" w:rsidP="00B04A6F">
      <w:pPr>
        <w:pStyle w:val="COMexecsumnumberedpara"/>
      </w:pPr>
      <w:r w:rsidRPr="001C59C3">
        <w:t>The resubmission claimed the results indicated a moderate to strong correlation between itch reduction and improved sleep quality. The resubmission also claimed that improvements in sleep quality associated with difelikefalin treatment would translate to meaningful improvements in quality of life. These claims were inadequately supported based on data from the post hoc analyses. The study authors stated that the results should be interpreted with caution due to the exploratory nature of the analyses, with additional limitations due to differences in study design and data capture between the KALM trials and CLIN3105 study. The impact of improvements in itch intensity on quality of life remains uncertain given the lack of generic preference-based quality of life data from the placebo-controlled trials</w:t>
      </w:r>
      <w:r w:rsidR="008E2C83" w:rsidRPr="001C59C3">
        <w:t>.</w:t>
      </w:r>
      <w:r w:rsidR="00B04A6F" w:rsidRPr="001C59C3">
        <w:t xml:space="preserve"> </w:t>
      </w:r>
      <w:r w:rsidR="00F52ACF" w:rsidRPr="001C59C3">
        <w:t>Overall, the results suggest improvements in the proportion of patients reporting no problems in individual domains of the EQ-5D descriptive system and skin irritation measures of the disease-specific EQ-PSO. However, there were relatively small improvements based on the EQ-VAS and no detectable changes based on the EQ-5D QALY weight. These results should be interpreted with caution due to the exploratory nature of the analyses from a single-arm study.</w:t>
      </w:r>
    </w:p>
    <w:p w14:paraId="061B3EEB" w14:textId="1748C16A" w:rsidR="00081D1B" w:rsidRPr="001C59C3" w:rsidRDefault="00BF3ECB" w:rsidP="004F15B1">
      <w:pPr>
        <w:pStyle w:val="COMexecsumnumberedpara"/>
      </w:pPr>
      <w:r w:rsidRPr="001C59C3">
        <w:t xml:space="preserve">The resubmission provided a brief description of preliminary data from the sponsor’s difelikefalin managed access program in Europe (Kraft 2023, Letter to the Editor). A total of 15 patients on haemodialysis with moderate to severe CKD-associated pruritus (defined as WI-NRS ≥ 4) were treated with difelikefalin from November 2021 to </w:t>
      </w:r>
      <w:r w:rsidRPr="001C59C3">
        <w:lastRenderedPageBreak/>
        <w:t>October 2022. The majority of patients (13 out of 15) achieved a reduction in WI-NRS of at least 3 points. Most patients (12 out of 15) also reported improved quality of life, with 8 patients describing a change from severe impairment (SADS C) to mild impairment (SADS A) of quality of life. Time to response to difelikefalin was between 2 and 8 weeks, with almost half of the patients reporting meaningful improvement 2</w:t>
      </w:r>
      <w:r w:rsidR="00D014A3">
        <w:t> </w:t>
      </w:r>
      <w:r w:rsidRPr="001C59C3">
        <w:t xml:space="preserve">weeks after commencing treatment. The study authors noted that the study was uncontrolled therefore placebo effects </w:t>
      </w:r>
      <w:r w:rsidR="00FC0ED0" w:rsidRPr="001C59C3">
        <w:t xml:space="preserve">(which </w:t>
      </w:r>
      <w:r w:rsidR="00AB1D58" w:rsidRPr="001C59C3">
        <w:t xml:space="preserve">the ESC noted </w:t>
      </w:r>
      <w:r w:rsidR="00FC0ED0" w:rsidRPr="001C59C3">
        <w:t xml:space="preserve">were high in the randomised trials) </w:t>
      </w:r>
      <w:r w:rsidRPr="001C59C3">
        <w:t>cannot be ruled out.</w:t>
      </w:r>
    </w:p>
    <w:p w14:paraId="58B6DF7E" w14:textId="18EF8B3F" w:rsidR="00F36974" w:rsidRPr="001C59C3" w:rsidRDefault="005A30C6" w:rsidP="004F15B1">
      <w:pPr>
        <w:pStyle w:val="COMexecsumnumberedpara"/>
      </w:pPr>
      <w:r w:rsidRPr="001C59C3">
        <w:t>The resubmission presented a comparison of selected baseline characteristics between the Australian/New Zealand subgroup (n=31) in the KALM-2 trial with whole trial populations in KALM-1 and KALM-2. The resubmission stated the number of Australian/New Zealand patients in the trial was small, therefore comparisons with whole trial populations should be interpreted with caution. The resubmission claimed that there are no other data available that could be used to characterise Australian haemodialysis patients with CKD-associated pruritus. These data were previously considered by the PBAC.</w:t>
      </w:r>
    </w:p>
    <w:p w14:paraId="6E5F72C6" w14:textId="3F2CBAA1" w:rsidR="005A30C6" w:rsidRPr="001C59C3" w:rsidRDefault="0017262C" w:rsidP="004F15B1">
      <w:pPr>
        <w:pStyle w:val="COMexecsumnumberedpara"/>
      </w:pPr>
      <w:r w:rsidRPr="001C59C3">
        <w:t>There were potential differences in terms of demographics and renal disease characteristics (e.g. age, co-morbidities), haemodialysis requirements, the assessment of CKD-associated pruritus and disease severity, and best supportive care treatments. Regional differences in treatment and placebo response rates were also observed in the key trials, with a smaller difelikefalin treatment effect observed in the KALM-2 global trial compared to the US-based KALM-1 trial.</w:t>
      </w:r>
    </w:p>
    <w:p w14:paraId="554BE594" w14:textId="3ADD68D6" w:rsidR="0017262C" w:rsidRPr="001C59C3" w:rsidRDefault="0017262C" w:rsidP="004F15B1">
      <w:pPr>
        <w:pStyle w:val="COMexecsumnumberedpara"/>
      </w:pPr>
      <w:r w:rsidRPr="001C59C3">
        <w:t xml:space="preserve">The resubmission argued that results from post hoc subgroup analyses </w:t>
      </w:r>
      <w:r w:rsidR="00AD4FE5" w:rsidRPr="001C59C3">
        <w:t xml:space="preserve">using the pooled KALM-1 and KALM-2 data </w:t>
      </w:r>
      <w:r w:rsidRPr="001C59C3">
        <w:t xml:space="preserve">do not suggest meaningful differences in treatment effect based on any observed differences. The ESC previously considered the </w:t>
      </w:r>
      <w:r w:rsidR="002824BA" w:rsidRPr="001C59C3">
        <w:t xml:space="preserve">post hoc </w:t>
      </w:r>
      <w:r w:rsidRPr="001C59C3">
        <w:t>analyses provided were not sufficiently reliable to exclude a different magnitude of benefit in the PBS population compared to the key trials (para 6.58, difelikefalin PSD, March 2023 PBAC meeting).</w:t>
      </w:r>
    </w:p>
    <w:p w14:paraId="1452C351" w14:textId="04F85588" w:rsidR="00B60939" w:rsidRPr="001C59C3" w:rsidRDefault="00B60939" w:rsidP="00D86231">
      <w:pPr>
        <w:pStyle w:val="COMH2-non-numbered"/>
      </w:pPr>
      <w:bookmarkStart w:id="31" w:name="_Toc22897642"/>
      <w:bookmarkStart w:id="32" w:name="_Toc144890470"/>
      <w:r w:rsidRPr="001C59C3">
        <w:t>Comparative harms</w:t>
      </w:r>
      <w:bookmarkEnd w:id="31"/>
      <w:bookmarkEnd w:id="32"/>
    </w:p>
    <w:p w14:paraId="2DAF16D1" w14:textId="5558E32D" w:rsidR="00B60939" w:rsidRPr="001C59C3" w:rsidRDefault="00F65231" w:rsidP="004F15B1">
      <w:pPr>
        <w:pStyle w:val="COMexecsumnumberedpara"/>
      </w:pPr>
      <w:r w:rsidRPr="001C59C3">
        <w:fldChar w:fldCharType="begin" w:fldLock="1"/>
      </w:r>
      <w:r w:rsidRPr="001C59C3">
        <w:instrText xml:space="preserve"> REF _Ref142580902 \h </w:instrText>
      </w:r>
      <w:r w:rsidRPr="001C59C3">
        <w:fldChar w:fldCharType="separate"/>
      </w:r>
      <w:r w:rsidRPr="001C59C3">
        <w:t xml:space="preserve">Table </w:t>
      </w:r>
      <w:r w:rsidRPr="009D1BB6">
        <w:t>6</w:t>
      </w:r>
      <w:r w:rsidRPr="001C59C3">
        <w:fldChar w:fldCharType="end"/>
      </w:r>
      <w:r w:rsidRPr="001C59C3">
        <w:t xml:space="preserve"> presents adverse event data from the </w:t>
      </w:r>
      <w:r w:rsidR="00AD4FE5" w:rsidRPr="001C59C3">
        <w:t xml:space="preserve">12-week </w:t>
      </w:r>
      <w:r w:rsidRPr="001C59C3">
        <w:t>double-blind period of the key trials</w:t>
      </w:r>
      <w:r w:rsidR="00B108B4" w:rsidRPr="001C59C3">
        <w:t xml:space="preserve"> previously considered by the PBAC</w:t>
      </w:r>
      <w:r w:rsidRPr="001C59C3">
        <w:t>.</w:t>
      </w:r>
    </w:p>
    <w:p w14:paraId="1CB2712D" w14:textId="6638B944" w:rsidR="001C282F" w:rsidRPr="001C59C3" w:rsidRDefault="001C282F" w:rsidP="001C282F">
      <w:pPr>
        <w:pStyle w:val="COMtablefigcaption"/>
      </w:pPr>
      <w:bookmarkStart w:id="33" w:name="_Ref142580902"/>
      <w:r w:rsidRPr="001C59C3">
        <w:lastRenderedPageBreak/>
        <w:t xml:space="preserve">Table </w:t>
      </w:r>
      <w:r w:rsidR="007232F8">
        <w:fldChar w:fldCharType="begin" w:fldLock="1"/>
      </w:r>
      <w:r w:rsidR="007232F8">
        <w:instrText xml:space="preserve"> SEQ Table \* ARABIC </w:instrText>
      </w:r>
      <w:r w:rsidR="007232F8">
        <w:fldChar w:fldCharType="separate"/>
      </w:r>
      <w:r w:rsidR="008D1964" w:rsidRPr="009D1BB6">
        <w:t>6</w:t>
      </w:r>
      <w:r w:rsidR="007232F8">
        <w:fldChar w:fldCharType="end"/>
      </w:r>
      <w:bookmarkEnd w:id="33"/>
      <w:r w:rsidRPr="001C59C3">
        <w:t>: Summary of adverse events during the double-blind period of the key trials</w:t>
      </w:r>
    </w:p>
    <w:tbl>
      <w:tblPr>
        <w:tblStyle w:val="TableGrid"/>
        <w:tblW w:w="5000" w:type="pct"/>
        <w:tblCellMar>
          <w:left w:w="57" w:type="dxa"/>
          <w:right w:w="57" w:type="dxa"/>
        </w:tblCellMar>
        <w:tblLook w:val="04A0" w:firstRow="1" w:lastRow="0" w:firstColumn="1" w:lastColumn="0" w:noHBand="0" w:noVBand="1"/>
      </w:tblPr>
      <w:tblGrid>
        <w:gridCol w:w="2011"/>
        <w:gridCol w:w="896"/>
        <w:gridCol w:w="923"/>
        <w:gridCol w:w="867"/>
        <w:gridCol w:w="940"/>
        <w:gridCol w:w="846"/>
        <w:gridCol w:w="846"/>
        <w:gridCol w:w="846"/>
        <w:gridCol w:w="842"/>
      </w:tblGrid>
      <w:tr w:rsidR="001C282F" w:rsidRPr="001C59C3" w14:paraId="5F2009AF" w14:textId="77777777" w:rsidTr="00946816">
        <w:tc>
          <w:tcPr>
            <w:tcW w:w="1115" w:type="pct"/>
            <w:vMerge w:val="restart"/>
            <w:vAlign w:val="center"/>
          </w:tcPr>
          <w:p w14:paraId="04AC8340" w14:textId="77777777" w:rsidR="001C282F" w:rsidRPr="009D1BB6" w:rsidRDefault="001C282F" w:rsidP="00776D51">
            <w:pPr>
              <w:keepNext/>
              <w:jc w:val="left"/>
              <w:rPr>
                <w:rFonts w:ascii="Arial Narrow" w:eastAsiaTheme="majorEastAsia" w:hAnsi="Arial Narrow" w:cs="Times New Roman"/>
                <w:b/>
                <w:sz w:val="20"/>
              </w:rPr>
            </w:pPr>
          </w:p>
        </w:tc>
        <w:tc>
          <w:tcPr>
            <w:tcW w:w="2011" w:type="pct"/>
            <w:gridSpan w:val="4"/>
            <w:vAlign w:val="center"/>
          </w:tcPr>
          <w:p w14:paraId="6933CEB1" w14:textId="77777777" w:rsidR="001C282F" w:rsidRPr="009D1BB6" w:rsidRDefault="001C282F" w:rsidP="00776D51">
            <w:pPr>
              <w:keepNext/>
              <w:jc w:val="center"/>
              <w:rPr>
                <w:rFonts w:ascii="Arial Narrow" w:eastAsiaTheme="majorEastAsia" w:hAnsi="Arial Narrow" w:cs="Times New Roman"/>
                <w:b/>
                <w:sz w:val="20"/>
              </w:rPr>
            </w:pPr>
            <w:r w:rsidRPr="009D1BB6">
              <w:rPr>
                <w:rFonts w:ascii="Arial Narrow" w:eastAsiaTheme="majorEastAsia" w:hAnsi="Arial Narrow" w:cs="Times New Roman"/>
                <w:b/>
                <w:sz w:val="20"/>
              </w:rPr>
              <w:t>Patients with events, n (%)</w:t>
            </w:r>
          </w:p>
        </w:tc>
        <w:tc>
          <w:tcPr>
            <w:tcW w:w="1874" w:type="pct"/>
            <w:gridSpan w:val="4"/>
            <w:vAlign w:val="center"/>
          </w:tcPr>
          <w:p w14:paraId="038D4F18" w14:textId="77777777" w:rsidR="001C282F" w:rsidRPr="009D1BB6" w:rsidRDefault="001C282F" w:rsidP="00776D51">
            <w:pPr>
              <w:keepNext/>
              <w:jc w:val="center"/>
              <w:rPr>
                <w:rFonts w:ascii="Arial Narrow" w:eastAsiaTheme="majorEastAsia" w:hAnsi="Arial Narrow" w:cs="Times New Roman"/>
                <w:b/>
                <w:sz w:val="20"/>
              </w:rPr>
            </w:pPr>
            <w:r w:rsidRPr="009D1BB6">
              <w:rPr>
                <w:rFonts w:ascii="Arial Narrow" w:eastAsiaTheme="majorEastAsia" w:hAnsi="Arial Narrow" w:cs="Times New Roman"/>
                <w:b/>
                <w:sz w:val="20"/>
              </w:rPr>
              <w:t>Events and incidence rate</w:t>
            </w:r>
          </w:p>
        </w:tc>
      </w:tr>
      <w:tr w:rsidR="001C282F" w:rsidRPr="001C59C3" w14:paraId="1992EF17" w14:textId="77777777" w:rsidTr="00946816">
        <w:tc>
          <w:tcPr>
            <w:tcW w:w="1115" w:type="pct"/>
            <w:vMerge/>
            <w:vAlign w:val="center"/>
          </w:tcPr>
          <w:p w14:paraId="6B2060BA" w14:textId="77777777" w:rsidR="001C282F" w:rsidRPr="009D1BB6" w:rsidRDefault="001C282F" w:rsidP="00776D51">
            <w:pPr>
              <w:keepNext/>
              <w:jc w:val="left"/>
              <w:rPr>
                <w:rFonts w:ascii="Arial Narrow" w:eastAsiaTheme="majorEastAsia" w:hAnsi="Arial Narrow" w:cs="Times New Roman"/>
                <w:b/>
                <w:sz w:val="20"/>
              </w:rPr>
            </w:pPr>
          </w:p>
        </w:tc>
        <w:tc>
          <w:tcPr>
            <w:tcW w:w="1009" w:type="pct"/>
            <w:gridSpan w:val="2"/>
            <w:vAlign w:val="center"/>
          </w:tcPr>
          <w:p w14:paraId="542BBDD3" w14:textId="77777777" w:rsidR="001C282F" w:rsidRPr="009D1BB6" w:rsidRDefault="001C282F" w:rsidP="00776D51">
            <w:pPr>
              <w:keepNext/>
              <w:jc w:val="center"/>
              <w:rPr>
                <w:rFonts w:ascii="Arial Narrow" w:eastAsiaTheme="majorEastAsia" w:hAnsi="Arial Narrow" w:cs="Times New Roman"/>
                <w:b/>
                <w:sz w:val="20"/>
              </w:rPr>
            </w:pPr>
            <w:r w:rsidRPr="009D1BB6">
              <w:rPr>
                <w:rFonts w:ascii="Arial Narrow" w:eastAsiaTheme="majorEastAsia" w:hAnsi="Arial Narrow" w:cs="Times New Roman"/>
                <w:b/>
                <w:sz w:val="20"/>
              </w:rPr>
              <w:t>KALM-1</w:t>
            </w:r>
          </w:p>
        </w:tc>
        <w:tc>
          <w:tcPr>
            <w:tcW w:w="1001" w:type="pct"/>
            <w:gridSpan w:val="2"/>
            <w:vAlign w:val="center"/>
          </w:tcPr>
          <w:p w14:paraId="2D1E240A" w14:textId="77777777" w:rsidR="001C282F" w:rsidRPr="009D1BB6" w:rsidRDefault="001C282F" w:rsidP="00776D51">
            <w:pPr>
              <w:keepNext/>
              <w:jc w:val="center"/>
              <w:rPr>
                <w:rFonts w:ascii="Arial Narrow" w:eastAsiaTheme="majorEastAsia" w:hAnsi="Arial Narrow" w:cs="Times New Roman"/>
                <w:b/>
                <w:sz w:val="20"/>
              </w:rPr>
            </w:pPr>
            <w:r w:rsidRPr="009D1BB6">
              <w:rPr>
                <w:rFonts w:ascii="Arial Narrow" w:eastAsiaTheme="majorEastAsia" w:hAnsi="Arial Narrow" w:cs="Times New Roman"/>
                <w:b/>
                <w:sz w:val="20"/>
              </w:rPr>
              <w:t>KALM-2</w:t>
            </w:r>
          </w:p>
        </w:tc>
        <w:tc>
          <w:tcPr>
            <w:tcW w:w="1874" w:type="pct"/>
            <w:gridSpan w:val="4"/>
            <w:vAlign w:val="center"/>
          </w:tcPr>
          <w:p w14:paraId="78596C0C" w14:textId="77777777" w:rsidR="001C282F" w:rsidRPr="009D1BB6" w:rsidRDefault="001C282F" w:rsidP="00776D51">
            <w:pPr>
              <w:keepNext/>
              <w:jc w:val="center"/>
              <w:rPr>
                <w:rFonts w:ascii="Arial Narrow" w:eastAsiaTheme="majorEastAsia" w:hAnsi="Arial Narrow" w:cs="Times New Roman"/>
                <w:b/>
                <w:sz w:val="20"/>
              </w:rPr>
            </w:pPr>
            <w:r w:rsidRPr="009D1BB6">
              <w:rPr>
                <w:rFonts w:ascii="Arial Narrow" w:eastAsiaTheme="majorEastAsia" w:hAnsi="Arial Narrow" w:cs="Times New Roman"/>
                <w:b/>
                <w:sz w:val="20"/>
              </w:rPr>
              <w:t>Pooled</w:t>
            </w:r>
          </w:p>
        </w:tc>
      </w:tr>
      <w:tr w:rsidR="001C282F" w:rsidRPr="001C59C3" w14:paraId="16CEF85F" w14:textId="77777777" w:rsidTr="00946816">
        <w:tc>
          <w:tcPr>
            <w:tcW w:w="1115" w:type="pct"/>
            <w:vMerge/>
          </w:tcPr>
          <w:p w14:paraId="34EAFA08" w14:textId="77777777" w:rsidR="001C282F" w:rsidRPr="001C59C3" w:rsidRDefault="001C282F" w:rsidP="00776D51">
            <w:pPr>
              <w:keepNext/>
              <w:jc w:val="left"/>
              <w:rPr>
                <w:rFonts w:ascii="Arial Narrow" w:eastAsiaTheme="majorEastAsia" w:hAnsi="Arial Narrow" w:cstheme="majorBidi"/>
                <w:bCs/>
                <w:sz w:val="20"/>
              </w:rPr>
            </w:pPr>
          </w:p>
        </w:tc>
        <w:tc>
          <w:tcPr>
            <w:tcW w:w="497" w:type="pct"/>
            <w:vMerge w:val="restart"/>
            <w:vAlign w:val="center"/>
          </w:tcPr>
          <w:p w14:paraId="3586D2FC" w14:textId="77777777" w:rsidR="001C282F" w:rsidRPr="009D1BB6" w:rsidRDefault="001C282F" w:rsidP="00776D51">
            <w:pPr>
              <w:keepNext/>
              <w:jc w:val="center"/>
              <w:rPr>
                <w:rFonts w:ascii="Arial Narrow" w:eastAsiaTheme="majorEastAsia" w:hAnsi="Arial Narrow" w:cs="Times New Roman"/>
                <w:b/>
                <w:sz w:val="20"/>
              </w:rPr>
            </w:pPr>
            <w:r w:rsidRPr="009D1BB6">
              <w:rPr>
                <w:rFonts w:ascii="Arial Narrow" w:eastAsiaTheme="majorEastAsia" w:hAnsi="Arial Narrow" w:cs="Times New Roman"/>
                <w:b/>
                <w:sz w:val="20"/>
              </w:rPr>
              <w:t>DFK</w:t>
            </w:r>
          </w:p>
          <w:p w14:paraId="1058CB5E" w14:textId="77777777" w:rsidR="001C282F" w:rsidRPr="009D1BB6" w:rsidRDefault="001C282F" w:rsidP="00776D51">
            <w:pPr>
              <w:keepNext/>
              <w:jc w:val="center"/>
              <w:rPr>
                <w:rFonts w:ascii="Arial Narrow" w:eastAsiaTheme="majorEastAsia" w:hAnsi="Arial Narrow" w:cs="Times New Roman"/>
                <w:b/>
                <w:sz w:val="20"/>
              </w:rPr>
            </w:pPr>
            <w:r w:rsidRPr="009D1BB6">
              <w:rPr>
                <w:rFonts w:ascii="Arial Narrow" w:eastAsiaTheme="majorEastAsia" w:hAnsi="Arial Narrow" w:cs="Times New Roman"/>
                <w:b/>
                <w:sz w:val="20"/>
              </w:rPr>
              <w:t>N=189</w:t>
            </w:r>
          </w:p>
        </w:tc>
        <w:tc>
          <w:tcPr>
            <w:tcW w:w="512" w:type="pct"/>
            <w:vMerge w:val="restart"/>
            <w:vAlign w:val="center"/>
          </w:tcPr>
          <w:p w14:paraId="397E8301" w14:textId="77777777" w:rsidR="001C282F" w:rsidRPr="009D1BB6" w:rsidRDefault="001C282F" w:rsidP="00776D51">
            <w:pPr>
              <w:keepNext/>
              <w:jc w:val="center"/>
              <w:rPr>
                <w:rFonts w:ascii="Arial Narrow" w:eastAsiaTheme="majorEastAsia" w:hAnsi="Arial Narrow" w:cs="Times New Roman"/>
                <w:b/>
                <w:sz w:val="20"/>
              </w:rPr>
            </w:pPr>
            <w:r w:rsidRPr="009D1BB6">
              <w:rPr>
                <w:rFonts w:ascii="Arial Narrow" w:eastAsiaTheme="majorEastAsia" w:hAnsi="Arial Narrow" w:cs="Times New Roman"/>
                <w:b/>
                <w:sz w:val="20"/>
              </w:rPr>
              <w:t>PBO</w:t>
            </w:r>
          </w:p>
          <w:p w14:paraId="45749D7F" w14:textId="77777777" w:rsidR="001C282F" w:rsidRPr="009D1BB6" w:rsidRDefault="001C282F" w:rsidP="00776D51">
            <w:pPr>
              <w:keepNext/>
              <w:jc w:val="center"/>
              <w:rPr>
                <w:rFonts w:ascii="Arial Narrow" w:eastAsiaTheme="majorEastAsia" w:hAnsi="Arial Narrow" w:cs="Times New Roman"/>
                <w:b/>
                <w:sz w:val="20"/>
              </w:rPr>
            </w:pPr>
            <w:r w:rsidRPr="009D1BB6">
              <w:rPr>
                <w:rFonts w:ascii="Arial Narrow" w:eastAsiaTheme="majorEastAsia" w:hAnsi="Arial Narrow" w:cs="Times New Roman"/>
                <w:b/>
                <w:sz w:val="20"/>
              </w:rPr>
              <w:t>N=188</w:t>
            </w:r>
          </w:p>
        </w:tc>
        <w:tc>
          <w:tcPr>
            <w:tcW w:w="481" w:type="pct"/>
            <w:vMerge w:val="restart"/>
            <w:vAlign w:val="center"/>
          </w:tcPr>
          <w:p w14:paraId="25CAECB3" w14:textId="77777777" w:rsidR="001C282F" w:rsidRPr="009D1BB6" w:rsidRDefault="001C282F" w:rsidP="00776D51">
            <w:pPr>
              <w:keepNext/>
              <w:jc w:val="center"/>
              <w:rPr>
                <w:rFonts w:ascii="Arial Narrow" w:eastAsiaTheme="majorEastAsia" w:hAnsi="Arial Narrow" w:cs="Times New Roman"/>
                <w:b/>
                <w:sz w:val="20"/>
              </w:rPr>
            </w:pPr>
            <w:r w:rsidRPr="009D1BB6">
              <w:rPr>
                <w:rFonts w:ascii="Arial Narrow" w:eastAsiaTheme="majorEastAsia" w:hAnsi="Arial Narrow" w:cs="Times New Roman"/>
                <w:b/>
                <w:sz w:val="20"/>
              </w:rPr>
              <w:t>DFK</w:t>
            </w:r>
          </w:p>
          <w:p w14:paraId="74E76784" w14:textId="77777777" w:rsidR="001C282F" w:rsidRPr="009D1BB6" w:rsidRDefault="001C282F" w:rsidP="00776D51">
            <w:pPr>
              <w:keepNext/>
              <w:jc w:val="center"/>
              <w:rPr>
                <w:rFonts w:ascii="Arial Narrow" w:eastAsiaTheme="majorEastAsia" w:hAnsi="Arial Narrow" w:cs="Times New Roman"/>
                <w:b/>
                <w:sz w:val="20"/>
              </w:rPr>
            </w:pPr>
            <w:r w:rsidRPr="009D1BB6">
              <w:rPr>
                <w:rFonts w:ascii="Arial Narrow" w:eastAsiaTheme="majorEastAsia" w:hAnsi="Arial Narrow" w:cs="Times New Roman"/>
                <w:b/>
                <w:sz w:val="20"/>
              </w:rPr>
              <w:t>N=235</w:t>
            </w:r>
          </w:p>
        </w:tc>
        <w:tc>
          <w:tcPr>
            <w:tcW w:w="520" w:type="pct"/>
            <w:vMerge w:val="restart"/>
            <w:vAlign w:val="center"/>
          </w:tcPr>
          <w:p w14:paraId="6C7B20A5" w14:textId="77777777" w:rsidR="001C282F" w:rsidRPr="009D1BB6" w:rsidRDefault="001C282F" w:rsidP="00776D51">
            <w:pPr>
              <w:keepNext/>
              <w:jc w:val="center"/>
              <w:rPr>
                <w:rFonts w:ascii="Arial Narrow" w:eastAsiaTheme="majorEastAsia" w:hAnsi="Arial Narrow" w:cs="Times New Roman"/>
                <w:b/>
                <w:sz w:val="20"/>
              </w:rPr>
            </w:pPr>
            <w:r w:rsidRPr="009D1BB6">
              <w:rPr>
                <w:rFonts w:ascii="Arial Narrow" w:eastAsiaTheme="majorEastAsia" w:hAnsi="Arial Narrow" w:cs="Times New Roman"/>
                <w:b/>
                <w:sz w:val="20"/>
              </w:rPr>
              <w:t>PBO</w:t>
            </w:r>
          </w:p>
          <w:p w14:paraId="4AA05725" w14:textId="77777777" w:rsidR="001C282F" w:rsidRPr="009D1BB6" w:rsidRDefault="001C282F" w:rsidP="00776D51">
            <w:pPr>
              <w:keepNext/>
              <w:jc w:val="center"/>
              <w:rPr>
                <w:rFonts w:ascii="Arial Narrow" w:eastAsiaTheme="majorEastAsia" w:hAnsi="Arial Narrow" w:cs="Times New Roman"/>
                <w:b/>
                <w:sz w:val="20"/>
              </w:rPr>
            </w:pPr>
            <w:r w:rsidRPr="009D1BB6">
              <w:rPr>
                <w:rFonts w:ascii="Arial Narrow" w:eastAsiaTheme="majorEastAsia" w:hAnsi="Arial Narrow" w:cs="Times New Roman"/>
                <w:b/>
                <w:sz w:val="20"/>
              </w:rPr>
              <w:t>N=236</w:t>
            </w:r>
          </w:p>
        </w:tc>
        <w:tc>
          <w:tcPr>
            <w:tcW w:w="937" w:type="pct"/>
            <w:gridSpan w:val="2"/>
            <w:vAlign w:val="center"/>
          </w:tcPr>
          <w:p w14:paraId="043C145D" w14:textId="77777777" w:rsidR="001C282F" w:rsidRPr="009D1BB6" w:rsidRDefault="001C282F" w:rsidP="00776D51">
            <w:pPr>
              <w:keepNext/>
              <w:jc w:val="center"/>
              <w:rPr>
                <w:rFonts w:ascii="Arial Narrow" w:eastAsiaTheme="majorEastAsia" w:hAnsi="Arial Narrow" w:cs="Times New Roman"/>
                <w:b/>
                <w:sz w:val="20"/>
              </w:rPr>
            </w:pPr>
            <w:r w:rsidRPr="009D1BB6">
              <w:rPr>
                <w:rFonts w:ascii="Arial Narrow" w:eastAsiaTheme="majorEastAsia" w:hAnsi="Arial Narrow" w:cs="Times New Roman"/>
                <w:b/>
                <w:sz w:val="20"/>
              </w:rPr>
              <w:t>DFK</w:t>
            </w:r>
          </w:p>
          <w:p w14:paraId="0FE5F92C" w14:textId="77777777" w:rsidR="001C282F" w:rsidRPr="009D1BB6" w:rsidRDefault="001C282F" w:rsidP="00776D51">
            <w:pPr>
              <w:keepNext/>
              <w:jc w:val="center"/>
              <w:rPr>
                <w:rFonts w:ascii="Arial Narrow" w:eastAsiaTheme="majorEastAsia" w:hAnsi="Arial Narrow" w:cs="Times New Roman"/>
                <w:b/>
                <w:sz w:val="20"/>
              </w:rPr>
            </w:pPr>
            <w:r w:rsidRPr="009D1BB6">
              <w:rPr>
                <w:rFonts w:ascii="Arial Narrow" w:eastAsiaTheme="majorEastAsia" w:hAnsi="Arial Narrow" w:cs="Times New Roman"/>
                <w:b/>
                <w:sz w:val="20"/>
              </w:rPr>
              <w:t>N=424</w:t>
            </w:r>
          </w:p>
        </w:tc>
        <w:tc>
          <w:tcPr>
            <w:tcW w:w="937" w:type="pct"/>
            <w:gridSpan w:val="2"/>
            <w:vAlign w:val="center"/>
          </w:tcPr>
          <w:p w14:paraId="0494C81B" w14:textId="77777777" w:rsidR="001C282F" w:rsidRPr="009D1BB6" w:rsidRDefault="001C282F" w:rsidP="00776D51">
            <w:pPr>
              <w:keepNext/>
              <w:jc w:val="center"/>
              <w:rPr>
                <w:rFonts w:ascii="Arial Narrow" w:eastAsiaTheme="majorEastAsia" w:hAnsi="Arial Narrow" w:cs="Times New Roman"/>
                <w:b/>
                <w:sz w:val="20"/>
              </w:rPr>
            </w:pPr>
            <w:r w:rsidRPr="009D1BB6">
              <w:rPr>
                <w:rFonts w:ascii="Arial Narrow" w:eastAsiaTheme="majorEastAsia" w:hAnsi="Arial Narrow" w:cs="Times New Roman"/>
                <w:b/>
                <w:sz w:val="20"/>
              </w:rPr>
              <w:t>PBO</w:t>
            </w:r>
          </w:p>
          <w:p w14:paraId="5ACD7359" w14:textId="77777777" w:rsidR="001C282F" w:rsidRPr="009D1BB6" w:rsidRDefault="001C282F" w:rsidP="00776D51">
            <w:pPr>
              <w:keepNext/>
              <w:jc w:val="center"/>
              <w:rPr>
                <w:rFonts w:ascii="Arial Narrow" w:eastAsiaTheme="majorEastAsia" w:hAnsi="Arial Narrow" w:cs="Times New Roman"/>
                <w:b/>
                <w:sz w:val="20"/>
              </w:rPr>
            </w:pPr>
            <w:r w:rsidRPr="009D1BB6">
              <w:rPr>
                <w:rFonts w:ascii="Arial Narrow" w:eastAsiaTheme="majorEastAsia" w:hAnsi="Arial Narrow" w:cs="Times New Roman"/>
                <w:b/>
                <w:sz w:val="20"/>
              </w:rPr>
              <w:t>N=424</w:t>
            </w:r>
          </w:p>
        </w:tc>
      </w:tr>
      <w:tr w:rsidR="001C282F" w:rsidRPr="001C59C3" w14:paraId="1DE142E4" w14:textId="77777777" w:rsidTr="00946816">
        <w:tc>
          <w:tcPr>
            <w:tcW w:w="1115" w:type="pct"/>
            <w:vMerge/>
          </w:tcPr>
          <w:p w14:paraId="1D1B2297" w14:textId="77777777" w:rsidR="001C282F" w:rsidRPr="001C59C3" w:rsidRDefault="001C282F" w:rsidP="00776D51">
            <w:pPr>
              <w:keepNext/>
              <w:jc w:val="left"/>
              <w:rPr>
                <w:rFonts w:ascii="Arial Narrow" w:eastAsiaTheme="majorEastAsia" w:hAnsi="Arial Narrow" w:cstheme="majorBidi"/>
                <w:bCs/>
                <w:sz w:val="20"/>
              </w:rPr>
            </w:pPr>
          </w:p>
        </w:tc>
        <w:tc>
          <w:tcPr>
            <w:tcW w:w="497" w:type="pct"/>
            <w:vMerge/>
            <w:shd w:val="clear" w:color="auto" w:fill="auto"/>
            <w:vAlign w:val="center"/>
          </w:tcPr>
          <w:p w14:paraId="350AB8AC" w14:textId="77777777" w:rsidR="001C282F" w:rsidRPr="001C59C3" w:rsidRDefault="001C282F" w:rsidP="00776D51">
            <w:pPr>
              <w:keepNext/>
              <w:jc w:val="center"/>
              <w:rPr>
                <w:rFonts w:ascii="Arial Narrow" w:eastAsiaTheme="majorEastAsia" w:hAnsi="Arial Narrow" w:cstheme="majorBidi"/>
                <w:bCs/>
                <w:sz w:val="20"/>
              </w:rPr>
            </w:pPr>
          </w:p>
        </w:tc>
        <w:tc>
          <w:tcPr>
            <w:tcW w:w="512" w:type="pct"/>
            <w:vMerge/>
            <w:shd w:val="clear" w:color="auto" w:fill="auto"/>
            <w:vAlign w:val="center"/>
          </w:tcPr>
          <w:p w14:paraId="775B72B3" w14:textId="77777777" w:rsidR="001C282F" w:rsidRPr="001C59C3" w:rsidRDefault="001C282F" w:rsidP="00776D51">
            <w:pPr>
              <w:keepNext/>
              <w:jc w:val="center"/>
              <w:rPr>
                <w:rFonts w:ascii="Arial Narrow" w:eastAsiaTheme="majorEastAsia" w:hAnsi="Arial Narrow" w:cstheme="majorBidi"/>
                <w:bCs/>
                <w:sz w:val="20"/>
              </w:rPr>
            </w:pPr>
          </w:p>
        </w:tc>
        <w:tc>
          <w:tcPr>
            <w:tcW w:w="481" w:type="pct"/>
            <w:vMerge/>
            <w:shd w:val="clear" w:color="auto" w:fill="auto"/>
            <w:vAlign w:val="center"/>
          </w:tcPr>
          <w:p w14:paraId="0A4C4387" w14:textId="77777777" w:rsidR="001C282F" w:rsidRPr="001C59C3" w:rsidRDefault="001C282F" w:rsidP="00776D51">
            <w:pPr>
              <w:keepNext/>
              <w:jc w:val="center"/>
              <w:rPr>
                <w:rFonts w:ascii="Arial Narrow" w:eastAsiaTheme="majorEastAsia" w:hAnsi="Arial Narrow" w:cstheme="majorBidi"/>
                <w:bCs/>
                <w:sz w:val="20"/>
              </w:rPr>
            </w:pPr>
          </w:p>
        </w:tc>
        <w:tc>
          <w:tcPr>
            <w:tcW w:w="520" w:type="pct"/>
            <w:vMerge/>
            <w:vAlign w:val="center"/>
          </w:tcPr>
          <w:p w14:paraId="2AC74752" w14:textId="77777777" w:rsidR="001C282F" w:rsidRPr="001C59C3" w:rsidRDefault="001C282F" w:rsidP="00776D51">
            <w:pPr>
              <w:keepNext/>
              <w:jc w:val="center"/>
              <w:rPr>
                <w:rFonts w:ascii="Arial Narrow" w:eastAsiaTheme="majorEastAsia" w:hAnsi="Arial Narrow" w:cstheme="majorBidi"/>
                <w:bCs/>
                <w:sz w:val="20"/>
              </w:rPr>
            </w:pPr>
          </w:p>
        </w:tc>
        <w:tc>
          <w:tcPr>
            <w:tcW w:w="469" w:type="pct"/>
            <w:vAlign w:val="center"/>
          </w:tcPr>
          <w:p w14:paraId="3A07CDE3" w14:textId="77777777" w:rsidR="001C282F" w:rsidRPr="001C59C3" w:rsidRDefault="001C282F" w:rsidP="00776D51">
            <w:pPr>
              <w:keepNext/>
              <w:jc w:val="center"/>
              <w:rPr>
                <w:rFonts w:ascii="Arial Narrow" w:eastAsiaTheme="majorEastAsia" w:hAnsi="Arial Narrow" w:cstheme="majorBidi"/>
                <w:b/>
                <w:sz w:val="20"/>
              </w:rPr>
            </w:pPr>
            <w:r w:rsidRPr="001C59C3">
              <w:rPr>
                <w:rFonts w:ascii="Arial Narrow" w:eastAsiaTheme="majorEastAsia" w:hAnsi="Arial Narrow" w:cstheme="majorBidi"/>
                <w:b/>
                <w:sz w:val="20"/>
              </w:rPr>
              <w:t>Events, n</w:t>
            </w:r>
          </w:p>
        </w:tc>
        <w:tc>
          <w:tcPr>
            <w:tcW w:w="469" w:type="pct"/>
            <w:vAlign w:val="center"/>
          </w:tcPr>
          <w:p w14:paraId="587240AD" w14:textId="77777777" w:rsidR="001C282F" w:rsidRPr="001C59C3" w:rsidRDefault="001C282F" w:rsidP="00776D51">
            <w:pPr>
              <w:keepNext/>
              <w:jc w:val="center"/>
              <w:rPr>
                <w:rFonts w:ascii="Arial Narrow" w:eastAsiaTheme="majorEastAsia" w:hAnsi="Arial Narrow" w:cstheme="majorBidi"/>
                <w:b/>
                <w:sz w:val="20"/>
              </w:rPr>
            </w:pPr>
            <w:r w:rsidRPr="001C59C3">
              <w:rPr>
                <w:rFonts w:ascii="Arial Narrow" w:eastAsiaTheme="majorEastAsia" w:hAnsi="Arial Narrow" w:cstheme="majorBidi"/>
                <w:b/>
                <w:sz w:val="20"/>
              </w:rPr>
              <w:t>IR/1,000 pt-yrs</w:t>
            </w:r>
          </w:p>
        </w:tc>
        <w:tc>
          <w:tcPr>
            <w:tcW w:w="469" w:type="pct"/>
            <w:vAlign w:val="center"/>
          </w:tcPr>
          <w:p w14:paraId="32280411" w14:textId="77777777" w:rsidR="001C282F" w:rsidRPr="001C59C3" w:rsidRDefault="001C282F" w:rsidP="00776D51">
            <w:pPr>
              <w:keepNext/>
              <w:jc w:val="center"/>
              <w:rPr>
                <w:rFonts w:ascii="Arial Narrow" w:eastAsiaTheme="majorEastAsia" w:hAnsi="Arial Narrow" w:cstheme="majorBidi"/>
                <w:b/>
                <w:sz w:val="20"/>
              </w:rPr>
            </w:pPr>
            <w:r w:rsidRPr="001C59C3">
              <w:rPr>
                <w:rFonts w:ascii="Arial Narrow" w:eastAsiaTheme="majorEastAsia" w:hAnsi="Arial Narrow" w:cstheme="majorBidi"/>
                <w:b/>
                <w:sz w:val="20"/>
              </w:rPr>
              <w:t>Events, n</w:t>
            </w:r>
          </w:p>
        </w:tc>
        <w:tc>
          <w:tcPr>
            <w:tcW w:w="469" w:type="pct"/>
            <w:vAlign w:val="center"/>
          </w:tcPr>
          <w:p w14:paraId="4430C423" w14:textId="77777777" w:rsidR="001C282F" w:rsidRPr="001C59C3" w:rsidRDefault="001C282F" w:rsidP="00776D51">
            <w:pPr>
              <w:keepNext/>
              <w:jc w:val="center"/>
              <w:rPr>
                <w:rFonts w:ascii="Arial Narrow" w:eastAsiaTheme="majorEastAsia" w:hAnsi="Arial Narrow" w:cstheme="majorBidi"/>
                <w:b/>
                <w:sz w:val="20"/>
              </w:rPr>
            </w:pPr>
            <w:r w:rsidRPr="001C59C3">
              <w:rPr>
                <w:rFonts w:ascii="Arial Narrow" w:eastAsiaTheme="majorEastAsia" w:hAnsi="Arial Narrow" w:cstheme="majorBidi"/>
                <w:b/>
                <w:sz w:val="20"/>
              </w:rPr>
              <w:t>IR/1,000 pt-yrs</w:t>
            </w:r>
          </w:p>
        </w:tc>
      </w:tr>
      <w:tr w:rsidR="001C282F" w:rsidRPr="001C59C3" w14:paraId="1409E3F7" w14:textId="77777777" w:rsidTr="00946816">
        <w:tc>
          <w:tcPr>
            <w:tcW w:w="1115" w:type="pct"/>
          </w:tcPr>
          <w:p w14:paraId="65CFE5F0" w14:textId="77777777" w:rsidR="001C282F" w:rsidRPr="001C59C3" w:rsidRDefault="001C282F" w:rsidP="00776D51">
            <w:pPr>
              <w:keepNext/>
              <w:jc w:val="left"/>
              <w:rPr>
                <w:rFonts w:ascii="Arial Narrow" w:eastAsiaTheme="majorEastAsia" w:hAnsi="Arial Narrow" w:cstheme="majorBidi"/>
                <w:bCs/>
                <w:sz w:val="20"/>
              </w:rPr>
            </w:pPr>
            <w:r w:rsidRPr="001C59C3">
              <w:rPr>
                <w:rFonts w:ascii="Arial Narrow" w:eastAsiaTheme="majorEastAsia" w:hAnsi="Arial Narrow" w:cstheme="majorBidi"/>
                <w:bCs/>
                <w:sz w:val="20"/>
              </w:rPr>
              <w:t>Any AE</w:t>
            </w:r>
          </w:p>
        </w:tc>
        <w:tc>
          <w:tcPr>
            <w:tcW w:w="497" w:type="pct"/>
            <w:shd w:val="clear" w:color="auto" w:fill="auto"/>
            <w:vAlign w:val="center"/>
          </w:tcPr>
          <w:p w14:paraId="73B52278"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130 (68.8)</w:t>
            </w:r>
          </w:p>
        </w:tc>
        <w:tc>
          <w:tcPr>
            <w:tcW w:w="512" w:type="pct"/>
            <w:shd w:val="clear" w:color="auto" w:fill="auto"/>
            <w:vAlign w:val="center"/>
          </w:tcPr>
          <w:p w14:paraId="06F84038"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117 (62.2)</w:t>
            </w:r>
          </w:p>
        </w:tc>
        <w:tc>
          <w:tcPr>
            <w:tcW w:w="481" w:type="pct"/>
            <w:shd w:val="clear" w:color="auto" w:fill="auto"/>
            <w:vAlign w:val="center"/>
          </w:tcPr>
          <w:p w14:paraId="7CC46A19"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160 (68.1)</w:t>
            </w:r>
          </w:p>
        </w:tc>
        <w:tc>
          <w:tcPr>
            <w:tcW w:w="520" w:type="pct"/>
            <w:vAlign w:val="center"/>
          </w:tcPr>
          <w:p w14:paraId="16274569"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145 (61.4)</w:t>
            </w:r>
          </w:p>
        </w:tc>
        <w:tc>
          <w:tcPr>
            <w:tcW w:w="469" w:type="pct"/>
            <w:vAlign w:val="center"/>
          </w:tcPr>
          <w:p w14:paraId="7B9E783A"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302</w:t>
            </w:r>
          </w:p>
        </w:tc>
        <w:tc>
          <w:tcPr>
            <w:tcW w:w="469" w:type="pct"/>
            <w:vAlign w:val="center"/>
          </w:tcPr>
          <w:p w14:paraId="097733EC"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10,862.9</w:t>
            </w:r>
          </w:p>
        </w:tc>
        <w:tc>
          <w:tcPr>
            <w:tcW w:w="469" w:type="pct"/>
            <w:vAlign w:val="center"/>
          </w:tcPr>
          <w:p w14:paraId="3D0F991C"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277</w:t>
            </w:r>
          </w:p>
        </w:tc>
        <w:tc>
          <w:tcPr>
            <w:tcW w:w="469" w:type="pct"/>
            <w:vAlign w:val="center"/>
          </w:tcPr>
          <w:p w14:paraId="1A719FBD"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9,597.8</w:t>
            </w:r>
          </w:p>
        </w:tc>
      </w:tr>
      <w:tr w:rsidR="001C282F" w:rsidRPr="001C59C3" w14:paraId="2575CB98" w14:textId="77777777" w:rsidTr="00946816">
        <w:tc>
          <w:tcPr>
            <w:tcW w:w="1115" w:type="pct"/>
          </w:tcPr>
          <w:p w14:paraId="5A7B2716" w14:textId="77777777" w:rsidR="001C282F" w:rsidRPr="001C59C3" w:rsidRDefault="001C282F" w:rsidP="00776D51">
            <w:pPr>
              <w:keepNext/>
              <w:jc w:val="left"/>
              <w:rPr>
                <w:rFonts w:ascii="Arial Narrow" w:eastAsiaTheme="majorEastAsia" w:hAnsi="Arial Narrow" w:cstheme="majorBidi"/>
                <w:bCs/>
                <w:sz w:val="20"/>
              </w:rPr>
            </w:pPr>
            <w:r w:rsidRPr="001C59C3">
              <w:rPr>
                <w:rFonts w:ascii="Arial Narrow" w:eastAsiaTheme="majorEastAsia" w:hAnsi="Arial Narrow" w:cstheme="majorBidi"/>
                <w:bCs/>
                <w:sz w:val="20"/>
              </w:rPr>
              <w:t>AEs leading to treatment discontinuation</w:t>
            </w:r>
          </w:p>
        </w:tc>
        <w:tc>
          <w:tcPr>
            <w:tcW w:w="497" w:type="pct"/>
            <w:vAlign w:val="center"/>
          </w:tcPr>
          <w:p w14:paraId="41976536"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15 (7.9)</w:t>
            </w:r>
          </w:p>
        </w:tc>
        <w:tc>
          <w:tcPr>
            <w:tcW w:w="512" w:type="pct"/>
            <w:vAlign w:val="center"/>
          </w:tcPr>
          <w:p w14:paraId="6812A9DF"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9 (4.8)</w:t>
            </w:r>
          </w:p>
        </w:tc>
        <w:tc>
          <w:tcPr>
            <w:tcW w:w="481" w:type="pct"/>
            <w:vAlign w:val="center"/>
          </w:tcPr>
          <w:p w14:paraId="2F0BC760"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13 (5.5)</w:t>
            </w:r>
          </w:p>
        </w:tc>
        <w:tc>
          <w:tcPr>
            <w:tcW w:w="520" w:type="pct"/>
            <w:vAlign w:val="center"/>
          </w:tcPr>
          <w:p w14:paraId="71EC6EE9"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8 (3.4)</w:t>
            </w:r>
          </w:p>
        </w:tc>
        <w:tc>
          <w:tcPr>
            <w:tcW w:w="469" w:type="pct"/>
            <w:vAlign w:val="center"/>
          </w:tcPr>
          <w:p w14:paraId="1667D3F6"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29</w:t>
            </w:r>
          </w:p>
        </w:tc>
        <w:tc>
          <w:tcPr>
            <w:tcW w:w="469" w:type="pct"/>
            <w:vAlign w:val="center"/>
          </w:tcPr>
          <w:p w14:paraId="283B4CD3"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428.4</w:t>
            </w:r>
          </w:p>
        </w:tc>
        <w:tc>
          <w:tcPr>
            <w:tcW w:w="469" w:type="pct"/>
            <w:vAlign w:val="center"/>
          </w:tcPr>
          <w:p w14:paraId="05FF06EF"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29</w:t>
            </w:r>
          </w:p>
        </w:tc>
        <w:tc>
          <w:tcPr>
            <w:tcW w:w="469" w:type="pct"/>
            <w:vAlign w:val="center"/>
          </w:tcPr>
          <w:p w14:paraId="23B9AEDB"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428.4</w:t>
            </w:r>
          </w:p>
        </w:tc>
      </w:tr>
      <w:tr w:rsidR="001C282F" w:rsidRPr="001C59C3" w14:paraId="4E2262F6" w14:textId="77777777" w:rsidTr="00946816">
        <w:tc>
          <w:tcPr>
            <w:tcW w:w="1115" w:type="pct"/>
          </w:tcPr>
          <w:p w14:paraId="33105D5D" w14:textId="77777777" w:rsidR="001C282F" w:rsidRPr="001C59C3" w:rsidRDefault="001C282F" w:rsidP="00776D51">
            <w:pPr>
              <w:keepNext/>
              <w:jc w:val="left"/>
              <w:rPr>
                <w:rFonts w:ascii="Arial Narrow" w:eastAsiaTheme="majorEastAsia" w:hAnsi="Arial Narrow" w:cstheme="majorBidi"/>
                <w:bCs/>
                <w:sz w:val="20"/>
              </w:rPr>
            </w:pPr>
            <w:r w:rsidRPr="001C59C3">
              <w:rPr>
                <w:rFonts w:ascii="Arial Narrow" w:eastAsiaTheme="majorEastAsia" w:hAnsi="Arial Narrow" w:cstheme="majorBidi"/>
                <w:bCs/>
                <w:sz w:val="20"/>
              </w:rPr>
              <w:t>AEs leading to study drug interruption</w:t>
            </w:r>
          </w:p>
        </w:tc>
        <w:tc>
          <w:tcPr>
            <w:tcW w:w="497" w:type="pct"/>
            <w:vAlign w:val="center"/>
          </w:tcPr>
          <w:p w14:paraId="15DA75C8"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26 (13.8)</w:t>
            </w:r>
          </w:p>
        </w:tc>
        <w:tc>
          <w:tcPr>
            <w:tcW w:w="512" w:type="pct"/>
            <w:vAlign w:val="center"/>
          </w:tcPr>
          <w:p w14:paraId="78E52796"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17 (9.0)</w:t>
            </w:r>
          </w:p>
        </w:tc>
        <w:tc>
          <w:tcPr>
            <w:tcW w:w="481" w:type="pct"/>
            <w:vAlign w:val="center"/>
          </w:tcPr>
          <w:p w14:paraId="0A2C8C99"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22 (9.4)</w:t>
            </w:r>
          </w:p>
        </w:tc>
        <w:tc>
          <w:tcPr>
            <w:tcW w:w="520" w:type="pct"/>
            <w:vAlign w:val="center"/>
          </w:tcPr>
          <w:p w14:paraId="6A1A7AA8"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11 (4.7)</w:t>
            </w:r>
          </w:p>
        </w:tc>
        <w:tc>
          <w:tcPr>
            <w:tcW w:w="469" w:type="pct"/>
            <w:vAlign w:val="center"/>
          </w:tcPr>
          <w:p w14:paraId="14E07E43"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NR</w:t>
            </w:r>
          </w:p>
        </w:tc>
        <w:tc>
          <w:tcPr>
            <w:tcW w:w="469" w:type="pct"/>
            <w:vAlign w:val="center"/>
          </w:tcPr>
          <w:p w14:paraId="03589427"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NR</w:t>
            </w:r>
          </w:p>
        </w:tc>
        <w:tc>
          <w:tcPr>
            <w:tcW w:w="469" w:type="pct"/>
            <w:vAlign w:val="center"/>
          </w:tcPr>
          <w:p w14:paraId="78385E67"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NR</w:t>
            </w:r>
          </w:p>
        </w:tc>
        <w:tc>
          <w:tcPr>
            <w:tcW w:w="469" w:type="pct"/>
            <w:vAlign w:val="center"/>
          </w:tcPr>
          <w:p w14:paraId="258A8523"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NR</w:t>
            </w:r>
          </w:p>
        </w:tc>
      </w:tr>
      <w:tr w:rsidR="001C282F" w:rsidRPr="001C59C3" w14:paraId="479BC78A" w14:textId="77777777" w:rsidTr="00946816">
        <w:tc>
          <w:tcPr>
            <w:tcW w:w="1115" w:type="pct"/>
          </w:tcPr>
          <w:p w14:paraId="183B49A4" w14:textId="77777777" w:rsidR="001C282F" w:rsidRPr="001C59C3" w:rsidRDefault="001C282F" w:rsidP="00776D51">
            <w:pPr>
              <w:keepNext/>
              <w:jc w:val="left"/>
              <w:rPr>
                <w:rFonts w:ascii="Arial Narrow" w:eastAsiaTheme="majorEastAsia" w:hAnsi="Arial Narrow" w:cstheme="majorBidi"/>
                <w:bCs/>
                <w:sz w:val="20"/>
              </w:rPr>
            </w:pPr>
            <w:r w:rsidRPr="001C59C3">
              <w:rPr>
                <w:rFonts w:ascii="Arial Narrow" w:eastAsiaTheme="majorEastAsia" w:hAnsi="Arial Narrow" w:cstheme="majorBidi"/>
                <w:bCs/>
                <w:sz w:val="20"/>
              </w:rPr>
              <w:t>Serious AE</w:t>
            </w:r>
          </w:p>
        </w:tc>
        <w:tc>
          <w:tcPr>
            <w:tcW w:w="497" w:type="pct"/>
            <w:vAlign w:val="center"/>
          </w:tcPr>
          <w:p w14:paraId="3584DCFD"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49 (25.9)</w:t>
            </w:r>
          </w:p>
        </w:tc>
        <w:tc>
          <w:tcPr>
            <w:tcW w:w="512" w:type="pct"/>
            <w:vAlign w:val="center"/>
          </w:tcPr>
          <w:p w14:paraId="451EA988"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41 (21.8)</w:t>
            </w:r>
          </w:p>
        </w:tc>
        <w:tc>
          <w:tcPr>
            <w:tcW w:w="481" w:type="pct"/>
            <w:vAlign w:val="center"/>
          </w:tcPr>
          <w:p w14:paraId="445A9528"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58 (24.7)</w:t>
            </w:r>
          </w:p>
        </w:tc>
        <w:tc>
          <w:tcPr>
            <w:tcW w:w="520" w:type="pct"/>
            <w:vAlign w:val="center"/>
          </w:tcPr>
          <w:p w14:paraId="6218F5B2"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51 (21.6)</w:t>
            </w:r>
          </w:p>
        </w:tc>
        <w:tc>
          <w:tcPr>
            <w:tcW w:w="469" w:type="pct"/>
            <w:vAlign w:val="center"/>
          </w:tcPr>
          <w:p w14:paraId="7296A985"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107</w:t>
            </w:r>
          </w:p>
        </w:tc>
        <w:tc>
          <w:tcPr>
            <w:tcW w:w="469" w:type="pct"/>
            <w:vAlign w:val="center"/>
          </w:tcPr>
          <w:p w14:paraId="18F236D3"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2,040</w:t>
            </w:r>
          </w:p>
        </w:tc>
        <w:tc>
          <w:tcPr>
            <w:tcW w:w="469" w:type="pct"/>
            <w:vAlign w:val="center"/>
          </w:tcPr>
          <w:p w14:paraId="1F2DF886"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96</w:t>
            </w:r>
          </w:p>
        </w:tc>
        <w:tc>
          <w:tcPr>
            <w:tcW w:w="469" w:type="pct"/>
            <w:vAlign w:val="center"/>
          </w:tcPr>
          <w:p w14:paraId="41A3E52D"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1,860.2</w:t>
            </w:r>
          </w:p>
        </w:tc>
      </w:tr>
      <w:tr w:rsidR="001C282F" w:rsidRPr="001C59C3" w14:paraId="5E248D2B" w14:textId="77777777" w:rsidTr="00946816">
        <w:tc>
          <w:tcPr>
            <w:tcW w:w="1115" w:type="pct"/>
          </w:tcPr>
          <w:p w14:paraId="3E42CAF4" w14:textId="77777777" w:rsidR="001C282F" w:rsidRPr="001C59C3" w:rsidRDefault="001C282F" w:rsidP="00776D51">
            <w:pPr>
              <w:keepNext/>
              <w:jc w:val="left"/>
              <w:rPr>
                <w:rFonts w:ascii="Arial Narrow" w:eastAsiaTheme="majorEastAsia" w:hAnsi="Arial Narrow" w:cstheme="majorBidi"/>
                <w:bCs/>
                <w:sz w:val="20"/>
              </w:rPr>
            </w:pPr>
            <w:r w:rsidRPr="001C59C3">
              <w:rPr>
                <w:rFonts w:ascii="Arial Narrow" w:eastAsiaTheme="majorEastAsia" w:hAnsi="Arial Narrow" w:cstheme="majorBidi"/>
                <w:bCs/>
                <w:sz w:val="20"/>
              </w:rPr>
              <w:t>Deaths</w:t>
            </w:r>
          </w:p>
        </w:tc>
        <w:tc>
          <w:tcPr>
            <w:tcW w:w="497" w:type="pct"/>
            <w:vAlign w:val="center"/>
          </w:tcPr>
          <w:p w14:paraId="2370D9F8"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2 (1.1)</w:t>
            </w:r>
          </w:p>
        </w:tc>
        <w:tc>
          <w:tcPr>
            <w:tcW w:w="512" w:type="pct"/>
            <w:vAlign w:val="center"/>
          </w:tcPr>
          <w:p w14:paraId="3B66C514"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2 (1.1)</w:t>
            </w:r>
          </w:p>
        </w:tc>
        <w:tc>
          <w:tcPr>
            <w:tcW w:w="481" w:type="pct"/>
            <w:vAlign w:val="center"/>
          </w:tcPr>
          <w:p w14:paraId="70A35CC4"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2 (0.9)</w:t>
            </w:r>
          </w:p>
        </w:tc>
        <w:tc>
          <w:tcPr>
            <w:tcW w:w="520" w:type="pct"/>
            <w:vAlign w:val="center"/>
          </w:tcPr>
          <w:p w14:paraId="462AB680"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2 (0.8)</w:t>
            </w:r>
          </w:p>
        </w:tc>
        <w:tc>
          <w:tcPr>
            <w:tcW w:w="469" w:type="pct"/>
            <w:vAlign w:val="center"/>
          </w:tcPr>
          <w:p w14:paraId="6FA82A88" w14:textId="77777777" w:rsidR="001C282F" w:rsidRPr="001C59C3" w:rsidRDefault="001C282F" w:rsidP="00776D51">
            <w:pPr>
              <w:keepNext/>
              <w:jc w:val="center"/>
              <w:rPr>
                <w:rFonts w:ascii="Arial Narrow" w:eastAsiaTheme="majorEastAsia" w:hAnsi="Arial Narrow" w:cstheme="majorBidi"/>
                <w:bCs/>
                <w:sz w:val="20"/>
                <w:vertAlign w:val="superscript"/>
              </w:rPr>
            </w:pPr>
            <w:r w:rsidRPr="001C59C3">
              <w:rPr>
                <w:rFonts w:ascii="Arial Narrow" w:eastAsiaTheme="majorEastAsia" w:hAnsi="Arial Narrow" w:cstheme="majorBidi"/>
                <w:bCs/>
                <w:sz w:val="20"/>
              </w:rPr>
              <w:t xml:space="preserve">3 </w:t>
            </w:r>
            <w:r w:rsidRPr="001C59C3">
              <w:rPr>
                <w:rFonts w:ascii="Arial Narrow" w:eastAsiaTheme="majorEastAsia" w:hAnsi="Arial Narrow" w:cstheme="majorBidi"/>
                <w:bCs/>
                <w:sz w:val="20"/>
                <w:vertAlign w:val="superscript"/>
              </w:rPr>
              <w:t>a</w:t>
            </w:r>
          </w:p>
        </w:tc>
        <w:tc>
          <w:tcPr>
            <w:tcW w:w="469" w:type="pct"/>
            <w:vAlign w:val="center"/>
          </w:tcPr>
          <w:p w14:paraId="2174A20A" w14:textId="77777777" w:rsidR="001C282F" w:rsidRPr="001C59C3" w:rsidRDefault="001C282F" w:rsidP="00776D51">
            <w:pPr>
              <w:keepNext/>
              <w:jc w:val="center"/>
              <w:rPr>
                <w:rFonts w:ascii="Arial Narrow" w:eastAsiaTheme="majorEastAsia" w:hAnsi="Arial Narrow" w:cstheme="majorBidi"/>
                <w:bCs/>
                <w:sz w:val="20"/>
                <w:vertAlign w:val="superscript"/>
              </w:rPr>
            </w:pPr>
            <w:r w:rsidRPr="001C59C3">
              <w:rPr>
                <w:rFonts w:ascii="Arial Narrow" w:eastAsiaTheme="majorEastAsia" w:hAnsi="Arial Narrow" w:cstheme="majorBidi"/>
                <w:bCs/>
                <w:sz w:val="20"/>
              </w:rPr>
              <w:t xml:space="preserve">30.6 </w:t>
            </w:r>
            <w:r w:rsidRPr="001C59C3">
              <w:rPr>
                <w:rFonts w:ascii="Arial Narrow" w:eastAsiaTheme="majorEastAsia" w:hAnsi="Arial Narrow" w:cstheme="majorBidi"/>
                <w:bCs/>
                <w:sz w:val="20"/>
                <w:vertAlign w:val="superscript"/>
              </w:rPr>
              <w:t>a</w:t>
            </w:r>
          </w:p>
        </w:tc>
        <w:tc>
          <w:tcPr>
            <w:tcW w:w="469" w:type="pct"/>
            <w:vAlign w:val="center"/>
          </w:tcPr>
          <w:p w14:paraId="12790C36" w14:textId="77777777" w:rsidR="001C282F" w:rsidRPr="001C59C3" w:rsidRDefault="001C282F" w:rsidP="00776D51">
            <w:pPr>
              <w:keepNext/>
              <w:jc w:val="center"/>
              <w:rPr>
                <w:rFonts w:ascii="Arial Narrow" w:eastAsiaTheme="majorEastAsia" w:hAnsi="Arial Narrow" w:cstheme="majorBidi"/>
                <w:bCs/>
                <w:sz w:val="20"/>
                <w:vertAlign w:val="superscript"/>
              </w:rPr>
            </w:pPr>
            <w:r w:rsidRPr="001C59C3">
              <w:rPr>
                <w:rFonts w:ascii="Arial Narrow" w:eastAsiaTheme="majorEastAsia" w:hAnsi="Arial Narrow" w:cstheme="majorBidi"/>
                <w:bCs/>
                <w:sz w:val="20"/>
              </w:rPr>
              <w:t xml:space="preserve">5 </w:t>
            </w:r>
            <w:r w:rsidRPr="001C59C3">
              <w:rPr>
                <w:rFonts w:ascii="Arial Narrow" w:eastAsiaTheme="majorEastAsia" w:hAnsi="Arial Narrow" w:cstheme="majorBidi"/>
                <w:bCs/>
                <w:sz w:val="20"/>
                <w:vertAlign w:val="superscript"/>
              </w:rPr>
              <w:t>a</w:t>
            </w:r>
          </w:p>
        </w:tc>
        <w:tc>
          <w:tcPr>
            <w:tcW w:w="469" w:type="pct"/>
            <w:vAlign w:val="center"/>
          </w:tcPr>
          <w:p w14:paraId="48D63E65"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 xml:space="preserve">49.5 </w:t>
            </w:r>
            <w:r w:rsidRPr="001C59C3">
              <w:rPr>
                <w:rFonts w:ascii="Arial Narrow" w:eastAsiaTheme="majorEastAsia" w:hAnsi="Arial Narrow" w:cstheme="majorBidi"/>
                <w:bCs/>
                <w:sz w:val="20"/>
                <w:vertAlign w:val="superscript"/>
              </w:rPr>
              <w:t>a</w:t>
            </w:r>
          </w:p>
        </w:tc>
      </w:tr>
      <w:tr w:rsidR="001C282F" w:rsidRPr="001C59C3" w14:paraId="6B642E20" w14:textId="77777777" w:rsidTr="00946816">
        <w:tc>
          <w:tcPr>
            <w:tcW w:w="5000" w:type="pct"/>
            <w:gridSpan w:val="9"/>
          </w:tcPr>
          <w:p w14:paraId="3B489AB7" w14:textId="77777777" w:rsidR="001C282F" w:rsidRPr="001C59C3" w:rsidRDefault="001C282F" w:rsidP="00776D51">
            <w:pPr>
              <w:keepNext/>
              <w:rPr>
                <w:rFonts w:ascii="Arial Narrow" w:eastAsiaTheme="majorEastAsia" w:hAnsi="Arial Narrow" w:cstheme="majorBidi"/>
                <w:b/>
                <w:bCs/>
                <w:sz w:val="20"/>
                <w:vertAlign w:val="superscript"/>
              </w:rPr>
            </w:pPr>
            <w:r w:rsidRPr="001C59C3">
              <w:rPr>
                <w:rFonts w:ascii="Arial Narrow" w:eastAsiaTheme="majorEastAsia" w:hAnsi="Arial Narrow" w:cstheme="majorBidi"/>
                <w:b/>
                <w:bCs/>
                <w:sz w:val="20"/>
              </w:rPr>
              <w:t xml:space="preserve">Most common adverse events (falls, dizziness, somnolence and mental status changes are reported under adverse events of special interest below) </w:t>
            </w:r>
            <w:r w:rsidRPr="001C59C3">
              <w:rPr>
                <w:rFonts w:ascii="Arial Narrow" w:eastAsiaTheme="majorEastAsia" w:hAnsi="Arial Narrow" w:cstheme="majorBidi"/>
                <w:sz w:val="20"/>
                <w:vertAlign w:val="superscript"/>
              </w:rPr>
              <w:t>b</w:t>
            </w:r>
          </w:p>
        </w:tc>
      </w:tr>
      <w:tr w:rsidR="001C282F" w:rsidRPr="001C59C3" w14:paraId="41666A27" w14:textId="77777777" w:rsidTr="00946816">
        <w:tc>
          <w:tcPr>
            <w:tcW w:w="1115" w:type="pct"/>
          </w:tcPr>
          <w:p w14:paraId="7D4A850C" w14:textId="77777777" w:rsidR="001C282F" w:rsidRPr="001C59C3" w:rsidRDefault="001C282F" w:rsidP="00776D51">
            <w:pPr>
              <w:keepNext/>
              <w:jc w:val="left"/>
              <w:rPr>
                <w:rFonts w:ascii="Arial Narrow" w:eastAsiaTheme="majorEastAsia" w:hAnsi="Arial Narrow" w:cstheme="majorBidi"/>
                <w:bCs/>
                <w:sz w:val="20"/>
              </w:rPr>
            </w:pPr>
            <w:r w:rsidRPr="001C59C3">
              <w:rPr>
                <w:rFonts w:ascii="Arial Narrow" w:eastAsiaTheme="majorEastAsia" w:hAnsi="Arial Narrow" w:cstheme="majorBidi"/>
                <w:bCs/>
                <w:sz w:val="20"/>
              </w:rPr>
              <w:t>Diarrhoea</w:t>
            </w:r>
          </w:p>
        </w:tc>
        <w:tc>
          <w:tcPr>
            <w:tcW w:w="497" w:type="pct"/>
          </w:tcPr>
          <w:p w14:paraId="2EDF0E47"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18 (9.5)</w:t>
            </w:r>
          </w:p>
        </w:tc>
        <w:tc>
          <w:tcPr>
            <w:tcW w:w="512" w:type="pct"/>
          </w:tcPr>
          <w:p w14:paraId="3E338971"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7 (3.7)</w:t>
            </w:r>
          </w:p>
        </w:tc>
        <w:tc>
          <w:tcPr>
            <w:tcW w:w="481" w:type="pct"/>
          </w:tcPr>
          <w:p w14:paraId="5A2C911C"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19 (8.1)</w:t>
            </w:r>
          </w:p>
        </w:tc>
        <w:tc>
          <w:tcPr>
            <w:tcW w:w="520" w:type="pct"/>
          </w:tcPr>
          <w:p w14:paraId="7AC7CFF0"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13 (5.5)</w:t>
            </w:r>
          </w:p>
        </w:tc>
        <w:tc>
          <w:tcPr>
            <w:tcW w:w="469" w:type="pct"/>
            <w:vAlign w:val="center"/>
          </w:tcPr>
          <w:p w14:paraId="5E811230"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38</w:t>
            </w:r>
          </w:p>
        </w:tc>
        <w:tc>
          <w:tcPr>
            <w:tcW w:w="469" w:type="pct"/>
            <w:vAlign w:val="center"/>
          </w:tcPr>
          <w:p w14:paraId="18A399C6"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469.2</w:t>
            </w:r>
          </w:p>
        </w:tc>
        <w:tc>
          <w:tcPr>
            <w:tcW w:w="469" w:type="pct"/>
            <w:vAlign w:val="center"/>
          </w:tcPr>
          <w:p w14:paraId="574F0EB4"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24</w:t>
            </w:r>
          </w:p>
        </w:tc>
        <w:tc>
          <w:tcPr>
            <w:tcW w:w="469" w:type="pct"/>
            <w:vAlign w:val="center"/>
          </w:tcPr>
          <w:p w14:paraId="0EF3FE10"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267.2</w:t>
            </w:r>
          </w:p>
        </w:tc>
      </w:tr>
      <w:tr w:rsidR="001C282F" w:rsidRPr="001C59C3" w14:paraId="6D46B33A" w14:textId="77777777" w:rsidTr="00946816">
        <w:tc>
          <w:tcPr>
            <w:tcW w:w="1115" w:type="pct"/>
          </w:tcPr>
          <w:p w14:paraId="110338CE" w14:textId="77777777" w:rsidR="001C282F" w:rsidRPr="001C59C3" w:rsidRDefault="001C282F" w:rsidP="00776D51">
            <w:pPr>
              <w:keepNext/>
              <w:jc w:val="left"/>
              <w:rPr>
                <w:rFonts w:ascii="Arial Narrow" w:eastAsiaTheme="majorEastAsia" w:hAnsi="Arial Narrow" w:cstheme="majorBidi"/>
                <w:bCs/>
                <w:sz w:val="20"/>
              </w:rPr>
            </w:pPr>
            <w:r w:rsidRPr="001C59C3">
              <w:rPr>
                <w:rFonts w:ascii="Arial Narrow" w:eastAsiaTheme="majorEastAsia" w:hAnsi="Arial Narrow" w:cstheme="majorBidi"/>
                <w:bCs/>
                <w:sz w:val="20"/>
              </w:rPr>
              <w:t>Vomiting</w:t>
            </w:r>
          </w:p>
        </w:tc>
        <w:tc>
          <w:tcPr>
            <w:tcW w:w="497" w:type="pct"/>
          </w:tcPr>
          <w:p w14:paraId="43A6FA1F"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10 (5.3)</w:t>
            </w:r>
          </w:p>
        </w:tc>
        <w:tc>
          <w:tcPr>
            <w:tcW w:w="512" w:type="pct"/>
          </w:tcPr>
          <w:p w14:paraId="77D65572"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6 (3.2)</w:t>
            </w:r>
          </w:p>
        </w:tc>
        <w:tc>
          <w:tcPr>
            <w:tcW w:w="481" w:type="pct"/>
          </w:tcPr>
          <w:p w14:paraId="7498DC9D"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15 (6.4)</w:t>
            </w:r>
          </w:p>
        </w:tc>
        <w:tc>
          <w:tcPr>
            <w:tcW w:w="520" w:type="pct"/>
          </w:tcPr>
          <w:p w14:paraId="275469F3"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14 (5.9)</w:t>
            </w:r>
          </w:p>
        </w:tc>
        <w:tc>
          <w:tcPr>
            <w:tcW w:w="469" w:type="pct"/>
            <w:vAlign w:val="center"/>
          </w:tcPr>
          <w:p w14:paraId="6C714CF1"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NR</w:t>
            </w:r>
          </w:p>
        </w:tc>
        <w:tc>
          <w:tcPr>
            <w:tcW w:w="469" w:type="pct"/>
            <w:vAlign w:val="center"/>
          </w:tcPr>
          <w:p w14:paraId="51A1A632"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NR</w:t>
            </w:r>
          </w:p>
        </w:tc>
        <w:tc>
          <w:tcPr>
            <w:tcW w:w="469" w:type="pct"/>
            <w:vAlign w:val="center"/>
          </w:tcPr>
          <w:p w14:paraId="4171B4B0"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NR</w:t>
            </w:r>
          </w:p>
        </w:tc>
        <w:tc>
          <w:tcPr>
            <w:tcW w:w="469" w:type="pct"/>
            <w:vAlign w:val="center"/>
          </w:tcPr>
          <w:p w14:paraId="422DACB0"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NR</w:t>
            </w:r>
          </w:p>
        </w:tc>
      </w:tr>
      <w:tr w:rsidR="001C282F" w:rsidRPr="001C59C3" w14:paraId="7E32990B" w14:textId="77777777" w:rsidTr="00946816">
        <w:tc>
          <w:tcPr>
            <w:tcW w:w="1115" w:type="pct"/>
          </w:tcPr>
          <w:p w14:paraId="4C56A95D" w14:textId="77777777" w:rsidR="001C282F" w:rsidRPr="001C59C3" w:rsidRDefault="001C282F" w:rsidP="00776D51">
            <w:pPr>
              <w:keepNext/>
              <w:jc w:val="left"/>
              <w:rPr>
                <w:rFonts w:ascii="Arial Narrow" w:eastAsiaTheme="majorEastAsia" w:hAnsi="Arial Narrow" w:cstheme="majorBidi"/>
                <w:bCs/>
                <w:sz w:val="20"/>
              </w:rPr>
            </w:pPr>
            <w:r w:rsidRPr="001C59C3">
              <w:rPr>
                <w:rFonts w:ascii="Arial Narrow" w:eastAsiaTheme="majorEastAsia" w:hAnsi="Arial Narrow" w:cstheme="majorBidi"/>
                <w:bCs/>
                <w:sz w:val="20"/>
              </w:rPr>
              <w:t>Nausea</w:t>
            </w:r>
          </w:p>
        </w:tc>
        <w:tc>
          <w:tcPr>
            <w:tcW w:w="497" w:type="pct"/>
          </w:tcPr>
          <w:p w14:paraId="33AC20D7"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6 (3.2)</w:t>
            </w:r>
          </w:p>
        </w:tc>
        <w:tc>
          <w:tcPr>
            <w:tcW w:w="512" w:type="pct"/>
          </w:tcPr>
          <w:p w14:paraId="6D749997"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9 (4.8)</w:t>
            </w:r>
          </w:p>
        </w:tc>
        <w:tc>
          <w:tcPr>
            <w:tcW w:w="481" w:type="pct"/>
          </w:tcPr>
          <w:p w14:paraId="2D352C9E"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15 (6.4)</w:t>
            </w:r>
          </w:p>
        </w:tc>
        <w:tc>
          <w:tcPr>
            <w:tcW w:w="520" w:type="pct"/>
          </w:tcPr>
          <w:p w14:paraId="6BFD7F7D"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10 (4.2)</w:t>
            </w:r>
          </w:p>
        </w:tc>
        <w:tc>
          <w:tcPr>
            <w:tcW w:w="469" w:type="pct"/>
            <w:vAlign w:val="center"/>
          </w:tcPr>
          <w:p w14:paraId="7710D34C"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28</w:t>
            </w:r>
          </w:p>
        </w:tc>
        <w:tc>
          <w:tcPr>
            <w:tcW w:w="469" w:type="pct"/>
            <w:vAlign w:val="center"/>
          </w:tcPr>
          <w:p w14:paraId="5B86F23C"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326.4</w:t>
            </w:r>
          </w:p>
        </w:tc>
        <w:tc>
          <w:tcPr>
            <w:tcW w:w="469" w:type="pct"/>
            <w:vAlign w:val="center"/>
          </w:tcPr>
          <w:p w14:paraId="6307C9BA"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19</w:t>
            </w:r>
          </w:p>
        </w:tc>
        <w:tc>
          <w:tcPr>
            <w:tcW w:w="469" w:type="pct"/>
            <w:vAlign w:val="center"/>
          </w:tcPr>
          <w:p w14:paraId="3CD2CDEC"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207.8</w:t>
            </w:r>
          </w:p>
        </w:tc>
      </w:tr>
      <w:tr w:rsidR="001C282F" w:rsidRPr="001C59C3" w14:paraId="5F65C11F" w14:textId="77777777" w:rsidTr="00946816">
        <w:tc>
          <w:tcPr>
            <w:tcW w:w="1115" w:type="pct"/>
          </w:tcPr>
          <w:p w14:paraId="762631AE" w14:textId="77777777" w:rsidR="001C282F" w:rsidRPr="001C59C3" w:rsidRDefault="001C282F" w:rsidP="00776D51">
            <w:pPr>
              <w:keepNext/>
              <w:jc w:val="left"/>
              <w:rPr>
                <w:rFonts w:ascii="Arial Narrow" w:eastAsiaTheme="majorEastAsia" w:hAnsi="Arial Narrow" w:cstheme="majorBidi"/>
                <w:bCs/>
                <w:sz w:val="20"/>
              </w:rPr>
            </w:pPr>
            <w:r w:rsidRPr="001C59C3">
              <w:rPr>
                <w:rFonts w:ascii="Arial Narrow" w:eastAsiaTheme="majorEastAsia" w:hAnsi="Arial Narrow" w:cstheme="majorBidi"/>
                <w:bCs/>
                <w:sz w:val="20"/>
              </w:rPr>
              <w:t>Hyperkalaemia</w:t>
            </w:r>
          </w:p>
        </w:tc>
        <w:tc>
          <w:tcPr>
            <w:tcW w:w="497" w:type="pct"/>
          </w:tcPr>
          <w:p w14:paraId="324CD5A0"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8 (4.2)</w:t>
            </w:r>
          </w:p>
        </w:tc>
        <w:tc>
          <w:tcPr>
            <w:tcW w:w="512" w:type="pct"/>
          </w:tcPr>
          <w:p w14:paraId="48AC26E1"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5 (2.7)</w:t>
            </w:r>
          </w:p>
        </w:tc>
        <w:tc>
          <w:tcPr>
            <w:tcW w:w="481" w:type="pct"/>
          </w:tcPr>
          <w:p w14:paraId="0F5C51B8"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9 (3.8)</w:t>
            </w:r>
          </w:p>
        </w:tc>
        <w:tc>
          <w:tcPr>
            <w:tcW w:w="520" w:type="pct"/>
          </w:tcPr>
          <w:p w14:paraId="63B7BA5C"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6 (2.5)</w:t>
            </w:r>
          </w:p>
        </w:tc>
        <w:tc>
          <w:tcPr>
            <w:tcW w:w="469" w:type="pct"/>
            <w:vAlign w:val="center"/>
          </w:tcPr>
          <w:p w14:paraId="1A75564F"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20</w:t>
            </w:r>
          </w:p>
        </w:tc>
        <w:tc>
          <w:tcPr>
            <w:tcW w:w="469" w:type="pct"/>
            <w:vAlign w:val="center"/>
          </w:tcPr>
          <w:p w14:paraId="227CC3FB"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234.6</w:t>
            </w:r>
          </w:p>
        </w:tc>
        <w:tc>
          <w:tcPr>
            <w:tcW w:w="469" w:type="pct"/>
            <w:vAlign w:val="center"/>
          </w:tcPr>
          <w:p w14:paraId="27773F43"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15</w:t>
            </w:r>
          </w:p>
        </w:tc>
        <w:tc>
          <w:tcPr>
            <w:tcW w:w="469" w:type="pct"/>
            <w:vAlign w:val="center"/>
          </w:tcPr>
          <w:p w14:paraId="24C2C755"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158.3</w:t>
            </w:r>
          </w:p>
        </w:tc>
      </w:tr>
      <w:tr w:rsidR="001C282F" w:rsidRPr="001C59C3" w14:paraId="23AE49A3" w14:textId="77777777" w:rsidTr="00946816">
        <w:tc>
          <w:tcPr>
            <w:tcW w:w="1115" w:type="pct"/>
          </w:tcPr>
          <w:p w14:paraId="5DAEB9C5" w14:textId="77777777" w:rsidR="001C282F" w:rsidRPr="001C59C3" w:rsidRDefault="001C282F" w:rsidP="00776D51">
            <w:pPr>
              <w:keepNext/>
              <w:jc w:val="left"/>
              <w:rPr>
                <w:rFonts w:ascii="Arial Narrow" w:eastAsiaTheme="majorEastAsia" w:hAnsi="Arial Narrow" w:cstheme="majorBidi"/>
                <w:bCs/>
                <w:sz w:val="20"/>
              </w:rPr>
            </w:pPr>
            <w:r w:rsidRPr="001C59C3">
              <w:rPr>
                <w:rFonts w:ascii="Arial Narrow" w:eastAsiaTheme="majorEastAsia" w:hAnsi="Arial Narrow" w:cstheme="majorBidi"/>
                <w:bCs/>
                <w:sz w:val="20"/>
              </w:rPr>
              <w:t>Headache</w:t>
            </w:r>
          </w:p>
        </w:tc>
        <w:tc>
          <w:tcPr>
            <w:tcW w:w="497" w:type="pct"/>
          </w:tcPr>
          <w:p w14:paraId="1319AFE8"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7 (3.7)</w:t>
            </w:r>
          </w:p>
        </w:tc>
        <w:tc>
          <w:tcPr>
            <w:tcW w:w="512" w:type="pct"/>
          </w:tcPr>
          <w:p w14:paraId="5B7E1BFD"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4 (2.7)</w:t>
            </w:r>
          </w:p>
        </w:tc>
        <w:tc>
          <w:tcPr>
            <w:tcW w:w="481" w:type="pct"/>
          </w:tcPr>
          <w:p w14:paraId="1004A868"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10 (4.3)</w:t>
            </w:r>
          </w:p>
        </w:tc>
        <w:tc>
          <w:tcPr>
            <w:tcW w:w="520" w:type="pct"/>
          </w:tcPr>
          <w:p w14:paraId="1DBD5C0D"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6 (2.5)</w:t>
            </w:r>
          </w:p>
        </w:tc>
        <w:tc>
          <w:tcPr>
            <w:tcW w:w="469" w:type="pct"/>
            <w:vAlign w:val="center"/>
          </w:tcPr>
          <w:p w14:paraId="04811008"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19</w:t>
            </w:r>
          </w:p>
        </w:tc>
        <w:tc>
          <w:tcPr>
            <w:tcW w:w="469" w:type="pct"/>
            <w:vAlign w:val="center"/>
          </w:tcPr>
          <w:p w14:paraId="6650A3F3"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214.2</w:t>
            </w:r>
          </w:p>
        </w:tc>
        <w:tc>
          <w:tcPr>
            <w:tcW w:w="469" w:type="pct"/>
            <w:vAlign w:val="center"/>
          </w:tcPr>
          <w:p w14:paraId="3EAE7F17"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11</w:t>
            </w:r>
          </w:p>
        </w:tc>
        <w:tc>
          <w:tcPr>
            <w:tcW w:w="469" w:type="pct"/>
            <w:vAlign w:val="center"/>
          </w:tcPr>
          <w:p w14:paraId="474E58B7"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118.7</w:t>
            </w:r>
          </w:p>
        </w:tc>
      </w:tr>
      <w:tr w:rsidR="001C282F" w:rsidRPr="001C59C3" w14:paraId="225C7AC0" w14:textId="77777777" w:rsidTr="00946816">
        <w:tc>
          <w:tcPr>
            <w:tcW w:w="5000" w:type="pct"/>
            <w:gridSpan w:val="9"/>
          </w:tcPr>
          <w:p w14:paraId="704BADEE" w14:textId="77777777" w:rsidR="001C282F" w:rsidRPr="009D1BB6" w:rsidRDefault="001C282F" w:rsidP="00776D51">
            <w:pPr>
              <w:keepNext/>
              <w:jc w:val="left"/>
              <w:rPr>
                <w:rFonts w:ascii="Arial Narrow" w:eastAsiaTheme="majorEastAsia" w:hAnsi="Arial Narrow" w:cs="Times New Roman"/>
                <w:b/>
                <w:sz w:val="20"/>
              </w:rPr>
            </w:pPr>
            <w:r w:rsidRPr="009D1BB6">
              <w:rPr>
                <w:rFonts w:ascii="Arial Narrow" w:eastAsiaTheme="majorEastAsia" w:hAnsi="Arial Narrow" w:cs="Times New Roman"/>
                <w:b/>
                <w:sz w:val="20"/>
              </w:rPr>
              <w:t>Adverse events of special interest</w:t>
            </w:r>
          </w:p>
        </w:tc>
      </w:tr>
      <w:tr w:rsidR="001C282F" w:rsidRPr="001C59C3" w14:paraId="3FA149D5" w14:textId="77777777" w:rsidTr="00946816">
        <w:tc>
          <w:tcPr>
            <w:tcW w:w="1115" w:type="pct"/>
          </w:tcPr>
          <w:p w14:paraId="50DDD1D2" w14:textId="77777777" w:rsidR="001C282F" w:rsidRPr="001C59C3" w:rsidRDefault="001C282F" w:rsidP="00776D51">
            <w:pPr>
              <w:keepNext/>
              <w:jc w:val="left"/>
              <w:rPr>
                <w:rFonts w:ascii="Arial Narrow" w:eastAsiaTheme="majorEastAsia" w:hAnsi="Arial Narrow" w:cstheme="majorBidi"/>
                <w:bCs/>
                <w:sz w:val="20"/>
              </w:rPr>
            </w:pPr>
            <w:r w:rsidRPr="001C59C3">
              <w:rPr>
                <w:rFonts w:ascii="Arial Narrow" w:eastAsiaTheme="majorEastAsia" w:hAnsi="Arial Narrow" w:cstheme="majorBidi"/>
                <w:bCs/>
                <w:sz w:val="20"/>
              </w:rPr>
              <w:t>Falls/gait disturbance</w:t>
            </w:r>
          </w:p>
        </w:tc>
        <w:tc>
          <w:tcPr>
            <w:tcW w:w="497" w:type="pct"/>
            <w:shd w:val="clear" w:color="auto" w:fill="auto"/>
          </w:tcPr>
          <w:p w14:paraId="68C7365C"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6 (3.1)</w:t>
            </w:r>
          </w:p>
        </w:tc>
        <w:tc>
          <w:tcPr>
            <w:tcW w:w="512" w:type="pct"/>
          </w:tcPr>
          <w:p w14:paraId="3D7D55CB"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7 (3.8)</w:t>
            </w:r>
          </w:p>
        </w:tc>
        <w:tc>
          <w:tcPr>
            <w:tcW w:w="481" w:type="pct"/>
          </w:tcPr>
          <w:p w14:paraId="0C511594"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23 (9.8)</w:t>
            </w:r>
          </w:p>
        </w:tc>
        <w:tc>
          <w:tcPr>
            <w:tcW w:w="520" w:type="pct"/>
            <w:tcBorders>
              <w:top w:val="single" w:sz="4" w:space="0" w:color="auto"/>
              <w:left w:val="nil"/>
              <w:bottom w:val="single" w:sz="4" w:space="0" w:color="auto"/>
            </w:tcBorders>
          </w:tcPr>
          <w:p w14:paraId="1DB59786"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14 (5.9)</w:t>
            </w:r>
          </w:p>
        </w:tc>
        <w:tc>
          <w:tcPr>
            <w:tcW w:w="469" w:type="pct"/>
            <w:vAlign w:val="center"/>
          </w:tcPr>
          <w:p w14:paraId="5A82B177"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28</w:t>
            </w:r>
          </w:p>
        </w:tc>
        <w:tc>
          <w:tcPr>
            <w:tcW w:w="469" w:type="pct"/>
            <w:vAlign w:val="center"/>
          </w:tcPr>
          <w:p w14:paraId="62DF0E80"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336.6</w:t>
            </w:r>
          </w:p>
        </w:tc>
        <w:tc>
          <w:tcPr>
            <w:tcW w:w="469" w:type="pct"/>
            <w:vAlign w:val="center"/>
          </w:tcPr>
          <w:p w14:paraId="223C3066"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23</w:t>
            </w:r>
          </w:p>
        </w:tc>
        <w:tc>
          <w:tcPr>
            <w:tcW w:w="469" w:type="pct"/>
            <w:vAlign w:val="center"/>
          </w:tcPr>
          <w:p w14:paraId="7A19821B"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237.5</w:t>
            </w:r>
          </w:p>
        </w:tc>
      </w:tr>
      <w:tr w:rsidR="001C282F" w:rsidRPr="001C59C3" w14:paraId="58F82F54" w14:textId="77777777" w:rsidTr="00946816">
        <w:tc>
          <w:tcPr>
            <w:tcW w:w="1115" w:type="pct"/>
          </w:tcPr>
          <w:p w14:paraId="299A4C51" w14:textId="77777777" w:rsidR="001C282F" w:rsidRPr="001C59C3" w:rsidRDefault="001C282F" w:rsidP="00776D51">
            <w:pPr>
              <w:keepNext/>
              <w:jc w:val="left"/>
              <w:rPr>
                <w:rFonts w:ascii="Arial Narrow" w:eastAsiaTheme="majorEastAsia" w:hAnsi="Arial Narrow" w:cstheme="majorBidi"/>
                <w:bCs/>
                <w:sz w:val="20"/>
              </w:rPr>
            </w:pPr>
            <w:r w:rsidRPr="001C59C3">
              <w:rPr>
                <w:rFonts w:ascii="Arial Narrow" w:eastAsiaTheme="majorEastAsia" w:hAnsi="Arial Narrow" w:cstheme="majorBidi"/>
                <w:bCs/>
                <w:sz w:val="20"/>
              </w:rPr>
              <w:t>Dizziness</w:t>
            </w:r>
          </w:p>
        </w:tc>
        <w:tc>
          <w:tcPr>
            <w:tcW w:w="497" w:type="pct"/>
            <w:shd w:val="clear" w:color="auto" w:fill="auto"/>
          </w:tcPr>
          <w:p w14:paraId="1F6E9466"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13 (6.9)</w:t>
            </w:r>
          </w:p>
        </w:tc>
        <w:tc>
          <w:tcPr>
            <w:tcW w:w="512" w:type="pct"/>
          </w:tcPr>
          <w:p w14:paraId="703FBFC7"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2 (1.1)</w:t>
            </w:r>
          </w:p>
        </w:tc>
        <w:tc>
          <w:tcPr>
            <w:tcW w:w="481" w:type="pct"/>
          </w:tcPr>
          <w:p w14:paraId="58AD345F"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13 (5.5)</w:t>
            </w:r>
          </w:p>
        </w:tc>
        <w:tc>
          <w:tcPr>
            <w:tcW w:w="520" w:type="pct"/>
            <w:tcBorders>
              <w:top w:val="single" w:sz="4" w:space="0" w:color="auto"/>
              <w:left w:val="nil"/>
              <w:bottom w:val="single" w:sz="4" w:space="0" w:color="auto"/>
            </w:tcBorders>
          </w:tcPr>
          <w:p w14:paraId="07BEFCC1"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12 (5.1)</w:t>
            </w:r>
          </w:p>
        </w:tc>
        <w:tc>
          <w:tcPr>
            <w:tcW w:w="469" w:type="pct"/>
            <w:vAlign w:val="center"/>
          </w:tcPr>
          <w:p w14:paraId="44F31C3B"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29</w:t>
            </w:r>
          </w:p>
        </w:tc>
        <w:tc>
          <w:tcPr>
            <w:tcW w:w="469" w:type="pct"/>
            <w:vAlign w:val="center"/>
          </w:tcPr>
          <w:p w14:paraId="3D8ECC0A"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316.2</w:t>
            </w:r>
          </w:p>
        </w:tc>
        <w:tc>
          <w:tcPr>
            <w:tcW w:w="469" w:type="pct"/>
            <w:vAlign w:val="center"/>
          </w:tcPr>
          <w:p w14:paraId="2A3675D9"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16</w:t>
            </w:r>
          </w:p>
        </w:tc>
        <w:tc>
          <w:tcPr>
            <w:tcW w:w="469" w:type="pct"/>
            <w:vAlign w:val="center"/>
          </w:tcPr>
          <w:p w14:paraId="0653D3FC"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188.0</w:t>
            </w:r>
          </w:p>
        </w:tc>
      </w:tr>
      <w:tr w:rsidR="001C282F" w:rsidRPr="001C59C3" w14:paraId="6C992387" w14:textId="77777777" w:rsidTr="00946816">
        <w:tc>
          <w:tcPr>
            <w:tcW w:w="1115" w:type="pct"/>
          </w:tcPr>
          <w:p w14:paraId="443C9FFA" w14:textId="77777777" w:rsidR="001C282F" w:rsidRPr="001C59C3" w:rsidRDefault="001C282F" w:rsidP="00776D51">
            <w:pPr>
              <w:keepNext/>
              <w:jc w:val="left"/>
              <w:rPr>
                <w:rFonts w:ascii="Arial Narrow" w:eastAsiaTheme="majorEastAsia" w:hAnsi="Arial Narrow" w:cstheme="majorBidi"/>
                <w:bCs/>
                <w:sz w:val="20"/>
              </w:rPr>
            </w:pPr>
            <w:r w:rsidRPr="001C59C3">
              <w:rPr>
                <w:rFonts w:ascii="Arial Narrow" w:eastAsiaTheme="majorEastAsia" w:hAnsi="Arial Narrow" w:cstheme="majorBidi"/>
                <w:bCs/>
                <w:sz w:val="20"/>
              </w:rPr>
              <w:t>Somnolence</w:t>
            </w:r>
          </w:p>
        </w:tc>
        <w:tc>
          <w:tcPr>
            <w:tcW w:w="497" w:type="pct"/>
            <w:shd w:val="clear" w:color="auto" w:fill="auto"/>
          </w:tcPr>
          <w:p w14:paraId="64D21A53"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6 (3.2)</w:t>
            </w:r>
          </w:p>
        </w:tc>
        <w:tc>
          <w:tcPr>
            <w:tcW w:w="512" w:type="pct"/>
          </w:tcPr>
          <w:p w14:paraId="6B48E08E"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4 (2.1)</w:t>
            </w:r>
          </w:p>
        </w:tc>
        <w:tc>
          <w:tcPr>
            <w:tcW w:w="481" w:type="pct"/>
          </w:tcPr>
          <w:p w14:paraId="65DB91D5"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11 (4.7)</w:t>
            </w:r>
          </w:p>
        </w:tc>
        <w:tc>
          <w:tcPr>
            <w:tcW w:w="520" w:type="pct"/>
            <w:tcBorders>
              <w:top w:val="single" w:sz="4" w:space="0" w:color="auto"/>
              <w:left w:val="nil"/>
              <w:bottom w:val="single" w:sz="4" w:space="0" w:color="auto"/>
            </w:tcBorders>
          </w:tcPr>
          <w:p w14:paraId="33768819"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5 (2.1)</w:t>
            </w:r>
          </w:p>
        </w:tc>
        <w:tc>
          <w:tcPr>
            <w:tcW w:w="469" w:type="pct"/>
            <w:vAlign w:val="center"/>
          </w:tcPr>
          <w:p w14:paraId="654FFA40"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14</w:t>
            </w:r>
          </w:p>
        </w:tc>
        <w:tc>
          <w:tcPr>
            <w:tcW w:w="469" w:type="pct"/>
            <w:vAlign w:val="center"/>
          </w:tcPr>
          <w:p w14:paraId="48405AEB"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142.8</w:t>
            </w:r>
          </w:p>
        </w:tc>
        <w:tc>
          <w:tcPr>
            <w:tcW w:w="469" w:type="pct"/>
            <w:vAlign w:val="center"/>
          </w:tcPr>
          <w:p w14:paraId="67ECB1E6"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10</w:t>
            </w:r>
          </w:p>
        </w:tc>
        <w:tc>
          <w:tcPr>
            <w:tcW w:w="469" w:type="pct"/>
            <w:vAlign w:val="center"/>
          </w:tcPr>
          <w:p w14:paraId="7E71BE29"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98.9</w:t>
            </w:r>
          </w:p>
        </w:tc>
      </w:tr>
      <w:tr w:rsidR="001C282F" w:rsidRPr="001C59C3" w14:paraId="2A091438" w14:textId="77777777" w:rsidTr="00946816">
        <w:tc>
          <w:tcPr>
            <w:tcW w:w="1115" w:type="pct"/>
          </w:tcPr>
          <w:p w14:paraId="49F4DCF7" w14:textId="77777777" w:rsidR="001C282F" w:rsidRPr="001C59C3" w:rsidRDefault="001C282F" w:rsidP="00776D51">
            <w:pPr>
              <w:keepNext/>
              <w:jc w:val="left"/>
              <w:rPr>
                <w:rFonts w:ascii="Arial Narrow" w:eastAsiaTheme="majorEastAsia" w:hAnsi="Arial Narrow" w:cstheme="majorBidi"/>
                <w:bCs/>
                <w:sz w:val="20"/>
              </w:rPr>
            </w:pPr>
            <w:r w:rsidRPr="001C59C3">
              <w:rPr>
                <w:rFonts w:ascii="Arial Narrow" w:eastAsiaTheme="majorEastAsia" w:hAnsi="Arial Narrow" w:cstheme="majorBidi"/>
                <w:bCs/>
                <w:sz w:val="20"/>
              </w:rPr>
              <w:t>Mental status changes</w:t>
            </w:r>
          </w:p>
        </w:tc>
        <w:tc>
          <w:tcPr>
            <w:tcW w:w="497" w:type="pct"/>
            <w:shd w:val="clear" w:color="auto" w:fill="auto"/>
          </w:tcPr>
          <w:p w14:paraId="51CDD15C"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3 (1.6)</w:t>
            </w:r>
          </w:p>
        </w:tc>
        <w:tc>
          <w:tcPr>
            <w:tcW w:w="512" w:type="pct"/>
          </w:tcPr>
          <w:p w14:paraId="5FE5AA42"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3 (1.6)</w:t>
            </w:r>
          </w:p>
        </w:tc>
        <w:tc>
          <w:tcPr>
            <w:tcW w:w="481" w:type="pct"/>
          </w:tcPr>
          <w:p w14:paraId="08C19F24"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3 (1.3)</w:t>
            </w:r>
          </w:p>
        </w:tc>
        <w:tc>
          <w:tcPr>
            <w:tcW w:w="520" w:type="pct"/>
            <w:tcBorders>
              <w:top w:val="single" w:sz="4" w:space="0" w:color="auto"/>
              <w:left w:val="nil"/>
              <w:bottom w:val="single" w:sz="4" w:space="0" w:color="auto"/>
            </w:tcBorders>
          </w:tcPr>
          <w:p w14:paraId="0702D08B"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1 (0.4)</w:t>
            </w:r>
          </w:p>
        </w:tc>
        <w:tc>
          <w:tcPr>
            <w:tcW w:w="469" w:type="pct"/>
            <w:vAlign w:val="center"/>
          </w:tcPr>
          <w:p w14:paraId="12071B46"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14</w:t>
            </w:r>
          </w:p>
        </w:tc>
        <w:tc>
          <w:tcPr>
            <w:tcW w:w="469" w:type="pct"/>
            <w:vAlign w:val="center"/>
          </w:tcPr>
          <w:p w14:paraId="35ADF771"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142.8</w:t>
            </w:r>
          </w:p>
        </w:tc>
        <w:tc>
          <w:tcPr>
            <w:tcW w:w="469" w:type="pct"/>
            <w:vAlign w:val="center"/>
          </w:tcPr>
          <w:p w14:paraId="6DFA6790"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6</w:t>
            </w:r>
          </w:p>
        </w:tc>
        <w:tc>
          <w:tcPr>
            <w:tcW w:w="469" w:type="pct"/>
            <w:vAlign w:val="center"/>
          </w:tcPr>
          <w:p w14:paraId="3A640463"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59.4</w:t>
            </w:r>
          </w:p>
        </w:tc>
      </w:tr>
      <w:tr w:rsidR="001C282F" w:rsidRPr="001C59C3" w14:paraId="5BC5B592" w14:textId="77777777" w:rsidTr="00946816">
        <w:tc>
          <w:tcPr>
            <w:tcW w:w="1115" w:type="pct"/>
          </w:tcPr>
          <w:p w14:paraId="39598269" w14:textId="77777777" w:rsidR="001C282F" w:rsidRPr="001C59C3" w:rsidRDefault="001C282F" w:rsidP="00776D51">
            <w:pPr>
              <w:keepNext/>
              <w:jc w:val="left"/>
              <w:rPr>
                <w:rFonts w:ascii="Arial Narrow" w:eastAsiaTheme="majorEastAsia" w:hAnsi="Arial Narrow" w:cstheme="majorBidi"/>
                <w:bCs/>
                <w:sz w:val="20"/>
              </w:rPr>
            </w:pPr>
            <w:r w:rsidRPr="001C59C3">
              <w:rPr>
                <w:rFonts w:ascii="Arial Narrow" w:eastAsiaTheme="majorEastAsia" w:hAnsi="Arial Narrow" w:cstheme="majorBidi"/>
                <w:bCs/>
                <w:sz w:val="20"/>
              </w:rPr>
              <w:t>Syncope</w:t>
            </w:r>
          </w:p>
        </w:tc>
        <w:tc>
          <w:tcPr>
            <w:tcW w:w="497" w:type="pct"/>
            <w:shd w:val="clear" w:color="auto" w:fill="auto"/>
          </w:tcPr>
          <w:p w14:paraId="39ECB65C"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1 (0.5)</w:t>
            </w:r>
          </w:p>
        </w:tc>
        <w:tc>
          <w:tcPr>
            <w:tcW w:w="512" w:type="pct"/>
          </w:tcPr>
          <w:p w14:paraId="491CB473"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1 (0.5)</w:t>
            </w:r>
          </w:p>
        </w:tc>
        <w:tc>
          <w:tcPr>
            <w:tcW w:w="481" w:type="pct"/>
          </w:tcPr>
          <w:p w14:paraId="6D436F20"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4 (1.7)</w:t>
            </w:r>
          </w:p>
        </w:tc>
        <w:tc>
          <w:tcPr>
            <w:tcW w:w="520" w:type="pct"/>
            <w:tcBorders>
              <w:top w:val="single" w:sz="4" w:space="0" w:color="auto"/>
              <w:left w:val="nil"/>
              <w:bottom w:val="single" w:sz="4" w:space="0" w:color="auto"/>
            </w:tcBorders>
          </w:tcPr>
          <w:p w14:paraId="4F0B062D"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3 (1.3)</w:t>
            </w:r>
          </w:p>
        </w:tc>
        <w:tc>
          <w:tcPr>
            <w:tcW w:w="469" w:type="pct"/>
            <w:vAlign w:val="center"/>
          </w:tcPr>
          <w:p w14:paraId="74F8C762"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NR</w:t>
            </w:r>
          </w:p>
        </w:tc>
        <w:tc>
          <w:tcPr>
            <w:tcW w:w="469" w:type="pct"/>
            <w:vAlign w:val="center"/>
          </w:tcPr>
          <w:p w14:paraId="0705EF0B"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NR</w:t>
            </w:r>
          </w:p>
        </w:tc>
        <w:tc>
          <w:tcPr>
            <w:tcW w:w="469" w:type="pct"/>
            <w:vAlign w:val="center"/>
          </w:tcPr>
          <w:p w14:paraId="09B036F7"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NR</w:t>
            </w:r>
          </w:p>
        </w:tc>
        <w:tc>
          <w:tcPr>
            <w:tcW w:w="469" w:type="pct"/>
            <w:vAlign w:val="center"/>
          </w:tcPr>
          <w:p w14:paraId="48395D86"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NR</w:t>
            </w:r>
          </w:p>
        </w:tc>
      </w:tr>
      <w:tr w:rsidR="001C282F" w:rsidRPr="001C59C3" w14:paraId="3CAFC53A" w14:textId="77777777" w:rsidTr="00946816">
        <w:tc>
          <w:tcPr>
            <w:tcW w:w="1115" w:type="pct"/>
          </w:tcPr>
          <w:p w14:paraId="4AD37E5A" w14:textId="77777777" w:rsidR="001C282F" w:rsidRPr="001C59C3" w:rsidRDefault="001C282F" w:rsidP="00776D51">
            <w:pPr>
              <w:keepNext/>
              <w:jc w:val="left"/>
              <w:rPr>
                <w:rFonts w:ascii="Arial Narrow" w:eastAsiaTheme="majorEastAsia" w:hAnsi="Arial Narrow" w:cstheme="majorBidi"/>
                <w:bCs/>
                <w:sz w:val="20"/>
              </w:rPr>
            </w:pPr>
            <w:r w:rsidRPr="001C59C3">
              <w:rPr>
                <w:rFonts w:ascii="Arial Narrow" w:eastAsiaTheme="majorEastAsia" w:hAnsi="Arial Narrow" w:cstheme="majorBidi"/>
                <w:bCs/>
                <w:sz w:val="20"/>
              </w:rPr>
              <w:t>Tachycardia</w:t>
            </w:r>
          </w:p>
        </w:tc>
        <w:tc>
          <w:tcPr>
            <w:tcW w:w="497" w:type="pct"/>
            <w:shd w:val="clear" w:color="auto" w:fill="auto"/>
          </w:tcPr>
          <w:p w14:paraId="2EA31425"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2 (1.1)</w:t>
            </w:r>
          </w:p>
        </w:tc>
        <w:tc>
          <w:tcPr>
            <w:tcW w:w="512" w:type="pct"/>
          </w:tcPr>
          <w:p w14:paraId="414893ED"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1 (0.5)</w:t>
            </w:r>
          </w:p>
        </w:tc>
        <w:tc>
          <w:tcPr>
            <w:tcW w:w="481" w:type="pct"/>
          </w:tcPr>
          <w:p w14:paraId="185FC5B0"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1 (0.4)</w:t>
            </w:r>
          </w:p>
        </w:tc>
        <w:tc>
          <w:tcPr>
            <w:tcW w:w="520" w:type="pct"/>
            <w:tcBorders>
              <w:top w:val="single" w:sz="4" w:space="0" w:color="auto"/>
              <w:left w:val="nil"/>
              <w:bottom w:val="single" w:sz="4" w:space="0" w:color="auto"/>
            </w:tcBorders>
          </w:tcPr>
          <w:p w14:paraId="2D2FBB91"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6 (2.5)</w:t>
            </w:r>
          </w:p>
        </w:tc>
        <w:tc>
          <w:tcPr>
            <w:tcW w:w="469" w:type="pct"/>
            <w:vAlign w:val="center"/>
          </w:tcPr>
          <w:p w14:paraId="1B3B8038"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NR</w:t>
            </w:r>
          </w:p>
        </w:tc>
        <w:tc>
          <w:tcPr>
            <w:tcW w:w="469" w:type="pct"/>
            <w:vAlign w:val="center"/>
          </w:tcPr>
          <w:p w14:paraId="54B2B650"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NR</w:t>
            </w:r>
          </w:p>
        </w:tc>
        <w:tc>
          <w:tcPr>
            <w:tcW w:w="469" w:type="pct"/>
            <w:vAlign w:val="center"/>
          </w:tcPr>
          <w:p w14:paraId="67091053"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NR</w:t>
            </w:r>
          </w:p>
        </w:tc>
        <w:tc>
          <w:tcPr>
            <w:tcW w:w="469" w:type="pct"/>
            <w:vAlign w:val="center"/>
          </w:tcPr>
          <w:p w14:paraId="61C42441"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NR</w:t>
            </w:r>
          </w:p>
        </w:tc>
      </w:tr>
      <w:tr w:rsidR="001C282F" w:rsidRPr="001C59C3" w14:paraId="2EB5966F" w14:textId="77777777" w:rsidTr="00946816">
        <w:tc>
          <w:tcPr>
            <w:tcW w:w="1115" w:type="pct"/>
          </w:tcPr>
          <w:p w14:paraId="3E2E2653" w14:textId="77777777" w:rsidR="001C282F" w:rsidRPr="001C59C3" w:rsidRDefault="001C282F" w:rsidP="00776D51">
            <w:pPr>
              <w:keepNext/>
              <w:jc w:val="left"/>
              <w:rPr>
                <w:rFonts w:ascii="Arial Narrow" w:eastAsiaTheme="majorEastAsia" w:hAnsi="Arial Narrow" w:cstheme="majorBidi"/>
                <w:bCs/>
                <w:sz w:val="20"/>
              </w:rPr>
            </w:pPr>
            <w:r w:rsidRPr="001C59C3">
              <w:rPr>
                <w:rFonts w:ascii="Arial Narrow" w:eastAsiaTheme="majorEastAsia" w:hAnsi="Arial Narrow" w:cstheme="majorBidi"/>
                <w:bCs/>
                <w:sz w:val="20"/>
              </w:rPr>
              <w:t>Palpitations</w:t>
            </w:r>
          </w:p>
        </w:tc>
        <w:tc>
          <w:tcPr>
            <w:tcW w:w="497" w:type="pct"/>
            <w:shd w:val="clear" w:color="auto" w:fill="auto"/>
          </w:tcPr>
          <w:p w14:paraId="0B811958"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0</w:t>
            </w:r>
          </w:p>
        </w:tc>
        <w:tc>
          <w:tcPr>
            <w:tcW w:w="512" w:type="pct"/>
          </w:tcPr>
          <w:p w14:paraId="72B5FA9D"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2 (1.1)</w:t>
            </w:r>
          </w:p>
        </w:tc>
        <w:tc>
          <w:tcPr>
            <w:tcW w:w="481" w:type="pct"/>
          </w:tcPr>
          <w:p w14:paraId="4A5C5B56"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3 (1.3)</w:t>
            </w:r>
          </w:p>
        </w:tc>
        <w:tc>
          <w:tcPr>
            <w:tcW w:w="520" w:type="pct"/>
            <w:tcBorders>
              <w:top w:val="single" w:sz="4" w:space="0" w:color="auto"/>
              <w:left w:val="nil"/>
              <w:bottom w:val="single" w:sz="4" w:space="0" w:color="auto"/>
            </w:tcBorders>
          </w:tcPr>
          <w:p w14:paraId="5428C749"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1 (0.4)</w:t>
            </w:r>
          </w:p>
        </w:tc>
        <w:tc>
          <w:tcPr>
            <w:tcW w:w="469" w:type="pct"/>
            <w:vAlign w:val="center"/>
          </w:tcPr>
          <w:p w14:paraId="3B721B94"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NR</w:t>
            </w:r>
          </w:p>
        </w:tc>
        <w:tc>
          <w:tcPr>
            <w:tcW w:w="469" w:type="pct"/>
            <w:vAlign w:val="center"/>
          </w:tcPr>
          <w:p w14:paraId="2398D15D"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NR</w:t>
            </w:r>
          </w:p>
        </w:tc>
        <w:tc>
          <w:tcPr>
            <w:tcW w:w="469" w:type="pct"/>
            <w:vAlign w:val="center"/>
          </w:tcPr>
          <w:p w14:paraId="38A49309"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NR</w:t>
            </w:r>
          </w:p>
        </w:tc>
        <w:tc>
          <w:tcPr>
            <w:tcW w:w="469" w:type="pct"/>
            <w:vAlign w:val="center"/>
          </w:tcPr>
          <w:p w14:paraId="1CA9873B"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NR</w:t>
            </w:r>
          </w:p>
        </w:tc>
      </w:tr>
      <w:tr w:rsidR="001C282F" w:rsidRPr="001C59C3" w14:paraId="048A71CF" w14:textId="77777777" w:rsidTr="00946816">
        <w:tc>
          <w:tcPr>
            <w:tcW w:w="1115" w:type="pct"/>
          </w:tcPr>
          <w:p w14:paraId="0758FC6A" w14:textId="77777777" w:rsidR="001C282F" w:rsidRPr="001C59C3" w:rsidRDefault="001C282F" w:rsidP="00776D51">
            <w:pPr>
              <w:keepNext/>
              <w:jc w:val="left"/>
              <w:rPr>
                <w:rFonts w:ascii="Arial Narrow" w:eastAsiaTheme="majorEastAsia" w:hAnsi="Arial Narrow" w:cstheme="majorBidi"/>
                <w:bCs/>
                <w:sz w:val="20"/>
              </w:rPr>
            </w:pPr>
            <w:r w:rsidRPr="001C59C3">
              <w:rPr>
                <w:rFonts w:ascii="Arial Narrow" w:eastAsiaTheme="majorEastAsia" w:hAnsi="Arial Narrow" w:cstheme="majorBidi"/>
                <w:bCs/>
                <w:sz w:val="20"/>
              </w:rPr>
              <w:t>Mood altered</w:t>
            </w:r>
          </w:p>
        </w:tc>
        <w:tc>
          <w:tcPr>
            <w:tcW w:w="497" w:type="pct"/>
            <w:shd w:val="clear" w:color="auto" w:fill="auto"/>
          </w:tcPr>
          <w:p w14:paraId="7BD82B0C"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1 (0.5)</w:t>
            </w:r>
          </w:p>
        </w:tc>
        <w:tc>
          <w:tcPr>
            <w:tcW w:w="512" w:type="pct"/>
          </w:tcPr>
          <w:p w14:paraId="2EF86292"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0</w:t>
            </w:r>
          </w:p>
        </w:tc>
        <w:tc>
          <w:tcPr>
            <w:tcW w:w="481" w:type="pct"/>
          </w:tcPr>
          <w:p w14:paraId="09EA5495"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0</w:t>
            </w:r>
          </w:p>
        </w:tc>
        <w:tc>
          <w:tcPr>
            <w:tcW w:w="520" w:type="pct"/>
            <w:tcBorders>
              <w:top w:val="single" w:sz="4" w:space="0" w:color="auto"/>
              <w:left w:val="nil"/>
              <w:bottom w:val="single" w:sz="4" w:space="0" w:color="auto"/>
            </w:tcBorders>
          </w:tcPr>
          <w:p w14:paraId="7DBB8DED"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1 (0.4)</w:t>
            </w:r>
          </w:p>
        </w:tc>
        <w:tc>
          <w:tcPr>
            <w:tcW w:w="469" w:type="pct"/>
            <w:vAlign w:val="center"/>
          </w:tcPr>
          <w:p w14:paraId="1F40A6F9"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NR</w:t>
            </w:r>
          </w:p>
        </w:tc>
        <w:tc>
          <w:tcPr>
            <w:tcW w:w="469" w:type="pct"/>
            <w:vAlign w:val="center"/>
          </w:tcPr>
          <w:p w14:paraId="0E526B43"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NR</w:t>
            </w:r>
          </w:p>
        </w:tc>
        <w:tc>
          <w:tcPr>
            <w:tcW w:w="469" w:type="pct"/>
            <w:vAlign w:val="center"/>
          </w:tcPr>
          <w:p w14:paraId="0AE9A3CA"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NR</w:t>
            </w:r>
          </w:p>
        </w:tc>
        <w:tc>
          <w:tcPr>
            <w:tcW w:w="469" w:type="pct"/>
            <w:vAlign w:val="center"/>
          </w:tcPr>
          <w:p w14:paraId="403D2392"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NR</w:t>
            </w:r>
          </w:p>
        </w:tc>
      </w:tr>
      <w:tr w:rsidR="001C282F" w:rsidRPr="001C59C3" w14:paraId="08542014" w14:textId="77777777" w:rsidTr="00946816">
        <w:trPr>
          <w:trHeight w:val="54"/>
        </w:trPr>
        <w:tc>
          <w:tcPr>
            <w:tcW w:w="1115" w:type="pct"/>
          </w:tcPr>
          <w:p w14:paraId="4E3CB68A" w14:textId="77777777" w:rsidR="001C282F" w:rsidRPr="001C59C3" w:rsidRDefault="001C282F" w:rsidP="00776D51">
            <w:pPr>
              <w:keepNext/>
              <w:jc w:val="left"/>
              <w:rPr>
                <w:rFonts w:ascii="Arial Narrow" w:eastAsiaTheme="majorEastAsia" w:hAnsi="Arial Narrow" w:cstheme="majorBidi"/>
                <w:bCs/>
                <w:sz w:val="20"/>
              </w:rPr>
            </w:pPr>
            <w:r w:rsidRPr="001C59C3">
              <w:rPr>
                <w:rFonts w:ascii="Arial Narrow" w:eastAsiaTheme="majorEastAsia" w:hAnsi="Arial Narrow" w:cstheme="majorBidi"/>
                <w:bCs/>
                <w:sz w:val="20"/>
              </w:rPr>
              <w:t>Seizure</w:t>
            </w:r>
          </w:p>
        </w:tc>
        <w:tc>
          <w:tcPr>
            <w:tcW w:w="497" w:type="pct"/>
            <w:shd w:val="clear" w:color="auto" w:fill="auto"/>
          </w:tcPr>
          <w:p w14:paraId="0A33A9A6"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1 (0.5)</w:t>
            </w:r>
          </w:p>
        </w:tc>
        <w:tc>
          <w:tcPr>
            <w:tcW w:w="512" w:type="pct"/>
          </w:tcPr>
          <w:p w14:paraId="7AFFECCA"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1 (0.5)</w:t>
            </w:r>
          </w:p>
        </w:tc>
        <w:tc>
          <w:tcPr>
            <w:tcW w:w="481" w:type="pct"/>
          </w:tcPr>
          <w:p w14:paraId="472BF705"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NR</w:t>
            </w:r>
          </w:p>
        </w:tc>
        <w:tc>
          <w:tcPr>
            <w:tcW w:w="520" w:type="pct"/>
            <w:tcBorders>
              <w:top w:val="single" w:sz="4" w:space="0" w:color="auto"/>
              <w:left w:val="nil"/>
              <w:bottom w:val="single" w:sz="4" w:space="0" w:color="auto"/>
            </w:tcBorders>
          </w:tcPr>
          <w:p w14:paraId="7CB05B8C"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NR</w:t>
            </w:r>
          </w:p>
        </w:tc>
        <w:tc>
          <w:tcPr>
            <w:tcW w:w="469" w:type="pct"/>
            <w:tcBorders>
              <w:bottom w:val="single" w:sz="4" w:space="0" w:color="auto"/>
            </w:tcBorders>
            <w:vAlign w:val="center"/>
          </w:tcPr>
          <w:p w14:paraId="14B4F6CF"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NR</w:t>
            </w:r>
          </w:p>
        </w:tc>
        <w:tc>
          <w:tcPr>
            <w:tcW w:w="469" w:type="pct"/>
            <w:tcBorders>
              <w:bottom w:val="single" w:sz="4" w:space="0" w:color="auto"/>
            </w:tcBorders>
            <w:vAlign w:val="center"/>
          </w:tcPr>
          <w:p w14:paraId="7D6D1ADE"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NR</w:t>
            </w:r>
          </w:p>
        </w:tc>
        <w:tc>
          <w:tcPr>
            <w:tcW w:w="469" w:type="pct"/>
            <w:tcBorders>
              <w:bottom w:val="single" w:sz="4" w:space="0" w:color="auto"/>
            </w:tcBorders>
            <w:vAlign w:val="center"/>
          </w:tcPr>
          <w:p w14:paraId="5DACB547"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NR</w:t>
            </w:r>
          </w:p>
        </w:tc>
        <w:tc>
          <w:tcPr>
            <w:tcW w:w="469" w:type="pct"/>
            <w:tcBorders>
              <w:bottom w:val="single" w:sz="4" w:space="0" w:color="auto"/>
            </w:tcBorders>
            <w:vAlign w:val="center"/>
          </w:tcPr>
          <w:p w14:paraId="45B33DBC" w14:textId="77777777" w:rsidR="001C282F" w:rsidRPr="001C59C3" w:rsidRDefault="001C282F" w:rsidP="00776D51">
            <w:pPr>
              <w:keepNext/>
              <w:jc w:val="center"/>
              <w:rPr>
                <w:rFonts w:ascii="Arial Narrow" w:eastAsiaTheme="majorEastAsia" w:hAnsi="Arial Narrow" w:cstheme="majorBidi"/>
                <w:bCs/>
                <w:sz w:val="20"/>
              </w:rPr>
            </w:pPr>
            <w:r w:rsidRPr="001C59C3">
              <w:rPr>
                <w:rFonts w:ascii="Arial Narrow" w:eastAsiaTheme="majorEastAsia" w:hAnsi="Arial Narrow" w:cstheme="majorBidi"/>
                <w:bCs/>
                <w:sz w:val="20"/>
              </w:rPr>
              <w:t>NR</w:t>
            </w:r>
          </w:p>
        </w:tc>
      </w:tr>
    </w:tbl>
    <w:p w14:paraId="1E5F5D62" w14:textId="77777777" w:rsidR="001C282F" w:rsidRPr="001C59C3" w:rsidRDefault="001C282F" w:rsidP="001C282F">
      <w:pPr>
        <w:pStyle w:val="COMTablefooter"/>
      </w:pPr>
      <w:r w:rsidRPr="001C59C3">
        <w:t>Source: Table 33, p130; Table 34, p133; Table 35, p137; Table 41, p152 of the resubmission</w:t>
      </w:r>
    </w:p>
    <w:p w14:paraId="4B8E4255" w14:textId="77777777" w:rsidR="001C282F" w:rsidRPr="001C59C3" w:rsidRDefault="001C282F" w:rsidP="001C282F">
      <w:pPr>
        <w:pStyle w:val="COMTablefooter"/>
      </w:pPr>
      <w:r w:rsidRPr="001C59C3">
        <w:t>Abbreviations: AE, adverse event; DFK, difelikefalin; IR, incidence rate; PBO, placebo; pt-yrs, patient-years; NR, not reported</w:t>
      </w:r>
    </w:p>
    <w:p w14:paraId="2B938687" w14:textId="77777777" w:rsidR="001C282F" w:rsidRPr="001C59C3" w:rsidRDefault="001C282F" w:rsidP="001C282F">
      <w:pPr>
        <w:pStyle w:val="COMTablefooter"/>
      </w:pPr>
      <w:r w:rsidRPr="001C59C3">
        <w:rPr>
          <w:vertAlign w:val="superscript"/>
        </w:rPr>
        <w:t>a</w:t>
      </w:r>
      <w:r w:rsidRPr="001C59C3">
        <w:t xml:space="preserve"> There was a discrepancy in the number of reported in the pooled safety analysis (Fishbane 2022) and in the trial report. </w:t>
      </w:r>
    </w:p>
    <w:p w14:paraId="559CC61A" w14:textId="77777777" w:rsidR="001C282F" w:rsidRPr="001C59C3" w:rsidRDefault="001C282F" w:rsidP="001C282F">
      <w:pPr>
        <w:pStyle w:val="COMTablefooter"/>
      </w:pPr>
      <w:r w:rsidRPr="001C59C3">
        <w:rPr>
          <w:vertAlign w:val="superscript"/>
        </w:rPr>
        <w:t>b</w:t>
      </w:r>
      <w:r w:rsidRPr="001C59C3">
        <w:t xml:space="preserve"> Adverse events reported in ≥2% of difelikefalin patients with an incidence ≥1% higher than in placebo patients</w:t>
      </w:r>
    </w:p>
    <w:p w14:paraId="7A68C436" w14:textId="77777777" w:rsidR="001C282F" w:rsidRPr="001C59C3" w:rsidRDefault="001C282F" w:rsidP="001C282F">
      <w:pPr>
        <w:pStyle w:val="COMTablefooter"/>
      </w:pPr>
      <w:r w:rsidRPr="001C59C3">
        <w:t>Note: IR is calculated as 1,000 times the number of events divided by the total patient-years of exposure</w:t>
      </w:r>
    </w:p>
    <w:p w14:paraId="72DA8A1F" w14:textId="23EDCE6C" w:rsidR="001C282F" w:rsidRPr="001C59C3" w:rsidRDefault="001C282F" w:rsidP="004F15B1">
      <w:pPr>
        <w:pStyle w:val="COMexecsumnumberedpara"/>
      </w:pPr>
      <w:r w:rsidRPr="001C59C3">
        <w:t>More patients treated with difelikefalin experienced an adverse event compared to those in the placebo arm. Treatment-emergent adverse events occurring more frequently with difelikefalin compared to placebo were diarrhoea, vomiting, nausea, fall, dizziness, somnolence, hyperkalaemia and mental status change. More patients in the difelikefalin arm experienced adverse events leading to treatment discontinuation and treatment interruption compared to placebo, with dizziness being the most common reason for discontinuation of difelikefalin.</w:t>
      </w:r>
    </w:p>
    <w:p w14:paraId="3C57323B" w14:textId="69B7726A" w:rsidR="001C282F" w:rsidRPr="001C59C3" w:rsidRDefault="001C282F" w:rsidP="004F15B1">
      <w:pPr>
        <w:pStyle w:val="COMexecsumnumberedpara"/>
      </w:pPr>
      <w:r w:rsidRPr="001C59C3">
        <w:t>The frequency of serious adverse events was higher in patients treated with difelikefalin compared to placebo. The most common serious adverse event reported in both trials was infections and infestations, with similar frequencies of occurrence between arms in KALM-1 difelikefalin 8%, placebo 8%) but with different frequencies in KALM-2 (difelikefalin 9%, placebo 6%). There were also higher incidences of cardiac (difelikefalin 5%, placebo 2%) and respiratory disorders (difelikefalin 4%, placebo 2%) in the difelikefalin arms across the key trials</w:t>
      </w:r>
      <w:r w:rsidR="001C59C3">
        <w:t xml:space="preserve">. </w:t>
      </w:r>
    </w:p>
    <w:p w14:paraId="579C02C3" w14:textId="16F7D000" w:rsidR="001C282F" w:rsidRPr="001C59C3" w:rsidRDefault="001C282F" w:rsidP="004F15B1">
      <w:pPr>
        <w:pStyle w:val="COMexecsumnumberedpara"/>
      </w:pPr>
      <w:r w:rsidRPr="001C59C3">
        <w:lastRenderedPageBreak/>
        <w:t>During the double-blind treatment period across the key trials, 4 deaths occurred in the difelikefalin arms (2 due to sepsis, 1 due to anaemia/cardiorespiratory failure and 1 due to cardiac arrest) and 4 deaths occurred in the placebo arms (2 due to sepsis, 1 due to dyspnoea/hypotension and 1 due to cardiac arrest). One death of unknown cause occurred in the placebo arm during the discontinuation period of the KALM-1 trial</w:t>
      </w:r>
      <w:r w:rsidR="001C59C3">
        <w:t xml:space="preserve">. </w:t>
      </w:r>
      <w:r w:rsidRPr="001C59C3">
        <w:t>None of the deaths were deemed related to the study drug.</w:t>
      </w:r>
    </w:p>
    <w:p w14:paraId="14B1D908" w14:textId="1097B9AF" w:rsidR="00144CB5" w:rsidRPr="001C59C3" w:rsidRDefault="00144CB5" w:rsidP="004F15B1">
      <w:pPr>
        <w:pStyle w:val="COMexecsumnumberedpara"/>
      </w:pPr>
      <w:r w:rsidRPr="001C59C3">
        <w:t xml:space="preserve">The frequency of adverse events was similar </w:t>
      </w:r>
      <w:r w:rsidR="00C81FE5" w:rsidRPr="001C59C3">
        <w:t>regardless of treatment sequence</w:t>
      </w:r>
      <w:r w:rsidRPr="001C59C3">
        <w:t xml:space="preserve"> during the open-label extension studies. More patients switching from placebo to difelikefalin discontinued treatment due to adverse events. </w:t>
      </w:r>
      <w:r w:rsidR="0070588C" w:rsidRPr="001C59C3">
        <w:t>The adverse event profile of difelikefalin during th</w:t>
      </w:r>
      <w:r w:rsidR="00787AE2" w:rsidRPr="001C59C3">
        <w:t>e extension</w:t>
      </w:r>
      <w:r w:rsidR="0070588C" w:rsidRPr="001C59C3">
        <w:t xml:space="preserve"> period was similar to the double-blind period</w:t>
      </w:r>
      <w:r w:rsidR="00787AE2" w:rsidRPr="001C59C3">
        <w:t>.</w:t>
      </w:r>
    </w:p>
    <w:p w14:paraId="1E135B7A" w14:textId="07467A20" w:rsidR="001C282F" w:rsidRPr="001C59C3" w:rsidRDefault="00821DB1" w:rsidP="004F15B1">
      <w:pPr>
        <w:pStyle w:val="COMexecsumnumberedpara"/>
      </w:pPr>
      <w:r w:rsidRPr="001C59C3">
        <w:t>The resubmission presented data from the first Periodic Benefit-Risk Evaluation Report (PBRER) for the period 23 February 2022 to 22 August 2022, which became available after the lodgement of the March 2023 submission. This was not previously considered by the PBAC.</w:t>
      </w:r>
    </w:p>
    <w:p w14:paraId="4EB3D6E3" w14:textId="1D9CFD84" w:rsidR="0030258C" w:rsidRPr="001C59C3" w:rsidRDefault="0030258C" w:rsidP="004F15B1">
      <w:pPr>
        <w:pStyle w:val="COMexecsumnumberedpara"/>
      </w:pPr>
      <w:r w:rsidRPr="001C59C3">
        <w:t>The</w:t>
      </w:r>
      <w:r w:rsidR="00154861" w:rsidRPr="001C59C3">
        <w:t xml:space="preserve"> PBRER found</w:t>
      </w:r>
      <w:r w:rsidRPr="001C59C3">
        <w:t xml:space="preserve"> no important identified risks. Important potential risks were cardiac failure and arrhythmias including atrial fibrillation in haemodialysis patients with a medical history of atrial fibrillation. Missing information included use in pregnant and lactating women, patients with impaired blood brain barrier and patients with severe hepatic impairment. No new safety signals were identified during the reporting interval.</w:t>
      </w:r>
    </w:p>
    <w:p w14:paraId="2AF718C2" w14:textId="30C74603" w:rsidR="0030258C" w:rsidRPr="001C59C3" w:rsidRDefault="0030258C" w:rsidP="004F15B1">
      <w:pPr>
        <w:pStyle w:val="COMexecsumnumberedpara"/>
      </w:pPr>
      <w:r w:rsidRPr="001C59C3">
        <w:t>The resubmission also addressed emerging safety signal issues raised during the evaluation of the March 2023 submission. Emerging safety signals, arising from case reports of serious events, were considered by the Advisory Committee on Medicines (ACM) during the TGA approval process related to Drug Reaction with Eosinophilia and Systemic Symptoms (DRESS), cardiovascular disorders, hallucinations and failure to thrive. The resubmission stated that these issues were addressed in the finalised product information for difelikefalin. The PBAC previously noted that full TGA registration was approved without any boxed warnings (para 7.7, difelikefalin PSD, March 2023 PBAC meeting).</w:t>
      </w:r>
    </w:p>
    <w:p w14:paraId="36752BBB" w14:textId="3151A6E6" w:rsidR="0030258C" w:rsidRPr="001C59C3" w:rsidRDefault="0030258C" w:rsidP="004F15B1">
      <w:pPr>
        <w:pStyle w:val="COMexecsumnumberedpara"/>
      </w:pPr>
      <w:r w:rsidRPr="001C59C3">
        <w:t xml:space="preserve">The resubmission claimed that the extended safety data showed that difelikefalin was well-tolerated with an acceptable safety profile for the target PBS population. There remains limited long-term safety data for difelikefalin, with up to 64 weeks of data from the key trials and post-marketing exposure of approximately 91.08 patient years as of August 2022. The characteristics of Australian </w:t>
      </w:r>
      <w:r w:rsidR="0095042A" w:rsidRPr="001C59C3">
        <w:t>patients</w:t>
      </w:r>
      <w:r w:rsidRPr="001C59C3">
        <w:t xml:space="preserve"> </w:t>
      </w:r>
      <w:r w:rsidR="00B108B4" w:rsidRPr="001C59C3">
        <w:t xml:space="preserve">are </w:t>
      </w:r>
      <w:r w:rsidR="00D60573" w:rsidRPr="001C59C3">
        <w:t>uncertain,</w:t>
      </w:r>
      <w:r w:rsidRPr="001C59C3">
        <w:t xml:space="preserve"> but</w:t>
      </w:r>
      <w:r w:rsidR="0095042A" w:rsidRPr="001C59C3">
        <w:t xml:space="preserve"> </w:t>
      </w:r>
      <w:r w:rsidR="000C4830" w:rsidRPr="001C59C3">
        <w:t>t</w:t>
      </w:r>
      <w:r w:rsidR="00D60573" w:rsidRPr="001C59C3">
        <w:t xml:space="preserve">hey </w:t>
      </w:r>
      <w:r w:rsidR="0095042A" w:rsidRPr="001C59C3">
        <w:t>are</w:t>
      </w:r>
      <w:r w:rsidRPr="001C59C3">
        <w:t xml:space="preserve"> likely to be older with a potentially greater number of co-morbidities than</w:t>
      </w:r>
      <w:r w:rsidR="0095042A" w:rsidRPr="001C59C3">
        <w:t xml:space="preserve"> patients</w:t>
      </w:r>
      <w:r w:rsidRPr="001C59C3">
        <w:t xml:space="preserve"> in the trials.</w:t>
      </w:r>
    </w:p>
    <w:p w14:paraId="04908C7F" w14:textId="381F8EE6" w:rsidR="007F1017" w:rsidRPr="001C59C3" w:rsidRDefault="007F1017" w:rsidP="00D86231">
      <w:pPr>
        <w:pStyle w:val="COMH2-non-numbered"/>
      </w:pPr>
      <w:bookmarkStart w:id="34" w:name="_Toc22897643"/>
      <w:bookmarkStart w:id="35" w:name="_Toc144890471"/>
      <w:r w:rsidRPr="001C59C3">
        <w:t>Benefits/harms</w:t>
      </w:r>
      <w:bookmarkEnd w:id="34"/>
      <w:bookmarkEnd w:id="35"/>
    </w:p>
    <w:p w14:paraId="7E5B8282" w14:textId="0BB64F79" w:rsidR="006E39FA" w:rsidRPr="001C59C3" w:rsidRDefault="006E39FA" w:rsidP="004F15B1">
      <w:pPr>
        <w:pStyle w:val="COMexecsumnumberedpara"/>
      </w:pPr>
      <w:r w:rsidRPr="001C59C3">
        <w:t xml:space="preserve">On the basis of direct evidence presented in the </w:t>
      </w:r>
      <w:r w:rsidR="005278EB" w:rsidRPr="001C59C3">
        <w:t>re</w:t>
      </w:r>
      <w:r w:rsidRPr="001C59C3">
        <w:t>submission (KALM trials pooled cohort), for every 100 patients treated with difelikefalin in comparison with placebo over 12 weeks there would be:</w:t>
      </w:r>
    </w:p>
    <w:p w14:paraId="47997CED" w14:textId="77777777" w:rsidR="008377E4" w:rsidRPr="001C59C3" w:rsidRDefault="008377E4" w:rsidP="008377E4">
      <w:pPr>
        <w:pStyle w:val="COMexecsummbulletlist"/>
      </w:pPr>
      <w:r w:rsidRPr="001C59C3">
        <w:lastRenderedPageBreak/>
        <w:t>Approximately 16 more patients achieving an improvement in itch intensity, based on ≥3-point improvement in WI-NRS score from baseline.</w:t>
      </w:r>
    </w:p>
    <w:p w14:paraId="1FE33CC2" w14:textId="77777777" w:rsidR="00DA27B9" w:rsidRPr="001C59C3" w:rsidRDefault="00DA27B9" w:rsidP="00DA27B9">
      <w:pPr>
        <w:pStyle w:val="COMexecsummbulletlist"/>
      </w:pPr>
      <w:r w:rsidRPr="001C59C3">
        <w:t xml:space="preserve">Approximately 14 more events of diarrhoea, 9 more events of nausea, 13 more events of dizziness, 5 more events of falls/gait disturbance, 8 more events of headache, 4 more events of somnolence, 8 more events of mental status change and 5 more events of hyperkalaemia. </w:t>
      </w:r>
    </w:p>
    <w:p w14:paraId="33696279" w14:textId="77A6E93B" w:rsidR="002E1071" w:rsidRPr="001C59C3" w:rsidRDefault="00A14948" w:rsidP="00A14948">
      <w:pPr>
        <w:pStyle w:val="COMexecsummbulletlist"/>
      </w:pPr>
      <w:r w:rsidRPr="001C59C3">
        <w:t xml:space="preserve">Approximately 3 more patients with serious cardiac disorders and approximately 2 more patients with serious respiratory disorders. </w:t>
      </w:r>
    </w:p>
    <w:p w14:paraId="7A1772B6" w14:textId="21023AE6" w:rsidR="00B60939" w:rsidRPr="001C59C3" w:rsidRDefault="00B60939" w:rsidP="00E9094A">
      <w:pPr>
        <w:pStyle w:val="COMH2-non-numbered"/>
      </w:pPr>
      <w:bookmarkStart w:id="36" w:name="_Toc22897644"/>
      <w:bookmarkStart w:id="37" w:name="_Toc144890472"/>
      <w:r w:rsidRPr="001C59C3">
        <w:t>Clinical claim</w:t>
      </w:r>
      <w:bookmarkEnd w:id="36"/>
      <w:bookmarkEnd w:id="37"/>
    </w:p>
    <w:p w14:paraId="289EAA5E" w14:textId="492D6A3D" w:rsidR="007C70FF" w:rsidRPr="001C59C3" w:rsidRDefault="00A14948" w:rsidP="004F15B1">
      <w:pPr>
        <w:pStyle w:val="COMexecsumnumberedpara"/>
      </w:pPr>
      <w:bookmarkStart w:id="38" w:name="_Ref150513487"/>
      <w:r w:rsidRPr="001C59C3">
        <w:t xml:space="preserve">The </w:t>
      </w:r>
      <w:r w:rsidR="005278EB" w:rsidRPr="001C59C3">
        <w:t>re</w:t>
      </w:r>
      <w:r w:rsidRPr="001C59C3">
        <w:t>submission described difelikefalin as superior in terms of efficacy and inferior in terms of safety compared to best supportive care.</w:t>
      </w:r>
      <w:r w:rsidR="00D01995" w:rsidRPr="001C59C3">
        <w:t xml:space="preserve"> </w:t>
      </w:r>
      <w:r w:rsidR="004F2998" w:rsidRPr="001C59C3">
        <w:t xml:space="preserve">These claims were </w:t>
      </w:r>
      <w:r w:rsidR="000371B4" w:rsidRPr="001C59C3">
        <w:t>unchanged from the previous submission</w:t>
      </w:r>
      <w:r w:rsidR="0017238E" w:rsidRPr="001C59C3">
        <w:t xml:space="preserve"> and were </w:t>
      </w:r>
      <w:r w:rsidR="004F2998" w:rsidRPr="001C59C3">
        <w:t xml:space="preserve">primarily based on </w:t>
      </w:r>
      <w:r w:rsidR="0017238E" w:rsidRPr="001C59C3">
        <w:t xml:space="preserve">the same </w:t>
      </w:r>
      <w:r w:rsidR="00924A3A" w:rsidRPr="001C59C3">
        <w:t>evidence</w:t>
      </w:r>
      <w:r w:rsidR="004F2998" w:rsidRPr="001C59C3">
        <w:t xml:space="preserve"> </w:t>
      </w:r>
      <w:r w:rsidR="0017238E" w:rsidRPr="001C59C3">
        <w:t>previously considered by the PBAC.</w:t>
      </w:r>
      <w:r w:rsidRPr="001C59C3">
        <w:t xml:space="preserve"> </w:t>
      </w:r>
      <w:r w:rsidR="006F0F72" w:rsidRPr="001C59C3">
        <w:t>In March 2023, t</w:t>
      </w:r>
      <w:r w:rsidRPr="001C59C3">
        <w:t xml:space="preserve">he PBAC considered that the claim of superior efficacy </w:t>
      </w:r>
      <w:r w:rsidR="005156FC" w:rsidRPr="001C59C3">
        <w:t>and</w:t>
      </w:r>
      <w:r w:rsidRPr="001C59C3">
        <w:t xml:space="preserve"> inferior safety was reasonable (para 6.60 and 6.61, difelikefalin PSD, March 2023 PBAC meeting).</w:t>
      </w:r>
      <w:r w:rsidR="001D39C3" w:rsidRPr="001C59C3">
        <w:t xml:space="preserve"> The ESC noted the key clinical evidence supporting the clinical claim was unchanged and reaffirmed its previously expressed view that the clinical claims appeared reasonable based on the available data (paragraph 6.56, difelikefalin PSD, March 2023 PBAC meeting)</w:t>
      </w:r>
      <w:r w:rsidR="008C102A" w:rsidRPr="001C59C3">
        <w:t>, whilst noting that the treatment benefit was modest</w:t>
      </w:r>
      <w:r w:rsidR="001D39C3" w:rsidRPr="001C59C3">
        <w:t>.</w:t>
      </w:r>
      <w:bookmarkEnd w:id="38"/>
      <w:r w:rsidR="00051C7F" w:rsidRPr="001C59C3">
        <w:t xml:space="preserve"> </w:t>
      </w:r>
    </w:p>
    <w:p w14:paraId="6E517129" w14:textId="20C161A0" w:rsidR="00516F0C" w:rsidRPr="001C59C3" w:rsidRDefault="00516F0C" w:rsidP="00946816">
      <w:pPr>
        <w:pStyle w:val="COMexecsumnumberedpara"/>
      </w:pPr>
      <w:bookmarkStart w:id="39" w:name="_Hlk76376200"/>
      <w:r w:rsidRPr="001C59C3">
        <w:rPr>
          <w:iCs/>
        </w:rPr>
        <w:t>The</w:t>
      </w:r>
      <w:r w:rsidRPr="001C59C3">
        <w:t xml:space="preserve"> PBAC noted the clinical claims and key clinical evidence supporting them were unchanged from the March 2023 submission and reaffirmed its view that the claims of superior comparative effectiveness and inferior comparative safety compared to best supportive care were reasonable. </w:t>
      </w:r>
      <w:bookmarkEnd w:id="39"/>
    </w:p>
    <w:p w14:paraId="74A1172E" w14:textId="6F2F3F9C" w:rsidR="00B60939" w:rsidRPr="001C59C3" w:rsidRDefault="00B60939" w:rsidP="00E9094A">
      <w:pPr>
        <w:pStyle w:val="COMH2-non-numbered"/>
      </w:pPr>
      <w:bookmarkStart w:id="40" w:name="_Toc22897645"/>
      <w:bookmarkStart w:id="41" w:name="_Toc144890473"/>
      <w:r w:rsidRPr="001C59C3">
        <w:t>Economic analysis</w:t>
      </w:r>
      <w:bookmarkEnd w:id="40"/>
      <w:bookmarkEnd w:id="41"/>
      <w:r w:rsidR="00491B3A" w:rsidRPr="001C59C3">
        <w:t xml:space="preserve"> </w:t>
      </w:r>
    </w:p>
    <w:p w14:paraId="14C1E8F9" w14:textId="03A4E8C1" w:rsidR="00275C5A" w:rsidRPr="001C59C3" w:rsidRDefault="000003A6" w:rsidP="004F15B1">
      <w:pPr>
        <w:pStyle w:val="COMexecsumnumberedpara"/>
      </w:pPr>
      <w:r w:rsidRPr="001C59C3">
        <w:t>The resubmission presented an economic evaluation of difelikefalin versus best supportive care in patients on haemodialysis with moderate to severe CKD-associated pruritus. The modelled population and treatment effects were based on data from the KALM</w:t>
      </w:r>
      <w:r w:rsidR="005278EB" w:rsidRPr="001C59C3">
        <w:t>-</w:t>
      </w:r>
      <w:r w:rsidRPr="001C59C3">
        <w:t>1 and KALM-2 double-blind trials and open-label extension studies as well as other modelled variables. The economic evaluation was presented as a cost-effectiveness/cost-utility analysis.</w:t>
      </w:r>
    </w:p>
    <w:p w14:paraId="15A9AFA4" w14:textId="47FD24DB" w:rsidR="00275C5A" w:rsidRPr="001C59C3" w:rsidRDefault="00E16AD8" w:rsidP="00FD4ED6">
      <w:pPr>
        <w:pStyle w:val="COMtablefigcaption"/>
      </w:pPr>
      <w:r w:rsidRPr="001C59C3">
        <w:lastRenderedPageBreak/>
        <w:t xml:space="preserve">Table </w:t>
      </w:r>
      <w:r w:rsidR="007232F8">
        <w:fldChar w:fldCharType="begin" w:fldLock="1"/>
      </w:r>
      <w:r w:rsidR="007232F8">
        <w:instrText xml:space="preserve"> SEQ Table \* ARABIC </w:instrText>
      </w:r>
      <w:r w:rsidR="007232F8">
        <w:fldChar w:fldCharType="separate"/>
      </w:r>
      <w:r w:rsidR="008D1964" w:rsidRPr="009D1BB6">
        <w:t>7</w:t>
      </w:r>
      <w:r w:rsidR="007232F8">
        <w:fldChar w:fldCharType="end"/>
      </w:r>
      <w:r w:rsidRPr="001C59C3">
        <w:t>:</w:t>
      </w:r>
      <w:r w:rsidR="00275C5A" w:rsidRPr="001C59C3">
        <w:t xml:space="preserve"> Summary of model structure</w:t>
      </w:r>
      <w:r w:rsidR="00184B0E" w:rsidRPr="001C59C3">
        <w:t>, key inputs</w:t>
      </w:r>
      <w:r w:rsidR="00275C5A" w:rsidRPr="001C59C3">
        <w:t xml:space="preserv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57"/>
        <w:gridCol w:w="7060"/>
      </w:tblGrid>
      <w:tr w:rsidR="00A55DC8" w:rsidRPr="001C59C3" w14:paraId="38BB24FD" w14:textId="77777777" w:rsidTr="00776D51">
        <w:tc>
          <w:tcPr>
            <w:tcW w:w="1085" w:type="pct"/>
            <w:vAlign w:val="center"/>
          </w:tcPr>
          <w:p w14:paraId="1A2AAF65" w14:textId="77777777" w:rsidR="00A55DC8" w:rsidRPr="001C59C3" w:rsidRDefault="00A55DC8" w:rsidP="00776D51">
            <w:pPr>
              <w:keepNext/>
              <w:jc w:val="left"/>
              <w:rPr>
                <w:rFonts w:ascii="Arial Narrow" w:eastAsiaTheme="majorEastAsia" w:hAnsi="Arial Narrow" w:cs="Times New Roman"/>
                <w:b/>
                <w:sz w:val="20"/>
              </w:rPr>
            </w:pPr>
            <w:r w:rsidRPr="001C59C3">
              <w:rPr>
                <w:rFonts w:ascii="Arial Narrow" w:eastAsiaTheme="majorEastAsia" w:hAnsi="Arial Narrow" w:cs="Times New Roman"/>
                <w:b/>
                <w:sz w:val="20"/>
              </w:rPr>
              <w:t>Component</w:t>
            </w:r>
          </w:p>
        </w:tc>
        <w:tc>
          <w:tcPr>
            <w:tcW w:w="3915" w:type="pct"/>
            <w:vAlign w:val="center"/>
          </w:tcPr>
          <w:p w14:paraId="72977D9F" w14:textId="77777777" w:rsidR="00A55DC8" w:rsidRPr="001C59C3" w:rsidRDefault="00A55DC8" w:rsidP="00776D51">
            <w:pPr>
              <w:keepNext/>
              <w:jc w:val="left"/>
              <w:rPr>
                <w:rFonts w:ascii="Arial Narrow" w:eastAsiaTheme="majorEastAsia" w:hAnsi="Arial Narrow" w:cs="Times New Roman"/>
                <w:b/>
                <w:sz w:val="20"/>
              </w:rPr>
            </w:pPr>
            <w:r w:rsidRPr="001C59C3">
              <w:rPr>
                <w:rFonts w:ascii="Arial Narrow" w:eastAsiaTheme="majorEastAsia" w:hAnsi="Arial Narrow" w:cs="Times New Roman"/>
                <w:b/>
                <w:sz w:val="20"/>
              </w:rPr>
              <w:t>Description</w:t>
            </w:r>
          </w:p>
        </w:tc>
      </w:tr>
      <w:tr w:rsidR="00A55DC8" w:rsidRPr="001C59C3" w14:paraId="5BED8D94" w14:textId="77777777" w:rsidTr="00776D51">
        <w:tc>
          <w:tcPr>
            <w:tcW w:w="1085" w:type="pct"/>
            <w:vAlign w:val="center"/>
          </w:tcPr>
          <w:p w14:paraId="7E86CADC" w14:textId="77777777" w:rsidR="00A55DC8" w:rsidRPr="001C59C3" w:rsidRDefault="00A55DC8" w:rsidP="00776D51">
            <w:pPr>
              <w:keepNext/>
              <w:jc w:val="left"/>
              <w:rPr>
                <w:rFonts w:ascii="Arial Narrow" w:eastAsiaTheme="majorEastAsia" w:hAnsi="Arial Narrow" w:cstheme="majorBidi"/>
                <w:bCs/>
                <w:sz w:val="20"/>
              </w:rPr>
            </w:pPr>
            <w:r w:rsidRPr="001C59C3">
              <w:rPr>
                <w:rFonts w:ascii="Arial Narrow" w:eastAsiaTheme="majorEastAsia" w:hAnsi="Arial Narrow" w:cstheme="majorBidi"/>
                <w:bCs/>
                <w:sz w:val="20"/>
              </w:rPr>
              <w:t>Type of analysis</w:t>
            </w:r>
          </w:p>
        </w:tc>
        <w:tc>
          <w:tcPr>
            <w:tcW w:w="3915" w:type="pct"/>
          </w:tcPr>
          <w:p w14:paraId="142148AB" w14:textId="77777777" w:rsidR="00A55DC8" w:rsidRPr="001C59C3" w:rsidRDefault="00A55DC8" w:rsidP="00776D51">
            <w:pPr>
              <w:keepNext/>
              <w:jc w:val="left"/>
              <w:rPr>
                <w:rFonts w:ascii="Arial Narrow" w:eastAsiaTheme="majorEastAsia" w:hAnsi="Arial Narrow" w:cstheme="majorBidi"/>
                <w:bCs/>
                <w:sz w:val="20"/>
              </w:rPr>
            </w:pPr>
            <w:r w:rsidRPr="001C59C3">
              <w:rPr>
                <w:rFonts w:ascii="Arial Narrow" w:eastAsiaTheme="majorEastAsia" w:hAnsi="Arial Narrow" w:cstheme="majorBidi"/>
                <w:bCs/>
                <w:sz w:val="20"/>
              </w:rPr>
              <w:t>Cost-utility analysis</w:t>
            </w:r>
          </w:p>
        </w:tc>
      </w:tr>
      <w:tr w:rsidR="00A55DC8" w:rsidRPr="001C59C3" w14:paraId="4D065E40" w14:textId="77777777" w:rsidTr="00776D51">
        <w:tc>
          <w:tcPr>
            <w:tcW w:w="1085" w:type="pct"/>
            <w:vAlign w:val="center"/>
          </w:tcPr>
          <w:p w14:paraId="435D4F37" w14:textId="77777777" w:rsidR="00A55DC8" w:rsidRPr="001C59C3" w:rsidRDefault="00A55DC8" w:rsidP="00776D51">
            <w:pPr>
              <w:keepNext/>
              <w:jc w:val="left"/>
              <w:rPr>
                <w:rFonts w:ascii="Arial Narrow" w:eastAsiaTheme="majorEastAsia" w:hAnsi="Arial Narrow" w:cstheme="majorBidi"/>
                <w:bCs/>
                <w:sz w:val="20"/>
              </w:rPr>
            </w:pPr>
            <w:r w:rsidRPr="001C59C3">
              <w:rPr>
                <w:rFonts w:ascii="Arial Narrow" w:eastAsiaTheme="majorEastAsia" w:hAnsi="Arial Narrow" w:cstheme="majorBidi"/>
                <w:bCs/>
                <w:sz w:val="20"/>
              </w:rPr>
              <w:t>Treatments</w:t>
            </w:r>
          </w:p>
        </w:tc>
        <w:tc>
          <w:tcPr>
            <w:tcW w:w="3915" w:type="pct"/>
          </w:tcPr>
          <w:p w14:paraId="6DB4D2C2" w14:textId="77777777" w:rsidR="00A55DC8" w:rsidRPr="001C59C3" w:rsidRDefault="00A55DC8" w:rsidP="00776D51">
            <w:pPr>
              <w:keepNext/>
              <w:jc w:val="left"/>
              <w:rPr>
                <w:rFonts w:ascii="Arial Narrow" w:eastAsiaTheme="majorEastAsia" w:hAnsi="Arial Narrow" w:cstheme="majorBidi"/>
                <w:bCs/>
                <w:sz w:val="20"/>
              </w:rPr>
            </w:pPr>
            <w:r w:rsidRPr="001C59C3">
              <w:rPr>
                <w:rFonts w:ascii="Arial Narrow" w:eastAsiaTheme="majorEastAsia" w:hAnsi="Arial Narrow" w:cstheme="majorBidi"/>
                <w:bCs/>
                <w:sz w:val="20"/>
              </w:rPr>
              <w:t>Difelikefalin versus best supportive care</w:t>
            </w:r>
          </w:p>
        </w:tc>
      </w:tr>
      <w:tr w:rsidR="00A55DC8" w:rsidRPr="001C59C3" w14:paraId="20618F42" w14:textId="77777777" w:rsidTr="00776D51">
        <w:tc>
          <w:tcPr>
            <w:tcW w:w="1085" w:type="pct"/>
            <w:vAlign w:val="center"/>
          </w:tcPr>
          <w:p w14:paraId="085AAE2C" w14:textId="77777777" w:rsidR="00A55DC8" w:rsidRPr="001C59C3" w:rsidRDefault="00A55DC8" w:rsidP="00776D51">
            <w:pPr>
              <w:keepNext/>
              <w:jc w:val="left"/>
              <w:rPr>
                <w:rFonts w:ascii="Arial Narrow" w:eastAsiaTheme="majorEastAsia" w:hAnsi="Arial Narrow" w:cstheme="majorBidi"/>
                <w:bCs/>
                <w:sz w:val="20"/>
              </w:rPr>
            </w:pPr>
            <w:r w:rsidRPr="001C59C3">
              <w:rPr>
                <w:rFonts w:ascii="Arial Narrow" w:eastAsiaTheme="majorEastAsia" w:hAnsi="Arial Narrow" w:cstheme="majorBidi"/>
                <w:bCs/>
                <w:sz w:val="20"/>
              </w:rPr>
              <w:t>Outcomes</w:t>
            </w:r>
          </w:p>
        </w:tc>
        <w:tc>
          <w:tcPr>
            <w:tcW w:w="3915" w:type="pct"/>
          </w:tcPr>
          <w:p w14:paraId="19D87733" w14:textId="77777777" w:rsidR="00A55DC8" w:rsidRPr="001C59C3" w:rsidRDefault="00A55DC8" w:rsidP="00776D51">
            <w:pPr>
              <w:keepNext/>
              <w:jc w:val="left"/>
              <w:rPr>
                <w:rFonts w:ascii="Arial Narrow" w:eastAsiaTheme="majorEastAsia" w:hAnsi="Arial Narrow" w:cstheme="majorBidi"/>
                <w:bCs/>
                <w:sz w:val="20"/>
              </w:rPr>
            </w:pPr>
            <w:r w:rsidRPr="001C59C3">
              <w:rPr>
                <w:rFonts w:ascii="Arial Narrow" w:eastAsiaTheme="majorEastAsia" w:hAnsi="Arial Narrow" w:cstheme="majorBidi"/>
                <w:bCs/>
                <w:sz w:val="20"/>
              </w:rPr>
              <w:t>Quality-adjusted life years (QALYs)</w:t>
            </w:r>
          </w:p>
        </w:tc>
      </w:tr>
      <w:tr w:rsidR="00A55DC8" w:rsidRPr="001C59C3" w14:paraId="43D9387B" w14:textId="77777777" w:rsidTr="00776D51">
        <w:tc>
          <w:tcPr>
            <w:tcW w:w="1085" w:type="pct"/>
            <w:vAlign w:val="center"/>
          </w:tcPr>
          <w:p w14:paraId="59C1A580" w14:textId="77777777" w:rsidR="00A55DC8" w:rsidRPr="001C59C3" w:rsidRDefault="00A55DC8" w:rsidP="00776D51">
            <w:pPr>
              <w:keepNext/>
              <w:jc w:val="left"/>
              <w:rPr>
                <w:rFonts w:ascii="Arial Narrow" w:eastAsiaTheme="majorEastAsia" w:hAnsi="Arial Narrow" w:cstheme="majorBidi"/>
                <w:bCs/>
                <w:sz w:val="20"/>
              </w:rPr>
            </w:pPr>
            <w:r w:rsidRPr="001C59C3">
              <w:rPr>
                <w:rFonts w:ascii="Arial Narrow" w:eastAsiaTheme="majorEastAsia" w:hAnsi="Arial Narrow" w:cstheme="majorBidi"/>
                <w:bCs/>
                <w:sz w:val="20"/>
              </w:rPr>
              <w:t>Time horizon</w:t>
            </w:r>
          </w:p>
        </w:tc>
        <w:tc>
          <w:tcPr>
            <w:tcW w:w="3915" w:type="pct"/>
          </w:tcPr>
          <w:p w14:paraId="74F7071F" w14:textId="77777777" w:rsidR="00A55DC8" w:rsidRPr="001C59C3" w:rsidRDefault="00A55DC8" w:rsidP="00776D51">
            <w:pPr>
              <w:keepNext/>
              <w:jc w:val="left"/>
              <w:rPr>
                <w:rFonts w:ascii="Arial Narrow" w:eastAsiaTheme="majorEastAsia" w:hAnsi="Arial Narrow" w:cstheme="majorBidi"/>
                <w:bCs/>
                <w:sz w:val="20"/>
              </w:rPr>
            </w:pPr>
            <w:r w:rsidRPr="001C59C3">
              <w:rPr>
                <w:rFonts w:ascii="Arial Narrow" w:eastAsiaTheme="majorEastAsia" w:hAnsi="Arial Narrow" w:cstheme="majorBidi"/>
                <w:bCs/>
                <w:sz w:val="20"/>
              </w:rPr>
              <w:t>5 years in the model base case versus 12 weeks comparative trial data and up to an additional 52 weeks in the extension studies</w:t>
            </w:r>
          </w:p>
        </w:tc>
      </w:tr>
      <w:tr w:rsidR="00A55DC8" w:rsidRPr="001C59C3" w14:paraId="1ACF7F8E" w14:textId="77777777" w:rsidTr="00776D51">
        <w:tc>
          <w:tcPr>
            <w:tcW w:w="1085" w:type="pct"/>
            <w:vAlign w:val="center"/>
          </w:tcPr>
          <w:p w14:paraId="7F58A936" w14:textId="77777777" w:rsidR="00A55DC8" w:rsidRPr="001C59C3" w:rsidRDefault="00A55DC8" w:rsidP="00776D51">
            <w:pPr>
              <w:keepNext/>
              <w:jc w:val="left"/>
              <w:rPr>
                <w:rFonts w:ascii="Arial Narrow" w:eastAsiaTheme="majorEastAsia" w:hAnsi="Arial Narrow" w:cstheme="majorBidi"/>
                <w:bCs/>
                <w:sz w:val="20"/>
              </w:rPr>
            </w:pPr>
            <w:r w:rsidRPr="001C59C3">
              <w:rPr>
                <w:rFonts w:ascii="Arial Narrow" w:eastAsiaTheme="majorEastAsia" w:hAnsi="Arial Narrow" w:cstheme="majorBidi"/>
                <w:bCs/>
                <w:sz w:val="20"/>
              </w:rPr>
              <w:t>Health states</w:t>
            </w:r>
          </w:p>
        </w:tc>
        <w:tc>
          <w:tcPr>
            <w:tcW w:w="3915" w:type="pct"/>
          </w:tcPr>
          <w:p w14:paraId="0760775B" w14:textId="77777777" w:rsidR="00A55DC8" w:rsidRPr="001C59C3" w:rsidRDefault="00A55DC8" w:rsidP="00776D51">
            <w:pPr>
              <w:keepNext/>
              <w:jc w:val="left"/>
              <w:rPr>
                <w:rFonts w:ascii="Arial Narrow" w:eastAsiaTheme="majorEastAsia" w:hAnsi="Arial Narrow" w:cstheme="majorBidi"/>
                <w:bCs/>
                <w:sz w:val="20"/>
              </w:rPr>
            </w:pPr>
            <w:r w:rsidRPr="001C59C3">
              <w:rPr>
                <w:rFonts w:ascii="Arial Narrow" w:eastAsiaTheme="majorEastAsia" w:hAnsi="Arial Narrow" w:cstheme="majorBidi"/>
                <w:bCs/>
                <w:sz w:val="20"/>
              </w:rPr>
              <w:t>5 health states: none (5-D Itch score 5-8), mild (5-D Itch score 9-11), moderate (5-D Itch score 12-17), severe (5-D Itch score 18-25) and dead</w:t>
            </w:r>
          </w:p>
        </w:tc>
      </w:tr>
      <w:tr w:rsidR="00A55DC8" w:rsidRPr="001C59C3" w14:paraId="4E4DEA9D" w14:textId="77777777" w:rsidTr="00776D51">
        <w:tc>
          <w:tcPr>
            <w:tcW w:w="1085" w:type="pct"/>
            <w:vAlign w:val="center"/>
          </w:tcPr>
          <w:p w14:paraId="255D257B" w14:textId="77777777" w:rsidR="00A55DC8" w:rsidRPr="001C59C3" w:rsidRDefault="00A55DC8" w:rsidP="00776D51">
            <w:pPr>
              <w:keepNext/>
              <w:jc w:val="left"/>
              <w:rPr>
                <w:rFonts w:ascii="Arial Narrow" w:eastAsiaTheme="majorEastAsia" w:hAnsi="Arial Narrow" w:cstheme="majorBidi"/>
                <w:bCs/>
                <w:sz w:val="20"/>
              </w:rPr>
            </w:pPr>
            <w:r w:rsidRPr="001C59C3">
              <w:rPr>
                <w:rFonts w:ascii="Arial Narrow" w:eastAsiaTheme="majorEastAsia" w:hAnsi="Arial Narrow" w:cstheme="majorBidi"/>
                <w:bCs/>
                <w:sz w:val="20"/>
              </w:rPr>
              <w:t>Cycle length</w:t>
            </w:r>
          </w:p>
        </w:tc>
        <w:tc>
          <w:tcPr>
            <w:tcW w:w="3915" w:type="pct"/>
          </w:tcPr>
          <w:p w14:paraId="0173B0AF" w14:textId="77777777" w:rsidR="00A55DC8" w:rsidRPr="001C59C3" w:rsidRDefault="00A55DC8" w:rsidP="00776D51">
            <w:pPr>
              <w:keepNext/>
              <w:jc w:val="left"/>
              <w:rPr>
                <w:rFonts w:ascii="Arial Narrow" w:eastAsiaTheme="majorEastAsia" w:hAnsi="Arial Narrow" w:cstheme="majorBidi"/>
                <w:bCs/>
                <w:sz w:val="20"/>
              </w:rPr>
            </w:pPr>
            <w:r w:rsidRPr="001C59C3">
              <w:rPr>
                <w:rFonts w:ascii="Arial Narrow" w:eastAsiaTheme="majorEastAsia" w:hAnsi="Arial Narrow" w:cstheme="majorBidi"/>
                <w:bCs/>
                <w:sz w:val="20"/>
              </w:rPr>
              <w:t>4 weeks</w:t>
            </w:r>
          </w:p>
        </w:tc>
      </w:tr>
      <w:tr w:rsidR="00A55DC8" w:rsidRPr="001C59C3" w14:paraId="48813A3D" w14:textId="77777777" w:rsidTr="00776D51">
        <w:tc>
          <w:tcPr>
            <w:tcW w:w="1085" w:type="pct"/>
            <w:vAlign w:val="center"/>
          </w:tcPr>
          <w:p w14:paraId="1E2E55FD" w14:textId="77777777" w:rsidR="00A55DC8" w:rsidRPr="001C59C3" w:rsidRDefault="00A55DC8" w:rsidP="00776D51">
            <w:pPr>
              <w:keepNext/>
              <w:jc w:val="left"/>
              <w:rPr>
                <w:rFonts w:ascii="Arial Narrow" w:eastAsiaTheme="majorEastAsia" w:hAnsi="Arial Narrow" w:cstheme="majorBidi"/>
                <w:bCs/>
                <w:sz w:val="20"/>
              </w:rPr>
            </w:pPr>
            <w:r w:rsidRPr="001C59C3">
              <w:rPr>
                <w:rFonts w:ascii="Arial Narrow" w:eastAsiaTheme="majorEastAsia" w:hAnsi="Arial Narrow" w:cstheme="majorBidi"/>
                <w:bCs/>
                <w:sz w:val="20"/>
              </w:rPr>
              <w:t>Transition probabilities and extrapolation</w:t>
            </w:r>
          </w:p>
        </w:tc>
        <w:tc>
          <w:tcPr>
            <w:tcW w:w="3915" w:type="pct"/>
          </w:tcPr>
          <w:p w14:paraId="72A59EC1" w14:textId="7868B27A" w:rsidR="00A55DC8" w:rsidRPr="001C59C3" w:rsidRDefault="00A55DC8" w:rsidP="00776D51">
            <w:pPr>
              <w:keepNext/>
              <w:jc w:val="left"/>
              <w:rPr>
                <w:rFonts w:ascii="Arial Narrow" w:eastAsiaTheme="majorEastAsia" w:hAnsi="Arial Narrow" w:cstheme="majorBidi"/>
                <w:bCs/>
                <w:sz w:val="20"/>
              </w:rPr>
            </w:pPr>
            <w:r w:rsidRPr="001C59C3">
              <w:rPr>
                <w:rFonts w:ascii="Arial Narrow" w:eastAsiaTheme="majorEastAsia" w:hAnsi="Arial Narrow" w:cstheme="majorBidi"/>
                <w:bCs/>
                <w:sz w:val="20"/>
              </w:rPr>
              <w:t>Treatment-specific transition probabilities were derived from patient-level data from the KALM trials, informing patient movements between health states defined using total 5-D Itch scores. Data were available for up to 64 weeks for difelikefalin and 12 weeks for placebo. No health state transitions were allowed after Week 64 for difelikefalin treated patients and after Week 12 for patients on best supportive care (including patients who switched after stopping difelikefalin). No waning in treatment effects was assumed for either arm</w:t>
            </w:r>
            <w:r w:rsidR="001C59C3">
              <w:rPr>
                <w:rFonts w:ascii="Arial Narrow" w:eastAsiaTheme="majorEastAsia" w:hAnsi="Arial Narrow" w:cstheme="majorBidi"/>
                <w:bCs/>
                <w:sz w:val="20"/>
              </w:rPr>
              <w:t xml:space="preserve">. </w:t>
            </w:r>
          </w:p>
          <w:p w14:paraId="56C835C4" w14:textId="77777777" w:rsidR="00A55DC8" w:rsidRPr="001C59C3" w:rsidRDefault="00A55DC8" w:rsidP="00776D51">
            <w:pPr>
              <w:keepNext/>
              <w:jc w:val="left"/>
              <w:rPr>
                <w:rFonts w:ascii="Arial Narrow" w:eastAsiaTheme="majorEastAsia" w:hAnsi="Arial Narrow" w:cstheme="majorBidi"/>
                <w:bCs/>
                <w:sz w:val="20"/>
              </w:rPr>
            </w:pPr>
          </w:p>
          <w:p w14:paraId="59C39085" w14:textId="77777777" w:rsidR="00A55DC8" w:rsidRPr="001C59C3" w:rsidRDefault="00A55DC8" w:rsidP="00776D51">
            <w:pPr>
              <w:keepNext/>
              <w:jc w:val="left"/>
              <w:rPr>
                <w:rFonts w:ascii="Arial Narrow" w:eastAsiaTheme="majorEastAsia" w:hAnsi="Arial Narrow" w:cstheme="majorBidi"/>
                <w:bCs/>
                <w:sz w:val="20"/>
              </w:rPr>
            </w:pPr>
            <w:r w:rsidRPr="001C59C3">
              <w:rPr>
                <w:rFonts w:ascii="Arial Narrow" w:eastAsiaTheme="majorEastAsia" w:hAnsi="Arial Narrow" w:cstheme="majorBidi"/>
                <w:bCs/>
                <w:sz w:val="20"/>
              </w:rPr>
              <w:t>Per cycle treatment discontinuations were estimated using trial data. Discontinuations due to inadequate response were estimated using an individual patient analysis of patients not achieving ≥5-point improvement in 5-D Itch score from baseline at 12 weeks. Patients who discontinued difelikefalin treatment assumed the same transition probabilities as those who were on best supportive care.</w:t>
            </w:r>
          </w:p>
          <w:p w14:paraId="3E8C22DF" w14:textId="77777777" w:rsidR="00A55DC8" w:rsidRPr="001C59C3" w:rsidRDefault="00A55DC8" w:rsidP="00776D51">
            <w:pPr>
              <w:keepNext/>
              <w:jc w:val="left"/>
              <w:rPr>
                <w:rFonts w:ascii="Arial Narrow" w:eastAsiaTheme="majorEastAsia" w:hAnsi="Arial Narrow" w:cstheme="majorBidi"/>
                <w:bCs/>
                <w:sz w:val="20"/>
              </w:rPr>
            </w:pPr>
          </w:p>
          <w:p w14:paraId="212295B6" w14:textId="77777777" w:rsidR="00A55DC8" w:rsidRPr="001C59C3" w:rsidRDefault="00A55DC8" w:rsidP="00776D51">
            <w:pPr>
              <w:keepNext/>
              <w:jc w:val="left"/>
              <w:rPr>
                <w:rFonts w:ascii="Arial Narrow" w:eastAsiaTheme="majorEastAsia" w:hAnsi="Arial Narrow" w:cstheme="majorBidi"/>
                <w:bCs/>
                <w:sz w:val="20"/>
              </w:rPr>
            </w:pPr>
            <w:r w:rsidRPr="001C59C3">
              <w:rPr>
                <w:rFonts w:ascii="Arial Narrow" w:eastAsiaTheme="majorEastAsia" w:hAnsi="Arial Narrow" w:cstheme="majorBidi"/>
                <w:bCs/>
                <w:sz w:val="20"/>
              </w:rPr>
              <w:t>Background mortality was estimated using death rates for dialysis patients in the ANZDATA 44</w:t>
            </w:r>
            <w:r w:rsidRPr="001C59C3">
              <w:rPr>
                <w:rFonts w:ascii="Arial Narrow" w:eastAsiaTheme="majorEastAsia" w:hAnsi="Arial Narrow" w:cstheme="majorBidi"/>
                <w:bCs/>
                <w:sz w:val="20"/>
                <w:vertAlign w:val="superscript"/>
              </w:rPr>
              <w:t>th</w:t>
            </w:r>
            <w:r w:rsidRPr="001C59C3">
              <w:rPr>
                <w:rFonts w:ascii="Arial Narrow" w:eastAsiaTheme="majorEastAsia" w:hAnsi="Arial Narrow" w:cstheme="majorBidi"/>
                <w:bCs/>
                <w:sz w:val="20"/>
              </w:rPr>
              <w:t xml:space="preserve"> Annual Report 2021. The same death rate was applied across all health states. </w:t>
            </w:r>
          </w:p>
          <w:p w14:paraId="46D632A5" w14:textId="77777777" w:rsidR="00A55DC8" w:rsidRPr="001C59C3" w:rsidRDefault="00A55DC8" w:rsidP="00776D51">
            <w:pPr>
              <w:keepNext/>
              <w:jc w:val="left"/>
              <w:rPr>
                <w:rFonts w:ascii="Arial Narrow" w:eastAsiaTheme="majorEastAsia" w:hAnsi="Arial Narrow" w:cstheme="majorBidi"/>
                <w:bCs/>
                <w:sz w:val="20"/>
              </w:rPr>
            </w:pPr>
          </w:p>
          <w:p w14:paraId="2261C161" w14:textId="77777777" w:rsidR="00A55DC8" w:rsidRPr="001C59C3" w:rsidRDefault="00A55DC8" w:rsidP="00776D51">
            <w:pPr>
              <w:keepNext/>
              <w:jc w:val="left"/>
              <w:rPr>
                <w:rFonts w:ascii="Arial Narrow" w:eastAsiaTheme="majorEastAsia" w:hAnsi="Arial Narrow" w:cstheme="majorBidi"/>
                <w:bCs/>
                <w:sz w:val="20"/>
              </w:rPr>
            </w:pPr>
            <w:r w:rsidRPr="001C59C3">
              <w:rPr>
                <w:rFonts w:ascii="Arial Narrow" w:eastAsiaTheme="majorEastAsia" w:hAnsi="Arial Narrow" w:cstheme="majorBidi"/>
                <w:bCs/>
                <w:sz w:val="20"/>
              </w:rPr>
              <w:t>The rate of adverse events was based on the incidence of respiratory and cardiac failure in the KALM trials.</w:t>
            </w:r>
          </w:p>
          <w:p w14:paraId="1B446D1F" w14:textId="77777777" w:rsidR="00A55DC8" w:rsidRPr="001C59C3" w:rsidRDefault="00A55DC8" w:rsidP="00776D51">
            <w:pPr>
              <w:keepNext/>
              <w:jc w:val="left"/>
              <w:rPr>
                <w:rFonts w:ascii="Arial Narrow" w:eastAsiaTheme="majorEastAsia" w:hAnsi="Arial Narrow" w:cstheme="majorBidi"/>
                <w:bCs/>
                <w:sz w:val="20"/>
              </w:rPr>
            </w:pPr>
          </w:p>
          <w:p w14:paraId="2B1B11A9" w14:textId="77777777" w:rsidR="00A55DC8" w:rsidRPr="001C59C3" w:rsidRDefault="00A55DC8" w:rsidP="00776D51">
            <w:pPr>
              <w:keepNext/>
              <w:jc w:val="left"/>
              <w:rPr>
                <w:rFonts w:ascii="Arial Narrow" w:eastAsiaTheme="majorEastAsia" w:hAnsi="Arial Narrow" w:cstheme="majorBidi"/>
                <w:bCs/>
                <w:sz w:val="20"/>
              </w:rPr>
            </w:pPr>
            <w:r w:rsidRPr="001C59C3">
              <w:rPr>
                <w:rFonts w:ascii="Arial Narrow" w:eastAsiaTheme="majorEastAsia" w:hAnsi="Arial Narrow" w:cstheme="majorBidi"/>
                <w:bCs/>
                <w:sz w:val="20"/>
              </w:rPr>
              <w:t>99% of incremental QALYs and 93% of incremental costs occur in the extrapolated period after 12 weeks.</w:t>
            </w:r>
          </w:p>
        </w:tc>
      </w:tr>
      <w:tr w:rsidR="00A55DC8" w:rsidRPr="001C59C3" w14:paraId="7E5D1830" w14:textId="77777777" w:rsidTr="00776D51">
        <w:tc>
          <w:tcPr>
            <w:tcW w:w="1085" w:type="pct"/>
            <w:vAlign w:val="center"/>
          </w:tcPr>
          <w:p w14:paraId="20A418B1" w14:textId="77777777" w:rsidR="00A55DC8" w:rsidRPr="001C59C3" w:rsidRDefault="00A55DC8" w:rsidP="00776D51">
            <w:pPr>
              <w:keepNext/>
              <w:jc w:val="left"/>
              <w:rPr>
                <w:rFonts w:ascii="Arial Narrow" w:eastAsiaTheme="majorEastAsia" w:hAnsi="Arial Narrow" w:cstheme="majorBidi"/>
                <w:bCs/>
                <w:sz w:val="20"/>
              </w:rPr>
            </w:pPr>
            <w:r w:rsidRPr="001C59C3">
              <w:rPr>
                <w:rFonts w:ascii="Arial Narrow" w:eastAsiaTheme="majorEastAsia" w:hAnsi="Arial Narrow" w:cstheme="majorBidi"/>
                <w:bCs/>
                <w:sz w:val="20"/>
              </w:rPr>
              <w:t>Health related quality of life</w:t>
            </w:r>
          </w:p>
        </w:tc>
        <w:tc>
          <w:tcPr>
            <w:tcW w:w="3915" w:type="pct"/>
          </w:tcPr>
          <w:p w14:paraId="525412AB" w14:textId="18AA9D47" w:rsidR="00A55DC8" w:rsidRPr="001C59C3" w:rsidRDefault="00A55DC8" w:rsidP="00776D51">
            <w:pPr>
              <w:keepNext/>
              <w:jc w:val="left"/>
              <w:rPr>
                <w:rFonts w:ascii="Arial Narrow" w:eastAsiaTheme="majorEastAsia" w:hAnsi="Arial Narrow" w:cstheme="majorBidi"/>
                <w:bCs/>
                <w:sz w:val="20"/>
              </w:rPr>
            </w:pPr>
            <w:r w:rsidRPr="001C59C3">
              <w:rPr>
                <w:rFonts w:ascii="Arial Narrow" w:eastAsiaTheme="majorEastAsia" w:hAnsi="Arial Narrow" w:cstheme="majorBidi"/>
                <w:bCs/>
                <w:sz w:val="20"/>
              </w:rPr>
              <w:t xml:space="preserve">Health </w:t>
            </w:r>
            <w:r w:rsidRPr="00621588">
              <w:rPr>
                <w:rFonts w:ascii="Arial Narrow" w:eastAsiaTheme="majorEastAsia" w:hAnsi="Arial Narrow" w:cstheme="majorBidi"/>
                <w:bCs/>
                <w:sz w:val="20"/>
              </w:rPr>
              <w:t>state utilities based on pruritus severity (none 0.6328, mild 0.5800, moderate 0.5203 and severe 0.4420)</w:t>
            </w:r>
            <w:r w:rsidR="00EA4342" w:rsidRPr="00621588">
              <w:rPr>
                <w:rFonts w:ascii="Arial Narrow" w:eastAsiaTheme="majorEastAsia" w:hAnsi="Arial Narrow" w:cstheme="majorBidi"/>
                <w:bCs/>
                <w:sz w:val="20"/>
              </w:rPr>
              <w:t xml:space="preserve"> were derived from</w:t>
            </w:r>
            <w:r w:rsidRPr="00621588">
              <w:rPr>
                <w:rFonts w:ascii="Arial Narrow" w:eastAsiaTheme="majorEastAsia" w:hAnsi="Arial Narrow" w:cstheme="majorBidi"/>
                <w:bCs/>
                <w:sz w:val="20"/>
              </w:rPr>
              <w:t xml:space="preserve"> 5-D Itch scores in the KALM</w:t>
            </w:r>
            <w:r w:rsidRPr="001C59C3">
              <w:rPr>
                <w:rFonts w:ascii="Arial Narrow" w:eastAsiaTheme="majorEastAsia" w:hAnsi="Arial Narrow" w:cstheme="majorBidi"/>
                <w:bCs/>
                <w:sz w:val="20"/>
              </w:rPr>
              <w:t xml:space="preserve"> trials, mapped to EQ-5D-3L estimates using a mapping function developed by the University of Sheffield. The mapping function (mixture model adjusting for age, sex, having diabetes and years on dialysis) was based on an unpublished primary utility study conducted in a sample of UK patients on dialysis from 2020-2021. A utility decrement of 0.054 was used for adverse events based on a 30-90-day post-hospitalisation disutility used in a published cost-effectiveness analysis of sacubitril/valsartan for heart failure (McMurray 2018).</w:t>
            </w:r>
          </w:p>
        </w:tc>
      </w:tr>
      <w:tr w:rsidR="00A55DC8" w:rsidRPr="001C59C3" w14:paraId="3F551627" w14:textId="77777777" w:rsidTr="00776D51">
        <w:tc>
          <w:tcPr>
            <w:tcW w:w="1085" w:type="pct"/>
            <w:vAlign w:val="center"/>
          </w:tcPr>
          <w:p w14:paraId="5475E31F" w14:textId="77777777" w:rsidR="00A55DC8" w:rsidRPr="001C59C3" w:rsidRDefault="00A55DC8" w:rsidP="00776D51">
            <w:pPr>
              <w:keepNext/>
              <w:jc w:val="left"/>
              <w:rPr>
                <w:rFonts w:ascii="Arial Narrow" w:eastAsiaTheme="majorEastAsia" w:hAnsi="Arial Narrow" w:cstheme="majorBidi"/>
                <w:bCs/>
                <w:sz w:val="20"/>
              </w:rPr>
            </w:pPr>
            <w:r w:rsidRPr="001C59C3">
              <w:rPr>
                <w:rFonts w:ascii="Arial Narrow" w:eastAsiaTheme="majorEastAsia" w:hAnsi="Arial Narrow" w:cstheme="majorBidi"/>
                <w:bCs/>
                <w:sz w:val="20"/>
              </w:rPr>
              <w:t>Costs</w:t>
            </w:r>
          </w:p>
        </w:tc>
        <w:tc>
          <w:tcPr>
            <w:tcW w:w="3915" w:type="pct"/>
          </w:tcPr>
          <w:p w14:paraId="4996F580" w14:textId="51488052" w:rsidR="00A55DC8" w:rsidRPr="001C59C3" w:rsidRDefault="00A55DC8" w:rsidP="00776D51">
            <w:pPr>
              <w:keepNext/>
              <w:jc w:val="left"/>
              <w:rPr>
                <w:rFonts w:ascii="Arial Narrow" w:eastAsiaTheme="majorEastAsia" w:hAnsi="Arial Narrow" w:cstheme="majorBidi"/>
                <w:bCs/>
                <w:sz w:val="20"/>
              </w:rPr>
            </w:pPr>
            <w:r w:rsidRPr="001C59C3">
              <w:rPr>
                <w:rFonts w:ascii="Arial Narrow" w:eastAsiaTheme="majorEastAsia" w:hAnsi="Arial Narrow" w:cstheme="majorBidi"/>
                <w:bCs/>
                <w:sz w:val="20"/>
              </w:rPr>
              <w:t>Drug acquisition costs were estimated using the proposed effective DPMQ for difelikefalin, and no costs were assumed for best supportive care. Health state costs were based on hospitalisation rates estimated from an observational study of haemodialysis patients (Sukul 2020) and costs based on the NHCDC public sector cost weights for AR-DRG v10.0, Round 23 (2018-2019). Adverse event costs were based on an Australian epidemiological and health</w:t>
            </w:r>
            <w:r w:rsidR="00262147" w:rsidRPr="001C59C3">
              <w:rPr>
                <w:rFonts w:ascii="Arial Narrow" w:eastAsiaTheme="majorEastAsia" w:hAnsi="Arial Narrow" w:cstheme="majorBidi"/>
                <w:bCs/>
                <w:sz w:val="20"/>
              </w:rPr>
              <w:t xml:space="preserve"> resource</w:t>
            </w:r>
            <w:r w:rsidRPr="001C59C3">
              <w:rPr>
                <w:rFonts w:ascii="Arial Narrow" w:eastAsiaTheme="majorEastAsia" w:hAnsi="Arial Narrow" w:cstheme="majorBidi"/>
                <w:bCs/>
                <w:sz w:val="20"/>
              </w:rPr>
              <w:t xml:space="preserve"> utilisation study of heart failure (Chan 2016).</w:t>
            </w:r>
          </w:p>
        </w:tc>
      </w:tr>
      <w:tr w:rsidR="00A55DC8" w:rsidRPr="001C59C3" w14:paraId="7CD0F4F8" w14:textId="77777777" w:rsidTr="00776D51">
        <w:tc>
          <w:tcPr>
            <w:tcW w:w="1085" w:type="pct"/>
            <w:vAlign w:val="center"/>
          </w:tcPr>
          <w:p w14:paraId="3E3FAA2A" w14:textId="77777777" w:rsidR="00A55DC8" w:rsidRPr="001C59C3" w:rsidRDefault="00A55DC8" w:rsidP="00776D51">
            <w:pPr>
              <w:keepNext/>
              <w:jc w:val="left"/>
              <w:rPr>
                <w:rFonts w:ascii="Arial Narrow" w:eastAsiaTheme="majorEastAsia" w:hAnsi="Arial Narrow" w:cstheme="majorBidi"/>
                <w:bCs/>
                <w:sz w:val="20"/>
              </w:rPr>
            </w:pPr>
            <w:r w:rsidRPr="001C59C3">
              <w:rPr>
                <w:rFonts w:ascii="Arial Narrow" w:eastAsiaTheme="majorEastAsia" w:hAnsi="Arial Narrow" w:cstheme="majorBidi"/>
                <w:bCs/>
                <w:sz w:val="20"/>
              </w:rPr>
              <w:t>Software package</w:t>
            </w:r>
          </w:p>
        </w:tc>
        <w:tc>
          <w:tcPr>
            <w:tcW w:w="3915" w:type="pct"/>
          </w:tcPr>
          <w:p w14:paraId="2B6FD87D" w14:textId="77777777" w:rsidR="00A55DC8" w:rsidRPr="001C59C3" w:rsidRDefault="00A55DC8" w:rsidP="00776D51">
            <w:pPr>
              <w:keepNext/>
              <w:jc w:val="left"/>
              <w:rPr>
                <w:rFonts w:ascii="Arial Narrow" w:eastAsiaTheme="majorEastAsia" w:hAnsi="Arial Narrow" w:cstheme="majorBidi"/>
                <w:bCs/>
                <w:sz w:val="20"/>
              </w:rPr>
            </w:pPr>
            <w:r w:rsidRPr="001C59C3">
              <w:rPr>
                <w:rFonts w:ascii="Arial Narrow" w:eastAsiaTheme="majorEastAsia" w:hAnsi="Arial Narrow" w:cstheme="majorBidi"/>
                <w:bCs/>
                <w:sz w:val="20"/>
              </w:rPr>
              <w:t>Excel</w:t>
            </w:r>
          </w:p>
        </w:tc>
      </w:tr>
    </w:tbl>
    <w:p w14:paraId="03B54019" w14:textId="5A2A7266" w:rsidR="00A55DC8" w:rsidRPr="001C59C3" w:rsidRDefault="00A55DC8" w:rsidP="00A55DC8">
      <w:pPr>
        <w:pStyle w:val="COMTablefooter"/>
      </w:pPr>
      <w:r w:rsidRPr="001C59C3">
        <w:t>Abbreviations: AR-DRG, Australian Refined Diagnosis Related Groups; NHCDC, National Hospital Cost Data Collection</w:t>
      </w:r>
    </w:p>
    <w:p w14:paraId="39F04A5F" w14:textId="420495DD" w:rsidR="0006506B" w:rsidRPr="001C59C3" w:rsidRDefault="0006506B" w:rsidP="004F15B1">
      <w:pPr>
        <w:pStyle w:val="COMexecsumnumberedpara"/>
      </w:pPr>
      <w:r w:rsidRPr="001C59C3">
        <w:t>All patients start in the moderate and severe health states (baseline). All patients are at risk of death in each cycle. Patients on difelikefalin treatment can also discontinue treatment in each cycle and assume the same transition probabilities as patients on best supportive care, with no further treatment costs. A once-off discontinuation rate is also applied at Week 12 of the model to difelikefalin treated patients who did not achieve adequate response.</w:t>
      </w:r>
      <w:r w:rsidR="007B5C8F" w:rsidRPr="001C59C3">
        <w:t xml:space="preserve"> </w:t>
      </w:r>
    </w:p>
    <w:p w14:paraId="787C6813" w14:textId="1D4359E9" w:rsidR="0006506B" w:rsidRPr="001C59C3" w:rsidRDefault="0006506B" w:rsidP="004F15B1">
      <w:pPr>
        <w:pStyle w:val="COMexecsumnumberedpara"/>
      </w:pPr>
      <w:r w:rsidRPr="001C59C3">
        <w:lastRenderedPageBreak/>
        <w:t xml:space="preserve">In the first 12 weeks for patients on best supportive care and over the first 64 weeks for difelikefalin treated patients, surviving patients can either remain in the same health state as the prior cycle, move to an improved health state or move to a worse health state. No health state transitions </w:t>
      </w:r>
      <w:r w:rsidR="00E9033F" w:rsidRPr="001C59C3">
        <w:t>are</w:t>
      </w:r>
      <w:r w:rsidRPr="001C59C3">
        <w:t xml:space="preserve"> allowed after this period (i.e. patients can only remain in the same health state as the prior cycle)</w:t>
      </w:r>
      <w:r w:rsidR="001C59C3">
        <w:t xml:space="preserve">. </w:t>
      </w:r>
      <w:r w:rsidRPr="001C59C3">
        <w:t xml:space="preserve"> </w:t>
      </w:r>
    </w:p>
    <w:p w14:paraId="0C23CDF5" w14:textId="3DD756D9" w:rsidR="00AB41A6" w:rsidRPr="001C59C3" w:rsidRDefault="00AB41A6" w:rsidP="004C5B85">
      <w:pPr>
        <w:pStyle w:val="COMexecsumnumberedpara"/>
      </w:pPr>
      <w:bookmarkStart w:id="42" w:name="_Ref147952731"/>
      <w:r w:rsidRPr="001C59C3">
        <w:t xml:space="preserve">The modelled circumstances of use of difelikefalin were based on a single episode of care. The resubmission assumed persistent responders received ongoing treatment and patients who discontinued treatment (due to inadequate response or other reasons) could not re-initiate treatment. This was inconsistent with the proposed restriction that allows for </w:t>
      </w:r>
      <w:r w:rsidR="004F3EE7" w:rsidRPr="001C59C3">
        <w:t>re-initiation of treatment</w:t>
      </w:r>
      <w:r w:rsidR="00E94CB2" w:rsidRPr="001C59C3">
        <w:t xml:space="preserve"> with difelikefalin</w:t>
      </w:r>
      <w:r w:rsidRPr="001C59C3">
        <w:t xml:space="preserve">. </w:t>
      </w:r>
      <w:r w:rsidR="004C5B85" w:rsidRPr="001C59C3">
        <w:t xml:space="preserve">The ESC considered </w:t>
      </w:r>
      <w:r w:rsidR="00DB6BE4" w:rsidRPr="001C59C3">
        <w:t>it would be clinically appropriate to allow for episodic treatment rather than a single episode of care</w:t>
      </w:r>
      <w:r w:rsidR="002E094F" w:rsidRPr="001C59C3">
        <w:t>. The ESC a</w:t>
      </w:r>
      <w:r w:rsidR="00DB6BE4" w:rsidRPr="001C59C3">
        <w:t xml:space="preserve">dvised </w:t>
      </w:r>
      <w:r w:rsidR="004C5B85" w:rsidRPr="001C59C3">
        <w:t>a reduction in the time horizon may be a</w:t>
      </w:r>
      <w:r w:rsidR="002E094F" w:rsidRPr="001C59C3">
        <w:t xml:space="preserve"> reasonable</w:t>
      </w:r>
      <w:r w:rsidR="004C5B85" w:rsidRPr="001C59C3">
        <w:t xml:space="preserve"> approach to account for</w:t>
      </w:r>
      <w:r w:rsidR="00DB6BE4" w:rsidRPr="001C59C3">
        <w:t xml:space="preserve"> the disconnect between the treatment assumptions in the economic model and likely use in clinical practice</w:t>
      </w:r>
      <w:r w:rsidR="004C5B85" w:rsidRPr="001C59C3">
        <w:t>.</w:t>
      </w:r>
      <w:bookmarkEnd w:id="42"/>
      <w:r w:rsidR="002E094F" w:rsidRPr="001C59C3">
        <w:t xml:space="preserve"> </w:t>
      </w:r>
    </w:p>
    <w:p w14:paraId="3F854204" w14:textId="77777777" w:rsidR="000405BC" w:rsidRPr="001C59C3" w:rsidRDefault="000405BC" w:rsidP="004F15B1">
      <w:pPr>
        <w:pStyle w:val="COMexecsumnumberedpara"/>
      </w:pPr>
      <w:bookmarkStart w:id="43" w:name="_Ref150514094"/>
      <w:r w:rsidRPr="001C59C3">
        <w:t>The PBAC previously considered the structure of the economic model was overall likely to be reasonable, however agreed with the ESC that key inputs were optimistic and favoured difelikefalin. The PBAC noted that acceptance of the economic evaluation as reliable for decision-making was contingent on acceptance of the utility decrements applied in the model (para 7.8, difelikefalin PSD, March 2023 PBAC meeting). The PBAC considered that a resubmission for difelikefalin should present a revised economic evaluation which addresses multiple concerns including modelled pruritus-related utility decrements, extrapolated treatment benefits, modelled mortality benefit, lack of adverse events and difelikefalin drug costs (para 7.12, difelikefalin PSD, March 2023 PBAC meeting).</w:t>
      </w:r>
      <w:bookmarkEnd w:id="43"/>
    </w:p>
    <w:p w14:paraId="3742228A" w14:textId="4B287956" w:rsidR="000C4060" w:rsidRPr="001C59C3" w:rsidRDefault="00544BD0" w:rsidP="004F15B1">
      <w:pPr>
        <w:pStyle w:val="COMexecsumnumberedpara"/>
      </w:pPr>
      <w:bookmarkStart w:id="44" w:name="_Ref150514476"/>
      <w:r w:rsidRPr="001C59C3">
        <w:t>Compared to the March 2023 submission, the key changes to the model were:</w:t>
      </w:r>
      <w:bookmarkEnd w:id="44"/>
    </w:p>
    <w:p w14:paraId="7DB961DB" w14:textId="3FD9F236" w:rsidR="00544BD0" w:rsidRPr="001C59C3" w:rsidRDefault="00544BD0" w:rsidP="00D014A3">
      <w:pPr>
        <w:pStyle w:val="COMexecsummbulletlist"/>
        <w:ind w:hanging="357"/>
      </w:pPr>
      <w:r w:rsidRPr="001C59C3">
        <w:t xml:space="preserve">Revised transition probabilities for the extrapolated period. No </w:t>
      </w:r>
      <w:r w:rsidR="009F2E7A" w:rsidRPr="001C59C3">
        <w:t>change in pruritus severity was assumed</w:t>
      </w:r>
      <w:r w:rsidRPr="001C59C3">
        <w:t xml:space="preserve"> after Week 12 for patients on best supportive care and after Week 64 for difelikefalin treated patients. </w:t>
      </w:r>
    </w:p>
    <w:p w14:paraId="27CE5DF6" w14:textId="77777777" w:rsidR="00544BD0" w:rsidRPr="001C59C3" w:rsidRDefault="00544BD0" w:rsidP="00D014A3">
      <w:pPr>
        <w:pStyle w:val="COMexecsummbulletlist"/>
        <w:ind w:hanging="357"/>
      </w:pPr>
      <w:r w:rsidRPr="001C59C3">
        <w:t>Removal of the mortality hazard ratio previously applied to the severe pruritus health state, effectively removing mortality benefits associated with difelikefalin treatment.</w:t>
      </w:r>
    </w:p>
    <w:p w14:paraId="03E9476A" w14:textId="0028DFA0" w:rsidR="00544BD0" w:rsidRPr="001C59C3" w:rsidRDefault="00544BD0" w:rsidP="00D014A3">
      <w:pPr>
        <w:pStyle w:val="COMexecsummbulletlist"/>
        <w:ind w:hanging="357"/>
      </w:pPr>
      <w:r w:rsidRPr="001C59C3">
        <w:t>Revised health state</w:t>
      </w:r>
      <w:r w:rsidR="008E7C62" w:rsidRPr="001C59C3">
        <w:t xml:space="preserve"> utilities</w:t>
      </w:r>
      <w:r w:rsidRPr="001C59C3">
        <w:t>. The resulting utility decrements for pruritus severity w</w:t>
      </w:r>
      <w:r w:rsidR="00F81BE2" w:rsidRPr="001C59C3">
        <w:t>ere</w:t>
      </w:r>
      <w:r w:rsidRPr="001C59C3">
        <w:t xml:space="preserve"> </w:t>
      </w:r>
      <w:r w:rsidR="001E058C" w:rsidRPr="00621588">
        <w:t xml:space="preserve">lower (mild 0.0528, moderate 0.1125, severe 0.1908) compared to </w:t>
      </w:r>
      <w:r w:rsidRPr="00621588">
        <w:t>the March 2023 base case (mild 0.0676, moderate</w:t>
      </w:r>
      <w:r w:rsidR="00316AA9" w:rsidRPr="00621588">
        <w:t xml:space="preserve"> </w:t>
      </w:r>
      <w:r w:rsidRPr="00621588">
        <w:t>0.1544, severe</w:t>
      </w:r>
      <w:r w:rsidR="00316AA9" w:rsidRPr="00621588">
        <w:t xml:space="preserve"> </w:t>
      </w:r>
      <w:r w:rsidRPr="00621588">
        <w:t>0.2606</w:t>
      </w:r>
      <w:r w:rsidRPr="001C59C3">
        <w:t>)</w:t>
      </w:r>
      <w:r w:rsidR="008E7C62" w:rsidRPr="001C59C3">
        <w:t>.</w:t>
      </w:r>
    </w:p>
    <w:p w14:paraId="41911855" w14:textId="34A45739" w:rsidR="00EB708E" w:rsidRPr="001C59C3" w:rsidRDefault="00EB708E" w:rsidP="00D014A3">
      <w:pPr>
        <w:pStyle w:val="COMexecsummbulletlist"/>
        <w:ind w:hanging="357"/>
      </w:pPr>
      <w:r w:rsidRPr="001C59C3">
        <w:t xml:space="preserve">Revised drug costs of difelikefalin by increasing the average number of vials per dose from 1.00 to 1.06 and using a new proposed </w:t>
      </w:r>
      <w:r w:rsidR="00E76CD1" w:rsidRPr="001C59C3">
        <w:t xml:space="preserve">effective </w:t>
      </w:r>
      <w:r w:rsidRPr="001C59C3">
        <w:t xml:space="preserve">AEMP of </w:t>
      </w:r>
      <w:r w:rsidR="00D014A3">
        <w:t>$</w:t>
      </w:r>
      <w:r w:rsidR="008A42F6" w:rsidRPr="00690B5F">
        <w:rPr>
          <w:color w:val="000000"/>
          <w:w w:val="15"/>
          <w:shd w:val="solid" w:color="000000" w:fill="000000"/>
          <w:fitText w:val="-20" w:id="-1032102905"/>
          <w14:textFill>
            <w14:solidFill>
              <w14:srgbClr w14:val="000000">
                <w14:alpha w14:val="100000"/>
              </w14:srgbClr>
            </w14:solidFill>
          </w14:textFill>
        </w:rPr>
        <w:t xml:space="preserve">|  </w:t>
      </w:r>
      <w:r w:rsidR="008A42F6" w:rsidRPr="00690B5F">
        <w:rPr>
          <w:color w:val="000000"/>
          <w:spacing w:val="-69"/>
          <w:w w:val="15"/>
          <w:shd w:val="solid" w:color="000000" w:fill="000000"/>
          <w:fitText w:val="-20" w:id="-1032102905"/>
          <w14:textFill>
            <w14:solidFill>
              <w14:srgbClr w14:val="000000">
                <w14:alpha w14:val="100000"/>
              </w14:srgbClr>
            </w14:solidFill>
          </w14:textFill>
        </w:rPr>
        <w:t>|</w:t>
      </w:r>
      <w:r w:rsidRPr="001C59C3">
        <w:t xml:space="preserve"> for 12 vials</w:t>
      </w:r>
      <w:r w:rsidRPr="0095519A">
        <w:t xml:space="preserve">, a </w:t>
      </w:r>
      <w:r w:rsidR="00826EF3" w:rsidRPr="0095519A">
        <w:t>20</w:t>
      </w:r>
      <w:r w:rsidRPr="0095519A">
        <w:t>%</w:t>
      </w:r>
      <w:r w:rsidRPr="001C59C3">
        <w:t xml:space="preserve"> reduction from the proposed </w:t>
      </w:r>
      <w:r w:rsidR="00E76CD1" w:rsidRPr="001C59C3">
        <w:t xml:space="preserve">effective </w:t>
      </w:r>
      <w:r w:rsidRPr="001C59C3">
        <w:t xml:space="preserve">AEMP of </w:t>
      </w:r>
      <w:r w:rsidR="00D014A3">
        <w:t>$</w:t>
      </w:r>
      <w:r w:rsidR="008A42F6" w:rsidRPr="00690B5F">
        <w:rPr>
          <w:color w:val="000000"/>
          <w:w w:val="15"/>
          <w:shd w:val="solid" w:color="000000" w:fill="000000"/>
          <w:fitText w:val="-20" w:id="-1032102904"/>
          <w14:textFill>
            <w14:solidFill>
              <w14:srgbClr w14:val="000000">
                <w14:alpha w14:val="100000"/>
              </w14:srgbClr>
            </w14:solidFill>
          </w14:textFill>
        </w:rPr>
        <w:t xml:space="preserve">|  </w:t>
      </w:r>
      <w:r w:rsidR="008A42F6" w:rsidRPr="00690B5F">
        <w:rPr>
          <w:color w:val="000000"/>
          <w:spacing w:val="-69"/>
          <w:w w:val="15"/>
          <w:shd w:val="solid" w:color="000000" w:fill="000000"/>
          <w:fitText w:val="-20" w:id="-1032102904"/>
          <w14:textFill>
            <w14:solidFill>
              <w14:srgbClr w14:val="000000">
                <w14:alpha w14:val="100000"/>
              </w14:srgbClr>
            </w14:solidFill>
          </w14:textFill>
        </w:rPr>
        <w:t>|</w:t>
      </w:r>
      <w:r w:rsidRPr="001C59C3">
        <w:t xml:space="preserve"> in the previous submission</w:t>
      </w:r>
      <w:r w:rsidR="00826EF3" w:rsidRPr="001C59C3">
        <w:t xml:space="preserve"> pre-PBAC response</w:t>
      </w:r>
      <w:r w:rsidRPr="001C59C3">
        <w:t>.</w:t>
      </w:r>
    </w:p>
    <w:p w14:paraId="7BCDC8CB" w14:textId="34469557" w:rsidR="00382FFC" w:rsidRPr="001C59C3" w:rsidRDefault="00382FFC" w:rsidP="00D014A3">
      <w:pPr>
        <w:pStyle w:val="COMexecsummbulletlist"/>
      </w:pPr>
      <w:r w:rsidRPr="001C59C3">
        <w:lastRenderedPageBreak/>
        <w:t>Inclusion of costs and disutilities due to adverse events associated with difelikefalin based on the incidence of cardiac and respiratory failure in the key trials.</w:t>
      </w:r>
    </w:p>
    <w:p w14:paraId="1D83BC83" w14:textId="4ECF37AE" w:rsidR="00382FFC" w:rsidRPr="001C59C3" w:rsidRDefault="00382FFC" w:rsidP="004F15B1">
      <w:pPr>
        <w:pStyle w:val="COMexecsumnumberedpara"/>
      </w:pPr>
      <w:r w:rsidRPr="001C59C3">
        <w:t xml:space="preserve">Drug costs in the resubmission’s base case were incorrectly calculated using fees and mark-ups for a Section 85 </w:t>
      </w:r>
      <w:r w:rsidR="00154861" w:rsidRPr="001C59C3">
        <w:t xml:space="preserve">(General Schedule) </w:t>
      </w:r>
      <w:r w:rsidRPr="001C59C3">
        <w:t>listing rather than the requested Section 100 HSD listing. There was also an error with the implementation of adverse event disutilities in the resubmission. These errors were corrected during the evaluation in a revised base case.</w:t>
      </w:r>
    </w:p>
    <w:p w14:paraId="433426B7" w14:textId="3FBF8C1A" w:rsidR="009D49D5" w:rsidRPr="00D014A3" w:rsidRDefault="003D41E4" w:rsidP="00D014A3">
      <w:pPr>
        <w:pStyle w:val="COMexecsumnumberedpara"/>
      </w:pPr>
      <w:r w:rsidRPr="001C59C3">
        <w:t xml:space="preserve">Key drivers of the economic model are summarised in </w:t>
      </w:r>
      <w:r w:rsidRPr="001C59C3">
        <w:fldChar w:fldCharType="begin" w:fldLock="1"/>
      </w:r>
      <w:r w:rsidRPr="001C59C3">
        <w:instrText xml:space="preserve"> REF _Ref104805122 \h </w:instrText>
      </w:r>
      <w:r w:rsidRPr="001C59C3">
        <w:fldChar w:fldCharType="separate"/>
      </w:r>
      <w:r w:rsidRPr="001C59C3">
        <w:t xml:space="preserve">Table </w:t>
      </w:r>
      <w:r w:rsidRPr="009D1BB6">
        <w:t>8</w:t>
      </w:r>
      <w:r w:rsidRPr="001C59C3">
        <w:fldChar w:fldCharType="end"/>
      </w:r>
      <w:r w:rsidRPr="001C59C3">
        <w:t>.</w:t>
      </w:r>
      <w:bookmarkStart w:id="45" w:name="_Ref104805122"/>
    </w:p>
    <w:p w14:paraId="774D46B7" w14:textId="0C87722F" w:rsidR="00D110BD" w:rsidRPr="001C59C3" w:rsidRDefault="00E16AD8" w:rsidP="00FD4ED6">
      <w:pPr>
        <w:pStyle w:val="COMtablefigcaption"/>
      </w:pPr>
      <w:r w:rsidRPr="001C59C3">
        <w:t xml:space="preserve">Table </w:t>
      </w:r>
      <w:r w:rsidR="007232F8">
        <w:fldChar w:fldCharType="begin" w:fldLock="1"/>
      </w:r>
      <w:r w:rsidR="007232F8">
        <w:instrText xml:space="preserve"> SEQ Table \* ARABIC </w:instrText>
      </w:r>
      <w:r w:rsidR="007232F8">
        <w:fldChar w:fldCharType="separate"/>
      </w:r>
      <w:r w:rsidR="003D41E4" w:rsidRPr="009D1BB6">
        <w:t>8</w:t>
      </w:r>
      <w:r w:rsidR="007232F8">
        <w:fldChar w:fldCharType="end"/>
      </w:r>
      <w:bookmarkEnd w:id="45"/>
      <w:r w:rsidRPr="001C59C3">
        <w:t>:</w:t>
      </w:r>
      <w:r w:rsidR="00D110BD" w:rsidRPr="001C59C3">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25"/>
        <w:gridCol w:w="6608"/>
        <w:gridCol w:w="1084"/>
      </w:tblGrid>
      <w:tr w:rsidR="00537182" w:rsidRPr="001C59C3" w14:paraId="4DD8026E" w14:textId="77777777" w:rsidTr="00B75E09">
        <w:trPr>
          <w:cantSplit/>
          <w:tblHeader/>
        </w:trPr>
        <w:tc>
          <w:tcPr>
            <w:tcW w:w="735" w:type="pct"/>
            <w:shd w:val="clear" w:color="auto" w:fill="auto"/>
            <w:vAlign w:val="center"/>
          </w:tcPr>
          <w:p w14:paraId="6A9EC2DA" w14:textId="77777777" w:rsidR="00D110BD" w:rsidRPr="001C59C3" w:rsidRDefault="00D110BD" w:rsidP="003C72EA">
            <w:pPr>
              <w:pStyle w:val="COMTableheadingrow"/>
              <w:keepNext w:val="0"/>
              <w:widowControl w:val="0"/>
              <w:jc w:val="center"/>
              <w:rPr>
                <w:lang w:val="en-AU"/>
              </w:rPr>
            </w:pPr>
            <w:r w:rsidRPr="001C59C3">
              <w:rPr>
                <w:lang w:val="en-AU"/>
              </w:rPr>
              <w:t>Description</w:t>
            </w:r>
          </w:p>
        </w:tc>
        <w:tc>
          <w:tcPr>
            <w:tcW w:w="3664" w:type="pct"/>
            <w:shd w:val="clear" w:color="auto" w:fill="auto"/>
            <w:vAlign w:val="center"/>
          </w:tcPr>
          <w:p w14:paraId="67A62672" w14:textId="77777777" w:rsidR="00D110BD" w:rsidRPr="001C59C3" w:rsidRDefault="00D110BD" w:rsidP="003C72EA">
            <w:pPr>
              <w:pStyle w:val="COMTableheadingrow"/>
              <w:keepNext w:val="0"/>
              <w:widowControl w:val="0"/>
              <w:jc w:val="center"/>
              <w:rPr>
                <w:lang w:val="en-AU"/>
              </w:rPr>
            </w:pPr>
            <w:r w:rsidRPr="001C59C3">
              <w:rPr>
                <w:lang w:val="en-AU"/>
              </w:rPr>
              <w:t>Method/Value</w:t>
            </w:r>
          </w:p>
        </w:tc>
        <w:tc>
          <w:tcPr>
            <w:tcW w:w="602" w:type="pct"/>
            <w:shd w:val="clear" w:color="auto" w:fill="auto"/>
            <w:vAlign w:val="center"/>
          </w:tcPr>
          <w:p w14:paraId="6C1DC9EA" w14:textId="64E6507A" w:rsidR="00490B17" w:rsidRPr="001C59C3" w:rsidRDefault="00D110BD" w:rsidP="003C72EA">
            <w:pPr>
              <w:pStyle w:val="COMTableheadingrow"/>
              <w:keepNext w:val="0"/>
              <w:widowControl w:val="0"/>
              <w:jc w:val="center"/>
              <w:rPr>
                <w:lang w:val="en-AU"/>
              </w:rPr>
            </w:pPr>
            <w:r w:rsidRPr="001C59C3">
              <w:rPr>
                <w:lang w:val="en-AU"/>
              </w:rPr>
              <w:t>Impact</w:t>
            </w:r>
          </w:p>
        </w:tc>
      </w:tr>
      <w:tr w:rsidR="00537182" w:rsidRPr="001C59C3" w14:paraId="3DE22150" w14:textId="77777777" w:rsidTr="00B75E09">
        <w:trPr>
          <w:cantSplit/>
        </w:trPr>
        <w:tc>
          <w:tcPr>
            <w:tcW w:w="735" w:type="pct"/>
            <w:shd w:val="clear" w:color="auto" w:fill="auto"/>
            <w:vAlign w:val="center"/>
          </w:tcPr>
          <w:p w14:paraId="72E20981" w14:textId="7B612CB4" w:rsidR="00D110BD" w:rsidRPr="001C59C3" w:rsidRDefault="00106B80" w:rsidP="003C72EA">
            <w:pPr>
              <w:pStyle w:val="COMTabletext"/>
              <w:keepNext w:val="0"/>
              <w:widowControl w:val="0"/>
            </w:pPr>
            <w:r w:rsidRPr="001C59C3">
              <w:t>Extrapolation</w:t>
            </w:r>
            <w:r w:rsidR="004A1691" w:rsidRPr="001C59C3">
              <w:t xml:space="preserve"> of treatment benefit</w:t>
            </w:r>
          </w:p>
        </w:tc>
        <w:tc>
          <w:tcPr>
            <w:tcW w:w="3664" w:type="pct"/>
            <w:shd w:val="clear" w:color="auto" w:fill="auto"/>
            <w:vAlign w:val="center"/>
          </w:tcPr>
          <w:p w14:paraId="4D7CA48D" w14:textId="0080B37F" w:rsidR="00191740" w:rsidRPr="001C59C3" w:rsidRDefault="00D707CD" w:rsidP="003C72EA">
            <w:pPr>
              <w:pStyle w:val="COMTabletext"/>
              <w:keepNext w:val="0"/>
              <w:widowControl w:val="0"/>
            </w:pPr>
            <w:r w:rsidRPr="001C59C3">
              <w:t>T</w:t>
            </w:r>
            <w:r w:rsidR="00124E59" w:rsidRPr="001C59C3">
              <w:t>he base case assumes no waning of treatment effects for difelikefalin or best supportive care, resulting in no transitions between health states after 12 weeks for patients on best supportive care and after 64 weeks for difelikefalin treated patients.</w:t>
            </w:r>
            <w:r w:rsidR="00191740" w:rsidRPr="001C59C3">
              <w:t xml:space="preserve"> </w:t>
            </w:r>
          </w:p>
          <w:p w14:paraId="3BF8AF32" w14:textId="77777777" w:rsidR="00191740" w:rsidRPr="001C59C3" w:rsidRDefault="00191740" w:rsidP="003C72EA">
            <w:pPr>
              <w:pStyle w:val="COMTabletext"/>
              <w:keepNext w:val="0"/>
              <w:widowControl w:val="0"/>
            </w:pPr>
          </w:p>
          <w:p w14:paraId="64938802" w14:textId="4131F112" w:rsidR="00106B80" w:rsidRPr="001C59C3" w:rsidRDefault="00191740" w:rsidP="003C72EA">
            <w:pPr>
              <w:pStyle w:val="COMTabletext"/>
              <w:keepNext w:val="0"/>
              <w:widowControl w:val="0"/>
            </w:pPr>
            <w:r w:rsidRPr="001C59C3">
              <w:t>The removal of unequal placebo response adjustments reduces the modelled incremental benefit associated with difelikefalin treatment compared to the previous model. However, the approach remained in favour of difelikefalin as modelled benefits based on data from the extension studies (Week 12 to 64) were retained.</w:t>
            </w:r>
            <w:r w:rsidR="00AC108C" w:rsidRPr="001C59C3">
              <w:t xml:space="preserve"> The PSCR argued that the extrapolation of treatment benefits was based on data from the extension studies and therefore the approach should not be considered in favour of difelikefalin.</w:t>
            </w:r>
            <w:r w:rsidR="003C24E9" w:rsidRPr="001C59C3">
              <w:t xml:space="preserve"> </w:t>
            </w:r>
            <w:r w:rsidR="002733A2" w:rsidRPr="001C59C3">
              <w:t>The ESC</w:t>
            </w:r>
            <w:r w:rsidR="00AC108C" w:rsidRPr="001C59C3">
              <w:t xml:space="preserve"> reiterated its previous advice that </w:t>
            </w:r>
            <w:r w:rsidR="002733A2" w:rsidRPr="001C59C3">
              <w:t>the observed data from later timepoints of the extension studies may not be robust as the studies were stopped prematurely, with the KALM-2 extension study only reporting results up to Week 48 from baseline (para 6.79, difelikefalin PSD, March 2023 PBAC meeting).</w:t>
            </w:r>
            <w:r w:rsidRPr="001C59C3">
              <w:t xml:space="preserve"> Additionally,</w:t>
            </w:r>
            <w:r w:rsidR="00AC108C" w:rsidRPr="001C59C3">
              <w:t xml:space="preserve"> the ESC noted that</w:t>
            </w:r>
            <w:r w:rsidRPr="001C59C3">
              <w:t xml:space="preserve"> patients who switched to best supportive care after discontinuing difelikefalin maintained all benefits with no ongoing treatment costs. This resulted in improvements in the ICER per QALY gained with increasing treatment discontinuation rates in the model </w:t>
            </w:r>
          </w:p>
        </w:tc>
        <w:tc>
          <w:tcPr>
            <w:tcW w:w="602" w:type="pct"/>
            <w:shd w:val="clear" w:color="auto" w:fill="auto"/>
            <w:vAlign w:val="center"/>
          </w:tcPr>
          <w:p w14:paraId="0AD58F2B" w14:textId="6B734591" w:rsidR="00490B17" w:rsidRPr="001C59C3" w:rsidRDefault="00D110BD" w:rsidP="003C72EA">
            <w:pPr>
              <w:pStyle w:val="COMTabletext"/>
              <w:keepNext w:val="0"/>
              <w:widowControl w:val="0"/>
              <w:jc w:val="center"/>
            </w:pPr>
            <w:r w:rsidRPr="001C59C3">
              <w:t xml:space="preserve">High, favours </w:t>
            </w:r>
            <w:r w:rsidR="00394A25" w:rsidRPr="001C59C3">
              <w:t>difelikefalin</w:t>
            </w:r>
          </w:p>
        </w:tc>
      </w:tr>
      <w:tr w:rsidR="00537182" w:rsidRPr="001C59C3" w14:paraId="3483847F" w14:textId="77777777" w:rsidTr="00B75E09">
        <w:trPr>
          <w:cantSplit/>
        </w:trPr>
        <w:tc>
          <w:tcPr>
            <w:tcW w:w="735" w:type="pct"/>
            <w:shd w:val="clear" w:color="auto" w:fill="auto"/>
            <w:vAlign w:val="center"/>
          </w:tcPr>
          <w:p w14:paraId="2724D8D9" w14:textId="37B74268" w:rsidR="00D110BD" w:rsidRPr="001C59C3" w:rsidRDefault="00106B80" w:rsidP="003C72EA">
            <w:pPr>
              <w:pStyle w:val="COMTabletext"/>
              <w:keepNext w:val="0"/>
              <w:widowControl w:val="0"/>
            </w:pPr>
            <w:r w:rsidRPr="001C59C3">
              <w:lastRenderedPageBreak/>
              <w:t>Ut</w:t>
            </w:r>
            <w:r w:rsidR="004A1691" w:rsidRPr="001C59C3">
              <w:t>ility decrements associated with pruritus severity</w:t>
            </w:r>
          </w:p>
        </w:tc>
        <w:tc>
          <w:tcPr>
            <w:tcW w:w="3664" w:type="pct"/>
            <w:shd w:val="clear" w:color="auto" w:fill="auto"/>
            <w:vAlign w:val="center"/>
          </w:tcPr>
          <w:p w14:paraId="4C76AF1D" w14:textId="77777777" w:rsidR="00D110BD" w:rsidRPr="001C59C3" w:rsidRDefault="00A440AF" w:rsidP="003C72EA">
            <w:pPr>
              <w:pStyle w:val="COMTabletext"/>
              <w:keepNext w:val="0"/>
              <w:widowControl w:val="0"/>
            </w:pPr>
            <w:r w:rsidRPr="001C59C3">
              <w:t>The PBAC previously noted concerns with the reliability of the approach for mapping the 5-D Itch scores to utility values and considered the resulting utility decrements applied for pruritus (mild 0.0676, moderate 0.1544 and severe 0.2606) to be implausibly large (para 7.8, difelikefalin PSD, March 2023 PBAC meeting).</w:t>
            </w:r>
          </w:p>
          <w:p w14:paraId="13E5EF72" w14:textId="77777777" w:rsidR="00A440AF" w:rsidRPr="001C59C3" w:rsidRDefault="00A440AF" w:rsidP="003C72EA">
            <w:pPr>
              <w:pStyle w:val="COMTabletext"/>
              <w:keepNext w:val="0"/>
              <w:widowControl w:val="0"/>
            </w:pPr>
          </w:p>
          <w:p w14:paraId="0FF3A512" w14:textId="3D562075" w:rsidR="00F113DB" w:rsidRPr="001C59C3" w:rsidRDefault="007E2D72" w:rsidP="003C72EA">
            <w:pPr>
              <w:pStyle w:val="COMTabletext"/>
              <w:keepNext w:val="0"/>
              <w:widowControl w:val="0"/>
            </w:pPr>
            <w:r w:rsidRPr="001C59C3">
              <w:t>The resubmission used an updated set of utilit</w:t>
            </w:r>
            <w:r w:rsidR="003A1BD7" w:rsidRPr="001C59C3">
              <w:t>ies</w:t>
            </w:r>
            <w:r w:rsidRPr="001C59C3">
              <w:t xml:space="preserve"> based on a mapping function developed by the University of Sheffield, used to </w:t>
            </w:r>
            <w:r w:rsidR="003A1BD7" w:rsidRPr="001C59C3">
              <w:t xml:space="preserve">derive EQ-5D-3L utility values from trial-based </w:t>
            </w:r>
            <w:r w:rsidR="00B44629" w:rsidRPr="001C59C3">
              <w:t xml:space="preserve">5-D Itch data. The remapped utilities were dependent on the same primary data source </w:t>
            </w:r>
            <w:r w:rsidR="00E24466" w:rsidRPr="001C59C3">
              <w:t>that informed the previous submission</w:t>
            </w:r>
            <w:r w:rsidR="003712F6" w:rsidRPr="001C59C3">
              <w:t xml:space="preserve">. There were multiple concerns with the robustness of the </w:t>
            </w:r>
            <w:r w:rsidR="00393E9E" w:rsidRPr="001C59C3">
              <w:t>primary utility study</w:t>
            </w:r>
            <w:r w:rsidR="003712F6" w:rsidRPr="001C59C3">
              <w:t xml:space="preserve"> that informed the </w:t>
            </w:r>
            <w:r w:rsidR="000842EB" w:rsidRPr="001C59C3">
              <w:t>mapped utilities</w:t>
            </w:r>
            <w:r w:rsidR="003712F6" w:rsidRPr="001C59C3">
              <w:t xml:space="preserve"> due to limitations with the cross-sectional study design that does not allow for the identification of cause-effect relationships. There were also anomalous responses to the 5-D Itch questionnaire and variability in the scatterplot of observed EQ-5D-3L estimates against 5-D Itch scores.</w:t>
            </w:r>
          </w:p>
          <w:p w14:paraId="45AE7C68" w14:textId="77777777" w:rsidR="003C72EA" w:rsidRPr="001C59C3" w:rsidRDefault="003C72EA" w:rsidP="003C72EA">
            <w:pPr>
              <w:pStyle w:val="COMTabletext"/>
              <w:keepNext w:val="0"/>
              <w:widowControl w:val="0"/>
            </w:pPr>
          </w:p>
          <w:p w14:paraId="37508203" w14:textId="15424367" w:rsidR="003C72EA" w:rsidRPr="001C59C3" w:rsidRDefault="003C72EA" w:rsidP="003C72EA">
            <w:pPr>
              <w:pStyle w:val="COMTabletext"/>
              <w:keepNext w:val="0"/>
              <w:widowControl w:val="0"/>
            </w:pPr>
            <w:r w:rsidRPr="001C59C3">
              <w:t xml:space="preserve">Utility estimates in the current resubmission were </w:t>
            </w:r>
            <w:r w:rsidR="000842EB" w:rsidRPr="001C59C3">
              <w:t>re</w:t>
            </w:r>
            <w:r w:rsidRPr="001C59C3">
              <w:t xml:space="preserve">mapped using an adjusted limited dependent variable model, </w:t>
            </w:r>
            <w:r w:rsidR="00200F0B" w:rsidRPr="001C59C3">
              <w:t>originally</w:t>
            </w:r>
            <w:r w:rsidRPr="001C59C3">
              <w:t xml:space="preserve"> developed using data from a trial of patients with rheumatoid arthritis and has not been validated in other disease areas. The mapping model used in the resubmission includes covariates for 5-D Itch score, age, gender, diabetes status and time on dialysis</w:t>
            </w:r>
            <w:r w:rsidR="00200F0B" w:rsidRPr="001C59C3">
              <w:t xml:space="preserve">. </w:t>
            </w:r>
            <w:r w:rsidRPr="001C59C3">
              <w:t>Adjustments based on the selected covariates may be contributing to lower pruritus-related utility decrements than in the previous submission</w:t>
            </w:r>
            <w:r w:rsidR="00B42DCA" w:rsidRPr="001C59C3">
              <w:t xml:space="preserve"> </w:t>
            </w:r>
            <w:r w:rsidR="002D7EDB" w:rsidRPr="001C59C3">
              <w:t>that was unadjusted for potential confounders</w:t>
            </w:r>
            <w:r w:rsidRPr="001C59C3">
              <w:t>. However, there was limited documentation regarding the choice of these covariates, which may not capture the full symptom burden experienced by the sample population (e.g. fatigue, CKD-related complications).</w:t>
            </w:r>
          </w:p>
          <w:p w14:paraId="375222A5" w14:textId="77777777" w:rsidR="00993D9E" w:rsidRPr="001C59C3" w:rsidRDefault="00993D9E" w:rsidP="003C72EA">
            <w:pPr>
              <w:pStyle w:val="COMTabletext"/>
              <w:keepNext w:val="0"/>
              <w:widowControl w:val="0"/>
            </w:pPr>
          </w:p>
          <w:p w14:paraId="6B31A396" w14:textId="33FA22BF" w:rsidR="00022AFE" w:rsidRPr="001C59C3" w:rsidRDefault="00993D9E" w:rsidP="003C72EA">
            <w:pPr>
              <w:pStyle w:val="COMTabletext"/>
              <w:keepNext w:val="0"/>
              <w:widowControl w:val="0"/>
            </w:pPr>
            <w:r w:rsidRPr="001C59C3">
              <w:t xml:space="preserve">The resubmission claimed that the remapped baseline utility (no pruritus) is lower than previous estimates and is more consistent with published estimates for CKD patients on haemodialysis. </w:t>
            </w:r>
            <w:r w:rsidR="00D376CF" w:rsidRPr="001C59C3">
              <w:t>M</w:t>
            </w:r>
            <w:r w:rsidRPr="001C59C3">
              <w:t xml:space="preserve">ild and moderate pruritus are also associated with slightly lower utility values than the previous submission, while the utility value for severe pruritus was </w:t>
            </w:r>
            <w:r w:rsidRPr="00621588">
              <w:t>effectively unchanged. The resulting utility decrements (mild 0.0528, moderate 0.1125 and severe 0.1908) were approximately 20-27% lower compared to the previous submission</w:t>
            </w:r>
            <w:r w:rsidRPr="001C59C3">
              <w:t>. The resubmission</w:t>
            </w:r>
            <w:r w:rsidR="00E71CCB" w:rsidRPr="001C59C3">
              <w:t xml:space="preserve"> and PSCR</w:t>
            </w:r>
            <w:r w:rsidRPr="001C59C3">
              <w:t xml:space="preserve"> argued that these values have greater plausibility than estimates previously considered by the PBAC.</w:t>
            </w:r>
            <w:r w:rsidR="00A0298D" w:rsidRPr="001C59C3">
              <w:t xml:space="preserve"> The </w:t>
            </w:r>
            <w:r w:rsidR="00E71CCB" w:rsidRPr="001C59C3">
              <w:t xml:space="preserve">ESC considered the </w:t>
            </w:r>
            <w:r w:rsidR="00F13F73" w:rsidRPr="001C59C3">
              <w:t xml:space="preserve">validity of the </w:t>
            </w:r>
            <w:r w:rsidR="002477DD" w:rsidRPr="001C59C3">
              <w:t>revised utility decrements remains uncertain.</w:t>
            </w:r>
            <w:r w:rsidR="00B04A6F" w:rsidRPr="001C59C3">
              <w:t xml:space="preserve"> </w:t>
            </w:r>
          </w:p>
          <w:p w14:paraId="4B9FCE0E" w14:textId="19DEC817" w:rsidR="00B04A6F" w:rsidRPr="001C59C3" w:rsidRDefault="00B04A6F" w:rsidP="003C72EA">
            <w:pPr>
              <w:pStyle w:val="COMTabletext"/>
              <w:keepNext w:val="0"/>
              <w:widowControl w:val="0"/>
            </w:pPr>
          </w:p>
        </w:tc>
        <w:tc>
          <w:tcPr>
            <w:tcW w:w="602" w:type="pct"/>
            <w:shd w:val="clear" w:color="auto" w:fill="auto"/>
            <w:vAlign w:val="center"/>
          </w:tcPr>
          <w:p w14:paraId="4CB0C507" w14:textId="16201093" w:rsidR="00D110BD" w:rsidRPr="001C59C3" w:rsidRDefault="00537182" w:rsidP="003C72EA">
            <w:pPr>
              <w:pStyle w:val="COMTabletext"/>
              <w:keepNext w:val="0"/>
              <w:widowControl w:val="0"/>
              <w:jc w:val="center"/>
            </w:pPr>
            <w:r w:rsidRPr="001C59C3">
              <w:t xml:space="preserve">High, favours </w:t>
            </w:r>
            <w:r w:rsidR="00394A25" w:rsidRPr="001C59C3">
              <w:t>difelikefalin</w:t>
            </w:r>
          </w:p>
        </w:tc>
      </w:tr>
    </w:tbl>
    <w:p w14:paraId="30E97087" w14:textId="03ACEB0C" w:rsidR="00D110BD" w:rsidRPr="001C59C3" w:rsidRDefault="009D792E" w:rsidP="00BB00B3">
      <w:pPr>
        <w:pStyle w:val="COMTablefooter"/>
      </w:pPr>
      <w:r w:rsidRPr="001C59C3">
        <w:t xml:space="preserve">Source: </w:t>
      </w:r>
      <w:r w:rsidR="00970627" w:rsidRPr="001C59C3">
        <w:t>constructed during the evaluation</w:t>
      </w:r>
    </w:p>
    <w:p w14:paraId="3439CCD5" w14:textId="1F0B39BF" w:rsidR="00205686" w:rsidRPr="001C59C3" w:rsidRDefault="00512A87" w:rsidP="004F15B1">
      <w:pPr>
        <w:pStyle w:val="COMexecsumnumberedpara"/>
      </w:pPr>
      <w:r w:rsidRPr="001C59C3">
        <w:fldChar w:fldCharType="begin" w:fldLock="1"/>
      </w:r>
      <w:r w:rsidRPr="001C59C3">
        <w:instrText xml:space="preserve"> REF _Ref142658623 \h  \* MERGEFORMAT </w:instrText>
      </w:r>
      <w:r w:rsidRPr="001C59C3">
        <w:fldChar w:fldCharType="separate"/>
      </w:r>
      <w:r w:rsidRPr="001C59C3">
        <w:t xml:space="preserve">Figure </w:t>
      </w:r>
      <w:r w:rsidRPr="009D1BB6">
        <w:t>3</w:t>
      </w:r>
      <w:r w:rsidRPr="001C59C3">
        <w:fldChar w:fldCharType="end"/>
      </w:r>
      <w:r w:rsidRPr="001C59C3">
        <w:t xml:space="preserve"> </w:t>
      </w:r>
      <w:r w:rsidR="00073693" w:rsidRPr="001C59C3">
        <w:t>below was constructed during the evaluation based on the mean utility value of surviving patients in the model, to illustrate the conversion of 5-D Itch scores to quality of life benefits over the model</w:t>
      </w:r>
      <w:r w:rsidR="00824BD1" w:rsidRPr="001C59C3">
        <w:t xml:space="preserve"> duration.</w:t>
      </w:r>
    </w:p>
    <w:p w14:paraId="2A64B26E" w14:textId="305202C1" w:rsidR="00824BD1" w:rsidRPr="001C59C3" w:rsidRDefault="00824BD1" w:rsidP="00824BD1">
      <w:pPr>
        <w:pStyle w:val="Caption"/>
        <w:jc w:val="left"/>
      </w:pPr>
      <w:bookmarkStart w:id="46" w:name="_Ref142658623"/>
      <w:r w:rsidRPr="001C59C3">
        <w:lastRenderedPageBreak/>
        <w:t xml:space="preserve">Figure </w:t>
      </w:r>
      <w:r w:rsidR="007232F8">
        <w:fldChar w:fldCharType="begin" w:fldLock="1"/>
      </w:r>
      <w:r w:rsidR="007232F8">
        <w:instrText xml:space="preserve"> SEQ Figure \* ARABIC </w:instrText>
      </w:r>
      <w:r w:rsidR="007232F8">
        <w:fldChar w:fldCharType="separate"/>
      </w:r>
      <w:r w:rsidRPr="009D1BB6">
        <w:t>3</w:t>
      </w:r>
      <w:r w:rsidR="007232F8">
        <w:fldChar w:fldCharType="end"/>
      </w:r>
      <w:bookmarkEnd w:id="46"/>
      <w:r w:rsidRPr="001C59C3">
        <w:t>: Average utility value in patients who are alive in the model</w:t>
      </w:r>
    </w:p>
    <w:p w14:paraId="3125029D" w14:textId="77777777" w:rsidR="00824BD1" w:rsidRPr="001C59C3" w:rsidRDefault="00824BD1" w:rsidP="00824BD1">
      <w:pPr>
        <w:pStyle w:val="COMBody"/>
      </w:pPr>
      <w:r w:rsidRPr="009D1BB6">
        <w:rPr>
          <w:noProof/>
        </w:rPr>
        <w:drawing>
          <wp:inline distT="0" distB="0" distL="0" distR="0" wp14:anchorId="5D479163" wp14:editId="36920A48">
            <wp:extent cx="5740302" cy="2750820"/>
            <wp:effectExtent l="0" t="0" r="0" b="0"/>
            <wp:docPr id="13" name="Picture 13" descr="Figure 3: Average utility value in patients who are alive in the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Figure 3: Average utility value in patients who are alive in the mode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4422" cy="2762379"/>
                    </a:xfrm>
                    <a:prstGeom prst="rect">
                      <a:avLst/>
                    </a:prstGeom>
                    <a:noFill/>
                  </pic:spPr>
                </pic:pic>
              </a:graphicData>
            </a:graphic>
          </wp:inline>
        </w:drawing>
      </w:r>
    </w:p>
    <w:p w14:paraId="73E1FF13" w14:textId="189C1B70" w:rsidR="00824BD1" w:rsidRPr="001C59C3" w:rsidRDefault="00824BD1" w:rsidP="00824BD1">
      <w:pPr>
        <w:pStyle w:val="COMTablefooter"/>
      </w:pPr>
      <w:r w:rsidRPr="001C59C3">
        <w:t>Source: constructed during the evaluation using the ‘A10 – A DFK_Section3model_July2023’ Excel workbook of the resubmission</w:t>
      </w:r>
    </w:p>
    <w:p w14:paraId="430F68FD" w14:textId="50AC062F" w:rsidR="00824BD1" w:rsidRPr="001C59C3" w:rsidRDefault="00824BD1" w:rsidP="00824BD1">
      <w:pPr>
        <w:pStyle w:val="COMTablefooter"/>
      </w:pPr>
      <w:r w:rsidRPr="001C59C3">
        <w:t>Abbreviations: BSC, best supportive care; DFK, difelikefalin</w:t>
      </w:r>
    </w:p>
    <w:p w14:paraId="531E5CB9" w14:textId="315A60CF" w:rsidR="00DA0297" w:rsidRPr="001C59C3" w:rsidRDefault="00DA0297" w:rsidP="004F15B1">
      <w:pPr>
        <w:pStyle w:val="COMexecsumnumberedpara"/>
      </w:pPr>
      <w:r w:rsidRPr="001C59C3">
        <w:t>The utility trace shows improvements in both arms over the first 12 weeks in the model, with continued improvements up to 64 weeks in the difelikefalin arm. There were no changes in quality of life after 12 weeks in the best supportive care arm and after 64 weeks in the difelikefalin arm.</w:t>
      </w:r>
    </w:p>
    <w:p w14:paraId="37CF9C23" w14:textId="266CB46D" w:rsidR="000B62CB" w:rsidRPr="001C59C3" w:rsidRDefault="00DA0297" w:rsidP="004F15B1">
      <w:pPr>
        <w:pStyle w:val="COMexecsumnumberedpara"/>
        <w:rPr>
          <w:u w:val="single"/>
        </w:rPr>
      </w:pPr>
      <w:bookmarkStart w:id="47" w:name="_Ref147851074"/>
      <w:r w:rsidRPr="001C59C3">
        <w:t>Assumptions of maintenance of treatment effects in both arms during the extrapolated period were in favour of difelikefalin as all benefits attained while on treatment were maintained indefinitely upon treatment discontinuation (i.e. ongoing benefit with no treatment costs). The approach resulted in a fixed, ongoing utility benefit of approximately 0.03 during the extrapolated period despite the decreasing proportion of patients remaining on treatment over time.</w:t>
      </w:r>
      <w:r w:rsidR="006175C2" w:rsidRPr="001C59C3">
        <w:t xml:space="preserve"> </w:t>
      </w:r>
      <w:r w:rsidR="00AC108C" w:rsidRPr="001C59C3">
        <w:t>The PSCR claimed the assumption of maintenance of treatment effects in both arms during the extrapolated period (regardless of treatment status) was a conservative approach that was consistent with the ESC’s request for removal of placebo response adjustments. The ESC previously considered that placebo effect adjustments were inappropriately applied to patients on best supportive care only</w:t>
      </w:r>
      <w:r w:rsidR="001A6F71" w:rsidRPr="001C59C3">
        <w:t>, with no matching adjustments to difelikefalin</w:t>
      </w:r>
      <w:r w:rsidR="00AC108C" w:rsidRPr="001C59C3">
        <w:t xml:space="preserve"> treated patients</w:t>
      </w:r>
      <w:r w:rsidR="001A6F71" w:rsidRPr="001C59C3">
        <w:t>,</w:t>
      </w:r>
      <w:r w:rsidR="00AC108C" w:rsidRPr="001C59C3">
        <w:t xml:space="preserve"> and therefore should be removed</w:t>
      </w:r>
      <w:r w:rsidR="001A6F71" w:rsidRPr="001C59C3">
        <w:t xml:space="preserve"> (para 7.9, difelikefalin PSD, March 2023 PBAC meeting)</w:t>
      </w:r>
      <w:r w:rsidR="00AC108C" w:rsidRPr="001C59C3">
        <w:t>. However, the ESC did not consider that treatment benefit should be maintained indefinitely regardless of treatment status.</w:t>
      </w:r>
      <w:bookmarkEnd w:id="47"/>
      <w:r w:rsidR="00516F0C" w:rsidRPr="001C59C3">
        <w:t xml:space="preserve"> The </w:t>
      </w:r>
      <w:r w:rsidR="003D30E6" w:rsidRPr="001C59C3">
        <w:t>p</w:t>
      </w:r>
      <w:r w:rsidR="00516F0C" w:rsidRPr="001C59C3">
        <w:t xml:space="preserve">re-PBAC Response argued </w:t>
      </w:r>
      <w:r w:rsidR="00BB0B6E" w:rsidRPr="001C59C3">
        <w:t>that a</w:t>
      </w:r>
      <w:r w:rsidR="003D30E6" w:rsidRPr="001C59C3">
        <w:t>n assumption in which</w:t>
      </w:r>
      <w:r w:rsidR="00BB0B6E" w:rsidRPr="001C59C3">
        <w:t xml:space="preserve"> the placebo effect observed over 12 weeks is</w:t>
      </w:r>
      <w:r w:rsidR="003D30E6" w:rsidRPr="001C59C3">
        <w:t xml:space="preserve"> considered</w:t>
      </w:r>
      <w:r w:rsidR="00BB0B6E" w:rsidRPr="001C59C3">
        <w:t xml:space="preserve"> durable for 5 years </w:t>
      </w:r>
      <w:r w:rsidR="003D30E6" w:rsidRPr="001C59C3">
        <w:t xml:space="preserve">could not reasonably be considered to favour difelikefalin. </w:t>
      </w:r>
    </w:p>
    <w:p w14:paraId="7BDF928C" w14:textId="6C58CCFB" w:rsidR="008C5A71" w:rsidRPr="001C59C3" w:rsidRDefault="008C5A71" w:rsidP="004F15B1">
      <w:pPr>
        <w:pStyle w:val="COMexecsumnumberedpara"/>
      </w:pPr>
      <w:r w:rsidRPr="001C59C3">
        <w:t>The previous submission modelled elevated mortality as a function of severe pruritus, which resulted in mortality benefits associated with difelikefalin treatment.</w:t>
      </w:r>
      <w:r w:rsidR="00B04A6F" w:rsidRPr="001C59C3">
        <w:t xml:space="preserve"> The ESC noted</w:t>
      </w:r>
      <w:r w:rsidRPr="001C59C3">
        <w:t xml:space="preserve"> </w:t>
      </w:r>
      <w:r w:rsidR="00AC108C" w:rsidRPr="001C59C3">
        <w:t>t</w:t>
      </w:r>
      <w:r w:rsidR="00F14DC3" w:rsidRPr="001C59C3">
        <w:t>his</w:t>
      </w:r>
      <w:r w:rsidRPr="001C59C3">
        <w:t xml:space="preserve"> was appropriately removed in the resubmission. </w:t>
      </w:r>
    </w:p>
    <w:p w14:paraId="07ECA74E" w14:textId="01833F0D" w:rsidR="008C5A71" w:rsidRPr="001C59C3" w:rsidRDefault="008C5A71" w:rsidP="004F15B1">
      <w:pPr>
        <w:pStyle w:val="COMexecsumnumberedpara"/>
      </w:pPr>
      <w:r w:rsidRPr="001C59C3">
        <w:lastRenderedPageBreak/>
        <w:t xml:space="preserve">The resubmission applied independent estimates for treatment discontinuations due to inadequate response, non-specific treatment discontinuations and background mortality. These estimates were unchanged from the previous submission. </w:t>
      </w:r>
      <w:r w:rsidR="009C7672" w:rsidRPr="001C59C3">
        <w:t xml:space="preserve">The approach may overestimate overall treatment discontinuations as the non-specific treatment discontinuation rate was unadjusted for treatment response and deaths. </w:t>
      </w:r>
    </w:p>
    <w:p w14:paraId="7376B76D" w14:textId="28F7FDDD" w:rsidR="00146358" w:rsidRPr="001C59C3" w:rsidRDefault="003D4EB9" w:rsidP="004F15B1">
      <w:pPr>
        <w:pStyle w:val="COMexecsumnumberedpara"/>
      </w:pPr>
      <w:r w:rsidRPr="001C59C3">
        <w:t xml:space="preserve">The resubmission appropriately </w:t>
      </w:r>
      <w:r w:rsidR="001B65F0" w:rsidRPr="001C59C3">
        <w:t>accounted for increased vial use (1.06 vials per dose) due to weight-based dosing. However, the resubmission retained an assumed dosing frequency of 3 times per week, which does not account for additional doses in any given week. This was inconsistent with drug exposure data in the trial reports suggesting approximately 24.9% of patients in KALM-1 and 22.6% of patients in KALM-2 received at least 1 additional dose during the 12-week study period.</w:t>
      </w:r>
    </w:p>
    <w:p w14:paraId="36E9DDE2" w14:textId="2DEE0BF5" w:rsidR="00515E0F" w:rsidRPr="001C59C3" w:rsidRDefault="00D733C1" w:rsidP="004F15B1">
      <w:pPr>
        <w:pStyle w:val="COMexecsumnumberedpara"/>
      </w:pPr>
      <w:r w:rsidRPr="001C59C3">
        <w:t xml:space="preserve">The resubmission </w:t>
      </w:r>
      <w:r w:rsidR="00800C35" w:rsidRPr="001C59C3">
        <w:t>included costs and utilities associated with the increased risk of cardiac and respiratory failure events observed in the key trials</w:t>
      </w:r>
      <w:r w:rsidR="00515E0F" w:rsidRPr="001C59C3">
        <w:t xml:space="preserve"> to address PBAC’s </w:t>
      </w:r>
      <w:r w:rsidR="00AD4FE5" w:rsidRPr="001C59C3">
        <w:t xml:space="preserve">March 2023 </w:t>
      </w:r>
      <w:r w:rsidR="00515E0F" w:rsidRPr="001C59C3">
        <w:t>concerns regarding the lack of adverse events in the model</w:t>
      </w:r>
      <w:r w:rsidR="00800C35" w:rsidRPr="001C59C3">
        <w:t xml:space="preserve">. </w:t>
      </w:r>
    </w:p>
    <w:p w14:paraId="6EE75AB6" w14:textId="33529310" w:rsidR="00D733C1" w:rsidRPr="001C59C3" w:rsidRDefault="00BF009F" w:rsidP="004F15B1">
      <w:pPr>
        <w:pStyle w:val="COMexecsumnumberedpara"/>
      </w:pPr>
      <w:bookmarkStart w:id="48" w:name="_Ref147851175"/>
      <w:r w:rsidRPr="001C59C3">
        <w:t xml:space="preserve">The </w:t>
      </w:r>
      <w:r w:rsidR="000F5843" w:rsidRPr="001C59C3">
        <w:t xml:space="preserve">source of estimated costs </w:t>
      </w:r>
      <w:r w:rsidR="002E50F9" w:rsidRPr="001C59C3">
        <w:t>was</w:t>
      </w:r>
      <w:r w:rsidR="000F5843" w:rsidRPr="001C59C3">
        <w:t xml:space="preserve"> inadequately justified</w:t>
      </w:r>
      <w:r w:rsidR="00D37AAE" w:rsidRPr="001C59C3">
        <w:t>, based on an epidemiological study</w:t>
      </w:r>
      <w:r w:rsidR="002E50F9" w:rsidRPr="001C59C3">
        <w:t xml:space="preserve"> of heart failure</w:t>
      </w:r>
      <w:r w:rsidR="00D37AAE" w:rsidRPr="001C59C3">
        <w:t xml:space="preserve"> (Chan 2016) </w:t>
      </w:r>
      <w:r w:rsidR="001B342B" w:rsidRPr="001C59C3">
        <w:t>with costs</w:t>
      </w:r>
      <w:r w:rsidR="00B139FC" w:rsidRPr="001C59C3">
        <w:t xml:space="preserve"> </w:t>
      </w:r>
      <w:r w:rsidR="001B342B" w:rsidRPr="001C59C3">
        <w:t>calculated</w:t>
      </w:r>
      <w:r w:rsidR="00D37AAE" w:rsidRPr="001C59C3">
        <w:t xml:space="preserve"> using a ‘top-down’ approach</w:t>
      </w:r>
      <w:r w:rsidR="001C59C3">
        <w:t xml:space="preserve">. </w:t>
      </w:r>
      <w:r w:rsidR="002E50F9" w:rsidRPr="001C59C3">
        <w:t xml:space="preserve">The calculated cost per </w:t>
      </w:r>
      <w:r w:rsidR="00B139FC" w:rsidRPr="001C59C3">
        <w:t xml:space="preserve">heart failure </w:t>
      </w:r>
      <w:r w:rsidR="002E50F9" w:rsidRPr="001C59C3">
        <w:t xml:space="preserve">patient </w:t>
      </w:r>
      <w:r w:rsidR="00B139FC" w:rsidRPr="001C59C3">
        <w:t xml:space="preserve">per year ($6,758) </w:t>
      </w:r>
      <w:r w:rsidR="002E50F9" w:rsidRPr="001C59C3">
        <w:t xml:space="preserve">was uncertain as it was dependent on incident and prevalent cases of heart failure that could not be accurately quantified, according to the study authors, given the paucity of local data. </w:t>
      </w:r>
      <w:r w:rsidR="00F02A9B" w:rsidRPr="001C59C3">
        <w:t>It may be more appropriate to estimate costs of hospitalisation using data from the National Hospital Cost Data Collection (NHCDC).</w:t>
      </w:r>
      <w:r w:rsidR="00B139FC" w:rsidRPr="001C59C3">
        <w:t xml:space="preserve"> </w:t>
      </w:r>
      <w:r w:rsidR="003370B6" w:rsidRPr="001C59C3">
        <w:t xml:space="preserve">No justification was provided for the assumption that these costs would be applicable to patients with respiratory failure. </w:t>
      </w:r>
      <w:r w:rsidR="00377F3D" w:rsidRPr="001C59C3">
        <w:t xml:space="preserve">Additionally, the </w:t>
      </w:r>
      <w:r w:rsidR="00B57546" w:rsidRPr="001C59C3">
        <w:t xml:space="preserve">resubmission inappropriately applied a 4-week adjusted cost ($518) </w:t>
      </w:r>
      <w:r w:rsidR="0004031A" w:rsidRPr="001C59C3">
        <w:t xml:space="preserve">to patients experiencing an event each cycle rather than the cumulative number of patients with an event over time. </w:t>
      </w:r>
      <w:r w:rsidR="00F770B9" w:rsidRPr="001C59C3">
        <w:t>The ESC agreed with the evaluation that t</w:t>
      </w:r>
      <w:r w:rsidR="003370B6" w:rsidRPr="001C59C3">
        <w:t>his approach</w:t>
      </w:r>
      <w:r w:rsidR="004954D6" w:rsidRPr="001C59C3">
        <w:t xml:space="preserve"> effectively underestimates the cost </w:t>
      </w:r>
      <w:r w:rsidR="00AD4E12" w:rsidRPr="001C59C3">
        <w:t>of</w:t>
      </w:r>
      <w:r w:rsidR="004954D6" w:rsidRPr="001C59C3">
        <w:t xml:space="preserve"> adverse events</w:t>
      </w:r>
      <w:r w:rsidR="00AD4E12" w:rsidRPr="001C59C3">
        <w:t xml:space="preserve"> in the model</w:t>
      </w:r>
      <w:r w:rsidR="004954D6" w:rsidRPr="001C59C3">
        <w:t xml:space="preserve">. </w:t>
      </w:r>
      <w:r w:rsidR="00F14DC3" w:rsidRPr="001C59C3">
        <w:t>The ESC considered it was more appropriate to use hospitalisation costs based on the NHCDC, as it better reflected the Australian context.</w:t>
      </w:r>
      <w:bookmarkEnd w:id="48"/>
      <w:r w:rsidR="003D30E6" w:rsidRPr="001C59C3">
        <w:t xml:space="preserve"> </w:t>
      </w:r>
      <w:r w:rsidR="00DC26B2" w:rsidRPr="001C59C3">
        <w:t>The pre-PBAC Response</w:t>
      </w:r>
      <w:r w:rsidR="00021EC8">
        <w:t xml:space="preserve"> </w:t>
      </w:r>
      <w:r w:rsidR="00DC26B2" w:rsidRPr="001C59C3">
        <w:t>acknowledged the costing of adverse events inadvertently adjusted both the probability and the cost back to a cost per cycle. However, the Response argued that the actual cost itself of $6,758 per annum for heart failure applied in the model is representative of all heart failure (not just hospitalised cases) and is reasonable for this purpose.</w:t>
      </w:r>
    </w:p>
    <w:p w14:paraId="033657E0" w14:textId="5CFFFE35" w:rsidR="00B95873" w:rsidRPr="001C59C3" w:rsidRDefault="00B95873" w:rsidP="00E71CCB">
      <w:pPr>
        <w:pStyle w:val="COMexecsumnumberedpara"/>
      </w:pPr>
      <w:bookmarkStart w:id="49" w:name="_Ref147851234"/>
      <w:r w:rsidRPr="001C59C3">
        <w:t xml:space="preserve">The PBAC previously noted concerns with the reliability of the approach for mapping the 5-D Itch scores to utility values and considered the resulting utility decrements applied for pruritus (mild 0.0676, moderate 0.1544 and severe 0.2606) to be implausibly large (para 7.8, difelikefalin PSD, March 2023 PBAC meeting). The resubmission used an updated set of utilities based on a mapping function developed by the University of Sheffield, used to derive EQ-5D-3L utility values from trial-based 5-D Itch data (see </w:t>
      </w:r>
      <w:r w:rsidRPr="001C59C3">
        <w:fldChar w:fldCharType="begin" w:fldLock="1"/>
      </w:r>
      <w:r w:rsidRPr="001C59C3">
        <w:instrText xml:space="preserve"> REF _Ref104805122 \h </w:instrText>
      </w:r>
      <w:r w:rsidR="00D265A1" w:rsidRPr="001C59C3">
        <w:instrText xml:space="preserve"> \* MERGEFORMAT </w:instrText>
      </w:r>
      <w:r w:rsidRPr="001C59C3">
        <w:fldChar w:fldCharType="separate"/>
      </w:r>
      <w:r w:rsidR="00D3467A" w:rsidRPr="001C59C3">
        <w:t xml:space="preserve">Table </w:t>
      </w:r>
      <w:r w:rsidR="00D3467A" w:rsidRPr="009D1BB6">
        <w:t>8</w:t>
      </w:r>
      <w:r w:rsidRPr="001C59C3">
        <w:fldChar w:fldCharType="end"/>
      </w:r>
      <w:r w:rsidRPr="001C59C3">
        <w:t xml:space="preserve">). The resubmission claimed that the remapped baseline utility (no pruritus) is lower than previous estimates and is more consistent with published estimates for CKD patients on haemodialysis. Mild and moderate pruritus are also associated with slightly lower utility values than the previous submission, </w:t>
      </w:r>
      <w:r w:rsidRPr="001C59C3">
        <w:lastRenderedPageBreak/>
        <w:t xml:space="preserve">while the </w:t>
      </w:r>
      <w:r w:rsidRPr="00621588">
        <w:t>utility value for severe pruritus was effectively unchanged. The resulting utility decrements (mild 0.0528, moderate 0.1125 and severe 0.1908) were approximately 20-27% lower compared to the previous submission</w:t>
      </w:r>
      <w:r w:rsidRPr="001C59C3">
        <w:t>. The resubmission argued that these values have greater plausibility than estimates previously considered by the PBAC. The validity of the revised utility decrements remains uncertain. The PSCR argued that while the remapped utilities are dependent on the same primary data source that informed the previous submission, they are better matched to the health state definitions in the model and therefore have greater plausibility and reliability.</w:t>
      </w:r>
      <w:r w:rsidR="00E71CCB" w:rsidRPr="001C59C3">
        <w:t xml:space="preserve"> The ESC considered the validity of the revised estimates remains uncertain given multiple concerns with the robustness of the primary utility study and validity of the mapping function used to transform 5-D itch scores to EQ-5D-3L utility values. The ESC noted the Thokala 2023 study (</w:t>
      </w:r>
      <w:r w:rsidR="00826EF3" w:rsidRPr="001C59C3">
        <w:t>identified in the updated literature review undertaken for the resubmission</w:t>
      </w:r>
      <w:r w:rsidR="00E71CCB" w:rsidRPr="001C59C3">
        <w:t xml:space="preserve">) used the same primary dataset but instead mapped data from the ‘itch intensity’ domain rather than </w:t>
      </w:r>
      <w:r w:rsidR="00E71CCB" w:rsidRPr="00621588">
        <w:t xml:space="preserve">5D itch scores, which resulted in smaller utility decrements than the re-submission (mild 0.0378, moderate </w:t>
      </w:r>
      <w:r w:rsidR="009F3B9D" w:rsidRPr="00621588">
        <w:t>0.1025 and severe</w:t>
      </w:r>
      <w:r w:rsidR="009F3B9D" w:rsidRPr="001C59C3">
        <w:t xml:space="preserve"> 0.1875</w:t>
      </w:r>
      <w:r w:rsidR="00E71CCB" w:rsidRPr="001C59C3">
        <w:t>).</w:t>
      </w:r>
      <w:bookmarkEnd w:id="49"/>
      <w:r w:rsidR="009F3B9D" w:rsidRPr="001C59C3">
        <w:t xml:space="preserve"> </w:t>
      </w:r>
      <w:r w:rsidR="002620B7" w:rsidRPr="001C59C3">
        <w:t xml:space="preserve">The </w:t>
      </w:r>
      <w:r w:rsidR="003D30E6" w:rsidRPr="001C59C3">
        <w:t>p</w:t>
      </w:r>
      <w:r w:rsidR="002620B7" w:rsidRPr="001C59C3">
        <w:t xml:space="preserve">re-PBAC Response argued the utility values used in the re-submission are supported by evidence from 377 CKD patients living with CKD-associated pruritis. The Response accepted the values may be uncertain, however argued they can be considered reliable evidence and are not biased towards either difelikefalin or placebo. The Response further </w:t>
      </w:r>
      <w:r w:rsidR="00510BBB" w:rsidRPr="001C59C3">
        <w:t>noted the consumer comments highlighted the quality of life impacts of severe itch in the CKD population</w:t>
      </w:r>
      <w:r w:rsidR="001C59C3">
        <w:t xml:space="preserve">. </w:t>
      </w:r>
    </w:p>
    <w:p w14:paraId="6CBF3A5A" w14:textId="7384D1A5" w:rsidR="004954D6" w:rsidRPr="001C59C3" w:rsidRDefault="004954D6" w:rsidP="004F15B1">
      <w:pPr>
        <w:pStyle w:val="COMexecsumnumberedpara"/>
      </w:pPr>
      <w:r w:rsidRPr="001C59C3">
        <w:t>There was limited documentation regarding the derivation of adverse event disutilities used in the model.</w:t>
      </w:r>
      <w:r w:rsidR="00F14DC3" w:rsidRPr="001C59C3">
        <w:t xml:space="preserve"> The ESC noted</w:t>
      </w:r>
      <w:r w:rsidRPr="001C59C3">
        <w:t xml:space="preserve"> </w:t>
      </w:r>
      <w:r w:rsidR="00F770B9" w:rsidRPr="001C59C3">
        <w:t xml:space="preserve">that </w:t>
      </w:r>
      <w:r w:rsidR="00F14DC3" w:rsidRPr="001C59C3">
        <w:t>n</w:t>
      </w:r>
      <w:r w:rsidRPr="001C59C3">
        <w:t>o rationale was provided for the selected 30-90 day post-hospitalisation disutility (-0.054)</w:t>
      </w:r>
      <w:r w:rsidR="00EA4342" w:rsidRPr="001C59C3">
        <w:t>,</w:t>
      </w:r>
      <w:r w:rsidRPr="001C59C3">
        <w:t xml:space="preserve"> given the selected source (McMurray 2018) also reported a 0-30 day post-hospitalisation disutility (-0.105). </w:t>
      </w:r>
      <w:r w:rsidR="00CF50D8" w:rsidRPr="001C59C3">
        <w:t>N</w:t>
      </w:r>
      <w:r w:rsidRPr="001C59C3">
        <w:t xml:space="preserve">o justification </w:t>
      </w:r>
      <w:r w:rsidR="00AD4E12" w:rsidRPr="001C59C3">
        <w:t xml:space="preserve">was </w:t>
      </w:r>
      <w:r w:rsidRPr="001C59C3">
        <w:t xml:space="preserve">provided for the assumption that quality of life impacts associated with heart failure hospitalisations would be applicable to hospitalisations </w:t>
      </w:r>
      <w:r w:rsidR="00210AFF" w:rsidRPr="001C59C3">
        <w:t>due to</w:t>
      </w:r>
      <w:r w:rsidRPr="001C59C3">
        <w:t xml:space="preserve"> respiratory failure.</w:t>
      </w:r>
      <w:r w:rsidR="00210AFF" w:rsidRPr="001C59C3">
        <w:t xml:space="preserve"> </w:t>
      </w:r>
      <w:r w:rsidR="00F14DC3" w:rsidRPr="001C59C3">
        <w:t>The</w:t>
      </w:r>
      <w:r w:rsidR="006175C2" w:rsidRPr="001C59C3">
        <w:t xml:space="preserve"> </w:t>
      </w:r>
      <w:r w:rsidR="00F14DC3" w:rsidRPr="001C59C3">
        <w:t xml:space="preserve">ESC </w:t>
      </w:r>
      <w:r w:rsidR="00F770B9" w:rsidRPr="001C59C3">
        <w:t xml:space="preserve">agreed with the evaluation that there </w:t>
      </w:r>
      <w:r w:rsidR="00210AFF" w:rsidRPr="001C59C3">
        <w:t xml:space="preserve">were </w:t>
      </w:r>
      <w:r w:rsidR="00DE3277" w:rsidRPr="001C59C3">
        <w:t xml:space="preserve">added </w:t>
      </w:r>
      <w:r w:rsidR="00210AFF" w:rsidRPr="001C59C3">
        <w:t xml:space="preserve">concerns with the transformation of </w:t>
      </w:r>
      <w:r w:rsidR="00762094" w:rsidRPr="001C59C3">
        <w:t>the 30-90 day post-hospitalisation utility to a 4</w:t>
      </w:r>
      <w:r w:rsidR="00D014A3">
        <w:t> </w:t>
      </w:r>
      <w:r w:rsidR="00762094" w:rsidRPr="001C59C3">
        <w:t>week utility decrement</w:t>
      </w:r>
      <w:r w:rsidR="00DE3277" w:rsidRPr="001C59C3">
        <w:t xml:space="preserve"> applied directly to health state utiliti</w:t>
      </w:r>
      <w:r w:rsidR="00DD6D08" w:rsidRPr="001C59C3">
        <w:t>es</w:t>
      </w:r>
      <w:r w:rsidR="003F153E" w:rsidRPr="001C59C3">
        <w:t>, which further underestimated the QALY loss</w:t>
      </w:r>
      <w:r w:rsidR="00DD6D08" w:rsidRPr="001C59C3">
        <w:t xml:space="preserve">. There was also an error in the attribution of </w:t>
      </w:r>
      <w:r w:rsidR="00055F0D" w:rsidRPr="001C59C3">
        <w:t xml:space="preserve">the adjusted health state utility values that were applied to all patients in the difelikefalin arm regardless of treatment status. This was corrected in the revised base case during the evaluation by applying the utility decrement to on-treatment patients only. </w:t>
      </w:r>
    </w:p>
    <w:p w14:paraId="74731D21" w14:textId="55EF4C38" w:rsidR="005A373D" w:rsidRPr="001C59C3" w:rsidRDefault="00A91482" w:rsidP="004F15B1">
      <w:pPr>
        <w:pStyle w:val="COMexecsumnumberedpara"/>
      </w:pPr>
      <w:r w:rsidRPr="001C59C3">
        <w:t>The resubmission presented a stepped economic evaluation from the March</w:t>
      </w:r>
      <w:r w:rsidR="00D014A3">
        <w:t> </w:t>
      </w:r>
      <w:r w:rsidRPr="001C59C3">
        <w:t xml:space="preserve">2023 base case to the resubmission’s base case, to assess the impact of changes included in the current resubmission’s model. Corrections to the drug cost and adverse event disutilities in the revised base case are shown as additional steps to the stepped evaluation of the resubmission (see </w:t>
      </w:r>
      <w:r w:rsidR="00BE3198" w:rsidRPr="001C59C3">
        <w:fldChar w:fldCharType="begin" w:fldLock="1"/>
      </w:r>
      <w:r w:rsidR="00BE3198" w:rsidRPr="001C59C3">
        <w:instrText xml:space="preserve"> REF _Ref104805160 \h  \* MERGEFORMAT </w:instrText>
      </w:r>
      <w:r w:rsidR="00BE3198" w:rsidRPr="001C59C3">
        <w:fldChar w:fldCharType="separate"/>
      </w:r>
      <w:r w:rsidR="00BE3198" w:rsidRPr="001C59C3">
        <w:t xml:space="preserve">Table </w:t>
      </w:r>
      <w:r w:rsidR="00BE3198" w:rsidRPr="009D1BB6">
        <w:t>9</w:t>
      </w:r>
      <w:r w:rsidR="00BE3198" w:rsidRPr="001C59C3">
        <w:fldChar w:fldCharType="end"/>
      </w:r>
      <w:r w:rsidRPr="001C59C3">
        <w:t xml:space="preserve"> below).</w:t>
      </w:r>
    </w:p>
    <w:p w14:paraId="3D911C6B" w14:textId="6667AA85" w:rsidR="00A91482" w:rsidRPr="001C59C3" w:rsidRDefault="00A91482" w:rsidP="00A91482">
      <w:pPr>
        <w:pStyle w:val="COMtablefigcaption"/>
        <w:jc w:val="both"/>
      </w:pPr>
      <w:bookmarkStart w:id="50" w:name="_Ref104805160"/>
      <w:r w:rsidRPr="001C59C3">
        <w:lastRenderedPageBreak/>
        <w:t xml:space="preserve">Table </w:t>
      </w:r>
      <w:r w:rsidR="007232F8">
        <w:fldChar w:fldCharType="begin" w:fldLock="1"/>
      </w:r>
      <w:r w:rsidR="007232F8">
        <w:instrText xml:space="preserve"> SEQ Table \* ARABIC </w:instrText>
      </w:r>
      <w:r w:rsidR="007232F8">
        <w:fldChar w:fldCharType="separate"/>
      </w:r>
      <w:r w:rsidR="00BE3198" w:rsidRPr="009D1BB6">
        <w:t>9</w:t>
      </w:r>
      <w:r w:rsidR="007232F8">
        <w:fldChar w:fldCharType="end"/>
      </w:r>
      <w:bookmarkEnd w:id="50"/>
      <w:r w:rsidRPr="001C59C3">
        <w:t>: Results of the stepped economic evaluation from the March 2023 submission to November 2023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451"/>
        <w:gridCol w:w="2298"/>
        <w:gridCol w:w="1511"/>
      </w:tblGrid>
      <w:tr w:rsidR="00A91482" w:rsidRPr="001C59C3" w14:paraId="663FCCC4" w14:textId="77777777" w:rsidTr="00776D51">
        <w:trPr>
          <w:tblHeader/>
        </w:trPr>
        <w:tc>
          <w:tcPr>
            <w:tcW w:w="1529" w:type="pct"/>
            <w:vAlign w:val="center"/>
          </w:tcPr>
          <w:p w14:paraId="5CF826F3" w14:textId="77777777" w:rsidR="00A91482" w:rsidRPr="001C59C3" w:rsidRDefault="00A91482" w:rsidP="00776D51">
            <w:pPr>
              <w:pStyle w:val="COMTableheadingrow"/>
              <w:rPr>
                <w:lang w:val="en-AU"/>
              </w:rPr>
            </w:pPr>
            <w:r w:rsidRPr="001C59C3">
              <w:rPr>
                <w:lang w:val="en-AU"/>
              </w:rPr>
              <w:t>Step and component</w:t>
            </w:r>
          </w:p>
        </w:tc>
        <w:tc>
          <w:tcPr>
            <w:tcW w:w="1359" w:type="pct"/>
            <w:vAlign w:val="center"/>
          </w:tcPr>
          <w:p w14:paraId="36FB321D" w14:textId="77777777" w:rsidR="00A91482" w:rsidRPr="001C59C3" w:rsidRDefault="00A91482" w:rsidP="00776D51">
            <w:pPr>
              <w:pStyle w:val="COMTableheadingrow"/>
              <w:jc w:val="center"/>
              <w:rPr>
                <w:lang w:val="en-AU"/>
              </w:rPr>
            </w:pPr>
            <w:r w:rsidRPr="001C59C3">
              <w:rPr>
                <w:lang w:val="en-AU"/>
              </w:rPr>
              <w:t>Difelikefalin</w:t>
            </w:r>
          </w:p>
        </w:tc>
        <w:tc>
          <w:tcPr>
            <w:tcW w:w="1274" w:type="pct"/>
            <w:vAlign w:val="center"/>
          </w:tcPr>
          <w:p w14:paraId="5DBE4359" w14:textId="77777777" w:rsidR="00A91482" w:rsidRPr="001C59C3" w:rsidRDefault="00A91482" w:rsidP="00776D51">
            <w:pPr>
              <w:pStyle w:val="COMTableheadingrow"/>
              <w:jc w:val="center"/>
              <w:rPr>
                <w:lang w:val="en-AU"/>
              </w:rPr>
            </w:pPr>
            <w:r w:rsidRPr="001C59C3">
              <w:rPr>
                <w:lang w:val="en-AU"/>
              </w:rPr>
              <w:t>BSC</w:t>
            </w:r>
          </w:p>
        </w:tc>
        <w:tc>
          <w:tcPr>
            <w:tcW w:w="838" w:type="pct"/>
            <w:vAlign w:val="center"/>
          </w:tcPr>
          <w:p w14:paraId="672A8BBD" w14:textId="77777777" w:rsidR="00A91482" w:rsidRPr="001C59C3" w:rsidRDefault="00A91482" w:rsidP="00776D51">
            <w:pPr>
              <w:pStyle w:val="COMTableheadingrow"/>
              <w:jc w:val="center"/>
              <w:rPr>
                <w:lang w:val="en-AU"/>
              </w:rPr>
            </w:pPr>
            <w:r w:rsidRPr="001C59C3">
              <w:rPr>
                <w:lang w:val="en-AU"/>
              </w:rPr>
              <w:t>Increment</w:t>
            </w:r>
          </w:p>
        </w:tc>
      </w:tr>
      <w:tr w:rsidR="00A91482" w:rsidRPr="001C59C3" w14:paraId="560F5BD4" w14:textId="77777777" w:rsidTr="00776D51">
        <w:tc>
          <w:tcPr>
            <w:tcW w:w="5000" w:type="pct"/>
            <w:gridSpan w:val="4"/>
            <w:vAlign w:val="center"/>
          </w:tcPr>
          <w:p w14:paraId="389F65C0" w14:textId="77777777" w:rsidR="00A91482" w:rsidRPr="001C59C3" w:rsidRDefault="00A91482" w:rsidP="00776D51">
            <w:pPr>
              <w:pStyle w:val="COMTabletext"/>
              <w:rPr>
                <w:b/>
                <w:bCs w:val="0"/>
              </w:rPr>
            </w:pPr>
            <w:r w:rsidRPr="001C59C3">
              <w:rPr>
                <w:b/>
                <w:bCs w:val="0"/>
              </w:rPr>
              <w:t>March 2023 submission base case</w:t>
            </w:r>
          </w:p>
        </w:tc>
      </w:tr>
      <w:tr w:rsidR="00A91482" w:rsidRPr="001C59C3" w14:paraId="5245A8C3" w14:textId="77777777" w:rsidTr="00776D51">
        <w:tc>
          <w:tcPr>
            <w:tcW w:w="1529" w:type="pct"/>
            <w:vAlign w:val="center"/>
          </w:tcPr>
          <w:p w14:paraId="2642AF21" w14:textId="3FBEB42E" w:rsidR="00A91482" w:rsidRPr="001C59C3" w:rsidRDefault="00A91482" w:rsidP="00776D51">
            <w:pPr>
              <w:pStyle w:val="COMTabletext"/>
              <w:rPr>
                <w:rFonts w:ascii="Times" w:hAnsi="Times"/>
              </w:rPr>
            </w:pPr>
            <w:r w:rsidRPr="001C59C3">
              <w:t>Costs</w:t>
            </w:r>
            <w:r w:rsidR="00E53254">
              <w:t xml:space="preserve"> ($)</w:t>
            </w:r>
          </w:p>
        </w:tc>
        <w:tc>
          <w:tcPr>
            <w:tcW w:w="1359" w:type="pct"/>
            <w:vAlign w:val="center"/>
          </w:tcPr>
          <w:p w14:paraId="67455A08" w14:textId="7BBDB289" w:rsidR="00A91482" w:rsidRPr="00621588" w:rsidRDefault="008A42F6" w:rsidP="00776D51">
            <w:pPr>
              <w:pStyle w:val="COMTabletext"/>
              <w:jc w:val="center"/>
              <w:rPr>
                <w:highlight w:val="darkGray"/>
              </w:rPr>
            </w:pPr>
            <w:r>
              <w:t xml:space="preserve"> </w:t>
            </w:r>
            <w:r w:rsidRPr="008A42F6">
              <w:rPr>
                <w:color w:val="000000"/>
                <w:shd w:val="solid" w:color="000000" w:fill="000000"/>
                <w14:textFill>
                  <w14:solidFill>
                    <w14:srgbClr w14:val="000000">
                      <w14:alpha w14:val="100000"/>
                    </w14:srgbClr>
                  </w14:solidFill>
                </w14:textFill>
              </w:rPr>
              <w:t>|</w:t>
            </w:r>
            <w:r w:rsidR="00980140" w:rsidRPr="00621588">
              <w:t xml:space="preserve"> </w:t>
            </w:r>
          </w:p>
        </w:tc>
        <w:tc>
          <w:tcPr>
            <w:tcW w:w="1274" w:type="pct"/>
            <w:vAlign w:val="center"/>
          </w:tcPr>
          <w:p w14:paraId="6A9BC4F6" w14:textId="36B56370" w:rsidR="00A91482" w:rsidRPr="00621588" w:rsidRDefault="00A91482" w:rsidP="00776D51">
            <w:pPr>
              <w:pStyle w:val="COMTabletext"/>
              <w:jc w:val="center"/>
              <w:rPr>
                <w:highlight w:val="darkGray"/>
              </w:rPr>
            </w:pPr>
            <w:r w:rsidRPr="00A968D2">
              <w:t>$6,870</w:t>
            </w:r>
          </w:p>
        </w:tc>
        <w:tc>
          <w:tcPr>
            <w:tcW w:w="838" w:type="pct"/>
            <w:vAlign w:val="center"/>
          </w:tcPr>
          <w:p w14:paraId="74E00C52" w14:textId="31496362" w:rsidR="00A91482" w:rsidRPr="00621588" w:rsidRDefault="008A42F6" w:rsidP="00776D51">
            <w:pPr>
              <w:pStyle w:val="COMTabletext"/>
              <w:jc w:val="center"/>
              <w:rPr>
                <w:highlight w:val="darkGray"/>
              </w:rPr>
            </w:pPr>
            <w:r>
              <w:t xml:space="preserve"> </w:t>
            </w:r>
            <w:r w:rsidRPr="008A42F6">
              <w:rPr>
                <w:color w:val="000000"/>
                <w:shd w:val="solid" w:color="000000" w:fill="000000"/>
                <w14:textFill>
                  <w14:solidFill>
                    <w14:srgbClr w14:val="000000">
                      <w14:alpha w14:val="100000"/>
                    </w14:srgbClr>
                  </w14:solidFill>
                </w14:textFill>
              </w:rPr>
              <w:t>|</w:t>
            </w:r>
          </w:p>
        </w:tc>
      </w:tr>
      <w:tr w:rsidR="00A91482" w:rsidRPr="001C59C3" w14:paraId="7528D4B0" w14:textId="77777777" w:rsidTr="00776D51">
        <w:tc>
          <w:tcPr>
            <w:tcW w:w="1529" w:type="pct"/>
            <w:vAlign w:val="center"/>
          </w:tcPr>
          <w:p w14:paraId="55682E29" w14:textId="77777777" w:rsidR="00A91482" w:rsidRPr="001C59C3" w:rsidRDefault="00A91482" w:rsidP="00776D51">
            <w:pPr>
              <w:pStyle w:val="COMTabletext"/>
              <w:rPr>
                <w:rFonts w:ascii="Times" w:hAnsi="Times"/>
              </w:rPr>
            </w:pPr>
            <w:r w:rsidRPr="001C59C3">
              <w:t>QALYs</w:t>
            </w:r>
          </w:p>
        </w:tc>
        <w:tc>
          <w:tcPr>
            <w:tcW w:w="1359" w:type="pct"/>
            <w:vAlign w:val="center"/>
          </w:tcPr>
          <w:p w14:paraId="18BFB543" w14:textId="77777777" w:rsidR="00A91482" w:rsidRPr="001C59C3" w:rsidRDefault="00A91482" w:rsidP="00776D51">
            <w:pPr>
              <w:pStyle w:val="COMTabletext"/>
              <w:jc w:val="center"/>
            </w:pPr>
            <w:r w:rsidRPr="001C59C3">
              <w:t>2.0411</w:t>
            </w:r>
          </w:p>
        </w:tc>
        <w:tc>
          <w:tcPr>
            <w:tcW w:w="1274" w:type="pct"/>
            <w:vAlign w:val="center"/>
          </w:tcPr>
          <w:p w14:paraId="0D998111" w14:textId="77777777" w:rsidR="00A91482" w:rsidRPr="001C59C3" w:rsidRDefault="00A91482" w:rsidP="00776D51">
            <w:pPr>
              <w:pStyle w:val="COMTabletext"/>
              <w:jc w:val="center"/>
            </w:pPr>
            <w:r w:rsidRPr="001C59C3">
              <w:t>1.8871</w:t>
            </w:r>
          </w:p>
        </w:tc>
        <w:tc>
          <w:tcPr>
            <w:tcW w:w="838" w:type="pct"/>
            <w:vAlign w:val="center"/>
          </w:tcPr>
          <w:p w14:paraId="54F925B8" w14:textId="77777777" w:rsidR="00A91482" w:rsidRPr="001C59C3" w:rsidRDefault="00A91482" w:rsidP="00776D51">
            <w:pPr>
              <w:pStyle w:val="COMTabletext"/>
              <w:jc w:val="center"/>
            </w:pPr>
            <w:r w:rsidRPr="001C59C3">
              <w:t>0.1540</w:t>
            </w:r>
          </w:p>
        </w:tc>
      </w:tr>
      <w:tr w:rsidR="00A91482" w:rsidRPr="001C59C3" w14:paraId="6CA76F6D" w14:textId="77777777" w:rsidTr="00776D51">
        <w:tc>
          <w:tcPr>
            <w:tcW w:w="4162" w:type="pct"/>
            <w:gridSpan w:val="3"/>
            <w:vAlign w:val="center"/>
          </w:tcPr>
          <w:p w14:paraId="3A7463C4" w14:textId="77777777" w:rsidR="00A91482" w:rsidRPr="001C59C3" w:rsidRDefault="00A91482" w:rsidP="00776D51">
            <w:pPr>
              <w:pStyle w:val="COMTabletext"/>
              <w:rPr>
                <w:rFonts w:ascii="Times" w:hAnsi="Times"/>
              </w:rPr>
            </w:pPr>
            <w:r w:rsidRPr="001C59C3">
              <w:t>Incremental cost/QALY gained</w:t>
            </w:r>
          </w:p>
        </w:tc>
        <w:tc>
          <w:tcPr>
            <w:tcW w:w="838" w:type="pct"/>
            <w:vAlign w:val="center"/>
          </w:tcPr>
          <w:p w14:paraId="1E242B8D" w14:textId="40ECB44A" w:rsidR="00A91482" w:rsidRPr="00621588" w:rsidRDefault="008A42F6" w:rsidP="00776D51">
            <w:pPr>
              <w:pStyle w:val="COMTabletext"/>
              <w:jc w:val="center"/>
              <w:rPr>
                <w:rFonts w:ascii="Times" w:hAnsi="Times"/>
                <w:highlight w:val="darkGray"/>
              </w:rPr>
            </w:pPr>
            <w:r>
              <w:t xml:space="preserve"> </w:t>
            </w:r>
            <w:r w:rsidRPr="008A42F6">
              <w:rPr>
                <w:color w:val="000000"/>
                <w:shd w:val="solid" w:color="000000" w:fill="000000"/>
                <w14:textFill>
                  <w14:solidFill>
                    <w14:srgbClr w14:val="000000">
                      <w14:alpha w14:val="100000"/>
                    </w14:srgbClr>
                  </w14:solidFill>
                </w14:textFill>
              </w:rPr>
              <w:t>|</w:t>
            </w:r>
            <w:r w:rsidR="00D014A3">
              <w:rPr>
                <w:vertAlign w:val="superscript"/>
              </w:rPr>
              <w:t>1</w:t>
            </w:r>
          </w:p>
        </w:tc>
      </w:tr>
      <w:tr w:rsidR="00A91482" w:rsidRPr="001C59C3" w14:paraId="0998F7BA" w14:textId="77777777" w:rsidTr="00776D51">
        <w:tc>
          <w:tcPr>
            <w:tcW w:w="5000" w:type="pct"/>
            <w:gridSpan w:val="4"/>
            <w:vAlign w:val="center"/>
          </w:tcPr>
          <w:p w14:paraId="6E6A9311" w14:textId="77777777" w:rsidR="00A91482" w:rsidRPr="001C59C3" w:rsidRDefault="00A91482" w:rsidP="00776D51">
            <w:pPr>
              <w:pStyle w:val="COMTableheadingrow"/>
              <w:rPr>
                <w:lang w:val="en-AU"/>
              </w:rPr>
            </w:pPr>
            <w:r w:rsidRPr="001C59C3">
              <w:rPr>
                <w:lang w:val="en-AU"/>
              </w:rPr>
              <w:t>Increased number of vials of difelikefalin (from 1.00 to 1.06) to account for patients needing more than 1 vial/dose</w:t>
            </w:r>
          </w:p>
        </w:tc>
      </w:tr>
      <w:tr w:rsidR="00A91482" w:rsidRPr="001C59C3" w14:paraId="0D6A81C0" w14:textId="77777777" w:rsidTr="00776D51">
        <w:tc>
          <w:tcPr>
            <w:tcW w:w="1529" w:type="pct"/>
            <w:vAlign w:val="center"/>
          </w:tcPr>
          <w:p w14:paraId="4C645A7C" w14:textId="7DF30A29" w:rsidR="00A91482" w:rsidRPr="001C59C3" w:rsidRDefault="00A91482" w:rsidP="00776D51">
            <w:pPr>
              <w:pStyle w:val="COMTabletext"/>
              <w:rPr>
                <w:rFonts w:ascii="Times" w:hAnsi="Times"/>
              </w:rPr>
            </w:pPr>
            <w:r w:rsidRPr="001C59C3">
              <w:t>Costs</w:t>
            </w:r>
            <w:r w:rsidR="00E53254">
              <w:t xml:space="preserve"> ($)</w:t>
            </w:r>
          </w:p>
        </w:tc>
        <w:tc>
          <w:tcPr>
            <w:tcW w:w="1359" w:type="pct"/>
            <w:vAlign w:val="center"/>
          </w:tcPr>
          <w:p w14:paraId="40F01E90" w14:textId="37771919" w:rsidR="00A91482" w:rsidRPr="00621588" w:rsidRDefault="008A42F6" w:rsidP="00776D51">
            <w:pPr>
              <w:pStyle w:val="COMTabletext"/>
              <w:jc w:val="center"/>
              <w:rPr>
                <w:highlight w:val="darkGray"/>
              </w:rPr>
            </w:pPr>
            <w:r>
              <w:t xml:space="preserve"> </w:t>
            </w:r>
            <w:r w:rsidRPr="008A42F6">
              <w:rPr>
                <w:color w:val="000000"/>
                <w:shd w:val="solid" w:color="000000" w:fill="000000"/>
                <w14:textFill>
                  <w14:solidFill>
                    <w14:srgbClr w14:val="000000">
                      <w14:alpha w14:val="100000"/>
                    </w14:srgbClr>
                  </w14:solidFill>
                </w14:textFill>
              </w:rPr>
              <w:t>|</w:t>
            </w:r>
          </w:p>
        </w:tc>
        <w:tc>
          <w:tcPr>
            <w:tcW w:w="1274" w:type="pct"/>
            <w:vAlign w:val="center"/>
          </w:tcPr>
          <w:p w14:paraId="56D15A25" w14:textId="52B5BB67" w:rsidR="00A91482" w:rsidRPr="00621588" w:rsidRDefault="00A91482" w:rsidP="00776D51">
            <w:pPr>
              <w:pStyle w:val="COMTabletext"/>
              <w:jc w:val="center"/>
              <w:rPr>
                <w:highlight w:val="darkGray"/>
              </w:rPr>
            </w:pPr>
            <w:r w:rsidRPr="00A968D2">
              <w:t>$6,870</w:t>
            </w:r>
          </w:p>
        </w:tc>
        <w:tc>
          <w:tcPr>
            <w:tcW w:w="838" w:type="pct"/>
            <w:vAlign w:val="center"/>
          </w:tcPr>
          <w:p w14:paraId="387C237F" w14:textId="67767D11" w:rsidR="00A91482" w:rsidRPr="00621588" w:rsidRDefault="008A42F6" w:rsidP="00776D51">
            <w:pPr>
              <w:pStyle w:val="COMTabletext"/>
              <w:jc w:val="center"/>
              <w:rPr>
                <w:highlight w:val="darkGray"/>
              </w:rPr>
            </w:pPr>
            <w:r>
              <w:t xml:space="preserve"> </w:t>
            </w:r>
            <w:r w:rsidRPr="008A42F6">
              <w:rPr>
                <w:color w:val="000000"/>
                <w:shd w:val="solid" w:color="000000" w:fill="000000"/>
                <w14:textFill>
                  <w14:solidFill>
                    <w14:srgbClr w14:val="000000">
                      <w14:alpha w14:val="100000"/>
                    </w14:srgbClr>
                  </w14:solidFill>
                </w14:textFill>
              </w:rPr>
              <w:t>|</w:t>
            </w:r>
          </w:p>
        </w:tc>
      </w:tr>
      <w:tr w:rsidR="00A91482" w:rsidRPr="001C59C3" w14:paraId="597A2774" w14:textId="77777777" w:rsidTr="00776D51">
        <w:tc>
          <w:tcPr>
            <w:tcW w:w="1529" w:type="pct"/>
            <w:vAlign w:val="center"/>
          </w:tcPr>
          <w:p w14:paraId="4A006895" w14:textId="77777777" w:rsidR="00A91482" w:rsidRPr="001C59C3" w:rsidRDefault="00A91482" w:rsidP="00776D51">
            <w:pPr>
              <w:pStyle w:val="COMTabletext"/>
              <w:rPr>
                <w:rFonts w:ascii="Times" w:hAnsi="Times"/>
              </w:rPr>
            </w:pPr>
            <w:r w:rsidRPr="001C59C3">
              <w:t>QALYs</w:t>
            </w:r>
          </w:p>
        </w:tc>
        <w:tc>
          <w:tcPr>
            <w:tcW w:w="1359" w:type="pct"/>
            <w:vAlign w:val="center"/>
          </w:tcPr>
          <w:p w14:paraId="0CB90110" w14:textId="77777777" w:rsidR="00A91482" w:rsidRPr="001C59C3" w:rsidRDefault="00A91482" w:rsidP="00776D51">
            <w:pPr>
              <w:pStyle w:val="COMTabletext"/>
              <w:jc w:val="center"/>
            </w:pPr>
            <w:r w:rsidRPr="001C59C3">
              <w:t>2.0411</w:t>
            </w:r>
          </w:p>
        </w:tc>
        <w:tc>
          <w:tcPr>
            <w:tcW w:w="1274" w:type="pct"/>
            <w:vAlign w:val="center"/>
          </w:tcPr>
          <w:p w14:paraId="306A69A0" w14:textId="77777777" w:rsidR="00A91482" w:rsidRPr="001C59C3" w:rsidRDefault="00A91482" w:rsidP="00776D51">
            <w:pPr>
              <w:pStyle w:val="COMTabletext"/>
              <w:jc w:val="center"/>
            </w:pPr>
            <w:r w:rsidRPr="001C59C3">
              <w:t>1.8871</w:t>
            </w:r>
          </w:p>
        </w:tc>
        <w:tc>
          <w:tcPr>
            <w:tcW w:w="838" w:type="pct"/>
            <w:vAlign w:val="center"/>
          </w:tcPr>
          <w:p w14:paraId="7D62FC68" w14:textId="77777777" w:rsidR="00A91482" w:rsidRPr="001C59C3" w:rsidRDefault="00A91482" w:rsidP="00776D51">
            <w:pPr>
              <w:pStyle w:val="COMTabletext"/>
              <w:jc w:val="center"/>
            </w:pPr>
            <w:r w:rsidRPr="001C59C3">
              <w:t>0.1540</w:t>
            </w:r>
          </w:p>
        </w:tc>
      </w:tr>
      <w:tr w:rsidR="00A91482" w:rsidRPr="001C59C3" w14:paraId="4393A453" w14:textId="77777777" w:rsidTr="00776D51">
        <w:tc>
          <w:tcPr>
            <w:tcW w:w="4162" w:type="pct"/>
            <w:gridSpan w:val="3"/>
            <w:vAlign w:val="center"/>
          </w:tcPr>
          <w:p w14:paraId="3E4868C7" w14:textId="77777777" w:rsidR="00A91482" w:rsidRPr="001C59C3" w:rsidRDefault="00A91482" w:rsidP="00776D51">
            <w:pPr>
              <w:pStyle w:val="COMTabletext"/>
              <w:rPr>
                <w:rFonts w:ascii="Times" w:hAnsi="Times"/>
              </w:rPr>
            </w:pPr>
            <w:r w:rsidRPr="001C59C3">
              <w:t>Incremental cost/QALY gained</w:t>
            </w:r>
          </w:p>
        </w:tc>
        <w:tc>
          <w:tcPr>
            <w:tcW w:w="838" w:type="pct"/>
            <w:vAlign w:val="center"/>
          </w:tcPr>
          <w:p w14:paraId="7AE879C0" w14:textId="35C8EC8D" w:rsidR="00A91482" w:rsidRPr="001C59C3" w:rsidRDefault="008A42F6" w:rsidP="00776D51">
            <w:pPr>
              <w:pStyle w:val="COMTabletext"/>
              <w:jc w:val="center"/>
              <w:rPr>
                <w:rFonts w:ascii="Times" w:hAnsi="Times"/>
              </w:rPr>
            </w:pPr>
            <w:r>
              <w:t xml:space="preserve"> </w:t>
            </w:r>
            <w:r w:rsidRPr="008A42F6">
              <w:rPr>
                <w:color w:val="000000"/>
                <w:shd w:val="solid" w:color="000000" w:fill="000000"/>
                <w14:textFill>
                  <w14:solidFill>
                    <w14:srgbClr w14:val="000000">
                      <w14:alpha w14:val="100000"/>
                    </w14:srgbClr>
                  </w14:solidFill>
                </w14:textFill>
              </w:rPr>
              <w:t>|</w:t>
            </w:r>
            <w:r w:rsidR="00D014A3">
              <w:rPr>
                <w:vertAlign w:val="superscript"/>
              </w:rPr>
              <w:t>1</w:t>
            </w:r>
          </w:p>
        </w:tc>
      </w:tr>
      <w:tr w:rsidR="00A91482" w:rsidRPr="001C59C3" w14:paraId="1ED66F58" w14:textId="77777777" w:rsidTr="00776D51">
        <w:tc>
          <w:tcPr>
            <w:tcW w:w="5000" w:type="pct"/>
            <w:gridSpan w:val="4"/>
            <w:vAlign w:val="center"/>
          </w:tcPr>
          <w:p w14:paraId="1213DB72" w14:textId="77777777" w:rsidR="00A91482" w:rsidRPr="001C59C3" w:rsidRDefault="00A91482" w:rsidP="00776D51">
            <w:pPr>
              <w:pStyle w:val="COMTableheadingrow"/>
              <w:rPr>
                <w:lang w:val="en-AU"/>
              </w:rPr>
            </w:pPr>
            <w:r w:rsidRPr="001C59C3">
              <w:rPr>
                <w:lang w:val="en-AU"/>
              </w:rPr>
              <w:t>Included costs ($3.71 per 4-week cycle) and utility decrements (-0.00039 per 4-week cycle) for adverse events associated with difelikefalin treatment based on increased rates of cardiorespiratory failure in the key trials</w:t>
            </w:r>
          </w:p>
        </w:tc>
      </w:tr>
      <w:tr w:rsidR="00A91482" w:rsidRPr="001C59C3" w14:paraId="785690CC" w14:textId="77777777" w:rsidTr="00776D51">
        <w:tc>
          <w:tcPr>
            <w:tcW w:w="1529" w:type="pct"/>
            <w:vAlign w:val="center"/>
          </w:tcPr>
          <w:p w14:paraId="237A4F06" w14:textId="2C7A6F33" w:rsidR="00A91482" w:rsidRPr="001C59C3" w:rsidRDefault="00A91482" w:rsidP="00776D51">
            <w:pPr>
              <w:pStyle w:val="COMTabletext"/>
              <w:rPr>
                <w:rFonts w:ascii="Times" w:hAnsi="Times"/>
              </w:rPr>
            </w:pPr>
            <w:r w:rsidRPr="001C59C3">
              <w:t>Costs</w:t>
            </w:r>
            <w:r w:rsidR="00E53254">
              <w:t xml:space="preserve"> ($)</w:t>
            </w:r>
          </w:p>
        </w:tc>
        <w:tc>
          <w:tcPr>
            <w:tcW w:w="1359" w:type="pct"/>
            <w:vAlign w:val="center"/>
          </w:tcPr>
          <w:p w14:paraId="26365AAB" w14:textId="6F0A9A23" w:rsidR="00A91482" w:rsidRPr="00621588" w:rsidRDefault="008A42F6" w:rsidP="00776D51">
            <w:pPr>
              <w:pStyle w:val="COMTabletext"/>
              <w:jc w:val="center"/>
              <w:rPr>
                <w:highlight w:val="darkGray"/>
              </w:rPr>
            </w:pPr>
            <w:r>
              <w:t xml:space="preserve"> </w:t>
            </w:r>
            <w:r w:rsidRPr="008A42F6">
              <w:rPr>
                <w:color w:val="000000"/>
                <w:shd w:val="solid" w:color="000000" w:fill="000000"/>
                <w14:textFill>
                  <w14:solidFill>
                    <w14:srgbClr w14:val="000000">
                      <w14:alpha w14:val="100000"/>
                    </w14:srgbClr>
                  </w14:solidFill>
                </w14:textFill>
              </w:rPr>
              <w:t>|</w:t>
            </w:r>
          </w:p>
        </w:tc>
        <w:tc>
          <w:tcPr>
            <w:tcW w:w="1274" w:type="pct"/>
            <w:vAlign w:val="center"/>
          </w:tcPr>
          <w:p w14:paraId="0E412286" w14:textId="7C3E78E2" w:rsidR="00A91482" w:rsidRPr="00621588" w:rsidRDefault="00A91482" w:rsidP="00776D51">
            <w:pPr>
              <w:pStyle w:val="COMTabletext"/>
              <w:jc w:val="center"/>
              <w:rPr>
                <w:highlight w:val="darkGray"/>
              </w:rPr>
            </w:pPr>
            <w:r w:rsidRPr="00A968D2">
              <w:t>$6,870</w:t>
            </w:r>
          </w:p>
        </w:tc>
        <w:tc>
          <w:tcPr>
            <w:tcW w:w="838" w:type="pct"/>
            <w:vAlign w:val="center"/>
          </w:tcPr>
          <w:p w14:paraId="73D61E55" w14:textId="47A8E68B" w:rsidR="00A91482" w:rsidRPr="00621588" w:rsidRDefault="008A42F6" w:rsidP="00776D51">
            <w:pPr>
              <w:pStyle w:val="COMTabletext"/>
              <w:jc w:val="center"/>
              <w:rPr>
                <w:highlight w:val="darkGray"/>
              </w:rPr>
            </w:pPr>
            <w:r>
              <w:t xml:space="preserve"> </w:t>
            </w:r>
            <w:r w:rsidRPr="008A42F6">
              <w:rPr>
                <w:color w:val="000000"/>
                <w:shd w:val="solid" w:color="000000" w:fill="000000"/>
                <w14:textFill>
                  <w14:solidFill>
                    <w14:srgbClr w14:val="000000">
                      <w14:alpha w14:val="100000"/>
                    </w14:srgbClr>
                  </w14:solidFill>
                </w14:textFill>
              </w:rPr>
              <w:t>|</w:t>
            </w:r>
          </w:p>
        </w:tc>
      </w:tr>
      <w:tr w:rsidR="00A91482" w:rsidRPr="001C59C3" w14:paraId="1B0FBDD9" w14:textId="77777777" w:rsidTr="00776D51">
        <w:tc>
          <w:tcPr>
            <w:tcW w:w="1529" w:type="pct"/>
            <w:vAlign w:val="center"/>
          </w:tcPr>
          <w:p w14:paraId="2BFDCDEF" w14:textId="77777777" w:rsidR="00A91482" w:rsidRPr="001C59C3" w:rsidRDefault="00A91482" w:rsidP="00776D51">
            <w:pPr>
              <w:pStyle w:val="COMTabletext"/>
              <w:rPr>
                <w:rFonts w:ascii="Times" w:hAnsi="Times"/>
              </w:rPr>
            </w:pPr>
            <w:r w:rsidRPr="001C59C3">
              <w:t>QALYs</w:t>
            </w:r>
          </w:p>
        </w:tc>
        <w:tc>
          <w:tcPr>
            <w:tcW w:w="1359" w:type="pct"/>
            <w:vAlign w:val="center"/>
          </w:tcPr>
          <w:p w14:paraId="42D20BFC" w14:textId="77777777" w:rsidR="00A91482" w:rsidRPr="001C59C3" w:rsidRDefault="00A91482" w:rsidP="00776D51">
            <w:pPr>
              <w:pStyle w:val="COMTabletext"/>
              <w:jc w:val="center"/>
            </w:pPr>
            <w:r w:rsidRPr="001C59C3">
              <w:t>2.0397</w:t>
            </w:r>
          </w:p>
        </w:tc>
        <w:tc>
          <w:tcPr>
            <w:tcW w:w="1274" w:type="pct"/>
            <w:vAlign w:val="center"/>
          </w:tcPr>
          <w:p w14:paraId="0F22AB4D" w14:textId="77777777" w:rsidR="00A91482" w:rsidRPr="001C59C3" w:rsidRDefault="00A91482" w:rsidP="00776D51">
            <w:pPr>
              <w:pStyle w:val="COMTabletext"/>
              <w:jc w:val="center"/>
            </w:pPr>
            <w:r w:rsidRPr="001C59C3">
              <w:t>1.8871</w:t>
            </w:r>
          </w:p>
        </w:tc>
        <w:tc>
          <w:tcPr>
            <w:tcW w:w="838" w:type="pct"/>
            <w:vAlign w:val="center"/>
          </w:tcPr>
          <w:p w14:paraId="401259E7" w14:textId="77777777" w:rsidR="00A91482" w:rsidRPr="001C59C3" w:rsidRDefault="00A91482" w:rsidP="00776D51">
            <w:pPr>
              <w:pStyle w:val="COMTabletext"/>
              <w:jc w:val="center"/>
            </w:pPr>
            <w:r w:rsidRPr="001C59C3">
              <w:t>0.1526</w:t>
            </w:r>
          </w:p>
        </w:tc>
      </w:tr>
      <w:tr w:rsidR="00A91482" w:rsidRPr="001C59C3" w14:paraId="0107730B" w14:textId="77777777" w:rsidTr="00776D51">
        <w:tc>
          <w:tcPr>
            <w:tcW w:w="4162" w:type="pct"/>
            <w:gridSpan w:val="3"/>
            <w:vAlign w:val="center"/>
          </w:tcPr>
          <w:p w14:paraId="45F2F9E2" w14:textId="77777777" w:rsidR="00A91482" w:rsidRPr="001C59C3" w:rsidRDefault="00A91482" w:rsidP="00776D51">
            <w:pPr>
              <w:pStyle w:val="COMTabletext"/>
              <w:rPr>
                <w:rFonts w:ascii="Times" w:hAnsi="Times"/>
              </w:rPr>
            </w:pPr>
            <w:r w:rsidRPr="001C59C3">
              <w:t>Incremental cost/QALY gained</w:t>
            </w:r>
          </w:p>
        </w:tc>
        <w:tc>
          <w:tcPr>
            <w:tcW w:w="838" w:type="pct"/>
            <w:vAlign w:val="center"/>
          </w:tcPr>
          <w:p w14:paraId="15693AF5" w14:textId="21FD62EF" w:rsidR="00A91482" w:rsidRPr="00621588" w:rsidRDefault="00D014A3" w:rsidP="00776D51">
            <w:pPr>
              <w:pStyle w:val="COMTabletext"/>
              <w:jc w:val="center"/>
              <w:rPr>
                <w:rFonts w:ascii="Times" w:hAnsi="Times"/>
                <w:highlight w:val="darkGray"/>
              </w:rPr>
            </w:pPr>
            <w:r w:rsidRPr="008A42F6">
              <w:rPr>
                <w:color w:val="000000"/>
                <w:shd w:val="solid" w:color="000000" w:fill="000000"/>
                <w14:textFill>
                  <w14:solidFill>
                    <w14:srgbClr w14:val="000000">
                      <w14:alpha w14:val="100000"/>
                    </w14:srgbClr>
                  </w14:solidFill>
                </w14:textFill>
              </w:rPr>
              <w:t>|</w:t>
            </w:r>
            <w:r>
              <w:rPr>
                <w:vertAlign w:val="superscript"/>
              </w:rPr>
              <w:t>1</w:t>
            </w:r>
          </w:p>
        </w:tc>
      </w:tr>
      <w:tr w:rsidR="00A91482" w:rsidRPr="001C59C3" w14:paraId="2BB8FA3A" w14:textId="77777777" w:rsidTr="00776D51">
        <w:tc>
          <w:tcPr>
            <w:tcW w:w="5000" w:type="pct"/>
            <w:gridSpan w:val="4"/>
            <w:vAlign w:val="center"/>
          </w:tcPr>
          <w:p w14:paraId="15D51CA7" w14:textId="77777777" w:rsidR="00A91482" w:rsidRPr="001C59C3" w:rsidRDefault="00A91482" w:rsidP="00776D51">
            <w:pPr>
              <w:pStyle w:val="COMTableheadingrow"/>
              <w:rPr>
                <w:lang w:val="en-AU"/>
              </w:rPr>
            </w:pPr>
            <w:r w:rsidRPr="001C59C3">
              <w:rPr>
                <w:lang w:val="en-AU"/>
              </w:rPr>
              <w:t>Removed mortality benefit associated with difelikefalin treatment (mortality HR for severe pruritus health state changed from 1.24 to 1.00)</w:t>
            </w:r>
          </w:p>
        </w:tc>
      </w:tr>
      <w:tr w:rsidR="00A91482" w:rsidRPr="001C59C3" w14:paraId="5C9AFE29" w14:textId="77777777" w:rsidTr="00776D51">
        <w:tc>
          <w:tcPr>
            <w:tcW w:w="1529" w:type="pct"/>
            <w:vAlign w:val="center"/>
          </w:tcPr>
          <w:p w14:paraId="726453F4" w14:textId="784D9668" w:rsidR="00A91482" w:rsidRPr="001C59C3" w:rsidRDefault="00A91482" w:rsidP="00776D51">
            <w:pPr>
              <w:pStyle w:val="COMTabletext"/>
              <w:rPr>
                <w:rFonts w:ascii="Times" w:hAnsi="Times"/>
              </w:rPr>
            </w:pPr>
            <w:r w:rsidRPr="001C59C3">
              <w:t>Costs</w:t>
            </w:r>
            <w:r w:rsidR="00E53254">
              <w:t xml:space="preserve"> ($)</w:t>
            </w:r>
          </w:p>
        </w:tc>
        <w:tc>
          <w:tcPr>
            <w:tcW w:w="1359" w:type="pct"/>
            <w:vAlign w:val="center"/>
          </w:tcPr>
          <w:p w14:paraId="0DF5A7C6" w14:textId="04C82A8D" w:rsidR="00A91482" w:rsidRPr="00621588" w:rsidRDefault="008A42F6" w:rsidP="00776D51">
            <w:pPr>
              <w:pStyle w:val="COMTabletext"/>
              <w:jc w:val="center"/>
              <w:rPr>
                <w:highlight w:val="darkGray"/>
              </w:rPr>
            </w:pPr>
            <w:r>
              <w:t xml:space="preserve"> </w:t>
            </w:r>
            <w:r w:rsidRPr="008A42F6">
              <w:rPr>
                <w:color w:val="000000"/>
                <w:shd w:val="solid" w:color="000000" w:fill="000000"/>
                <w14:textFill>
                  <w14:solidFill>
                    <w14:srgbClr w14:val="000000">
                      <w14:alpha w14:val="100000"/>
                    </w14:srgbClr>
                  </w14:solidFill>
                </w14:textFill>
              </w:rPr>
              <w:t>|</w:t>
            </w:r>
          </w:p>
        </w:tc>
        <w:tc>
          <w:tcPr>
            <w:tcW w:w="1274" w:type="pct"/>
            <w:vAlign w:val="center"/>
          </w:tcPr>
          <w:p w14:paraId="243216FF" w14:textId="1119C529" w:rsidR="00A91482" w:rsidRPr="00621588" w:rsidRDefault="00A91482" w:rsidP="00776D51">
            <w:pPr>
              <w:pStyle w:val="COMTabletext"/>
              <w:jc w:val="center"/>
              <w:rPr>
                <w:highlight w:val="darkGray"/>
              </w:rPr>
            </w:pPr>
            <w:r w:rsidRPr="00A968D2">
              <w:t>$6,946</w:t>
            </w:r>
          </w:p>
        </w:tc>
        <w:tc>
          <w:tcPr>
            <w:tcW w:w="838" w:type="pct"/>
            <w:vAlign w:val="center"/>
          </w:tcPr>
          <w:p w14:paraId="30A8F3BA" w14:textId="35A13585" w:rsidR="00A91482" w:rsidRPr="00621588" w:rsidRDefault="008A42F6" w:rsidP="00776D51">
            <w:pPr>
              <w:pStyle w:val="COMTabletext"/>
              <w:jc w:val="center"/>
              <w:rPr>
                <w:highlight w:val="darkGray"/>
              </w:rPr>
            </w:pPr>
            <w:r>
              <w:t xml:space="preserve"> </w:t>
            </w:r>
            <w:r w:rsidRPr="008A42F6">
              <w:rPr>
                <w:color w:val="000000"/>
                <w:shd w:val="solid" w:color="000000" w:fill="000000"/>
                <w14:textFill>
                  <w14:solidFill>
                    <w14:srgbClr w14:val="000000">
                      <w14:alpha w14:val="100000"/>
                    </w14:srgbClr>
                  </w14:solidFill>
                </w14:textFill>
              </w:rPr>
              <w:t>|</w:t>
            </w:r>
          </w:p>
        </w:tc>
      </w:tr>
      <w:tr w:rsidR="00A91482" w:rsidRPr="001C59C3" w14:paraId="618A9B04" w14:textId="77777777" w:rsidTr="00776D51">
        <w:tc>
          <w:tcPr>
            <w:tcW w:w="1529" w:type="pct"/>
            <w:vAlign w:val="center"/>
          </w:tcPr>
          <w:p w14:paraId="411551B2" w14:textId="77777777" w:rsidR="00A91482" w:rsidRPr="001C59C3" w:rsidRDefault="00A91482" w:rsidP="00776D51">
            <w:pPr>
              <w:pStyle w:val="COMTabletext"/>
              <w:rPr>
                <w:rFonts w:ascii="Times" w:hAnsi="Times"/>
              </w:rPr>
            </w:pPr>
            <w:r w:rsidRPr="001C59C3">
              <w:t>QALYs</w:t>
            </w:r>
          </w:p>
        </w:tc>
        <w:tc>
          <w:tcPr>
            <w:tcW w:w="1359" w:type="pct"/>
            <w:vAlign w:val="center"/>
          </w:tcPr>
          <w:p w14:paraId="69EBFB98" w14:textId="77777777" w:rsidR="00A91482" w:rsidRPr="001C59C3" w:rsidRDefault="00A91482" w:rsidP="00776D51">
            <w:pPr>
              <w:pStyle w:val="COMTabletext"/>
              <w:jc w:val="center"/>
            </w:pPr>
            <w:r w:rsidRPr="001C59C3">
              <w:t>2.0471</w:t>
            </w:r>
          </w:p>
        </w:tc>
        <w:tc>
          <w:tcPr>
            <w:tcW w:w="1274" w:type="pct"/>
            <w:vAlign w:val="center"/>
          </w:tcPr>
          <w:p w14:paraId="1D1FDF92" w14:textId="77777777" w:rsidR="00A91482" w:rsidRPr="001C59C3" w:rsidRDefault="00A91482" w:rsidP="00776D51">
            <w:pPr>
              <w:pStyle w:val="COMTabletext"/>
              <w:jc w:val="center"/>
            </w:pPr>
            <w:r w:rsidRPr="001C59C3">
              <w:t>1.9034</w:t>
            </w:r>
          </w:p>
        </w:tc>
        <w:tc>
          <w:tcPr>
            <w:tcW w:w="838" w:type="pct"/>
            <w:vAlign w:val="center"/>
          </w:tcPr>
          <w:p w14:paraId="6AD0A659" w14:textId="77777777" w:rsidR="00A91482" w:rsidRPr="001C59C3" w:rsidRDefault="00A91482" w:rsidP="00776D51">
            <w:pPr>
              <w:pStyle w:val="COMTabletext"/>
              <w:jc w:val="center"/>
            </w:pPr>
            <w:r w:rsidRPr="001C59C3">
              <w:t>0.1437</w:t>
            </w:r>
          </w:p>
        </w:tc>
      </w:tr>
      <w:tr w:rsidR="00A91482" w:rsidRPr="001C59C3" w14:paraId="747CB086" w14:textId="77777777" w:rsidTr="00776D51">
        <w:tc>
          <w:tcPr>
            <w:tcW w:w="4162" w:type="pct"/>
            <w:gridSpan w:val="3"/>
            <w:vAlign w:val="center"/>
          </w:tcPr>
          <w:p w14:paraId="1D69DDDE" w14:textId="77777777" w:rsidR="00A91482" w:rsidRPr="001C59C3" w:rsidRDefault="00A91482" w:rsidP="00776D51">
            <w:pPr>
              <w:pStyle w:val="COMTabletext"/>
              <w:rPr>
                <w:rFonts w:ascii="Times" w:hAnsi="Times"/>
              </w:rPr>
            </w:pPr>
            <w:r w:rsidRPr="001C59C3">
              <w:t>Incremental cost/QALY gained</w:t>
            </w:r>
          </w:p>
        </w:tc>
        <w:tc>
          <w:tcPr>
            <w:tcW w:w="838" w:type="pct"/>
            <w:vAlign w:val="center"/>
          </w:tcPr>
          <w:p w14:paraId="01715955" w14:textId="1000B19D" w:rsidR="00A91482" w:rsidRPr="001C59C3" w:rsidRDefault="00D014A3" w:rsidP="00776D51">
            <w:pPr>
              <w:pStyle w:val="COMTabletext"/>
              <w:jc w:val="center"/>
              <w:rPr>
                <w:rFonts w:ascii="Times" w:hAnsi="Times"/>
              </w:rPr>
            </w:pPr>
            <w:r w:rsidRPr="008A42F6">
              <w:rPr>
                <w:color w:val="000000"/>
                <w:shd w:val="solid" w:color="000000" w:fill="000000"/>
                <w14:textFill>
                  <w14:solidFill>
                    <w14:srgbClr w14:val="000000">
                      <w14:alpha w14:val="100000"/>
                    </w14:srgbClr>
                  </w14:solidFill>
                </w14:textFill>
              </w:rPr>
              <w:t>|</w:t>
            </w:r>
            <w:r>
              <w:rPr>
                <w:vertAlign w:val="superscript"/>
              </w:rPr>
              <w:t>1</w:t>
            </w:r>
          </w:p>
        </w:tc>
      </w:tr>
      <w:tr w:rsidR="00A91482" w:rsidRPr="001C59C3" w14:paraId="2EEDBE42" w14:textId="77777777" w:rsidTr="00776D51">
        <w:tc>
          <w:tcPr>
            <w:tcW w:w="5000" w:type="pct"/>
            <w:gridSpan w:val="4"/>
            <w:vAlign w:val="center"/>
          </w:tcPr>
          <w:p w14:paraId="6E8CE9AF" w14:textId="77777777" w:rsidR="00A91482" w:rsidRPr="001C59C3" w:rsidRDefault="00A91482" w:rsidP="00776D51">
            <w:pPr>
              <w:pStyle w:val="COMTableheadingrow"/>
              <w:rPr>
                <w:lang w:val="en-AU"/>
              </w:rPr>
            </w:pPr>
            <w:r w:rsidRPr="001C59C3">
              <w:rPr>
                <w:lang w:val="en-AU"/>
              </w:rPr>
              <w:t xml:space="preserve">Revised </w:t>
            </w:r>
            <w:r w:rsidRPr="00621588">
              <w:rPr>
                <w:lang w:val="en-AU"/>
              </w:rPr>
              <w:t>utilities for pruritus severity health states. Utility decrements for pruritus severity decreased by approximately 20-27% from the March 2023 base case (mild -0.0676, moderate -0.1544, severe -0.2606) to the current resubmission’s base case (mild -0.0528, moderate -0.1125, severe -0.1908)</w:t>
            </w:r>
          </w:p>
        </w:tc>
      </w:tr>
      <w:tr w:rsidR="00A91482" w:rsidRPr="001C59C3" w14:paraId="3AB5A115" w14:textId="77777777" w:rsidTr="00776D51">
        <w:tc>
          <w:tcPr>
            <w:tcW w:w="1529" w:type="pct"/>
            <w:vAlign w:val="center"/>
          </w:tcPr>
          <w:p w14:paraId="71A8C22A" w14:textId="728A438D" w:rsidR="00A91482" w:rsidRPr="001C59C3" w:rsidRDefault="00A91482" w:rsidP="00776D51">
            <w:pPr>
              <w:pStyle w:val="COMTabletext"/>
              <w:rPr>
                <w:rFonts w:ascii="Times" w:hAnsi="Times"/>
              </w:rPr>
            </w:pPr>
            <w:r w:rsidRPr="001C59C3">
              <w:t>Costs</w:t>
            </w:r>
            <w:r w:rsidR="00E53254">
              <w:t xml:space="preserve"> ($)</w:t>
            </w:r>
          </w:p>
        </w:tc>
        <w:tc>
          <w:tcPr>
            <w:tcW w:w="1359" w:type="pct"/>
            <w:vAlign w:val="center"/>
          </w:tcPr>
          <w:p w14:paraId="722DBD71" w14:textId="0E152430" w:rsidR="00A91482" w:rsidRPr="00621588" w:rsidRDefault="008A42F6" w:rsidP="00776D51">
            <w:pPr>
              <w:pStyle w:val="COMTabletext"/>
              <w:jc w:val="center"/>
              <w:rPr>
                <w:highlight w:val="darkGray"/>
              </w:rPr>
            </w:pPr>
            <w:r>
              <w:t xml:space="preserve"> </w:t>
            </w:r>
            <w:r w:rsidRPr="008A42F6">
              <w:rPr>
                <w:color w:val="000000"/>
                <w:shd w:val="solid" w:color="000000" w:fill="000000"/>
                <w14:textFill>
                  <w14:solidFill>
                    <w14:srgbClr w14:val="000000">
                      <w14:alpha w14:val="100000"/>
                    </w14:srgbClr>
                  </w14:solidFill>
                </w14:textFill>
              </w:rPr>
              <w:t>|</w:t>
            </w:r>
          </w:p>
        </w:tc>
        <w:tc>
          <w:tcPr>
            <w:tcW w:w="1274" w:type="pct"/>
            <w:vAlign w:val="center"/>
          </w:tcPr>
          <w:p w14:paraId="5FC97F60" w14:textId="2D67C645" w:rsidR="00A91482" w:rsidRPr="00621588" w:rsidRDefault="00A91482" w:rsidP="00776D51">
            <w:pPr>
              <w:pStyle w:val="COMTabletext"/>
              <w:jc w:val="center"/>
              <w:rPr>
                <w:highlight w:val="darkGray"/>
              </w:rPr>
            </w:pPr>
            <w:r w:rsidRPr="00A968D2">
              <w:t>$6,946</w:t>
            </w:r>
          </w:p>
        </w:tc>
        <w:tc>
          <w:tcPr>
            <w:tcW w:w="838" w:type="pct"/>
            <w:vAlign w:val="center"/>
          </w:tcPr>
          <w:p w14:paraId="5028724C" w14:textId="048EECB0" w:rsidR="00A91482" w:rsidRPr="00621588" w:rsidRDefault="008A42F6" w:rsidP="00776D51">
            <w:pPr>
              <w:pStyle w:val="COMTabletext"/>
              <w:jc w:val="center"/>
              <w:rPr>
                <w:highlight w:val="darkGray"/>
              </w:rPr>
            </w:pPr>
            <w:r>
              <w:t xml:space="preserve"> </w:t>
            </w:r>
            <w:r w:rsidRPr="008A42F6">
              <w:rPr>
                <w:color w:val="000000"/>
                <w:shd w:val="solid" w:color="000000" w:fill="000000"/>
                <w14:textFill>
                  <w14:solidFill>
                    <w14:srgbClr w14:val="000000">
                      <w14:alpha w14:val="100000"/>
                    </w14:srgbClr>
                  </w14:solidFill>
                </w14:textFill>
              </w:rPr>
              <w:t>|</w:t>
            </w:r>
          </w:p>
        </w:tc>
      </w:tr>
      <w:tr w:rsidR="00A91482" w:rsidRPr="001C59C3" w14:paraId="17B6376D" w14:textId="77777777" w:rsidTr="00776D51">
        <w:tc>
          <w:tcPr>
            <w:tcW w:w="1529" w:type="pct"/>
            <w:vAlign w:val="center"/>
          </w:tcPr>
          <w:p w14:paraId="64F16371" w14:textId="77777777" w:rsidR="00A91482" w:rsidRPr="001C59C3" w:rsidRDefault="00A91482" w:rsidP="00776D51">
            <w:pPr>
              <w:pStyle w:val="COMTabletext"/>
              <w:rPr>
                <w:rFonts w:ascii="Times" w:hAnsi="Times"/>
              </w:rPr>
            </w:pPr>
            <w:r w:rsidRPr="001C59C3">
              <w:t>QALYs</w:t>
            </w:r>
          </w:p>
        </w:tc>
        <w:tc>
          <w:tcPr>
            <w:tcW w:w="1359" w:type="pct"/>
            <w:vAlign w:val="center"/>
          </w:tcPr>
          <w:p w14:paraId="1B80C477" w14:textId="77777777" w:rsidR="00A91482" w:rsidRPr="001C59C3" w:rsidRDefault="00A91482" w:rsidP="00776D51">
            <w:pPr>
              <w:pStyle w:val="COMTabletext"/>
              <w:jc w:val="center"/>
            </w:pPr>
            <w:r w:rsidRPr="001C59C3">
              <w:t>1.9267</w:t>
            </w:r>
          </w:p>
        </w:tc>
        <w:tc>
          <w:tcPr>
            <w:tcW w:w="1274" w:type="pct"/>
            <w:vAlign w:val="center"/>
          </w:tcPr>
          <w:p w14:paraId="35FDB79D" w14:textId="77777777" w:rsidR="00A91482" w:rsidRPr="001C59C3" w:rsidRDefault="00A91482" w:rsidP="00776D51">
            <w:pPr>
              <w:pStyle w:val="COMTabletext"/>
              <w:jc w:val="center"/>
            </w:pPr>
            <w:r w:rsidRPr="001C59C3">
              <w:t>1.8227</w:t>
            </w:r>
          </w:p>
        </w:tc>
        <w:tc>
          <w:tcPr>
            <w:tcW w:w="838" w:type="pct"/>
            <w:vAlign w:val="center"/>
          </w:tcPr>
          <w:p w14:paraId="6179C638" w14:textId="77777777" w:rsidR="00A91482" w:rsidRPr="001C59C3" w:rsidRDefault="00A91482" w:rsidP="00776D51">
            <w:pPr>
              <w:pStyle w:val="COMTabletext"/>
              <w:jc w:val="center"/>
            </w:pPr>
            <w:r w:rsidRPr="001C59C3">
              <w:t>0.1039</w:t>
            </w:r>
          </w:p>
        </w:tc>
      </w:tr>
      <w:tr w:rsidR="00A91482" w:rsidRPr="001C59C3" w14:paraId="2CB4CEEF" w14:textId="77777777" w:rsidTr="00776D51">
        <w:tc>
          <w:tcPr>
            <w:tcW w:w="4162" w:type="pct"/>
            <w:gridSpan w:val="3"/>
            <w:vAlign w:val="center"/>
          </w:tcPr>
          <w:p w14:paraId="44790559" w14:textId="77777777" w:rsidR="00A91482" w:rsidRPr="001C59C3" w:rsidRDefault="00A91482" w:rsidP="00776D51">
            <w:pPr>
              <w:pStyle w:val="COMTabletext"/>
              <w:rPr>
                <w:rFonts w:ascii="Times" w:hAnsi="Times"/>
                <w:bCs w:val="0"/>
              </w:rPr>
            </w:pPr>
            <w:r w:rsidRPr="001C59C3">
              <w:rPr>
                <w:bCs w:val="0"/>
              </w:rPr>
              <w:t xml:space="preserve">Incremental cost/QALY gained </w:t>
            </w:r>
          </w:p>
        </w:tc>
        <w:tc>
          <w:tcPr>
            <w:tcW w:w="838" w:type="pct"/>
            <w:vAlign w:val="center"/>
          </w:tcPr>
          <w:p w14:paraId="71CEFC5F" w14:textId="7295A1D0" w:rsidR="00A91482" w:rsidRPr="001C59C3" w:rsidRDefault="008A42F6" w:rsidP="00776D51">
            <w:pPr>
              <w:pStyle w:val="COMTabletext"/>
              <w:jc w:val="center"/>
              <w:rPr>
                <w:rFonts w:ascii="Times" w:hAnsi="Times"/>
                <w:bCs w:val="0"/>
              </w:rPr>
            </w:pPr>
            <w:r>
              <w:t xml:space="preserve"> </w:t>
            </w:r>
            <w:r w:rsidRPr="008A42F6">
              <w:rPr>
                <w:color w:val="000000"/>
                <w:shd w:val="solid" w:color="000000" w:fill="000000"/>
                <w14:textFill>
                  <w14:solidFill>
                    <w14:srgbClr w14:val="000000">
                      <w14:alpha w14:val="100000"/>
                    </w14:srgbClr>
                  </w14:solidFill>
                </w14:textFill>
              </w:rPr>
              <w:t>|</w:t>
            </w:r>
            <w:r w:rsidR="00D014A3">
              <w:rPr>
                <w:vertAlign w:val="superscript"/>
              </w:rPr>
              <w:t>2</w:t>
            </w:r>
          </w:p>
        </w:tc>
      </w:tr>
      <w:tr w:rsidR="00A91482" w:rsidRPr="001C59C3" w14:paraId="7C585438" w14:textId="77777777" w:rsidTr="00776D51">
        <w:tc>
          <w:tcPr>
            <w:tcW w:w="5000" w:type="pct"/>
            <w:gridSpan w:val="4"/>
            <w:vAlign w:val="center"/>
          </w:tcPr>
          <w:p w14:paraId="2F737B92" w14:textId="77777777" w:rsidR="00A91482" w:rsidRPr="001C59C3" w:rsidRDefault="00A91482" w:rsidP="00776D51">
            <w:pPr>
              <w:pStyle w:val="COMTableheadingrow"/>
              <w:rPr>
                <w:lang w:val="en-AU"/>
              </w:rPr>
            </w:pPr>
            <w:r w:rsidRPr="001C59C3">
              <w:rPr>
                <w:lang w:val="en-AU"/>
              </w:rPr>
              <w:t>Revised transition probabilities for the extrapolated period. No health state transitions were allowed (except for background mortality) after Week 12 for BSC and after Week 64 for difelikefalin treated patients.</w:t>
            </w:r>
          </w:p>
        </w:tc>
      </w:tr>
      <w:tr w:rsidR="00A91482" w:rsidRPr="001C59C3" w14:paraId="48BFFE9F" w14:textId="77777777" w:rsidTr="00776D51">
        <w:tc>
          <w:tcPr>
            <w:tcW w:w="1529" w:type="pct"/>
            <w:vAlign w:val="center"/>
          </w:tcPr>
          <w:p w14:paraId="63A3F3C9" w14:textId="668ED9CD" w:rsidR="00A91482" w:rsidRPr="001C59C3" w:rsidRDefault="00A91482" w:rsidP="00776D51">
            <w:pPr>
              <w:pStyle w:val="COMTabletext"/>
              <w:rPr>
                <w:rFonts w:ascii="Times" w:hAnsi="Times"/>
              </w:rPr>
            </w:pPr>
            <w:r w:rsidRPr="001C59C3">
              <w:t>Costs</w:t>
            </w:r>
            <w:r w:rsidR="00E53254">
              <w:t xml:space="preserve"> ($)</w:t>
            </w:r>
          </w:p>
        </w:tc>
        <w:tc>
          <w:tcPr>
            <w:tcW w:w="1359" w:type="pct"/>
            <w:vAlign w:val="center"/>
          </w:tcPr>
          <w:p w14:paraId="23CC4136" w14:textId="5C1A0B6B" w:rsidR="00A91482" w:rsidRPr="00621588" w:rsidRDefault="008A42F6" w:rsidP="00776D51">
            <w:pPr>
              <w:pStyle w:val="COMTabletext"/>
              <w:jc w:val="center"/>
              <w:rPr>
                <w:highlight w:val="darkGray"/>
              </w:rPr>
            </w:pPr>
            <w:r>
              <w:t xml:space="preserve"> </w:t>
            </w:r>
            <w:r w:rsidRPr="008A42F6">
              <w:rPr>
                <w:color w:val="000000"/>
                <w:shd w:val="solid" w:color="000000" w:fill="000000"/>
                <w14:textFill>
                  <w14:solidFill>
                    <w14:srgbClr w14:val="000000">
                      <w14:alpha w14:val="100000"/>
                    </w14:srgbClr>
                  </w14:solidFill>
                </w14:textFill>
              </w:rPr>
              <w:t>|</w:t>
            </w:r>
          </w:p>
        </w:tc>
        <w:tc>
          <w:tcPr>
            <w:tcW w:w="1274" w:type="pct"/>
            <w:vAlign w:val="center"/>
          </w:tcPr>
          <w:p w14:paraId="6DEE6A43" w14:textId="378F9F50" w:rsidR="00A91482" w:rsidRPr="00621588" w:rsidRDefault="00A91482" w:rsidP="00776D51">
            <w:pPr>
              <w:pStyle w:val="COMTabletext"/>
              <w:jc w:val="center"/>
              <w:rPr>
                <w:highlight w:val="darkGray"/>
              </w:rPr>
            </w:pPr>
            <w:r w:rsidRPr="00A968D2">
              <w:t>$6,789</w:t>
            </w:r>
          </w:p>
        </w:tc>
        <w:tc>
          <w:tcPr>
            <w:tcW w:w="838" w:type="pct"/>
            <w:vAlign w:val="center"/>
          </w:tcPr>
          <w:p w14:paraId="6E6F8EA3" w14:textId="7A1AC658" w:rsidR="00A91482" w:rsidRPr="00621588" w:rsidRDefault="008A42F6" w:rsidP="00776D51">
            <w:pPr>
              <w:pStyle w:val="COMTabletext"/>
              <w:jc w:val="center"/>
              <w:rPr>
                <w:highlight w:val="darkGray"/>
              </w:rPr>
            </w:pPr>
            <w:r>
              <w:t xml:space="preserve"> </w:t>
            </w:r>
            <w:r w:rsidRPr="008A42F6">
              <w:rPr>
                <w:color w:val="000000"/>
                <w:shd w:val="solid" w:color="000000" w:fill="000000"/>
                <w14:textFill>
                  <w14:solidFill>
                    <w14:srgbClr w14:val="000000">
                      <w14:alpha w14:val="100000"/>
                    </w14:srgbClr>
                  </w14:solidFill>
                </w14:textFill>
              </w:rPr>
              <w:t>|</w:t>
            </w:r>
          </w:p>
        </w:tc>
      </w:tr>
      <w:tr w:rsidR="00A91482" w:rsidRPr="001C59C3" w14:paraId="246BD06C" w14:textId="77777777" w:rsidTr="00776D51">
        <w:tc>
          <w:tcPr>
            <w:tcW w:w="1529" w:type="pct"/>
            <w:vAlign w:val="center"/>
          </w:tcPr>
          <w:p w14:paraId="0897F9E6" w14:textId="77777777" w:rsidR="00A91482" w:rsidRPr="001C59C3" w:rsidRDefault="00A91482" w:rsidP="00776D51">
            <w:pPr>
              <w:pStyle w:val="COMTabletext"/>
              <w:rPr>
                <w:rFonts w:ascii="Times" w:hAnsi="Times"/>
              </w:rPr>
            </w:pPr>
            <w:r w:rsidRPr="001C59C3">
              <w:t>QALYs</w:t>
            </w:r>
          </w:p>
        </w:tc>
        <w:tc>
          <w:tcPr>
            <w:tcW w:w="1359" w:type="pct"/>
            <w:vAlign w:val="center"/>
          </w:tcPr>
          <w:p w14:paraId="495AA1C1" w14:textId="77777777" w:rsidR="00A91482" w:rsidRPr="001C59C3" w:rsidRDefault="00A91482" w:rsidP="00776D51">
            <w:pPr>
              <w:pStyle w:val="COMTabletext"/>
              <w:jc w:val="center"/>
            </w:pPr>
            <w:r w:rsidRPr="001C59C3">
              <w:t>2.0294</w:t>
            </w:r>
          </w:p>
        </w:tc>
        <w:tc>
          <w:tcPr>
            <w:tcW w:w="1274" w:type="pct"/>
            <w:vAlign w:val="center"/>
          </w:tcPr>
          <w:p w14:paraId="34FC419B" w14:textId="77777777" w:rsidR="00A91482" w:rsidRPr="001C59C3" w:rsidRDefault="00A91482" w:rsidP="00776D51">
            <w:pPr>
              <w:pStyle w:val="COMTabletext"/>
              <w:jc w:val="center"/>
            </w:pPr>
            <w:r w:rsidRPr="001C59C3">
              <w:t>1.9381</w:t>
            </w:r>
          </w:p>
        </w:tc>
        <w:tc>
          <w:tcPr>
            <w:tcW w:w="838" w:type="pct"/>
            <w:vAlign w:val="center"/>
          </w:tcPr>
          <w:p w14:paraId="4C6D9EA4" w14:textId="77777777" w:rsidR="00A91482" w:rsidRPr="001C59C3" w:rsidRDefault="00A91482" w:rsidP="00776D51">
            <w:pPr>
              <w:pStyle w:val="COMTabletext"/>
              <w:jc w:val="center"/>
            </w:pPr>
            <w:r w:rsidRPr="001C59C3">
              <w:t>0.0913</w:t>
            </w:r>
          </w:p>
        </w:tc>
      </w:tr>
      <w:tr w:rsidR="00A91482" w:rsidRPr="001C59C3" w14:paraId="0AB86C95" w14:textId="77777777" w:rsidTr="00776D51">
        <w:tc>
          <w:tcPr>
            <w:tcW w:w="4162" w:type="pct"/>
            <w:gridSpan w:val="3"/>
            <w:vAlign w:val="center"/>
          </w:tcPr>
          <w:p w14:paraId="572786B7" w14:textId="77777777" w:rsidR="00A91482" w:rsidRPr="001C59C3" w:rsidRDefault="00A91482" w:rsidP="00776D51">
            <w:pPr>
              <w:pStyle w:val="COMTabletext"/>
              <w:rPr>
                <w:rFonts w:ascii="Times" w:hAnsi="Times"/>
                <w:bCs w:val="0"/>
              </w:rPr>
            </w:pPr>
            <w:r w:rsidRPr="001C59C3">
              <w:rPr>
                <w:bCs w:val="0"/>
              </w:rPr>
              <w:t xml:space="preserve">Incremental cost/QALY gained </w:t>
            </w:r>
          </w:p>
        </w:tc>
        <w:tc>
          <w:tcPr>
            <w:tcW w:w="838" w:type="pct"/>
            <w:vAlign w:val="center"/>
          </w:tcPr>
          <w:p w14:paraId="2267FF43" w14:textId="14E23C15" w:rsidR="00A91482" w:rsidRPr="001C59C3" w:rsidRDefault="008A42F6" w:rsidP="00776D51">
            <w:pPr>
              <w:pStyle w:val="COMTabletext"/>
              <w:jc w:val="center"/>
              <w:rPr>
                <w:rFonts w:ascii="Times" w:hAnsi="Times"/>
                <w:bCs w:val="0"/>
              </w:rPr>
            </w:pPr>
            <w:r>
              <w:t xml:space="preserve"> </w:t>
            </w:r>
            <w:r w:rsidRPr="008A42F6">
              <w:rPr>
                <w:color w:val="000000"/>
                <w:shd w:val="solid" w:color="000000" w:fill="000000"/>
                <w14:textFill>
                  <w14:solidFill>
                    <w14:srgbClr w14:val="000000">
                      <w14:alpha w14:val="100000"/>
                    </w14:srgbClr>
                  </w14:solidFill>
                </w14:textFill>
              </w:rPr>
              <w:t>|</w:t>
            </w:r>
            <w:r w:rsidR="00D014A3">
              <w:rPr>
                <w:vertAlign w:val="superscript"/>
              </w:rPr>
              <w:t>3</w:t>
            </w:r>
          </w:p>
        </w:tc>
      </w:tr>
      <w:tr w:rsidR="00A91482" w:rsidRPr="001C59C3" w14:paraId="5230CECE" w14:textId="77777777" w:rsidTr="00776D51">
        <w:tc>
          <w:tcPr>
            <w:tcW w:w="5000" w:type="pct"/>
            <w:gridSpan w:val="4"/>
            <w:vAlign w:val="center"/>
          </w:tcPr>
          <w:p w14:paraId="602A4F4B" w14:textId="6AD80313" w:rsidR="00A91482" w:rsidRPr="001C59C3" w:rsidRDefault="00A91482" w:rsidP="00776D51">
            <w:pPr>
              <w:pStyle w:val="COMTabletext"/>
              <w:rPr>
                <w:b/>
              </w:rPr>
            </w:pPr>
            <w:r w:rsidRPr="001C59C3">
              <w:rPr>
                <w:b/>
              </w:rPr>
              <w:t xml:space="preserve">Decreased effective AEMP per 12 vials of difelikefalin from </w:t>
            </w:r>
            <w:r w:rsidR="00D014A3">
              <w:rPr>
                <w:b/>
              </w:rPr>
              <w:t>$</w:t>
            </w:r>
            <w:r w:rsidR="008A42F6" w:rsidRPr="00D014A3">
              <w:rPr>
                <w:b/>
                <w:color w:val="000000"/>
                <w:spacing w:val="55"/>
                <w:shd w:val="solid" w:color="000000" w:fill="000000"/>
                <w:fitText w:val="350" w:id="-1032102903"/>
                <w14:textFill>
                  <w14:solidFill>
                    <w14:srgbClr w14:val="000000">
                      <w14:alpha w14:val="100000"/>
                    </w14:srgbClr>
                  </w14:solidFill>
                </w14:textFill>
              </w:rPr>
              <w:t>|||</w:t>
            </w:r>
            <w:r w:rsidR="008A42F6" w:rsidRPr="00D014A3">
              <w:rPr>
                <w:b/>
                <w:color w:val="000000"/>
                <w:spacing w:val="2"/>
                <w:shd w:val="solid" w:color="000000" w:fill="000000"/>
                <w:fitText w:val="350" w:id="-1032102903"/>
                <w14:textFill>
                  <w14:solidFill>
                    <w14:srgbClr w14:val="000000">
                      <w14:alpha w14:val="100000"/>
                    </w14:srgbClr>
                  </w14:solidFill>
                </w14:textFill>
              </w:rPr>
              <w:t>|</w:t>
            </w:r>
            <w:r w:rsidRPr="001C59C3">
              <w:rPr>
                <w:b/>
              </w:rPr>
              <w:t xml:space="preserve"> to </w:t>
            </w:r>
            <w:r w:rsidR="00D014A3">
              <w:rPr>
                <w:b/>
              </w:rPr>
              <w:t>$</w:t>
            </w:r>
            <w:r w:rsidR="008A42F6" w:rsidRPr="00D014A3">
              <w:rPr>
                <w:b/>
                <w:color w:val="000000"/>
                <w:spacing w:val="58"/>
                <w:shd w:val="solid" w:color="000000" w:fill="000000"/>
                <w:fitText w:val="360" w:id="-1032102902"/>
                <w14:textFill>
                  <w14:solidFill>
                    <w14:srgbClr w14:val="000000">
                      <w14:alpha w14:val="100000"/>
                    </w14:srgbClr>
                  </w14:solidFill>
                </w14:textFill>
              </w:rPr>
              <w:t>|||</w:t>
            </w:r>
            <w:r w:rsidR="008A42F6" w:rsidRPr="00D014A3">
              <w:rPr>
                <w:b/>
                <w:color w:val="000000"/>
                <w:spacing w:val="3"/>
                <w:shd w:val="solid" w:color="000000" w:fill="000000"/>
                <w:fitText w:val="360" w:id="-1032102902"/>
                <w14:textFill>
                  <w14:solidFill>
                    <w14:srgbClr w14:val="000000">
                      <w14:alpha w14:val="100000"/>
                    </w14:srgbClr>
                  </w14:solidFill>
                </w14:textFill>
              </w:rPr>
              <w:t>|</w:t>
            </w:r>
            <w:r w:rsidRPr="001C59C3">
              <w:rPr>
                <w:b/>
              </w:rPr>
              <w:t xml:space="preserve"> (</w:t>
            </w:r>
            <w:r w:rsidRPr="00FD50B6">
              <w:rPr>
                <w:b/>
              </w:rPr>
              <w:t>35% reduction</w:t>
            </w:r>
            <w:r w:rsidRPr="001C59C3">
              <w:rPr>
                <w:b/>
              </w:rPr>
              <w:t>) yielding dispensed drug costs of $352.83 per 4-week cycle (from $512.16 in March 2023)</w:t>
            </w:r>
          </w:p>
        </w:tc>
      </w:tr>
      <w:tr w:rsidR="00A91482" w:rsidRPr="001C59C3" w14:paraId="0B0DAAA2" w14:textId="77777777" w:rsidTr="00776D51">
        <w:tc>
          <w:tcPr>
            <w:tcW w:w="1529" w:type="pct"/>
            <w:vAlign w:val="center"/>
          </w:tcPr>
          <w:p w14:paraId="357A9784" w14:textId="001EE044" w:rsidR="00A91482" w:rsidRPr="001C59C3" w:rsidRDefault="00A91482" w:rsidP="00776D51">
            <w:pPr>
              <w:pStyle w:val="COMTabletext"/>
              <w:rPr>
                <w:rFonts w:ascii="Times" w:hAnsi="Times"/>
              </w:rPr>
            </w:pPr>
            <w:r w:rsidRPr="001C59C3">
              <w:t>Costs</w:t>
            </w:r>
            <w:r w:rsidR="00E53254">
              <w:t xml:space="preserve"> ($)</w:t>
            </w:r>
          </w:p>
        </w:tc>
        <w:tc>
          <w:tcPr>
            <w:tcW w:w="1359" w:type="pct"/>
            <w:vAlign w:val="center"/>
          </w:tcPr>
          <w:p w14:paraId="3B138542" w14:textId="6CF361A7" w:rsidR="00A91482" w:rsidRPr="00621588" w:rsidRDefault="008A42F6" w:rsidP="00776D51">
            <w:pPr>
              <w:pStyle w:val="COMTabletext"/>
              <w:jc w:val="center"/>
              <w:rPr>
                <w:highlight w:val="darkGray"/>
              </w:rPr>
            </w:pPr>
            <w:r>
              <w:t xml:space="preserve"> </w:t>
            </w:r>
            <w:r w:rsidRPr="008A42F6">
              <w:rPr>
                <w:color w:val="000000"/>
                <w:shd w:val="solid" w:color="000000" w:fill="000000"/>
                <w14:textFill>
                  <w14:solidFill>
                    <w14:srgbClr w14:val="000000">
                      <w14:alpha w14:val="100000"/>
                    </w14:srgbClr>
                  </w14:solidFill>
                </w14:textFill>
              </w:rPr>
              <w:t>|</w:t>
            </w:r>
            <w:r w:rsidR="00980140" w:rsidRPr="005B6EEE">
              <w:rPr>
                <w:vertAlign w:val="superscript"/>
              </w:rPr>
              <w:t>1</w:t>
            </w:r>
          </w:p>
        </w:tc>
        <w:tc>
          <w:tcPr>
            <w:tcW w:w="1274" w:type="pct"/>
            <w:vAlign w:val="center"/>
          </w:tcPr>
          <w:p w14:paraId="76EC1ACD" w14:textId="47DF24A2" w:rsidR="00A91482" w:rsidRPr="00621588" w:rsidRDefault="00A91482" w:rsidP="00776D51">
            <w:pPr>
              <w:pStyle w:val="COMTabletext"/>
              <w:jc w:val="center"/>
              <w:rPr>
                <w:highlight w:val="darkGray"/>
              </w:rPr>
            </w:pPr>
            <w:r w:rsidRPr="00A968D2">
              <w:t>$6,789</w:t>
            </w:r>
          </w:p>
        </w:tc>
        <w:tc>
          <w:tcPr>
            <w:tcW w:w="838" w:type="pct"/>
            <w:vAlign w:val="center"/>
          </w:tcPr>
          <w:p w14:paraId="5ACD24E7" w14:textId="703816D3" w:rsidR="00A91482" w:rsidRPr="00621588" w:rsidRDefault="008A42F6" w:rsidP="00776D51">
            <w:pPr>
              <w:pStyle w:val="COMTabletext"/>
              <w:jc w:val="center"/>
              <w:rPr>
                <w:highlight w:val="darkGray"/>
              </w:rPr>
            </w:pPr>
            <w:r>
              <w:t xml:space="preserve"> </w:t>
            </w:r>
            <w:r w:rsidRPr="008A42F6">
              <w:rPr>
                <w:color w:val="000000"/>
                <w:shd w:val="solid" w:color="000000" w:fill="000000"/>
                <w14:textFill>
                  <w14:solidFill>
                    <w14:srgbClr w14:val="000000">
                      <w14:alpha w14:val="100000"/>
                    </w14:srgbClr>
                  </w14:solidFill>
                </w14:textFill>
              </w:rPr>
              <w:t>|</w:t>
            </w:r>
          </w:p>
        </w:tc>
      </w:tr>
      <w:tr w:rsidR="00A91482" w:rsidRPr="001C59C3" w14:paraId="4FF87D0F" w14:textId="77777777" w:rsidTr="00776D51">
        <w:tc>
          <w:tcPr>
            <w:tcW w:w="1529" w:type="pct"/>
            <w:vAlign w:val="center"/>
          </w:tcPr>
          <w:p w14:paraId="2657ADDE" w14:textId="77777777" w:rsidR="00A91482" w:rsidRPr="001C59C3" w:rsidRDefault="00A91482" w:rsidP="00776D51">
            <w:pPr>
              <w:pStyle w:val="COMTabletext"/>
              <w:rPr>
                <w:rFonts w:ascii="Times" w:hAnsi="Times"/>
              </w:rPr>
            </w:pPr>
            <w:r w:rsidRPr="001C59C3">
              <w:t>QALYs</w:t>
            </w:r>
          </w:p>
        </w:tc>
        <w:tc>
          <w:tcPr>
            <w:tcW w:w="1359" w:type="pct"/>
            <w:vAlign w:val="center"/>
          </w:tcPr>
          <w:p w14:paraId="0CB5ED27" w14:textId="77777777" w:rsidR="00A91482" w:rsidRPr="001C59C3" w:rsidRDefault="00A91482" w:rsidP="00776D51">
            <w:pPr>
              <w:pStyle w:val="COMTabletext"/>
              <w:jc w:val="center"/>
            </w:pPr>
            <w:r w:rsidRPr="001C59C3">
              <w:t>2.0294</w:t>
            </w:r>
          </w:p>
        </w:tc>
        <w:tc>
          <w:tcPr>
            <w:tcW w:w="1274" w:type="pct"/>
            <w:vAlign w:val="center"/>
          </w:tcPr>
          <w:p w14:paraId="3A5799EE" w14:textId="77777777" w:rsidR="00A91482" w:rsidRPr="001C59C3" w:rsidRDefault="00A91482" w:rsidP="00776D51">
            <w:pPr>
              <w:pStyle w:val="COMTabletext"/>
              <w:jc w:val="center"/>
            </w:pPr>
            <w:r w:rsidRPr="001C59C3">
              <w:t>1.9381</w:t>
            </w:r>
          </w:p>
        </w:tc>
        <w:tc>
          <w:tcPr>
            <w:tcW w:w="838" w:type="pct"/>
            <w:vAlign w:val="center"/>
          </w:tcPr>
          <w:p w14:paraId="4DB9121B" w14:textId="77777777" w:rsidR="00A91482" w:rsidRPr="001C59C3" w:rsidRDefault="00A91482" w:rsidP="00776D51">
            <w:pPr>
              <w:pStyle w:val="COMTabletext"/>
              <w:jc w:val="center"/>
            </w:pPr>
            <w:r w:rsidRPr="001C59C3">
              <w:t>0.0913</w:t>
            </w:r>
          </w:p>
        </w:tc>
      </w:tr>
      <w:tr w:rsidR="00A91482" w:rsidRPr="001C59C3" w14:paraId="196F2E24" w14:textId="77777777" w:rsidTr="00776D51">
        <w:tc>
          <w:tcPr>
            <w:tcW w:w="4162" w:type="pct"/>
            <w:gridSpan w:val="3"/>
            <w:vAlign w:val="center"/>
          </w:tcPr>
          <w:p w14:paraId="0AE28DD5" w14:textId="77777777" w:rsidR="00A91482" w:rsidRPr="001C59C3" w:rsidRDefault="00A91482" w:rsidP="00776D51">
            <w:pPr>
              <w:pStyle w:val="COMTabletext"/>
              <w:rPr>
                <w:rFonts w:ascii="Times" w:hAnsi="Times"/>
                <w:bCs w:val="0"/>
              </w:rPr>
            </w:pPr>
            <w:r w:rsidRPr="001C59C3">
              <w:rPr>
                <w:bCs w:val="0"/>
              </w:rPr>
              <w:t xml:space="preserve">Incremental cost/QALY gained </w:t>
            </w:r>
          </w:p>
        </w:tc>
        <w:tc>
          <w:tcPr>
            <w:tcW w:w="838" w:type="pct"/>
            <w:vAlign w:val="center"/>
          </w:tcPr>
          <w:p w14:paraId="3067CEA4" w14:textId="7834D43E" w:rsidR="00A91482" w:rsidRPr="001C59C3" w:rsidRDefault="00D014A3" w:rsidP="00776D51">
            <w:pPr>
              <w:pStyle w:val="COMTabletext"/>
              <w:jc w:val="center"/>
              <w:rPr>
                <w:rFonts w:ascii="Times" w:hAnsi="Times"/>
                <w:bCs w:val="0"/>
              </w:rPr>
            </w:pPr>
            <w:r w:rsidRPr="008A42F6">
              <w:rPr>
                <w:color w:val="000000"/>
                <w:shd w:val="solid" w:color="000000" w:fill="000000"/>
                <w14:textFill>
                  <w14:solidFill>
                    <w14:srgbClr w14:val="000000">
                      <w14:alpha w14:val="100000"/>
                    </w14:srgbClr>
                  </w14:solidFill>
                </w14:textFill>
              </w:rPr>
              <w:t>|</w:t>
            </w:r>
            <w:r>
              <w:rPr>
                <w:vertAlign w:val="superscript"/>
              </w:rPr>
              <w:t>1</w:t>
            </w:r>
          </w:p>
        </w:tc>
      </w:tr>
      <w:tr w:rsidR="00A91482" w:rsidRPr="001C59C3" w14:paraId="00AE01F1" w14:textId="77777777" w:rsidTr="00776D51">
        <w:tc>
          <w:tcPr>
            <w:tcW w:w="5000" w:type="pct"/>
            <w:gridSpan w:val="4"/>
            <w:vAlign w:val="center"/>
          </w:tcPr>
          <w:p w14:paraId="5949D645" w14:textId="77777777" w:rsidR="00A91482" w:rsidRPr="001C59C3" w:rsidRDefault="00A91482" w:rsidP="00776D51">
            <w:pPr>
              <w:pStyle w:val="COMTabletext"/>
              <w:rPr>
                <w:b/>
              </w:rPr>
            </w:pPr>
            <w:r w:rsidRPr="001C59C3">
              <w:rPr>
                <w:b/>
              </w:rPr>
              <w:t>Corrected weighted average DPMQ of $311.03 using the proposed effective AEMP and Section 100 HSD fees and mark-ups, with 75% public hospital and 25% private hospital/community pharmacy weighting</w:t>
            </w:r>
          </w:p>
        </w:tc>
      </w:tr>
      <w:tr w:rsidR="00A91482" w:rsidRPr="001C59C3" w14:paraId="7834D22C" w14:textId="77777777" w:rsidTr="00776D51">
        <w:tc>
          <w:tcPr>
            <w:tcW w:w="1529" w:type="pct"/>
            <w:vAlign w:val="center"/>
          </w:tcPr>
          <w:p w14:paraId="2E8D2B1B" w14:textId="33A6D58C" w:rsidR="00A91482" w:rsidRPr="001C59C3" w:rsidRDefault="00A91482" w:rsidP="00776D51">
            <w:pPr>
              <w:pStyle w:val="COMTabletext"/>
              <w:rPr>
                <w:rFonts w:ascii="Times" w:hAnsi="Times"/>
              </w:rPr>
            </w:pPr>
            <w:r w:rsidRPr="001C59C3">
              <w:t>Costs</w:t>
            </w:r>
            <w:r w:rsidR="00E53254">
              <w:t xml:space="preserve"> ($)</w:t>
            </w:r>
          </w:p>
        </w:tc>
        <w:tc>
          <w:tcPr>
            <w:tcW w:w="1359" w:type="pct"/>
            <w:vAlign w:val="center"/>
          </w:tcPr>
          <w:p w14:paraId="78BB7942" w14:textId="6E34FABC" w:rsidR="00A91482" w:rsidRPr="00621588" w:rsidRDefault="008A42F6" w:rsidP="00776D51">
            <w:pPr>
              <w:pStyle w:val="COMTabletext"/>
              <w:jc w:val="center"/>
              <w:rPr>
                <w:highlight w:val="darkGray"/>
              </w:rPr>
            </w:pPr>
            <w:r>
              <w:t xml:space="preserve"> </w:t>
            </w:r>
            <w:r w:rsidRPr="008A42F6">
              <w:rPr>
                <w:color w:val="000000"/>
                <w:shd w:val="solid" w:color="000000" w:fill="000000"/>
                <w14:textFill>
                  <w14:solidFill>
                    <w14:srgbClr w14:val="000000">
                      <w14:alpha w14:val="100000"/>
                    </w14:srgbClr>
                  </w14:solidFill>
                </w14:textFill>
              </w:rPr>
              <w:t>|</w:t>
            </w:r>
          </w:p>
        </w:tc>
        <w:tc>
          <w:tcPr>
            <w:tcW w:w="1274" w:type="pct"/>
            <w:vAlign w:val="center"/>
          </w:tcPr>
          <w:p w14:paraId="4B27C523" w14:textId="526EC3C7" w:rsidR="00A91482" w:rsidRPr="00621588" w:rsidRDefault="00A91482" w:rsidP="00776D51">
            <w:pPr>
              <w:pStyle w:val="COMTabletext"/>
              <w:jc w:val="center"/>
              <w:rPr>
                <w:highlight w:val="darkGray"/>
              </w:rPr>
            </w:pPr>
            <w:r w:rsidRPr="00A968D2">
              <w:t>$6,789</w:t>
            </w:r>
          </w:p>
        </w:tc>
        <w:tc>
          <w:tcPr>
            <w:tcW w:w="838" w:type="pct"/>
            <w:vAlign w:val="center"/>
          </w:tcPr>
          <w:p w14:paraId="4FC29E04" w14:textId="32D09C68" w:rsidR="00A91482" w:rsidRPr="00621588" w:rsidRDefault="008A42F6" w:rsidP="00776D51">
            <w:pPr>
              <w:pStyle w:val="COMTabletext"/>
              <w:jc w:val="center"/>
              <w:rPr>
                <w:highlight w:val="darkGray"/>
              </w:rPr>
            </w:pPr>
            <w:r>
              <w:t xml:space="preserve"> </w:t>
            </w:r>
            <w:r w:rsidRPr="008A42F6">
              <w:rPr>
                <w:color w:val="000000"/>
                <w:shd w:val="solid" w:color="000000" w:fill="000000"/>
                <w14:textFill>
                  <w14:solidFill>
                    <w14:srgbClr w14:val="000000">
                      <w14:alpha w14:val="100000"/>
                    </w14:srgbClr>
                  </w14:solidFill>
                </w14:textFill>
              </w:rPr>
              <w:t>|</w:t>
            </w:r>
          </w:p>
        </w:tc>
      </w:tr>
      <w:tr w:rsidR="00A91482" w:rsidRPr="001C59C3" w14:paraId="572FAF87" w14:textId="77777777" w:rsidTr="00776D51">
        <w:tc>
          <w:tcPr>
            <w:tcW w:w="1529" w:type="pct"/>
            <w:vAlign w:val="center"/>
          </w:tcPr>
          <w:p w14:paraId="1D6FD035" w14:textId="77777777" w:rsidR="00A91482" w:rsidRPr="001C59C3" w:rsidRDefault="00A91482" w:rsidP="00776D51">
            <w:pPr>
              <w:pStyle w:val="COMTabletext"/>
              <w:rPr>
                <w:rFonts w:ascii="Times" w:hAnsi="Times"/>
              </w:rPr>
            </w:pPr>
            <w:r w:rsidRPr="001C59C3">
              <w:t>QALYs</w:t>
            </w:r>
          </w:p>
        </w:tc>
        <w:tc>
          <w:tcPr>
            <w:tcW w:w="1359" w:type="pct"/>
            <w:vAlign w:val="center"/>
          </w:tcPr>
          <w:p w14:paraId="65933C38" w14:textId="77777777" w:rsidR="00A91482" w:rsidRPr="001C59C3" w:rsidRDefault="00A91482" w:rsidP="00776D51">
            <w:pPr>
              <w:pStyle w:val="COMTabletext"/>
              <w:jc w:val="center"/>
            </w:pPr>
            <w:r w:rsidRPr="001C59C3">
              <w:t>2.0294</w:t>
            </w:r>
          </w:p>
        </w:tc>
        <w:tc>
          <w:tcPr>
            <w:tcW w:w="1274" w:type="pct"/>
            <w:vAlign w:val="center"/>
          </w:tcPr>
          <w:p w14:paraId="5C7A2EAC" w14:textId="77777777" w:rsidR="00A91482" w:rsidRPr="001C59C3" w:rsidRDefault="00A91482" w:rsidP="00776D51">
            <w:pPr>
              <w:pStyle w:val="COMTabletext"/>
              <w:jc w:val="center"/>
            </w:pPr>
            <w:r w:rsidRPr="001C59C3">
              <w:t>1.9381</w:t>
            </w:r>
          </w:p>
        </w:tc>
        <w:tc>
          <w:tcPr>
            <w:tcW w:w="838" w:type="pct"/>
            <w:vAlign w:val="center"/>
          </w:tcPr>
          <w:p w14:paraId="565D5FC3" w14:textId="77777777" w:rsidR="00A91482" w:rsidRPr="001C59C3" w:rsidRDefault="00A91482" w:rsidP="00776D51">
            <w:pPr>
              <w:pStyle w:val="COMTabletext"/>
              <w:jc w:val="center"/>
            </w:pPr>
            <w:r w:rsidRPr="001C59C3">
              <w:t>0.0913</w:t>
            </w:r>
          </w:p>
        </w:tc>
      </w:tr>
      <w:tr w:rsidR="00A91482" w:rsidRPr="001C59C3" w14:paraId="2F4D2DF4" w14:textId="77777777" w:rsidTr="00776D51">
        <w:tc>
          <w:tcPr>
            <w:tcW w:w="4162" w:type="pct"/>
            <w:gridSpan w:val="3"/>
            <w:vAlign w:val="center"/>
          </w:tcPr>
          <w:p w14:paraId="5B6DB944" w14:textId="77777777" w:rsidR="00A91482" w:rsidRPr="001C59C3" w:rsidRDefault="00A91482" w:rsidP="00776D51">
            <w:pPr>
              <w:pStyle w:val="COMTabletext"/>
              <w:rPr>
                <w:rFonts w:ascii="Times" w:hAnsi="Times"/>
                <w:bCs w:val="0"/>
              </w:rPr>
            </w:pPr>
            <w:r w:rsidRPr="001C59C3">
              <w:rPr>
                <w:bCs w:val="0"/>
              </w:rPr>
              <w:t xml:space="preserve">Incremental cost/QALY gained </w:t>
            </w:r>
          </w:p>
        </w:tc>
        <w:tc>
          <w:tcPr>
            <w:tcW w:w="838" w:type="pct"/>
            <w:vAlign w:val="center"/>
          </w:tcPr>
          <w:p w14:paraId="1B693CC6" w14:textId="50ABF6C3" w:rsidR="00A91482" w:rsidRPr="001C59C3" w:rsidRDefault="00D014A3" w:rsidP="00776D51">
            <w:pPr>
              <w:pStyle w:val="COMTabletext"/>
              <w:jc w:val="center"/>
              <w:rPr>
                <w:rFonts w:ascii="Times" w:hAnsi="Times"/>
                <w:bCs w:val="0"/>
              </w:rPr>
            </w:pPr>
            <w:r w:rsidRPr="008A42F6">
              <w:rPr>
                <w:color w:val="000000"/>
                <w:shd w:val="solid" w:color="000000" w:fill="000000"/>
                <w14:textFill>
                  <w14:solidFill>
                    <w14:srgbClr w14:val="000000">
                      <w14:alpha w14:val="100000"/>
                    </w14:srgbClr>
                  </w14:solidFill>
                </w14:textFill>
              </w:rPr>
              <w:t>|</w:t>
            </w:r>
            <w:r>
              <w:rPr>
                <w:vertAlign w:val="superscript"/>
              </w:rPr>
              <w:t>1</w:t>
            </w:r>
          </w:p>
        </w:tc>
      </w:tr>
      <w:tr w:rsidR="00A91482" w:rsidRPr="001C59C3" w14:paraId="026979D1" w14:textId="77777777" w:rsidTr="00776D51">
        <w:tc>
          <w:tcPr>
            <w:tcW w:w="5000" w:type="pct"/>
            <w:gridSpan w:val="4"/>
            <w:vAlign w:val="center"/>
          </w:tcPr>
          <w:p w14:paraId="3EE8C20E" w14:textId="77777777" w:rsidR="00A91482" w:rsidRPr="001C59C3" w:rsidRDefault="00A91482" w:rsidP="00776D51">
            <w:pPr>
              <w:pStyle w:val="COMTabletext"/>
              <w:rPr>
                <w:b/>
              </w:rPr>
            </w:pPr>
            <w:r w:rsidRPr="001C59C3">
              <w:rPr>
                <w:b/>
              </w:rPr>
              <w:t>Corrected application of adverse event disutilities to difelikefalin treated patients only</w:t>
            </w:r>
          </w:p>
        </w:tc>
      </w:tr>
      <w:tr w:rsidR="00A91482" w:rsidRPr="001C59C3" w14:paraId="1E2FC8C2" w14:textId="77777777" w:rsidTr="00776D51">
        <w:tc>
          <w:tcPr>
            <w:tcW w:w="1529" w:type="pct"/>
            <w:vAlign w:val="center"/>
          </w:tcPr>
          <w:p w14:paraId="2372FB87" w14:textId="42C58582" w:rsidR="00A91482" w:rsidRPr="001C59C3" w:rsidRDefault="00A91482" w:rsidP="00776D51">
            <w:pPr>
              <w:pStyle w:val="COMTabletext"/>
              <w:rPr>
                <w:rFonts w:ascii="Times" w:hAnsi="Times"/>
              </w:rPr>
            </w:pPr>
            <w:r w:rsidRPr="001C59C3">
              <w:t>Costs</w:t>
            </w:r>
            <w:r w:rsidR="00E53254">
              <w:t xml:space="preserve"> ($)</w:t>
            </w:r>
          </w:p>
        </w:tc>
        <w:tc>
          <w:tcPr>
            <w:tcW w:w="1359" w:type="pct"/>
            <w:vAlign w:val="center"/>
          </w:tcPr>
          <w:p w14:paraId="0D283128" w14:textId="0183E999" w:rsidR="00A91482" w:rsidRPr="00621588" w:rsidRDefault="008A42F6" w:rsidP="00776D51">
            <w:pPr>
              <w:pStyle w:val="COMTabletext"/>
              <w:jc w:val="center"/>
              <w:rPr>
                <w:highlight w:val="darkGray"/>
              </w:rPr>
            </w:pPr>
            <w:r>
              <w:t xml:space="preserve"> </w:t>
            </w:r>
            <w:r w:rsidRPr="008A42F6">
              <w:rPr>
                <w:color w:val="000000"/>
                <w:shd w:val="solid" w:color="000000" w:fill="000000"/>
                <w14:textFill>
                  <w14:solidFill>
                    <w14:srgbClr w14:val="000000">
                      <w14:alpha w14:val="100000"/>
                    </w14:srgbClr>
                  </w14:solidFill>
                </w14:textFill>
              </w:rPr>
              <w:t>|</w:t>
            </w:r>
          </w:p>
        </w:tc>
        <w:tc>
          <w:tcPr>
            <w:tcW w:w="1274" w:type="pct"/>
            <w:vAlign w:val="center"/>
          </w:tcPr>
          <w:p w14:paraId="59F27E1B" w14:textId="4F9C2993" w:rsidR="00A91482" w:rsidRPr="00621588" w:rsidRDefault="00A91482" w:rsidP="00776D51">
            <w:pPr>
              <w:pStyle w:val="COMTabletext"/>
              <w:jc w:val="center"/>
              <w:rPr>
                <w:highlight w:val="darkGray"/>
              </w:rPr>
            </w:pPr>
            <w:r w:rsidRPr="00A968D2">
              <w:t>$6,789</w:t>
            </w:r>
          </w:p>
        </w:tc>
        <w:tc>
          <w:tcPr>
            <w:tcW w:w="838" w:type="pct"/>
            <w:vAlign w:val="center"/>
          </w:tcPr>
          <w:p w14:paraId="46DCC2F3" w14:textId="080D1016" w:rsidR="00A91482" w:rsidRPr="00621588" w:rsidRDefault="008A42F6" w:rsidP="00776D51">
            <w:pPr>
              <w:pStyle w:val="COMTabletext"/>
              <w:jc w:val="center"/>
              <w:rPr>
                <w:highlight w:val="darkGray"/>
              </w:rPr>
            </w:pPr>
            <w:r>
              <w:t xml:space="preserve"> </w:t>
            </w:r>
            <w:r w:rsidRPr="008A42F6">
              <w:rPr>
                <w:color w:val="000000"/>
                <w:shd w:val="solid" w:color="000000" w:fill="000000"/>
                <w14:textFill>
                  <w14:solidFill>
                    <w14:srgbClr w14:val="000000">
                      <w14:alpha w14:val="100000"/>
                    </w14:srgbClr>
                  </w14:solidFill>
                </w14:textFill>
              </w:rPr>
              <w:t>|</w:t>
            </w:r>
          </w:p>
        </w:tc>
      </w:tr>
      <w:tr w:rsidR="00A91482" w:rsidRPr="001C59C3" w14:paraId="5E4A1B7E" w14:textId="77777777" w:rsidTr="00776D51">
        <w:tc>
          <w:tcPr>
            <w:tcW w:w="1529" w:type="pct"/>
            <w:vAlign w:val="center"/>
          </w:tcPr>
          <w:p w14:paraId="2A358435" w14:textId="77777777" w:rsidR="00A91482" w:rsidRPr="001C59C3" w:rsidRDefault="00A91482" w:rsidP="00776D51">
            <w:pPr>
              <w:pStyle w:val="COMTabletext"/>
              <w:rPr>
                <w:rFonts w:ascii="Times" w:hAnsi="Times"/>
              </w:rPr>
            </w:pPr>
            <w:r w:rsidRPr="001C59C3">
              <w:t>QALYs</w:t>
            </w:r>
          </w:p>
        </w:tc>
        <w:tc>
          <w:tcPr>
            <w:tcW w:w="1359" w:type="pct"/>
            <w:vAlign w:val="center"/>
          </w:tcPr>
          <w:p w14:paraId="621DB4E7" w14:textId="77777777" w:rsidR="00A91482" w:rsidRPr="001C59C3" w:rsidRDefault="00A91482" w:rsidP="00776D51">
            <w:pPr>
              <w:pStyle w:val="COMTabletext"/>
              <w:jc w:val="center"/>
            </w:pPr>
            <w:r w:rsidRPr="001C59C3">
              <w:t>2.0304</w:t>
            </w:r>
          </w:p>
        </w:tc>
        <w:tc>
          <w:tcPr>
            <w:tcW w:w="1274" w:type="pct"/>
            <w:vAlign w:val="center"/>
          </w:tcPr>
          <w:p w14:paraId="28B1DEFB" w14:textId="77777777" w:rsidR="00A91482" w:rsidRPr="001C59C3" w:rsidRDefault="00A91482" w:rsidP="00776D51">
            <w:pPr>
              <w:pStyle w:val="COMTabletext"/>
              <w:jc w:val="center"/>
            </w:pPr>
            <w:r w:rsidRPr="001C59C3">
              <w:t>1.9381</w:t>
            </w:r>
          </w:p>
        </w:tc>
        <w:tc>
          <w:tcPr>
            <w:tcW w:w="838" w:type="pct"/>
            <w:vAlign w:val="center"/>
          </w:tcPr>
          <w:p w14:paraId="4AC40D96" w14:textId="77777777" w:rsidR="00A91482" w:rsidRPr="001C59C3" w:rsidRDefault="00A91482" w:rsidP="00776D51">
            <w:pPr>
              <w:pStyle w:val="COMTabletext"/>
              <w:jc w:val="center"/>
            </w:pPr>
            <w:r w:rsidRPr="001C59C3">
              <w:t>0.0922</w:t>
            </w:r>
          </w:p>
        </w:tc>
      </w:tr>
      <w:tr w:rsidR="00A91482" w:rsidRPr="001C59C3" w14:paraId="70701C95" w14:textId="77777777" w:rsidTr="00776D51">
        <w:tc>
          <w:tcPr>
            <w:tcW w:w="4162" w:type="pct"/>
            <w:gridSpan w:val="3"/>
            <w:vAlign w:val="center"/>
          </w:tcPr>
          <w:p w14:paraId="5C0D8F1B" w14:textId="571478F3" w:rsidR="00A91482" w:rsidRPr="001C59C3" w:rsidRDefault="00A91482" w:rsidP="00776D51">
            <w:pPr>
              <w:pStyle w:val="COMTabletext"/>
              <w:rPr>
                <w:rFonts w:ascii="Times" w:hAnsi="Times"/>
                <w:bCs w:val="0"/>
              </w:rPr>
            </w:pPr>
            <w:r w:rsidRPr="001C59C3">
              <w:rPr>
                <w:bCs w:val="0"/>
              </w:rPr>
              <w:t xml:space="preserve">Incremental cost/QALY gained </w:t>
            </w:r>
          </w:p>
        </w:tc>
        <w:tc>
          <w:tcPr>
            <w:tcW w:w="838" w:type="pct"/>
            <w:vAlign w:val="center"/>
          </w:tcPr>
          <w:p w14:paraId="0F37F2F3" w14:textId="10279915" w:rsidR="00A91482" w:rsidRPr="00621588" w:rsidRDefault="00D014A3" w:rsidP="00776D51">
            <w:pPr>
              <w:pStyle w:val="COMTabletext"/>
              <w:jc w:val="center"/>
              <w:rPr>
                <w:rFonts w:ascii="Times" w:hAnsi="Times"/>
                <w:bCs w:val="0"/>
                <w:highlight w:val="darkGray"/>
              </w:rPr>
            </w:pPr>
            <w:r w:rsidRPr="008A42F6">
              <w:rPr>
                <w:color w:val="000000"/>
                <w:shd w:val="solid" w:color="000000" w:fill="000000"/>
                <w14:textFill>
                  <w14:solidFill>
                    <w14:srgbClr w14:val="000000">
                      <w14:alpha w14:val="100000"/>
                    </w14:srgbClr>
                  </w14:solidFill>
                </w14:textFill>
              </w:rPr>
              <w:t>|</w:t>
            </w:r>
            <w:r>
              <w:rPr>
                <w:vertAlign w:val="superscript"/>
              </w:rPr>
              <w:t>1</w:t>
            </w:r>
          </w:p>
        </w:tc>
      </w:tr>
    </w:tbl>
    <w:p w14:paraId="038A5B7B" w14:textId="060E2EB3" w:rsidR="00A91482" w:rsidRPr="001C59C3" w:rsidRDefault="00A91482" w:rsidP="00A91482">
      <w:pPr>
        <w:pStyle w:val="COMTablefooter"/>
      </w:pPr>
      <w:r w:rsidRPr="001C59C3">
        <w:t>Source: constructed during the evaluation using the ‘A10 – A DFK_Section3model_July2023’ Excel workbook and Table 85, p216 of the November 2023 resubmission</w:t>
      </w:r>
    </w:p>
    <w:p w14:paraId="1F7E6F2F" w14:textId="283A45E8" w:rsidR="00A91482" w:rsidRDefault="00A91482" w:rsidP="00621588">
      <w:pPr>
        <w:pStyle w:val="COMTablefooter"/>
        <w:spacing w:after="0"/>
      </w:pPr>
      <w:r w:rsidRPr="001C59C3">
        <w:t>Abbreviations: BSC, best supportive care; QALY, quality adjusted life year</w:t>
      </w:r>
    </w:p>
    <w:p w14:paraId="4424B5FB" w14:textId="77777777" w:rsidR="00E53254" w:rsidRPr="009A6D58" w:rsidRDefault="00E53254" w:rsidP="00A968D2">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4F662CB5" w14:textId="4953DCC6" w:rsidR="00E53254" w:rsidRPr="009A6D58" w:rsidRDefault="00E53254" w:rsidP="00A968D2">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D014A3" w:rsidRPr="00980140">
        <w:rPr>
          <w:rFonts w:ascii="Arial Narrow" w:hAnsi="Arial Narrow"/>
          <w:i/>
          <w:sz w:val="18"/>
          <w:szCs w:val="18"/>
        </w:rPr>
        <w:t>$45,000 to &lt; $55,000</w:t>
      </w:r>
    </w:p>
    <w:p w14:paraId="1DCE0362" w14:textId="632798FA" w:rsidR="00E53254" w:rsidRPr="009A6D58" w:rsidRDefault="00E53254" w:rsidP="00A968D2">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D014A3" w:rsidRPr="00980140">
        <w:rPr>
          <w:rFonts w:ascii="Arial Narrow" w:hAnsi="Arial Narrow"/>
          <w:i/>
          <w:sz w:val="18"/>
          <w:szCs w:val="18"/>
        </w:rPr>
        <w:t>$55,000 to &lt; $75,000</w:t>
      </w:r>
    </w:p>
    <w:p w14:paraId="5E988E26" w14:textId="6DF21933" w:rsidR="00E53254" w:rsidRPr="00D014A3" w:rsidRDefault="00E53254" w:rsidP="00D014A3">
      <w:pPr>
        <w:spacing w:after="120"/>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D014A3" w:rsidRPr="00980140">
        <w:rPr>
          <w:rFonts w:ascii="Arial Narrow" w:hAnsi="Arial Narrow"/>
          <w:i/>
          <w:sz w:val="18"/>
          <w:szCs w:val="18"/>
        </w:rPr>
        <w:t>$75,000 to &lt; $95,000</w:t>
      </w:r>
    </w:p>
    <w:p w14:paraId="63066334" w14:textId="7242B502" w:rsidR="00A91482" w:rsidRPr="001C59C3" w:rsidRDefault="00A91482" w:rsidP="004F15B1">
      <w:pPr>
        <w:pStyle w:val="COMexecsumnumberedpara"/>
      </w:pPr>
      <w:r w:rsidRPr="001C59C3">
        <w:lastRenderedPageBreak/>
        <w:t>Compared with the March 2023 base case, changes to the proposed AEMP for difelikefalin, changes to utility decrements associated with pruritus severity and revised transition probabilities for the extrapolated period had the largest impacts on the current resubmission’s model.</w:t>
      </w:r>
    </w:p>
    <w:p w14:paraId="6629596B" w14:textId="0D6715D8" w:rsidR="00A91482" w:rsidRPr="001C59C3" w:rsidRDefault="00A91482" w:rsidP="004F15B1">
      <w:pPr>
        <w:pStyle w:val="COMexecsumnumberedpara"/>
      </w:pPr>
      <w:r w:rsidRPr="001C59C3">
        <w:t xml:space="preserve">Treatment with difelikefalin was associated with an incremental cost per QALY gained of </w:t>
      </w:r>
      <w:r w:rsidR="001F6602" w:rsidRPr="001F6602">
        <w:t>$45,000 to &lt; $55,000</w:t>
      </w:r>
      <w:r w:rsidR="001F6602">
        <w:t xml:space="preserve"> </w:t>
      </w:r>
      <w:r w:rsidRPr="001C59C3">
        <w:t xml:space="preserve">compared to best supportive care for the treatment of patients with moderate to severe CKD-associated pruritus. This was similar to the incremental cost per QALY gained of </w:t>
      </w:r>
      <w:r w:rsidR="001F6602" w:rsidRPr="001F6602">
        <w:t>$45,000 to &lt; $55,000</w:t>
      </w:r>
      <w:r w:rsidR="001F6602">
        <w:t xml:space="preserve"> </w:t>
      </w:r>
      <w:r w:rsidRPr="001C59C3">
        <w:t>in the March 2023 submission.</w:t>
      </w:r>
    </w:p>
    <w:p w14:paraId="283B895E" w14:textId="5135758F" w:rsidR="00A91482" w:rsidRPr="001C59C3" w:rsidRDefault="00A91482" w:rsidP="004F15B1">
      <w:pPr>
        <w:pStyle w:val="COMexecsumnumberedpara"/>
      </w:pPr>
      <w:r w:rsidRPr="001C59C3">
        <w:t>The</w:t>
      </w:r>
      <w:r w:rsidR="00F466D3" w:rsidRPr="001C59C3">
        <w:t xml:space="preserve"> </w:t>
      </w:r>
      <w:r w:rsidRPr="001C59C3">
        <w:t>economic model included multiple changes that partially addressed PBAC’s concerns including the removal of mortality benefits, inclusion of adverse events and reduction in difelikefalin drug costs. However, the</w:t>
      </w:r>
      <w:r w:rsidR="00F466D3" w:rsidRPr="001C59C3">
        <w:rPr>
          <w:i/>
          <w:iCs/>
        </w:rPr>
        <w:t xml:space="preserve"> </w:t>
      </w:r>
      <w:r w:rsidR="00F466D3" w:rsidRPr="001C59C3">
        <w:t>evaluation considered the</w:t>
      </w:r>
      <w:r w:rsidR="00F466D3" w:rsidRPr="001C59C3">
        <w:rPr>
          <w:i/>
          <w:iCs/>
        </w:rPr>
        <w:t xml:space="preserve"> </w:t>
      </w:r>
      <w:r w:rsidRPr="001C59C3">
        <w:t>revised extrapolation of treatment effects and assumed benefits after treatment discontinuation were optimistic and in favour of difelikefalin. The</w:t>
      </w:r>
      <w:r w:rsidR="00F466D3" w:rsidRPr="001C59C3">
        <w:rPr>
          <w:i/>
          <w:iCs/>
        </w:rPr>
        <w:t xml:space="preserve"> </w:t>
      </w:r>
      <w:r w:rsidRPr="001C59C3">
        <w:t>revised pruritus-related utility decrements were lower than estimated previously but remained relatively large and uncertain.</w:t>
      </w:r>
      <w:r w:rsidR="0005571D" w:rsidRPr="001C59C3">
        <w:t xml:space="preserve"> </w:t>
      </w:r>
    </w:p>
    <w:p w14:paraId="1BAC1159" w14:textId="411993D5" w:rsidR="00A86E8B" w:rsidRPr="001C59C3" w:rsidRDefault="00D23D11" w:rsidP="004F15B1">
      <w:pPr>
        <w:pStyle w:val="COMexecsumnumberedpara"/>
      </w:pPr>
      <w:r w:rsidRPr="001C59C3">
        <w:t xml:space="preserve">The results of key univariate sensitivity analyses are summarised </w:t>
      </w:r>
      <w:r w:rsidR="00E16AD8" w:rsidRPr="001C59C3">
        <w:t xml:space="preserve">in </w:t>
      </w:r>
      <w:r w:rsidR="00E16AD8" w:rsidRPr="001C59C3">
        <w:fldChar w:fldCharType="begin" w:fldLock="1"/>
      </w:r>
      <w:r w:rsidR="00E16AD8" w:rsidRPr="001C59C3">
        <w:instrText xml:space="preserve"> REF _Ref104804865 \h </w:instrText>
      </w:r>
      <w:r w:rsidR="00E16AD8" w:rsidRPr="001C59C3">
        <w:fldChar w:fldCharType="separate"/>
      </w:r>
      <w:r w:rsidR="002A476C" w:rsidRPr="001C59C3">
        <w:t xml:space="preserve">Table </w:t>
      </w:r>
      <w:r w:rsidR="002A476C" w:rsidRPr="009D1BB6">
        <w:t>10</w:t>
      </w:r>
      <w:r w:rsidR="00E16AD8" w:rsidRPr="001C59C3">
        <w:fldChar w:fldCharType="end"/>
      </w:r>
      <w:r w:rsidR="006B714D" w:rsidRPr="001C59C3">
        <w:t>.</w:t>
      </w:r>
    </w:p>
    <w:p w14:paraId="6733BFDA" w14:textId="4BBE4B11" w:rsidR="005D49C9" w:rsidRPr="001C59C3" w:rsidRDefault="00E16AD8" w:rsidP="009D49D5">
      <w:pPr>
        <w:pStyle w:val="COMtablefigcaption"/>
      </w:pPr>
      <w:bookmarkStart w:id="51" w:name="_Ref104804865"/>
      <w:r w:rsidRPr="001C59C3">
        <w:lastRenderedPageBreak/>
        <w:t xml:space="preserve">Table </w:t>
      </w:r>
      <w:r w:rsidR="007232F8">
        <w:fldChar w:fldCharType="begin" w:fldLock="1"/>
      </w:r>
      <w:r w:rsidR="007232F8">
        <w:instrText xml:space="preserve"> SEQ Table \* ARABIC </w:instrText>
      </w:r>
      <w:r w:rsidR="007232F8">
        <w:fldChar w:fldCharType="separate"/>
      </w:r>
      <w:r w:rsidR="002A476C" w:rsidRPr="009D1BB6">
        <w:t>10</w:t>
      </w:r>
      <w:r w:rsidR="007232F8">
        <w:fldChar w:fldCharType="end"/>
      </w:r>
      <w:bookmarkEnd w:id="51"/>
      <w:r w:rsidRPr="001C59C3">
        <w:t>:</w:t>
      </w:r>
      <w:r w:rsidR="00354F64" w:rsidRPr="001C59C3">
        <w:t xml:space="preserve"> </w:t>
      </w:r>
      <w:r w:rsidR="00D15314" w:rsidRPr="001C59C3">
        <w:t>Sensitivity analyses</w:t>
      </w:r>
    </w:p>
    <w:tbl>
      <w:tblPr>
        <w:tblW w:w="8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603"/>
        <w:gridCol w:w="1146"/>
        <w:gridCol w:w="1148"/>
        <w:gridCol w:w="1147"/>
        <w:gridCol w:w="952"/>
      </w:tblGrid>
      <w:tr w:rsidR="005D49C9" w:rsidRPr="001C59C3" w14:paraId="269D423C" w14:textId="77777777" w:rsidTr="00776D51">
        <w:trPr>
          <w:cantSplit/>
          <w:tblHeader/>
        </w:trPr>
        <w:tc>
          <w:tcPr>
            <w:tcW w:w="4603" w:type="dxa"/>
            <w:vAlign w:val="center"/>
          </w:tcPr>
          <w:p w14:paraId="4753EBEE" w14:textId="77777777" w:rsidR="005D49C9" w:rsidRPr="009D1BB6" w:rsidRDefault="005D49C9" w:rsidP="009D49D5">
            <w:pPr>
              <w:pStyle w:val="COMTableheadingrow"/>
              <w:widowControl w:val="0"/>
              <w:rPr>
                <w:lang w:val="en-AU"/>
              </w:rPr>
            </w:pPr>
            <w:r w:rsidRPr="009D1BB6">
              <w:rPr>
                <w:lang w:val="en-AU"/>
              </w:rPr>
              <w:t>Analyses</w:t>
            </w:r>
          </w:p>
        </w:tc>
        <w:tc>
          <w:tcPr>
            <w:tcW w:w="1146" w:type="dxa"/>
            <w:vAlign w:val="center"/>
          </w:tcPr>
          <w:p w14:paraId="798EEC37" w14:textId="0DEBBC58" w:rsidR="005D49C9" w:rsidRPr="009D1BB6" w:rsidRDefault="005D49C9" w:rsidP="009D49D5">
            <w:pPr>
              <w:pStyle w:val="COMTableheadingrow"/>
              <w:widowControl w:val="0"/>
              <w:jc w:val="center"/>
              <w:rPr>
                <w:lang w:val="en-AU"/>
              </w:rPr>
            </w:pPr>
            <w:r w:rsidRPr="009D1BB6">
              <w:rPr>
                <w:lang w:val="en-AU"/>
              </w:rPr>
              <w:t>Incremental cost</w:t>
            </w:r>
            <w:r w:rsidR="00B619E8">
              <w:rPr>
                <w:lang w:val="en-AU"/>
              </w:rPr>
              <w:t xml:space="preserve"> </w:t>
            </w:r>
            <w:r w:rsidR="00B619E8">
              <w:t>($)</w:t>
            </w:r>
          </w:p>
        </w:tc>
        <w:tc>
          <w:tcPr>
            <w:tcW w:w="1148" w:type="dxa"/>
            <w:vAlign w:val="center"/>
          </w:tcPr>
          <w:p w14:paraId="7B08E340" w14:textId="77777777" w:rsidR="005D49C9" w:rsidRPr="009D1BB6" w:rsidRDefault="005D49C9" w:rsidP="009D49D5">
            <w:pPr>
              <w:pStyle w:val="COMTableheadingrow"/>
              <w:widowControl w:val="0"/>
              <w:jc w:val="center"/>
              <w:rPr>
                <w:lang w:val="en-AU"/>
              </w:rPr>
            </w:pPr>
            <w:r w:rsidRPr="009D1BB6">
              <w:rPr>
                <w:lang w:val="en-AU"/>
              </w:rPr>
              <w:t>Incremental QALY</w:t>
            </w:r>
          </w:p>
        </w:tc>
        <w:tc>
          <w:tcPr>
            <w:tcW w:w="1147" w:type="dxa"/>
            <w:vAlign w:val="center"/>
          </w:tcPr>
          <w:p w14:paraId="1F031666" w14:textId="008865A5" w:rsidR="005D49C9" w:rsidRPr="009D1BB6" w:rsidRDefault="005D49C9" w:rsidP="009D49D5">
            <w:pPr>
              <w:pStyle w:val="COMTableheadingrow"/>
              <w:widowControl w:val="0"/>
              <w:jc w:val="center"/>
              <w:rPr>
                <w:lang w:val="en-AU"/>
              </w:rPr>
            </w:pPr>
            <w:r w:rsidRPr="009D1BB6">
              <w:rPr>
                <w:lang w:val="en-AU"/>
              </w:rPr>
              <w:t>ICER</w:t>
            </w:r>
            <w:r w:rsidR="00B619E8">
              <w:rPr>
                <w:lang w:val="en-AU"/>
              </w:rPr>
              <w:t xml:space="preserve"> </w:t>
            </w:r>
            <w:r w:rsidR="00B619E8">
              <w:t>($)</w:t>
            </w:r>
          </w:p>
        </w:tc>
        <w:tc>
          <w:tcPr>
            <w:tcW w:w="952" w:type="dxa"/>
            <w:vAlign w:val="center"/>
          </w:tcPr>
          <w:p w14:paraId="547EFC2E" w14:textId="77777777" w:rsidR="005D49C9" w:rsidRPr="009D1BB6" w:rsidRDefault="005D49C9" w:rsidP="009D49D5">
            <w:pPr>
              <w:pStyle w:val="COMTableheadingrow"/>
              <w:widowControl w:val="0"/>
              <w:jc w:val="center"/>
              <w:rPr>
                <w:lang w:val="en-AU"/>
              </w:rPr>
            </w:pPr>
            <w:r w:rsidRPr="009D1BB6">
              <w:rPr>
                <w:lang w:val="en-AU"/>
              </w:rPr>
              <w:t>Change to ICER, %</w:t>
            </w:r>
          </w:p>
        </w:tc>
      </w:tr>
      <w:tr w:rsidR="005D49C9" w:rsidRPr="001C59C3" w14:paraId="7D9C2F46" w14:textId="77777777" w:rsidTr="00776D51">
        <w:trPr>
          <w:cantSplit/>
        </w:trPr>
        <w:tc>
          <w:tcPr>
            <w:tcW w:w="4603" w:type="dxa"/>
          </w:tcPr>
          <w:p w14:paraId="7A02C33F" w14:textId="671652A5" w:rsidR="005D49C9" w:rsidRPr="001C59C3" w:rsidRDefault="005D49C9" w:rsidP="009D49D5">
            <w:pPr>
              <w:pStyle w:val="COMTabletext"/>
              <w:widowControl w:val="0"/>
              <w:rPr>
                <w:b/>
                <w:bCs w:val="0"/>
              </w:rPr>
            </w:pPr>
            <w:r w:rsidRPr="001C59C3">
              <w:rPr>
                <w:b/>
                <w:bCs w:val="0"/>
              </w:rPr>
              <w:t>Revised base case</w:t>
            </w:r>
            <w:r w:rsidR="00B619E8">
              <w:rPr>
                <w:b/>
                <w:bCs w:val="0"/>
              </w:rPr>
              <w:t xml:space="preserve"> </w:t>
            </w:r>
          </w:p>
        </w:tc>
        <w:tc>
          <w:tcPr>
            <w:tcW w:w="1146" w:type="dxa"/>
            <w:vAlign w:val="center"/>
          </w:tcPr>
          <w:p w14:paraId="570944B7" w14:textId="437DEC88" w:rsidR="005D49C9" w:rsidRPr="00621588" w:rsidRDefault="008A42F6" w:rsidP="009D49D5">
            <w:pPr>
              <w:pStyle w:val="COMTabletext"/>
              <w:widowControl w:val="0"/>
              <w:jc w:val="center"/>
              <w:rPr>
                <w:highlight w:val="darkGray"/>
              </w:rPr>
            </w:pPr>
            <w:r>
              <w:t xml:space="preserve"> </w:t>
            </w:r>
            <w:r w:rsidRPr="008A42F6">
              <w:rPr>
                <w:rFonts w:hint="eastAsia"/>
                <w:color w:val="000000"/>
                <w:w w:val="15"/>
                <w:shd w:val="solid" w:color="000000" w:fill="000000"/>
                <w:fitText w:val="60" w:id="-1032102901"/>
                <w14:textFill>
                  <w14:solidFill>
                    <w14:srgbClr w14:val="000000">
                      <w14:alpha w14:val="100000"/>
                    </w14:srgbClr>
                  </w14:solidFill>
                </w14:textFill>
              </w:rPr>
              <w:t xml:space="preserve">　</w:t>
            </w:r>
            <w:r w:rsidRPr="008A42F6">
              <w:rPr>
                <w:color w:val="000000"/>
                <w:w w:val="15"/>
                <w:shd w:val="solid" w:color="000000" w:fill="000000"/>
                <w:fitText w:val="60" w:id="-1032102901"/>
                <w14:textFill>
                  <w14:solidFill>
                    <w14:srgbClr w14:val="000000">
                      <w14:alpha w14:val="100000"/>
                    </w14:srgbClr>
                  </w14:solidFill>
                </w14:textFill>
              </w:rPr>
              <w:t>|</w:t>
            </w:r>
            <w:r w:rsidRPr="008A42F6">
              <w:rPr>
                <w:rFonts w:hint="eastAsia"/>
                <w:color w:val="000000"/>
                <w:spacing w:val="-5"/>
                <w:w w:val="15"/>
                <w:shd w:val="solid" w:color="000000" w:fill="000000"/>
                <w:fitText w:val="60" w:id="-1032102901"/>
                <w14:textFill>
                  <w14:solidFill>
                    <w14:srgbClr w14:val="000000">
                      <w14:alpha w14:val="100000"/>
                    </w14:srgbClr>
                  </w14:solidFill>
                </w14:textFill>
              </w:rPr>
              <w:t xml:space="preserve">　</w:t>
            </w:r>
          </w:p>
        </w:tc>
        <w:tc>
          <w:tcPr>
            <w:tcW w:w="1148" w:type="dxa"/>
            <w:vAlign w:val="center"/>
          </w:tcPr>
          <w:p w14:paraId="199E1200" w14:textId="77777777" w:rsidR="005D49C9" w:rsidRPr="001C59C3" w:rsidRDefault="005D49C9" w:rsidP="009D49D5">
            <w:pPr>
              <w:pStyle w:val="COMTabletext"/>
              <w:widowControl w:val="0"/>
              <w:jc w:val="center"/>
            </w:pPr>
            <w:r w:rsidRPr="001C59C3">
              <w:t>0.0922</w:t>
            </w:r>
          </w:p>
        </w:tc>
        <w:tc>
          <w:tcPr>
            <w:tcW w:w="1147" w:type="dxa"/>
            <w:vAlign w:val="center"/>
          </w:tcPr>
          <w:p w14:paraId="60254498" w14:textId="77565E93" w:rsidR="005D49C9" w:rsidRPr="00621588" w:rsidRDefault="008A42F6" w:rsidP="009D49D5">
            <w:pPr>
              <w:pStyle w:val="COMTabletext"/>
              <w:widowControl w:val="0"/>
              <w:jc w:val="center"/>
              <w:rPr>
                <w:highlight w:val="darkGray"/>
              </w:rPr>
            </w:pPr>
            <w:r>
              <w:t xml:space="preserve"> </w:t>
            </w:r>
            <w:r w:rsidRPr="008A42F6">
              <w:rPr>
                <w:rFonts w:hint="eastAsia"/>
                <w:color w:val="000000"/>
                <w:w w:val="18"/>
                <w:shd w:val="solid" w:color="000000" w:fill="000000"/>
                <w:fitText w:val="80" w:id="-1032102900"/>
                <w14:textFill>
                  <w14:solidFill>
                    <w14:srgbClr w14:val="000000">
                      <w14:alpha w14:val="100000"/>
                    </w14:srgbClr>
                  </w14:solidFill>
                </w14:textFill>
              </w:rPr>
              <w:t xml:space="preserve">　</w:t>
            </w:r>
            <w:r w:rsidRPr="008A42F6">
              <w:rPr>
                <w:color w:val="000000"/>
                <w:w w:val="18"/>
                <w:shd w:val="solid" w:color="000000" w:fill="000000"/>
                <w:fitText w:val="80" w:id="-1032102900"/>
                <w14:textFill>
                  <w14:solidFill>
                    <w14:srgbClr w14:val="000000">
                      <w14:alpha w14:val="100000"/>
                    </w14:srgbClr>
                  </w14:solidFill>
                </w14:textFill>
              </w:rPr>
              <w:t>|</w:t>
            </w:r>
            <w:r w:rsidRPr="008A42F6">
              <w:rPr>
                <w:rFonts w:hint="eastAsia"/>
                <w:color w:val="000000"/>
                <w:w w:val="18"/>
                <w:shd w:val="solid" w:color="000000" w:fill="000000"/>
                <w:fitText w:val="80" w:id="-1032102900"/>
                <w14:textFill>
                  <w14:solidFill>
                    <w14:srgbClr w14:val="000000">
                      <w14:alpha w14:val="100000"/>
                    </w14:srgbClr>
                  </w14:solidFill>
                </w14:textFill>
              </w:rPr>
              <w:t xml:space="preserve">　</w:t>
            </w:r>
            <w:r w:rsidR="00817E75" w:rsidRPr="00055D6B">
              <w:rPr>
                <w:vertAlign w:val="superscript"/>
              </w:rPr>
              <w:t>3</w:t>
            </w:r>
          </w:p>
        </w:tc>
        <w:tc>
          <w:tcPr>
            <w:tcW w:w="952" w:type="dxa"/>
            <w:vAlign w:val="center"/>
          </w:tcPr>
          <w:p w14:paraId="10C556B6" w14:textId="77777777" w:rsidR="005D49C9" w:rsidRPr="001C59C3" w:rsidRDefault="005D49C9" w:rsidP="009D49D5">
            <w:pPr>
              <w:pStyle w:val="COMTabletext"/>
              <w:widowControl w:val="0"/>
              <w:jc w:val="center"/>
            </w:pPr>
            <w:r w:rsidRPr="001C59C3">
              <w:t>-</w:t>
            </w:r>
          </w:p>
        </w:tc>
      </w:tr>
      <w:tr w:rsidR="005D49C9" w:rsidRPr="001C59C3" w14:paraId="796C3667" w14:textId="77777777" w:rsidTr="00776D51">
        <w:trPr>
          <w:cantSplit/>
        </w:trPr>
        <w:tc>
          <w:tcPr>
            <w:tcW w:w="4603" w:type="dxa"/>
          </w:tcPr>
          <w:p w14:paraId="6BCE823E" w14:textId="77777777" w:rsidR="005D49C9" w:rsidRPr="001C59C3" w:rsidRDefault="005D49C9" w:rsidP="009D49D5">
            <w:pPr>
              <w:pStyle w:val="COMTabletext"/>
              <w:widowControl w:val="0"/>
              <w:rPr>
                <w:b/>
                <w:bCs w:val="0"/>
              </w:rPr>
            </w:pPr>
            <w:r w:rsidRPr="001C59C3">
              <w:rPr>
                <w:b/>
                <w:bCs w:val="0"/>
              </w:rPr>
              <w:t>Resubmission’s base case (difelikefalin DPMQ $352.42; adverse event disutility applied to all patients in difelikefalin arm regardless of treatment status)</w:t>
            </w:r>
          </w:p>
        </w:tc>
        <w:tc>
          <w:tcPr>
            <w:tcW w:w="1146" w:type="dxa"/>
            <w:vAlign w:val="center"/>
          </w:tcPr>
          <w:p w14:paraId="6C67816D" w14:textId="393C97DB" w:rsidR="005D49C9" w:rsidRPr="00621588" w:rsidRDefault="008A42F6" w:rsidP="009D49D5">
            <w:pPr>
              <w:pStyle w:val="COMTabletext"/>
              <w:widowControl w:val="0"/>
              <w:jc w:val="center"/>
              <w:rPr>
                <w:highlight w:val="darkGray"/>
              </w:rPr>
            </w:pPr>
            <w:r>
              <w:t xml:space="preserve"> </w:t>
            </w:r>
            <w:r w:rsidRPr="008A42F6">
              <w:rPr>
                <w:rFonts w:hint="eastAsia"/>
                <w:color w:val="000000"/>
                <w:w w:val="15"/>
                <w:shd w:val="solid" w:color="000000" w:fill="000000"/>
                <w:fitText w:val="60" w:id="-1032102899"/>
                <w14:textFill>
                  <w14:solidFill>
                    <w14:srgbClr w14:val="000000">
                      <w14:alpha w14:val="100000"/>
                    </w14:srgbClr>
                  </w14:solidFill>
                </w14:textFill>
              </w:rPr>
              <w:t xml:space="preserve">　</w:t>
            </w:r>
            <w:r w:rsidRPr="008A42F6">
              <w:rPr>
                <w:color w:val="000000"/>
                <w:w w:val="15"/>
                <w:shd w:val="solid" w:color="000000" w:fill="000000"/>
                <w:fitText w:val="60" w:id="-1032102899"/>
                <w14:textFill>
                  <w14:solidFill>
                    <w14:srgbClr w14:val="000000">
                      <w14:alpha w14:val="100000"/>
                    </w14:srgbClr>
                  </w14:solidFill>
                </w14:textFill>
              </w:rPr>
              <w:t>|</w:t>
            </w:r>
            <w:r w:rsidRPr="008A42F6">
              <w:rPr>
                <w:rFonts w:hint="eastAsia"/>
                <w:color w:val="000000"/>
                <w:spacing w:val="-5"/>
                <w:w w:val="15"/>
                <w:shd w:val="solid" w:color="000000" w:fill="000000"/>
                <w:fitText w:val="60" w:id="-1032102899"/>
                <w14:textFill>
                  <w14:solidFill>
                    <w14:srgbClr w14:val="000000">
                      <w14:alpha w14:val="100000"/>
                    </w14:srgbClr>
                  </w14:solidFill>
                </w14:textFill>
              </w:rPr>
              <w:t xml:space="preserve">　</w:t>
            </w:r>
          </w:p>
        </w:tc>
        <w:tc>
          <w:tcPr>
            <w:tcW w:w="1148" w:type="dxa"/>
            <w:vAlign w:val="center"/>
          </w:tcPr>
          <w:p w14:paraId="59DD2B02" w14:textId="77777777" w:rsidR="005D49C9" w:rsidRPr="001C59C3" w:rsidRDefault="005D49C9" w:rsidP="009D49D5">
            <w:pPr>
              <w:pStyle w:val="COMTabletext"/>
              <w:widowControl w:val="0"/>
              <w:jc w:val="center"/>
            </w:pPr>
            <w:r w:rsidRPr="001C59C3">
              <w:t>0.0913</w:t>
            </w:r>
          </w:p>
        </w:tc>
        <w:tc>
          <w:tcPr>
            <w:tcW w:w="1147" w:type="dxa"/>
            <w:vAlign w:val="center"/>
          </w:tcPr>
          <w:p w14:paraId="14C7C1AC" w14:textId="7C2673ED" w:rsidR="005D49C9" w:rsidRPr="00621588" w:rsidRDefault="008A42F6" w:rsidP="009D49D5">
            <w:pPr>
              <w:pStyle w:val="COMTabletext"/>
              <w:widowControl w:val="0"/>
              <w:jc w:val="center"/>
              <w:rPr>
                <w:highlight w:val="darkGray"/>
              </w:rPr>
            </w:pPr>
            <w:r>
              <w:t xml:space="preserve"> </w:t>
            </w:r>
            <w:r w:rsidRPr="008A42F6">
              <w:rPr>
                <w:rFonts w:hint="eastAsia"/>
                <w:color w:val="000000"/>
                <w:w w:val="18"/>
                <w:shd w:val="solid" w:color="000000" w:fill="000000"/>
                <w:fitText w:val="80" w:id="-1032102898"/>
                <w14:textFill>
                  <w14:solidFill>
                    <w14:srgbClr w14:val="000000">
                      <w14:alpha w14:val="100000"/>
                    </w14:srgbClr>
                  </w14:solidFill>
                </w14:textFill>
              </w:rPr>
              <w:t xml:space="preserve">　</w:t>
            </w:r>
            <w:r w:rsidRPr="008A42F6">
              <w:rPr>
                <w:color w:val="000000"/>
                <w:w w:val="18"/>
                <w:shd w:val="solid" w:color="000000" w:fill="000000"/>
                <w:fitText w:val="80" w:id="-1032102898"/>
                <w14:textFill>
                  <w14:solidFill>
                    <w14:srgbClr w14:val="000000">
                      <w14:alpha w14:val="100000"/>
                    </w14:srgbClr>
                  </w14:solidFill>
                </w14:textFill>
              </w:rPr>
              <w:t>|</w:t>
            </w:r>
            <w:r w:rsidRPr="008A42F6">
              <w:rPr>
                <w:rFonts w:hint="eastAsia"/>
                <w:color w:val="000000"/>
                <w:w w:val="18"/>
                <w:shd w:val="solid" w:color="000000" w:fill="000000"/>
                <w:fitText w:val="80" w:id="-1032102898"/>
                <w14:textFill>
                  <w14:solidFill>
                    <w14:srgbClr w14:val="000000">
                      <w14:alpha w14:val="100000"/>
                    </w14:srgbClr>
                  </w14:solidFill>
                </w14:textFill>
              </w:rPr>
              <w:t xml:space="preserve">　</w:t>
            </w:r>
            <w:r w:rsidR="002B5DDD" w:rsidRPr="00055D6B">
              <w:rPr>
                <w:vertAlign w:val="superscript"/>
              </w:rPr>
              <w:t>5</w:t>
            </w:r>
          </w:p>
        </w:tc>
        <w:tc>
          <w:tcPr>
            <w:tcW w:w="952" w:type="dxa"/>
            <w:vAlign w:val="center"/>
          </w:tcPr>
          <w:p w14:paraId="4E5DA412" w14:textId="477F4F30" w:rsidR="005D49C9" w:rsidRPr="001C59C3" w:rsidRDefault="005D49C9" w:rsidP="009D49D5">
            <w:pPr>
              <w:pStyle w:val="COMTabletext"/>
              <w:widowControl w:val="0"/>
              <w:jc w:val="center"/>
            </w:pPr>
            <w:r w:rsidRPr="001C59C3">
              <w:t>+</w:t>
            </w:r>
            <w:r w:rsidR="008A42F6">
              <w:t xml:space="preserve"> </w:t>
            </w:r>
            <w:r w:rsidR="008A42F6" w:rsidRPr="008A42F6">
              <w:rPr>
                <w:color w:val="000000"/>
                <w:spacing w:val="114"/>
                <w:shd w:val="solid" w:color="000000" w:fill="000000"/>
                <w:fitText w:val="200" w:id="-1032102897"/>
                <w14:textFill>
                  <w14:solidFill>
                    <w14:srgbClr w14:val="000000">
                      <w14:alpha w14:val="100000"/>
                    </w14:srgbClr>
                  </w14:solidFill>
                </w14:textFill>
              </w:rPr>
              <w:t>|</w:t>
            </w:r>
            <w:r w:rsidR="008A42F6" w:rsidRPr="008A42F6">
              <w:rPr>
                <w:color w:val="000000"/>
                <w:spacing w:val="1"/>
                <w:shd w:val="solid" w:color="000000" w:fill="000000"/>
                <w:fitText w:val="200" w:id="-1032102897"/>
                <w14:textFill>
                  <w14:solidFill>
                    <w14:srgbClr w14:val="000000">
                      <w14:alpha w14:val="100000"/>
                    </w14:srgbClr>
                  </w14:solidFill>
                </w14:textFill>
              </w:rPr>
              <w:t>|</w:t>
            </w:r>
          </w:p>
        </w:tc>
      </w:tr>
      <w:tr w:rsidR="005D49C9" w:rsidRPr="001C59C3" w14:paraId="31DE31E4" w14:textId="77777777" w:rsidTr="00776D51">
        <w:trPr>
          <w:cantSplit/>
        </w:trPr>
        <w:tc>
          <w:tcPr>
            <w:tcW w:w="8996" w:type="dxa"/>
            <w:gridSpan w:val="5"/>
          </w:tcPr>
          <w:p w14:paraId="477014E3" w14:textId="77777777" w:rsidR="005D49C9" w:rsidRPr="009D1BB6" w:rsidRDefault="005D49C9" w:rsidP="009D49D5">
            <w:pPr>
              <w:pStyle w:val="COMTableheadingrow"/>
              <w:widowControl w:val="0"/>
              <w:rPr>
                <w:lang w:val="en-AU"/>
              </w:rPr>
            </w:pPr>
            <w:r w:rsidRPr="009D1BB6">
              <w:rPr>
                <w:lang w:val="en-AU"/>
              </w:rPr>
              <w:t>Discount rate (base case 5%)</w:t>
            </w:r>
          </w:p>
        </w:tc>
      </w:tr>
      <w:tr w:rsidR="005D49C9" w:rsidRPr="001C59C3" w14:paraId="01C8C1DD" w14:textId="77777777" w:rsidTr="00776D51">
        <w:trPr>
          <w:cantSplit/>
        </w:trPr>
        <w:tc>
          <w:tcPr>
            <w:tcW w:w="4603" w:type="dxa"/>
          </w:tcPr>
          <w:p w14:paraId="342CC11C" w14:textId="77777777" w:rsidR="005D49C9" w:rsidRPr="001C59C3" w:rsidRDefault="005D49C9" w:rsidP="009D49D5">
            <w:pPr>
              <w:pStyle w:val="COMTabletext"/>
              <w:widowControl w:val="0"/>
            </w:pPr>
            <w:r w:rsidRPr="001C59C3">
              <w:t>0%</w:t>
            </w:r>
          </w:p>
        </w:tc>
        <w:tc>
          <w:tcPr>
            <w:tcW w:w="1146" w:type="dxa"/>
            <w:vAlign w:val="center"/>
          </w:tcPr>
          <w:p w14:paraId="33F91B60" w14:textId="5F7C2805" w:rsidR="005D49C9" w:rsidRPr="00621588" w:rsidRDefault="008A42F6" w:rsidP="009D49D5">
            <w:pPr>
              <w:pStyle w:val="COMTabletext"/>
              <w:widowControl w:val="0"/>
              <w:jc w:val="center"/>
              <w:rPr>
                <w:highlight w:val="darkGray"/>
              </w:rPr>
            </w:pPr>
            <w:r>
              <w:t xml:space="preserve"> </w:t>
            </w:r>
            <w:r w:rsidRPr="008A42F6">
              <w:rPr>
                <w:rFonts w:hint="eastAsia"/>
                <w:color w:val="000000"/>
                <w:w w:val="15"/>
                <w:shd w:val="solid" w:color="000000" w:fill="000000"/>
                <w:fitText w:val="60" w:id="-1032102896"/>
                <w14:textFill>
                  <w14:solidFill>
                    <w14:srgbClr w14:val="000000">
                      <w14:alpha w14:val="100000"/>
                    </w14:srgbClr>
                  </w14:solidFill>
                </w14:textFill>
              </w:rPr>
              <w:t xml:space="preserve">　</w:t>
            </w:r>
            <w:r w:rsidRPr="008A42F6">
              <w:rPr>
                <w:color w:val="000000"/>
                <w:w w:val="15"/>
                <w:shd w:val="solid" w:color="000000" w:fill="000000"/>
                <w:fitText w:val="60" w:id="-1032102896"/>
                <w14:textFill>
                  <w14:solidFill>
                    <w14:srgbClr w14:val="000000">
                      <w14:alpha w14:val="100000"/>
                    </w14:srgbClr>
                  </w14:solidFill>
                </w14:textFill>
              </w:rPr>
              <w:t>|</w:t>
            </w:r>
            <w:r w:rsidRPr="008A42F6">
              <w:rPr>
                <w:rFonts w:hint="eastAsia"/>
                <w:color w:val="000000"/>
                <w:spacing w:val="-5"/>
                <w:w w:val="15"/>
                <w:shd w:val="solid" w:color="000000" w:fill="000000"/>
                <w:fitText w:val="60" w:id="-1032102896"/>
                <w14:textFill>
                  <w14:solidFill>
                    <w14:srgbClr w14:val="000000">
                      <w14:alpha w14:val="100000"/>
                    </w14:srgbClr>
                  </w14:solidFill>
                </w14:textFill>
              </w:rPr>
              <w:t xml:space="preserve">　</w:t>
            </w:r>
          </w:p>
        </w:tc>
        <w:tc>
          <w:tcPr>
            <w:tcW w:w="1148" w:type="dxa"/>
            <w:vAlign w:val="center"/>
          </w:tcPr>
          <w:p w14:paraId="769C014C" w14:textId="77777777" w:rsidR="005D49C9" w:rsidRPr="001C59C3" w:rsidRDefault="005D49C9" w:rsidP="009D49D5">
            <w:pPr>
              <w:pStyle w:val="COMTabletext"/>
              <w:widowControl w:val="0"/>
              <w:jc w:val="center"/>
            </w:pPr>
            <w:r w:rsidRPr="001C59C3">
              <w:t>0.1040</w:t>
            </w:r>
          </w:p>
        </w:tc>
        <w:tc>
          <w:tcPr>
            <w:tcW w:w="1147" w:type="dxa"/>
            <w:vAlign w:val="center"/>
          </w:tcPr>
          <w:p w14:paraId="59EAAF21" w14:textId="2CE5D659" w:rsidR="005D49C9" w:rsidRPr="00621588" w:rsidRDefault="008A42F6" w:rsidP="009D49D5">
            <w:pPr>
              <w:pStyle w:val="COMTabletext"/>
              <w:widowControl w:val="0"/>
              <w:jc w:val="center"/>
              <w:rPr>
                <w:highlight w:val="darkGray"/>
              </w:rPr>
            </w:pPr>
            <w:r>
              <w:t xml:space="preserve"> </w:t>
            </w:r>
            <w:r w:rsidRPr="008A42F6">
              <w:rPr>
                <w:rFonts w:hint="eastAsia"/>
                <w:color w:val="000000"/>
                <w:w w:val="18"/>
                <w:shd w:val="solid" w:color="000000" w:fill="000000"/>
                <w:fitText w:val="80" w:id="-1032102656"/>
                <w14:textFill>
                  <w14:solidFill>
                    <w14:srgbClr w14:val="000000">
                      <w14:alpha w14:val="100000"/>
                    </w14:srgbClr>
                  </w14:solidFill>
                </w14:textFill>
              </w:rPr>
              <w:t xml:space="preserve">　</w:t>
            </w:r>
            <w:r w:rsidRPr="008A42F6">
              <w:rPr>
                <w:color w:val="000000"/>
                <w:w w:val="18"/>
                <w:shd w:val="solid" w:color="000000" w:fill="000000"/>
                <w:fitText w:val="80" w:id="-1032102656"/>
                <w14:textFill>
                  <w14:solidFill>
                    <w14:srgbClr w14:val="000000">
                      <w14:alpha w14:val="100000"/>
                    </w14:srgbClr>
                  </w14:solidFill>
                </w14:textFill>
              </w:rPr>
              <w:t>|</w:t>
            </w:r>
            <w:r w:rsidRPr="008A42F6">
              <w:rPr>
                <w:rFonts w:hint="eastAsia"/>
                <w:color w:val="000000"/>
                <w:w w:val="18"/>
                <w:shd w:val="solid" w:color="000000" w:fill="000000"/>
                <w:fitText w:val="80" w:id="-1032102656"/>
                <w14:textFill>
                  <w14:solidFill>
                    <w14:srgbClr w14:val="000000">
                      <w14:alpha w14:val="100000"/>
                    </w14:srgbClr>
                  </w14:solidFill>
                </w14:textFill>
              </w:rPr>
              <w:t xml:space="preserve">　</w:t>
            </w:r>
            <w:r w:rsidR="002B5DDD" w:rsidRPr="00055D6B">
              <w:rPr>
                <w:vertAlign w:val="superscript"/>
              </w:rPr>
              <w:t>3</w:t>
            </w:r>
          </w:p>
        </w:tc>
        <w:tc>
          <w:tcPr>
            <w:tcW w:w="952" w:type="dxa"/>
            <w:vAlign w:val="center"/>
          </w:tcPr>
          <w:p w14:paraId="1B4D5BD5" w14:textId="5755D3EA" w:rsidR="005D49C9" w:rsidRPr="001C59C3" w:rsidRDefault="005D49C9" w:rsidP="009D49D5">
            <w:pPr>
              <w:pStyle w:val="COMTabletext"/>
              <w:widowControl w:val="0"/>
              <w:jc w:val="center"/>
            </w:pPr>
            <w:r w:rsidRPr="001C59C3">
              <w:t>-</w:t>
            </w:r>
            <w:r w:rsidR="008A42F6">
              <w:t xml:space="preserve"> </w:t>
            </w:r>
            <w:r w:rsidR="008A42F6" w:rsidRPr="008A42F6">
              <w:rPr>
                <w:color w:val="000000"/>
                <w:spacing w:val="94"/>
                <w:shd w:val="solid" w:color="000000" w:fill="000000"/>
                <w:fitText w:val="180" w:id="-1032102655"/>
                <w14:textFill>
                  <w14:solidFill>
                    <w14:srgbClr w14:val="000000">
                      <w14:alpha w14:val="100000"/>
                    </w14:srgbClr>
                  </w14:solidFill>
                </w14:textFill>
              </w:rPr>
              <w:t>|</w:t>
            </w:r>
            <w:r w:rsidR="008A42F6" w:rsidRPr="008A42F6">
              <w:rPr>
                <w:color w:val="000000"/>
                <w:spacing w:val="1"/>
                <w:shd w:val="solid" w:color="000000" w:fill="000000"/>
                <w:fitText w:val="180" w:id="-1032102655"/>
                <w14:textFill>
                  <w14:solidFill>
                    <w14:srgbClr w14:val="000000">
                      <w14:alpha w14:val="100000"/>
                    </w14:srgbClr>
                  </w14:solidFill>
                </w14:textFill>
              </w:rPr>
              <w:t>|</w:t>
            </w:r>
          </w:p>
        </w:tc>
      </w:tr>
      <w:tr w:rsidR="005D49C9" w:rsidRPr="001C59C3" w14:paraId="0F9D8A20" w14:textId="77777777" w:rsidTr="00776D51">
        <w:trPr>
          <w:cantSplit/>
        </w:trPr>
        <w:tc>
          <w:tcPr>
            <w:tcW w:w="4603" w:type="dxa"/>
          </w:tcPr>
          <w:p w14:paraId="0DC1F9B4" w14:textId="77777777" w:rsidR="005D49C9" w:rsidRPr="001C59C3" w:rsidRDefault="005D49C9" w:rsidP="009D49D5">
            <w:pPr>
              <w:pStyle w:val="COMTabletext"/>
              <w:widowControl w:val="0"/>
            </w:pPr>
            <w:r w:rsidRPr="001C59C3">
              <w:t>3.5%</w:t>
            </w:r>
          </w:p>
        </w:tc>
        <w:tc>
          <w:tcPr>
            <w:tcW w:w="1146" w:type="dxa"/>
            <w:vAlign w:val="center"/>
          </w:tcPr>
          <w:p w14:paraId="65952DA1" w14:textId="39CF0471" w:rsidR="005D49C9" w:rsidRPr="00621588" w:rsidRDefault="008A42F6" w:rsidP="009D49D5">
            <w:pPr>
              <w:pStyle w:val="COMTabletext"/>
              <w:widowControl w:val="0"/>
              <w:jc w:val="center"/>
              <w:rPr>
                <w:highlight w:val="darkGray"/>
              </w:rPr>
            </w:pPr>
            <w:r>
              <w:t xml:space="preserve"> </w:t>
            </w:r>
            <w:r w:rsidRPr="008A42F6">
              <w:rPr>
                <w:rFonts w:hint="eastAsia"/>
                <w:color w:val="000000"/>
                <w:w w:val="15"/>
                <w:shd w:val="solid" w:color="000000" w:fill="000000"/>
                <w:fitText w:val="60" w:id="-1032102654"/>
                <w14:textFill>
                  <w14:solidFill>
                    <w14:srgbClr w14:val="000000">
                      <w14:alpha w14:val="100000"/>
                    </w14:srgbClr>
                  </w14:solidFill>
                </w14:textFill>
              </w:rPr>
              <w:t xml:space="preserve">　</w:t>
            </w:r>
            <w:r w:rsidRPr="008A42F6">
              <w:rPr>
                <w:color w:val="000000"/>
                <w:w w:val="15"/>
                <w:shd w:val="solid" w:color="000000" w:fill="000000"/>
                <w:fitText w:val="60" w:id="-1032102654"/>
                <w14:textFill>
                  <w14:solidFill>
                    <w14:srgbClr w14:val="000000">
                      <w14:alpha w14:val="100000"/>
                    </w14:srgbClr>
                  </w14:solidFill>
                </w14:textFill>
              </w:rPr>
              <w:t>|</w:t>
            </w:r>
            <w:r w:rsidRPr="008A42F6">
              <w:rPr>
                <w:rFonts w:hint="eastAsia"/>
                <w:color w:val="000000"/>
                <w:spacing w:val="-5"/>
                <w:w w:val="15"/>
                <w:shd w:val="solid" w:color="000000" w:fill="000000"/>
                <w:fitText w:val="60" w:id="-1032102654"/>
                <w14:textFill>
                  <w14:solidFill>
                    <w14:srgbClr w14:val="000000">
                      <w14:alpha w14:val="100000"/>
                    </w14:srgbClr>
                  </w14:solidFill>
                </w14:textFill>
              </w:rPr>
              <w:t xml:space="preserve">　</w:t>
            </w:r>
          </w:p>
        </w:tc>
        <w:tc>
          <w:tcPr>
            <w:tcW w:w="1148" w:type="dxa"/>
            <w:vAlign w:val="center"/>
          </w:tcPr>
          <w:p w14:paraId="27047605" w14:textId="77777777" w:rsidR="005D49C9" w:rsidRPr="001C59C3" w:rsidRDefault="005D49C9" w:rsidP="009D49D5">
            <w:pPr>
              <w:pStyle w:val="COMTabletext"/>
              <w:widowControl w:val="0"/>
              <w:jc w:val="center"/>
            </w:pPr>
            <w:r w:rsidRPr="001C59C3">
              <w:t>0.0956</w:t>
            </w:r>
          </w:p>
        </w:tc>
        <w:tc>
          <w:tcPr>
            <w:tcW w:w="1147" w:type="dxa"/>
            <w:vAlign w:val="center"/>
          </w:tcPr>
          <w:p w14:paraId="7130734F" w14:textId="5384001C" w:rsidR="005D49C9" w:rsidRPr="00621588" w:rsidRDefault="008A42F6" w:rsidP="009D49D5">
            <w:pPr>
              <w:pStyle w:val="COMTabletext"/>
              <w:widowControl w:val="0"/>
              <w:jc w:val="center"/>
              <w:rPr>
                <w:highlight w:val="darkGray"/>
              </w:rPr>
            </w:pPr>
            <w:r>
              <w:t xml:space="preserve"> </w:t>
            </w:r>
            <w:r w:rsidRPr="008A42F6">
              <w:rPr>
                <w:rFonts w:hint="eastAsia"/>
                <w:color w:val="000000"/>
                <w:w w:val="18"/>
                <w:shd w:val="solid" w:color="000000" w:fill="000000"/>
                <w:fitText w:val="80" w:id="-1032102653"/>
                <w14:textFill>
                  <w14:solidFill>
                    <w14:srgbClr w14:val="000000">
                      <w14:alpha w14:val="100000"/>
                    </w14:srgbClr>
                  </w14:solidFill>
                </w14:textFill>
              </w:rPr>
              <w:t xml:space="preserve">　</w:t>
            </w:r>
            <w:r w:rsidRPr="008A42F6">
              <w:rPr>
                <w:color w:val="000000"/>
                <w:w w:val="18"/>
                <w:shd w:val="solid" w:color="000000" w:fill="000000"/>
                <w:fitText w:val="80" w:id="-1032102653"/>
                <w14:textFill>
                  <w14:solidFill>
                    <w14:srgbClr w14:val="000000">
                      <w14:alpha w14:val="100000"/>
                    </w14:srgbClr>
                  </w14:solidFill>
                </w14:textFill>
              </w:rPr>
              <w:t>|</w:t>
            </w:r>
            <w:r w:rsidRPr="008A42F6">
              <w:rPr>
                <w:rFonts w:hint="eastAsia"/>
                <w:color w:val="000000"/>
                <w:w w:val="18"/>
                <w:shd w:val="solid" w:color="000000" w:fill="000000"/>
                <w:fitText w:val="80" w:id="-1032102653"/>
                <w14:textFill>
                  <w14:solidFill>
                    <w14:srgbClr w14:val="000000">
                      <w14:alpha w14:val="100000"/>
                    </w14:srgbClr>
                  </w14:solidFill>
                </w14:textFill>
              </w:rPr>
              <w:t xml:space="preserve">　</w:t>
            </w:r>
            <w:r w:rsidR="002B5DDD" w:rsidRPr="00055D6B">
              <w:rPr>
                <w:vertAlign w:val="superscript"/>
              </w:rPr>
              <w:t>3</w:t>
            </w:r>
          </w:p>
        </w:tc>
        <w:tc>
          <w:tcPr>
            <w:tcW w:w="952" w:type="dxa"/>
            <w:vAlign w:val="center"/>
          </w:tcPr>
          <w:p w14:paraId="6AC48134" w14:textId="4F7AE78A" w:rsidR="005D49C9" w:rsidRPr="001C59C3" w:rsidRDefault="005D49C9" w:rsidP="009D49D5">
            <w:pPr>
              <w:pStyle w:val="COMTabletext"/>
              <w:widowControl w:val="0"/>
              <w:jc w:val="center"/>
            </w:pPr>
            <w:r w:rsidRPr="001C59C3">
              <w:t>-</w:t>
            </w:r>
            <w:r w:rsidR="008A42F6">
              <w:t xml:space="preserve"> </w:t>
            </w:r>
            <w:r w:rsidR="008A42F6" w:rsidRPr="008A42F6">
              <w:rPr>
                <w:color w:val="000000"/>
                <w:spacing w:val="94"/>
                <w:shd w:val="solid" w:color="000000" w:fill="000000"/>
                <w:fitText w:val="180" w:id="-1032102652"/>
                <w14:textFill>
                  <w14:solidFill>
                    <w14:srgbClr w14:val="000000">
                      <w14:alpha w14:val="100000"/>
                    </w14:srgbClr>
                  </w14:solidFill>
                </w14:textFill>
              </w:rPr>
              <w:t>|</w:t>
            </w:r>
            <w:r w:rsidR="008A42F6" w:rsidRPr="008A42F6">
              <w:rPr>
                <w:color w:val="000000"/>
                <w:spacing w:val="1"/>
                <w:shd w:val="solid" w:color="000000" w:fill="000000"/>
                <w:fitText w:val="180" w:id="-1032102652"/>
                <w14:textFill>
                  <w14:solidFill>
                    <w14:srgbClr w14:val="000000">
                      <w14:alpha w14:val="100000"/>
                    </w14:srgbClr>
                  </w14:solidFill>
                </w14:textFill>
              </w:rPr>
              <w:t>|</w:t>
            </w:r>
          </w:p>
        </w:tc>
      </w:tr>
      <w:tr w:rsidR="005D49C9" w:rsidRPr="001C59C3" w14:paraId="119CAB53" w14:textId="77777777" w:rsidTr="00776D51">
        <w:trPr>
          <w:cantSplit/>
        </w:trPr>
        <w:tc>
          <w:tcPr>
            <w:tcW w:w="8996" w:type="dxa"/>
            <w:gridSpan w:val="5"/>
            <w:vAlign w:val="center"/>
          </w:tcPr>
          <w:p w14:paraId="29C8A633" w14:textId="21EF4934" w:rsidR="005D49C9" w:rsidRPr="009D1BB6" w:rsidRDefault="005D49C9" w:rsidP="009D49D5">
            <w:pPr>
              <w:pStyle w:val="COMTableheadingrow"/>
              <w:widowControl w:val="0"/>
              <w:rPr>
                <w:lang w:val="en-AU"/>
              </w:rPr>
            </w:pPr>
            <w:r w:rsidRPr="009D1BB6">
              <w:rPr>
                <w:lang w:val="en-AU"/>
              </w:rPr>
              <w:t>Time horizon</w:t>
            </w:r>
            <w:r w:rsidR="00913273" w:rsidRPr="009D1BB6">
              <w:rPr>
                <w:lang w:val="en-AU"/>
              </w:rPr>
              <w:t xml:space="preserve"> (base case 5 years)</w:t>
            </w:r>
          </w:p>
        </w:tc>
      </w:tr>
      <w:tr w:rsidR="005D49C9" w:rsidRPr="001C59C3" w14:paraId="5846594F" w14:textId="77777777" w:rsidTr="00776D51">
        <w:trPr>
          <w:cantSplit/>
        </w:trPr>
        <w:tc>
          <w:tcPr>
            <w:tcW w:w="4603" w:type="dxa"/>
          </w:tcPr>
          <w:p w14:paraId="42655CDA" w14:textId="77777777" w:rsidR="005D49C9" w:rsidRPr="001C59C3" w:rsidRDefault="005D49C9" w:rsidP="009D49D5">
            <w:pPr>
              <w:pStyle w:val="COMTabletext"/>
              <w:widowControl w:val="0"/>
            </w:pPr>
            <w:r w:rsidRPr="001C59C3">
              <w:t>64 weeks</w:t>
            </w:r>
          </w:p>
        </w:tc>
        <w:tc>
          <w:tcPr>
            <w:tcW w:w="1146" w:type="dxa"/>
            <w:vAlign w:val="center"/>
          </w:tcPr>
          <w:p w14:paraId="45A7FEE5" w14:textId="3D827920" w:rsidR="005D49C9" w:rsidRPr="00621588" w:rsidRDefault="008A42F6" w:rsidP="009D49D5">
            <w:pPr>
              <w:pStyle w:val="COMTabletext"/>
              <w:widowControl w:val="0"/>
              <w:jc w:val="center"/>
              <w:rPr>
                <w:highlight w:val="darkGray"/>
              </w:rPr>
            </w:pPr>
            <w:r>
              <w:t xml:space="preserve"> </w:t>
            </w:r>
            <w:r w:rsidRPr="008A42F6">
              <w:rPr>
                <w:rFonts w:hint="eastAsia"/>
                <w:color w:val="000000"/>
                <w:w w:val="15"/>
                <w:shd w:val="solid" w:color="000000" w:fill="000000"/>
                <w:fitText w:val="60" w:id="-1032102651"/>
                <w14:textFill>
                  <w14:solidFill>
                    <w14:srgbClr w14:val="000000">
                      <w14:alpha w14:val="100000"/>
                    </w14:srgbClr>
                  </w14:solidFill>
                </w14:textFill>
              </w:rPr>
              <w:t xml:space="preserve">　</w:t>
            </w:r>
            <w:r w:rsidRPr="008A42F6">
              <w:rPr>
                <w:color w:val="000000"/>
                <w:w w:val="15"/>
                <w:shd w:val="solid" w:color="000000" w:fill="000000"/>
                <w:fitText w:val="60" w:id="-1032102651"/>
                <w14:textFill>
                  <w14:solidFill>
                    <w14:srgbClr w14:val="000000">
                      <w14:alpha w14:val="100000"/>
                    </w14:srgbClr>
                  </w14:solidFill>
                </w14:textFill>
              </w:rPr>
              <w:t>|</w:t>
            </w:r>
            <w:r w:rsidRPr="008A42F6">
              <w:rPr>
                <w:rFonts w:hint="eastAsia"/>
                <w:color w:val="000000"/>
                <w:spacing w:val="-5"/>
                <w:w w:val="15"/>
                <w:shd w:val="solid" w:color="000000" w:fill="000000"/>
                <w:fitText w:val="60" w:id="-1032102651"/>
                <w14:textFill>
                  <w14:solidFill>
                    <w14:srgbClr w14:val="000000">
                      <w14:alpha w14:val="100000"/>
                    </w14:srgbClr>
                  </w14:solidFill>
                </w14:textFill>
              </w:rPr>
              <w:t xml:space="preserve">　</w:t>
            </w:r>
          </w:p>
        </w:tc>
        <w:tc>
          <w:tcPr>
            <w:tcW w:w="1148" w:type="dxa"/>
            <w:vAlign w:val="center"/>
          </w:tcPr>
          <w:p w14:paraId="58EA8004" w14:textId="77777777" w:rsidR="005D49C9" w:rsidRPr="001C59C3" w:rsidRDefault="005D49C9" w:rsidP="009D49D5">
            <w:pPr>
              <w:pStyle w:val="COMTabletext"/>
              <w:widowControl w:val="0"/>
              <w:jc w:val="center"/>
            </w:pPr>
            <w:r w:rsidRPr="001C59C3">
              <w:t>0.0026</w:t>
            </w:r>
          </w:p>
        </w:tc>
        <w:tc>
          <w:tcPr>
            <w:tcW w:w="1147" w:type="dxa"/>
            <w:vAlign w:val="center"/>
          </w:tcPr>
          <w:p w14:paraId="373DF7B7" w14:textId="07E958F0" w:rsidR="005D49C9" w:rsidRPr="00621588" w:rsidRDefault="008A42F6" w:rsidP="009D49D5">
            <w:pPr>
              <w:pStyle w:val="COMTabletext"/>
              <w:widowControl w:val="0"/>
              <w:jc w:val="center"/>
              <w:rPr>
                <w:highlight w:val="darkGray"/>
              </w:rPr>
            </w:pPr>
            <w:r>
              <w:t xml:space="preserve"> </w:t>
            </w:r>
            <w:r w:rsidRPr="008A42F6">
              <w:rPr>
                <w:rFonts w:hint="eastAsia"/>
                <w:color w:val="000000"/>
                <w:w w:val="18"/>
                <w:shd w:val="solid" w:color="000000" w:fill="000000"/>
                <w:fitText w:val="80" w:id="-1032102650"/>
                <w14:textFill>
                  <w14:solidFill>
                    <w14:srgbClr w14:val="000000">
                      <w14:alpha w14:val="100000"/>
                    </w14:srgbClr>
                  </w14:solidFill>
                </w14:textFill>
              </w:rPr>
              <w:t xml:space="preserve">　</w:t>
            </w:r>
            <w:r w:rsidRPr="008A42F6">
              <w:rPr>
                <w:color w:val="000000"/>
                <w:w w:val="18"/>
                <w:shd w:val="solid" w:color="000000" w:fill="000000"/>
                <w:fitText w:val="80" w:id="-1032102650"/>
                <w14:textFill>
                  <w14:solidFill>
                    <w14:srgbClr w14:val="000000">
                      <w14:alpha w14:val="100000"/>
                    </w14:srgbClr>
                  </w14:solidFill>
                </w14:textFill>
              </w:rPr>
              <w:t>|</w:t>
            </w:r>
            <w:r w:rsidRPr="008A42F6">
              <w:rPr>
                <w:rFonts w:hint="eastAsia"/>
                <w:color w:val="000000"/>
                <w:w w:val="18"/>
                <w:shd w:val="solid" w:color="000000" w:fill="000000"/>
                <w:fitText w:val="80" w:id="-1032102650"/>
                <w14:textFill>
                  <w14:solidFill>
                    <w14:srgbClr w14:val="000000">
                      <w14:alpha w14:val="100000"/>
                    </w14:srgbClr>
                  </w14:solidFill>
                </w14:textFill>
              </w:rPr>
              <w:t xml:space="preserve">　</w:t>
            </w:r>
            <w:r w:rsidR="000F661D" w:rsidRPr="00D014A3">
              <w:rPr>
                <w:szCs w:val="20"/>
                <w:vertAlign w:val="superscript"/>
              </w:rPr>
              <w:t>7</w:t>
            </w:r>
          </w:p>
        </w:tc>
        <w:tc>
          <w:tcPr>
            <w:tcW w:w="952" w:type="dxa"/>
            <w:vAlign w:val="center"/>
          </w:tcPr>
          <w:p w14:paraId="5F54EE49" w14:textId="7857E71E" w:rsidR="005D49C9" w:rsidRPr="001C59C3" w:rsidRDefault="005D49C9" w:rsidP="009D49D5">
            <w:pPr>
              <w:pStyle w:val="COMTabletext"/>
              <w:widowControl w:val="0"/>
              <w:jc w:val="center"/>
            </w:pPr>
            <w:r w:rsidRPr="001C59C3">
              <w:t>+</w:t>
            </w:r>
            <w:r w:rsidR="008A42F6">
              <w:t xml:space="preserve"> </w:t>
            </w:r>
            <w:r w:rsidR="008A42F6" w:rsidRPr="008A42F6">
              <w:rPr>
                <w:color w:val="000000"/>
                <w:spacing w:val="114"/>
                <w:shd w:val="solid" w:color="000000" w:fill="000000"/>
                <w:fitText w:val="200" w:id="-1032102649"/>
                <w14:textFill>
                  <w14:solidFill>
                    <w14:srgbClr w14:val="000000">
                      <w14:alpha w14:val="100000"/>
                    </w14:srgbClr>
                  </w14:solidFill>
                </w14:textFill>
              </w:rPr>
              <w:t>|</w:t>
            </w:r>
            <w:r w:rsidR="008A42F6" w:rsidRPr="008A42F6">
              <w:rPr>
                <w:color w:val="000000"/>
                <w:spacing w:val="1"/>
                <w:shd w:val="solid" w:color="000000" w:fill="000000"/>
                <w:fitText w:val="200" w:id="-1032102649"/>
                <w14:textFill>
                  <w14:solidFill>
                    <w14:srgbClr w14:val="000000">
                      <w14:alpha w14:val="100000"/>
                    </w14:srgbClr>
                  </w14:solidFill>
                </w14:textFill>
              </w:rPr>
              <w:t>|</w:t>
            </w:r>
          </w:p>
        </w:tc>
      </w:tr>
      <w:tr w:rsidR="005D49C9" w:rsidRPr="001C59C3" w14:paraId="38C404BD" w14:textId="77777777" w:rsidTr="00776D51">
        <w:trPr>
          <w:cantSplit/>
          <w:trHeight w:val="128"/>
        </w:trPr>
        <w:tc>
          <w:tcPr>
            <w:tcW w:w="4603" w:type="dxa"/>
          </w:tcPr>
          <w:p w14:paraId="1DDD1008" w14:textId="77777777" w:rsidR="005D49C9" w:rsidRPr="001C59C3" w:rsidRDefault="005D49C9" w:rsidP="009D49D5">
            <w:pPr>
              <w:pStyle w:val="COMTabletext"/>
              <w:widowControl w:val="0"/>
            </w:pPr>
            <w:r w:rsidRPr="001C59C3">
              <w:t>2 years</w:t>
            </w:r>
          </w:p>
        </w:tc>
        <w:tc>
          <w:tcPr>
            <w:tcW w:w="1146" w:type="dxa"/>
            <w:vAlign w:val="center"/>
          </w:tcPr>
          <w:p w14:paraId="44BCBEB3" w14:textId="0AB371FF" w:rsidR="005D49C9" w:rsidRPr="00621588" w:rsidRDefault="008A42F6" w:rsidP="009D49D5">
            <w:pPr>
              <w:pStyle w:val="COMTabletext"/>
              <w:widowControl w:val="0"/>
              <w:jc w:val="center"/>
              <w:rPr>
                <w:highlight w:val="darkGray"/>
              </w:rPr>
            </w:pPr>
            <w:r>
              <w:t xml:space="preserve"> </w:t>
            </w:r>
            <w:r w:rsidRPr="008A42F6">
              <w:rPr>
                <w:rFonts w:hint="eastAsia"/>
                <w:color w:val="000000"/>
                <w:w w:val="15"/>
                <w:shd w:val="solid" w:color="000000" w:fill="000000"/>
                <w:fitText w:val="60" w:id="-1032102648"/>
                <w14:textFill>
                  <w14:solidFill>
                    <w14:srgbClr w14:val="000000">
                      <w14:alpha w14:val="100000"/>
                    </w14:srgbClr>
                  </w14:solidFill>
                </w14:textFill>
              </w:rPr>
              <w:t xml:space="preserve">　</w:t>
            </w:r>
            <w:r w:rsidRPr="008A42F6">
              <w:rPr>
                <w:color w:val="000000"/>
                <w:w w:val="15"/>
                <w:shd w:val="solid" w:color="000000" w:fill="000000"/>
                <w:fitText w:val="60" w:id="-1032102648"/>
                <w14:textFill>
                  <w14:solidFill>
                    <w14:srgbClr w14:val="000000">
                      <w14:alpha w14:val="100000"/>
                    </w14:srgbClr>
                  </w14:solidFill>
                </w14:textFill>
              </w:rPr>
              <w:t>|</w:t>
            </w:r>
            <w:r w:rsidRPr="008A42F6">
              <w:rPr>
                <w:rFonts w:hint="eastAsia"/>
                <w:color w:val="000000"/>
                <w:spacing w:val="-5"/>
                <w:w w:val="15"/>
                <w:shd w:val="solid" w:color="000000" w:fill="000000"/>
                <w:fitText w:val="60" w:id="-1032102648"/>
                <w14:textFill>
                  <w14:solidFill>
                    <w14:srgbClr w14:val="000000">
                      <w14:alpha w14:val="100000"/>
                    </w14:srgbClr>
                  </w14:solidFill>
                </w14:textFill>
              </w:rPr>
              <w:t xml:space="preserve">　</w:t>
            </w:r>
          </w:p>
        </w:tc>
        <w:tc>
          <w:tcPr>
            <w:tcW w:w="1148" w:type="dxa"/>
            <w:vAlign w:val="center"/>
          </w:tcPr>
          <w:p w14:paraId="17ECB0EC" w14:textId="77777777" w:rsidR="005D49C9" w:rsidRPr="001C59C3" w:rsidRDefault="005D49C9" w:rsidP="009D49D5">
            <w:pPr>
              <w:pStyle w:val="COMTabletext"/>
              <w:widowControl w:val="0"/>
              <w:jc w:val="center"/>
            </w:pPr>
            <w:r w:rsidRPr="001C59C3">
              <w:t>0.0396</w:t>
            </w:r>
          </w:p>
        </w:tc>
        <w:tc>
          <w:tcPr>
            <w:tcW w:w="1147" w:type="dxa"/>
            <w:vAlign w:val="center"/>
          </w:tcPr>
          <w:p w14:paraId="6E4C03AE" w14:textId="2D506CC3" w:rsidR="005D49C9" w:rsidRPr="00621588" w:rsidRDefault="008A42F6" w:rsidP="009D49D5">
            <w:pPr>
              <w:pStyle w:val="COMTabletext"/>
              <w:widowControl w:val="0"/>
              <w:jc w:val="center"/>
              <w:rPr>
                <w:highlight w:val="darkGray"/>
              </w:rPr>
            </w:pPr>
            <w:r>
              <w:t xml:space="preserve"> </w:t>
            </w:r>
            <w:r w:rsidRPr="00D014A3">
              <w:rPr>
                <w:rFonts w:hint="eastAsia"/>
                <w:color w:val="000000"/>
                <w:w w:val="18"/>
                <w:shd w:val="solid" w:color="000000" w:fill="000000"/>
                <w:fitText w:val="80" w:id="-1032102647"/>
                <w14:textFill>
                  <w14:solidFill>
                    <w14:srgbClr w14:val="000000">
                      <w14:alpha w14:val="100000"/>
                    </w14:srgbClr>
                  </w14:solidFill>
                </w14:textFill>
              </w:rPr>
              <w:t xml:space="preserve">　</w:t>
            </w:r>
            <w:r w:rsidRPr="00D014A3">
              <w:rPr>
                <w:color w:val="000000"/>
                <w:w w:val="18"/>
                <w:shd w:val="solid" w:color="000000" w:fill="000000"/>
                <w:fitText w:val="80" w:id="-1032102647"/>
                <w14:textFill>
                  <w14:solidFill>
                    <w14:srgbClr w14:val="000000">
                      <w14:alpha w14:val="100000"/>
                    </w14:srgbClr>
                  </w14:solidFill>
                </w14:textFill>
              </w:rPr>
              <w:t>|</w:t>
            </w:r>
            <w:r w:rsidRPr="00D014A3">
              <w:rPr>
                <w:rFonts w:hint="eastAsia"/>
                <w:color w:val="000000"/>
                <w:w w:val="18"/>
                <w:shd w:val="solid" w:color="000000" w:fill="000000"/>
                <w:fitText w:val="80" w:id="-1032102647"/>
                <w14:textFill>
                  <w14:solidFill>
                    <w14:srgbClr w14:val="000000">
                      <w14:alpha w14:val="100000"/>
                    </w14:srgbClr>
                  </w14:solidFill>
                </w14:textFill>
              </w:rPr>
              <w:t xml:space="preserve">　</w:t>
            </w:r>
            <w:r w:rsidR="000F661D" w:rsidRPr="00D014A3">
              <w:rPr>
                <w:szCs w:val="20"/>
                <w:vertAlign w:val="superscript"/>
              </w:rPr>
              <w:t>8</w:t>
            </w:r>
          </w:p>
        </w:tc>
        <w:tc>
          <w:tcPr>
            <w:tcW w:w="952" w:type="dxa"/>
            <w:vAlign w:val="center"/>
          </w:tcPr>
          <w:p w14:paraId="75362205" w14:textId="4C951E5A" w:rsidR="005D49C9" w:rsidRPr="001C59C3" w:rsidRDefault="005D49C9" w:rsidP="009D49D5">
            <w:pPr>
              <w:pStyle w:val="COMTabletext"/>
              <w:widowControl w:val="0"/>
              <w:jc w:val="center"/>
            </w:pPr>
            <w:r w:rsidRPr="001C59C3">
              <w:t>+</w:t>
            </w:r>
            <w:r w:rsidR="008A42F6">
              <w:t xml:space="preserve"> </w:t>
            </w:r>
            <w:r w:rsidR="008A42F6" w:rsidRPr="008A42F6">
              <w:rPr>
                <w:color w:val="000000"/>
                <w:spacing w:val="114"/>
                <w:shd w:val="solid" w:color="000000" w:fill="000000"/>
                <w:fitText w:val="200" w:id="-1032102646"/>
                <w14:textFill>
                  <w14:solidFill>
                    <w14:srgbClr w14:val="000000">
                      <w14:alpha w14:val="100000"/>
                    </w14:srgbClr>
                  </w14:solidFill>
                </w14:textFill>
              </w:rPr>
              <w:t>|</w:t>
            </w:r>
            <w:r w:rsidR="008A42F6" w:rsidRPr="008A42F6">
              <w:rPr>
                <w:color w:val="000000"/>
                <w:spacing w:val="1"/>
                <w:shd w:val="solid" w:color="000000" w:fill="000000"/>
                <w:fitText w:val="200" w:id="-1032102646"/>
                <w14:textFill>
                  <w14:solidFill>
                    <w14:srgbClr w14:val="000000">
                      <w14:alpha w14:val="100000"/>
                    </w14:srgbClr>
                  </w14:solidFill>
                </w14:textFill>
              </w:rPr>
              <w:t>|</w:t>
            </w:r>
          </w:p>
        </w:tc>
      </w:tr>
      <w:tr w:rsidR="005D49C9" w:rsidRPr="001C59C3" w14:paraId="4A17B9C6" w14:textId="77777777" w:rsidTr="00776D51">
        <w:trPr>
          <w:cantSplit/>
          <w:trHeight w:val="128"/>
        </w:trPr>
        <w:tc>
          <w:tcPr>
            <w:tcW w:w="4603" w:type="dxa"/>
          </w:tcPr>
          <w:p w14:paraId="52F6A84A" w14:textId="77777777" w:rsidR="005D49C9" w:rsidRPr="001C59C3" w:rsidRDefault="005D49C9" w:rsidP="009D49D5">
            <w:pPr>
              <w:pStyle w:val="COMTabletext"/>
              <w:widowControl w:val="0"/>
            </w:pPr>
            <w:r w:rsidRPr="001C59C3">
              <w:t>10 years</w:t>
            </w:r>
          </w:p>
        </w:tc>
        <w:tc>
          <w:tcPr>
            <w:tcW w:w="1146" w:type="dxa"/>
            <w:vAlign w:val="center"/>
          </w:tcPr>
          <w:p w14:paraId="5BA312B8" w14:textId="1820D08F" w:rsidR="005D49C9" w:rsidRPr="00621588" w:rsidRDefault="008A42F6" w:rsidP="009D49D5">
            <w:pPr>
              <w:pStyle w:val="COMTabletext"/>
              <w:widowControl w:val="0"/>
              <w:jc w:val="center"/>
              <w:rPr>
                <w:highlight w:val="darkGray"/>
              </w:rPr>
            </w:pPr>
            <w:r>
              <w:t xml:space="preserve"> </w:t>
            </w:r>
            <w:r w:rsidRPr="008A42F6">
              <w:rPr>
                <w:rFonts w:hint="eastAsia"/>
                <w:color w:val="000000"/>
                <w:w w:val="15"/>
                <w:shd w:val="solid" w:color="000000" w:fill="000000"/>
                <w:fitText w:val="60" w:id="-1032102645"/>
                <w14:textFill>
                  <w14:solidFill>
                    <w14:srgbClr w14:val="000000">
                      <w14:alpha w14:val="100000"/>
                    </w14:srgbClr>
                  </w14:solidFill>
                </w14:textFill>
              </w:rPr>
              <w:t xml:space="preserve">　</w:t>
            </w:r>
            <w:r w:rsidRPr="008A42F6">
              <w:rPr>
                <w:color w:val="000000"/>
                <w:w w:val="15"/>
                <w:shd w:val="solid" w:color="000000" w:fill="000000"/>
                <w:fitText w:val="60" w:id="-1032102645"/>
                <w14:textFill>
                  <w14:solidFill>
                    <w14:srgbClr w14:val="000000">
                      <w14:alpha w14:val="100000"/>
                    </w14:srgbClr>
                  </w14:solidFill>
                </w14:textFill>
              </w:rPr>
              <w:t>|</w:t>
            </w:r>
            <w:r w:rsidRPr="008A42F6">
              <w:rPr>
                <w:rFonts w:hint="eastAsia"/>
                <w:color w:val="000000"/>
                <w:spacing w:val="-5"/>
                <w:w w:val="15"/>
                <w:shd w:val="solid" w:color="000000" w:fill="000000"/>
                <w:fitText w:val="60" w:id="-1032102645"/>
                <w14:textFill>
                  <w14:solidFill>
                    <w14:srgbClr w14:val="000000">
                      <w14:alpha w14:val="100000"/>
                    </w14:srgbClr>
                  </w14:solidFill>
                </w14:textFill>
              </w:rPr>
              <w:t xml:space="preserve">　</w:t>
            </w:r>
          </w:p>
        </w:tc>
        <w:tc>
          <w:tcPr>
            <w:tcW w:w="1148" w:type="dxa"/>
            <w:vAlign w:val="center"/>
          </w:tcPr>
          <w:p w14:paraId="1A121601" w14:textId="77777777" w:rsidR="005D49C9" w:rsidRPr="001C59C3" w:rsidRDefault="005D49C9" w:rsidP="009D49D5">
            <w:pPr>
              <w:pStyle w:val="COMTabletext"/>
              <w:widowControl w:val="0"/>
              <w:jc w:val="center"/>
            </w:pPr>
            <w:r w:rsidRPr="001C59C3">
              <w:t>0.1439</w:t>
            </w:r>
          </w:p>
        </w:tc>
        <w:tc>
          <w:tcPr>
            <w:tcW w:w="1147" w:type="dxa"/>
            <w:vAlign w:val="center"/>
          </w:tcPr>
          <w:p w14:paraId="42E2F330" w14:textId="516D897F" w:rsidR="005D49C9" w:rsidRPr="00621588" w:rsidRDefault="008A42F6" w:rsidP="009D49D5">
            <w:pPr>
              <w:pStyle w:val="COMTabletext"/>
              <w:widowControl w:val="0"/>
              <w:jc w:val="center"/>
              <w:rPr>
                <w:highlight w:val="darkGray"/>
              </w:rPr>
            </w:pPr>
            <w:r>
              <w:t xml:space="preserve"> </w:t>
            </w:r>
            <w:r w:rsidRPr="00690B5F">
              <w:rPr>
                <w:rFonts w:hint="eastAsia"/>
                <w:color w:val="000000"/>
                <w:w w:val="15"/>
                <w:shd w:val="solid" w:color="000000" w:fill="000000"/>
                <w:fitText w:val="60" w:id="-1032102644"/>
                <w14:textFill>
                  <w14:solidFill>
                    <w14:srgbClr w14:val="000000">
                      <w14:alpha w14:val="100000"/>
                    </w14:srgbClr>
                  </w14:solidFill>
                </w14:textFill>
              </w:rPr>
              <w:t xml:space="preserve">　</w:t>
            </w:r>
            <w:r w:rsidRPr="00690B5F">
              <w:rPr>
                <w:color w:val="000000"/>
                <w:w w:val="15"/>
                <w:shd w:val="solid" w:color="000000" w:fill="000000"/>
                <w:fitText w:val="60" w:id="-1032102644"/>
                <w14:textFill>
                  <w14:solidFill>
                    <w14:srgbClr w14:val="000000">
                      <w14:alpha w14:val="100000"/>
                    </w14:srgbClr>
                  </w14:solidFill>
                </w14:textFill>
              </w:rPr>
              <w:t>|</w:t>
            </w:r>
            <w:r w:rsidRPr="00690B5F">
              <w:rPr>
                <w:rFonts w:hint="eastAsia"/>
                <w:color w:val="000000"/>
                <w:w w:val="15"/>
                <w:shd w:val="solid" w:color="000000" w:fill="000000"/>
                <w:fitText w:val="60" w:id="-1032102644"/>
                <w14:textFill>
                  <w14:solidFill>
                    <w14:srgbClr w14:val="000000">
                      <w14:alpha w14:val="100000"/>
                    </w14:srgbClr>
                  </w14:solidFill>
                </w14:textFill>
              </w:rPr>
              <w:t xml:space="preserve">　</w:t>
            </w:r>
            <w:r w:rsidR="00690B5F" w:rsidRPr="00690B5F">
              <w:rPr>
                <w:szCs w:val="20"/>
                <w:vertAlign w:val="superscript"/>
              </w:rPr>
              <w:t>9</w:t>
            </w:r>
          </w:p>
        </w:tc>
        <w:tc>
          <w:tcPr>
            <w:tcW w:w="952" w:type="dxa"/>
            <w:vAlign w:val="center"/>
          </w:tcPr>
          <w:p w14:paraId="17985593" w14:textId="65E69C92" w:rsidR="005D49C9" w:rsidRPr="001C59C3" w:rsidRDefault="005D49C9" w:rsidP="009D49D5">
            <w:pPr>
              <w:pStyle w:val="COMTabletext"/>
              <w:widowControl w:val="0"/>
              <w:jc w:val="center"/>
            </w:pPr>
            <w:r w:rsidRPr="001C59C3">
              <w:t>-</w:t>
            </w:r>
            <w:r w:rsidR="008A42F6">
              <w:t xml:space="preserve"> </w:t>
            </w:r>
            <w:r w:rsidR="008A42F6" w:rsidRPr="008A42F6">
              <w:rPr>
                <w:color w:val="000000"/>
                <w:spacing w:val="94"/>
                <w:shd w:val="solid" w:color="000000" w:fill="000000"/>
                <w:fitText w:val="180" w:id="-1032102643"/>
                <w14:textFill>
                  <w14:solidFill>
                    <w14:srgbClr w14:val="000000">
                      <w14:alpha w14:val="100000"/>
                    </w14:srgbClr>
                  </w14:solidFill>
                </w14:textFill>
              </w:rPr>
              <w:t>|</w:t>
            </w:r>
            <w:r w:rsidR="008A42F6" w:rsidRPr="008A42F6">
              <w:rPr>
                <w:color w:val="000000"/>
                <w:spacing w:val="1"/>
                <w:shd w:val="solid" w:color="000000" w:fill="000000"/>
                <w:fitText w:val="180" w:id="-1032102643"/>
                <w14:textFill>
                  <w14:solidFill>
                    <w14:srgbClr w14:val="000000">
                      <w14:alpha w14:val="100000"/>
                    </w14:srgbClr>
                  </w14:solidFill>
                </w14:textFill>
              </w:rPr>
              <w:t>|</w:t>
            </w:r>
          </w:p>
        </w:tc>
      </w:tr>
      <w:tr w:rsidR="005D49C9" w:rsidRPr="001C59C3" w14:paraId="06D96A3F" w14:textId="77777777" w:rsidTr="00776D51">
        <w:trPr>
          <w:cantSplit/>
        </w:trPr>
        <w:tc>
          <w:tcPr>
            <w:tcW w:w="8996" w:type="dxa"/>
            <w:gridSpan w:val="5"/>
            <w:vAlign w:val="center"/>
          </w:tcPr>
          <w:p w14:paraId="1B75876F" w14:textId="77777777" w:rsidR="005D49C9" w:rsidRPr="009D1BB6" w:rsidRDefault="005D49C9" w:rsidP="009D49D5">
            <w:pPr>
              <w:pStyle w:val="COMTableheadingrow"/>
              <w:widowControl w:val="0"/>
              <w:rPr>
                <w:lang w:val="en-AU"/>
              </w:rPr>
            </w:pPr>
            <w:r w:rsidRPr="009D1BB6">
              <w:rPr>
                <w:lang w:val="en-AU"/>
              </w:rPr>
              <w:t>Treatment discontinuations (base case 4.6% per 4-week cycle in the first 12 weeks then 2.0% per 4-week cycle ongoing; once-off stopping rule discontinuation, approximately 48.7% at 12 weeks)</w:t>
            </w:r>
          </w:p>
        </w:tc>
      </w:tr>
      <w:tr w:rsidR="005D49C9" w:rsidRPr="001C59C3" w14:paraId="306B9FBA" w14:textId="77777777" w:rsidTr="00776D51">
        <w:trPr>
          <w:cantSplit/>
        </w:trPr>
        <w:tc>
          <w:tcPr>
            <w:tcW w:w="4603" w:type="dxa"/>
          </w:tcPr>
          <w:p w14:paraId="5DCD99D9" w14:textId="77777777" w:rsidR="005D49C9" w:rsidRPr="001C59C3" w:rsidRDefault="005D49C9" w:rsidP="009D49D5">
            <w:pPr>
              <w:pStyle w:val="COMTabletext"/>
              <w:widowControl w:val="0"/>
            </w:pPr>
            <w:r w:rsidRPr="001C59C3">
              <w:t>No discontinuations in the extrapolated period after 64 weeks</w:t>
            </w:r>
          </w:p>
        </w:tc>
        <w:tc>
          <w:tcPr>
            <w:tcW w:w="1146" w:type="dxa"/>
            <w:vAlign w:val="center"/>
          </w:tcPr>
          <w:p w14:paraId="3394050E" w14:textId="3E9B2A75" w:rsidR="005D49C9" w:rsidRPr="00621588" w:rsidRDefault="008A42F6" w:rsidP="009D49D5">
            <w:pPr>
              <w:pStyle w:val="COMTabletext"/>
              <w:widowControl w:val="0"/>
              <w:jc w:val="center"/>
              <w:rPr>
                <w:highlight w:val="darkGray"/>
              </w:rPr>
            </w:pPr>
            <w:r>
              <w:t xml:space="preserve"> </w:t>
            </w:r>
            <w:r w:rsidRPr="00690B5F">
              <w:rPr>
                <w:rFonts w:hint="eastAsia"/>
                <w:color w:val="000000"/>
                <w:w w:val="15"/>
                <w:shd w:val="solid" w:color="000000" w:fill="000000"/>
                <w:fitText w:val="60" w:id="-1032102642"/>
                <w14:textFill>
                  <w14:solidFill>
                    <w14:srgbClr w14:val="000000">
                      <w14:alpha w14:val="100000"/>
                    </w14:srgbClr>
                  </w14:solidFill>
                </w14:textFill>
              </w:rPr>
              <w:t xml:space="preserve">　</w:t>
            </w:r>
            <w:r w:rsidRPr="00690B5F">
              <w:rPr>
                <w:color w:val="000000"/>
                <w:w w:val="15"/>
                <w:shd w:val="solid" w:color="000000" w:fill="000000"/>
                <w:fitText w:val="60" w:id="-1032102642"/>
                <w14:textFill>
                  <w14:solidFill>
                    <w14:srgbClr w14:val="000000">
                      <w14:alpha w14:val="100000"/>
                    </w14:srgbClr>
                  </w14:solidFill>
                </w14:textFill>
              </w:rPr>
              <w:t>|</w:t>
            </w:r>
            <w:r w:rsidRPr="00690B5F">
              <w:rPr>
                <w:rFonts w:hint="eastAsia"/>
                <w:color w:val="000000"/>
                <w:w w:val="15"/>
                <w:shd w:val="solid" w:color="000000" w:fill="000000"/>
                <w:fitText w:val="60" w:id="-1032102642"/>
                <w14:textFill>
                  <w14:solidFill>
                    <w14:srgbClr w14:val="000000">
                      <w14:alpha w14:val="100000"/>
                    </w14:srgbClr>
                  </w14:solidFill>
                </w14:textFill>
              </w:rPr>
              <w:t xml:space="preserve">　</w:t>
            </w:r>
          </w:p>
        </w:tc>
        <w:tc>
          <w:tcPr>
            <w:tcW w:w="1148" w:type="dxa"/>
            <w:vAlign w:val="center"/>
          </w:tcPr>
          <w:p w14:paraId="5092C127" w14:textId="77777777" w:rsidR="005D49C9" w:rsidRPr="001C59C3" w:rsidRDefault="005D49C9" w:rsidP="009D49D5">
            <w:pPr>
              <w:pStyle w:val="COMTabletext"/>
              <w:widowControl w:val="0"/>
              <w:jc w:val="center"/>
            </w:pPr>
            <w:r w:rsidRPr="001C59C3">
              <w:t>0.0921</w:t>
            </w:r>
          </w:p>
        </w:tc>
        <w:tc>
          <w:tcPr>
            <w:tcW w:w="1147" w:type="dxa"/>
            <w:vAlign w:val="center"/>
          </w:tcPr>
          <w:p w14:paraId="2908D18E" w14:textId="36E1AEC7" w:rsidR="005D49C9" w:rsidRPr="00690B5F" w:rsidRDefault="008A42F6" w:rsidP="009D49D5">
            <w:pPr>
              <w:pStyle w:val="COMTabletext"/>
              <w:widowControl w:val="0"/>
              <w:jc w:val="center"/>
              <w:rPr>
                <w:szCs w:val="20"/>
                <w:highlight w:val="darkGray"/>
              </w:rPr>
            </w:pPr>
            <w:r w:rsidRPr="00690B5F">
              <w:rPr>
                <w:szCs w:val="20"/>
              </w:rPr>
              <w:t xml:space="preserve"> </w:t>
            </w:r>
            <w:r w:rsidRPr="00690B5F">
              <w:rPr>
                <w:rFonts w:hint="eastAsia"/>
                <w:color w:val="000000"/>
                <w:w w:val="18"/>
                <w:szCs w:val="20"/>
                <w:shd w:val="solid" w:color="000000" w:fill="000000"/>
                <w:fitText w:val="80" w:id="-1032102641"/>
                <w14:textFill>
                  <w14:solidFill>
                    <w14:srgbClr w14:val="000000">
                      <w14:alpha w14:val="100000"/>
                    </w14:srgbClr>
                  </w14:solidFill>
                </w14:textFill>
              </w:rPr>
              <w:t xml:space="preserve">　</w:t>
            </w:r>
            <w:r w:rsidRPr="00690B5F">
              <w:rPr>
                <w:color w:val="000000"/>
                <w:w w:val="18"/>
                <w:szCs w:val="20"/>
                <w:shd w:val="solid" w:color="000000" w:fill="000000"/>
                <w:fitText w:val="80" w:id="-1032102641"/>
                <w14:textFill>
                  <w14:solidFill>
                    <w14:srgbClr w14:val="000000">
                      <w14:alpha w14:val="100000"/>
                    </w14:srgbClr>
                  </w14:solidFill>
                </w14:textFill>
              </w:rPr>
              <w:t>|</w:t>
            </w:r>
            <w:r w:rsidRPr="00690B5F">
              <w:rPr>
                <w:rFonts w:hint="eastAsia"/>
                <w:color w:val="000000"/>
                <w:w w:val="18"/>
                <w:szCs w:val="20"/>
                <w:shd w:val="solid" w:color="000000" w:fill="000000"/>
                <w:fitText w:val="80" w:id="-1032102641"/>
                <w14:textFill>
                  <w14:solidFill>
                    <w14:srgbClr w14:val="000000">
                      <w14:alpha w14:val="100000"/>
                    </w14:srgbClr>
                  </w14:solidFill>
                </w14:textFill>
              </w:rPr>
              <w:t xml:space="preserve">　</w:t>
            </w:r>
            <w:r w:rsidR="00EB1A31" w:rsidRPr="00690B5F">
              <w:rPr>
                <w:szCs w:val="20"/>
                <w:vertAlign w:val="superscript"/>
              </w:rPr>
              <w:t>5</w:t>
            </w:r>
          </w:p>
        </w:tc>
        <w:tc>
          <w:tcPr>
            <w:tcW w:w="952" w:type="dxa"/>
            <w:vAlign w:val="center"/>
          </w:tcPr>
          <w:p w14:paraId="525C0D00" w14:textId="46598928" w:rsidR="005D49C9" w:rsidRPr="001C59C3" w:rsidRDefault="005D49C9" w:rsidP="009D49D5">
            <w:pPr>
              <w:pStyle w:val="COMTabletext"/>
              <w:widowControl w:val="0"/>
              <w:jc w:val="center"/>
            </w:pPr>
            <w:r w:rsidRPr="001C59C3">
              <w:t>+</w:t>
            </w:r>
            <w:r w:rsidR="008A42F6">
              <w:t xml:space="preserve"> </w:t>
            </w:r>
            <w:r w:rsidR="008A42F6" w:rsidRPr="00690B5F">
              <w:rPr>
                <w:color w:val="000000"/>
                <w:spacing w:val="114"/>
                <w:shd w:val="solid" w:color="000000" w:fill="000000"/>
                <w:fitText w:val="200" w:id="-1032102640"/>
                <w14:textFill>
                  <w14:solidFill>
                    <w14:srgbClr w14:val="000000">
                      <w14:alpha w14:val="100000"/>
                    </w14:srgbClr>
                  </w14:solidFill>
                </w14:textFill>
              </w:rPr>
              <w:t>|</w:t>
            </w:r>
            <w:r w:rsidR="008A42F6" w:rsidRPr="00690B5F">
              <w:rPr>
                <w:color w:val="000000"/>
                <w:shd w:val="solid" w:color="000000" w:fill="000000"/>
                <w:fitText w:val="200" w:id="-1032102640"/>
                <w14:textFill>
                  <w14:solidFill>
                    <w14:srgbClr w14:val="000000">
                      <w14:alpha w14:val="100000"/>
                    </w14:srgbClr>
                  </w14:solidFill>
                </w14:textFill>
              </w:rPr>
              <w:t>|</w:t>
            </w:r>
          </w:p>
        </w:tc>
      </w:tr>
      <w:tr w:rsidR="005D49C9" w:rsidRPr="001C59C3" w14:paraId="1D4729D0" w14:textId="77777777" w:rsidTr="00776D51">
        <w:trPr>
          <w:cantSplit/>
        </w:trPr>
        <w:tc>
          <w:tcPr>
            <w:tcW w:w="4603" w:type="dxa"/>
          </w:tcPr>
          <w:p w14:paraId="2BDB7D89" w14:textId="77777777" w:rsidR="005D49C9" w:rsidRPr="001C59C3" w:rsidRDefault="005D49C9" w:rsidP="009D49D5">
            <w:pPr>
              <w:pStyle w:val="COMTabletext"/>
              <w:widowControl w:val="0"/>
            </w:pPr>
            <w:r w:rsidRPr="001C59C3">
              <w:t>Week 12+ discontinuation rates increased by 50%</w:t>
            </w:r>
          </w:p>
        </w:tc>
        <w:tc>
          <w:tcPr>
            <w:tcW w:w="1146" w:type="dxa"/>
            <w:vAlign w:val="center"/>
          </w:tcPr>
          <w:p w14:paraId="1E6BB7E1" w14:textId="534CDFA3" w:rsidR="005D49C9" w:rsidRPr="00621588" w:rsidRDefault="008A42F6" w:rsidP="009D49D5">
            <w:pPr>
              <w:pStyle w:val="COMTabletext"/>
              <w:widowControl w:val="0"/>
              <w:jc w:val="center"/>
              <w:rPr>
                <w:highlight w:val="darkGray"/>
              </w:rPr>
            </w:pPr>
            <w:r>
              <w:t xml:space="preserve"> </w:t>
            </w:r>
            <w:r w:rsidRPr="00690B5F">
              <w:rPr>
                <w:rFonts w:hint="eastAsia"/>
                <w:color w:val="000000"/>
                <w:w w:val="15"/>
                <w:shd w:val="solid" w:color="000000" w:fill="000000"/>
                <w:fitText w:val="60" w:id="-1032102656"/>
                <w14:textFill>
                  <w14:solidFill>
                    <w14:srgbClr w14:val="000000">
                      <w14:alpha w14:val="100000"/>
                    </w14:srgbClr>
                  </w14:solidFill>
                </w14:textFill>
              </w:rPr>
              <w:t xml:space="preserve">　</w:t>
            </w:r>
            <w:r w:rsidRPr="00690B5F">
              <w:rPr>
                <w:color w:val="000000"/>
                <w:w w:val="15"/>
                <w:shd w:val="solid" w:color="000000" w:fill="000000"/>
                <w:fitText w:val="60" w:id="-1032102656"/>
                <w14:textFill>
                  <w14:solidFill>
                    <w14:srgbClr w14:val="000000">
                      <w14:alpha w14:val="100000"/>
                    </w14:srgbClr>
                  </w14:solidFill>
                </w14:textFill>
              </w:rPr>
              <w:t>|</w:t>
            </w:r>
            <w:r w:rsidRPr="00690B5F">
              <w:rPr>
                <w:rFonts w:hint="eastAsia"/>
                <w:color w:val="000000"/>
                <w:w w:val="15"/>
                <w:shd w:val="solid" w:color="000000" w:fill="000000"/>
                <w:fitText w:val="60" w:id="-1032102656"/>
                <w14:textFill>
                  <w14:solidFill>
                    <w14:srgbClr w14:val="000000">
                      <w14:alpha w14:val="100000"/>
                    </w14:srgbClr>
                  </w14:solidFill>
                </w14:textFill>
              </w:rPr>
              <w:t xml:space="preserve">　</w:t>
            </w:r>
          </w:p>
        </w:tc>
        <w:tc>
          <w:tcPr>
            <w:tcW w:w="1148" w:type="dxa"/>
            <w:vAlign w:val="center"/>
          </w:tcPr>
          <w:p w14:paraId="2579F4AD" w14:textId="77777777" w:rsidR="005D49C9" w:rsidRPr="001C59C3" w:rsidRDefault="005D49C9" w:rsidP="009D49D5">
            <w:pPr>
              <w:pStyle w:val="COMTabletext"/>
              <w:widowControl w:val="0"/>
              <w:jc w:val="center"/>
            </w:pPr>
            <w:r w:rsidRPr="001C59C3">
              <w:t>0.0894</w:t>
            </w:r>
          </w:p>
        </w:tc>
        <w:tc>
          <w:tcPr>
            <w:tcW w:w="1147" w:type="dxa"/>
            <w:vAlign w:val="center"/>
          </w:tcPr>
          <w:p w14:paraId="52AC64B1" w14:textId="15529C68" w:rsidR="005D49C9" w:rsidRPr="00690B5F" w:rsidRDefault="008A42F6" w:rsidP="009D49D5">
            <w:pPr>
              <w:pStyle w:val="COMTabletext"/>
              <w:widowControl w:val="0"/>
              <w:jc w:val="center"/>
              <w:rPr>
                <w:szCs w:val="20"/>
                <w:highlight w:val="darkGray"/>
              </w:rPr>
            </w:pPr>
            <w:r w:rsidRPr="00690B5F">
              <w:rPr>
                <w:szCs w:val="20"/>
              </w:rPr>
              <w:t xml:space="preserve"> </w:t>
            </w:r>
            <w:r w:rsidRPr="00690B5F">
              <w:rPr>
                <w:rFonts w:hint="eastAsia"/>
                <w:color w:val="000000"/>
                <w:w w:val="18"/>
                <w:szCs w:val="20"/>
                <w:shd w:val="solid" w:color="000000" w:fill="000000"/>
                <w:fitText w:val="80" w:id="-1032102655"/>
                <w14:textFill>
                  <w14:solidFill>
                    <w14:srgbClr w14:val="000000">
                      <w14:alpha w14:val="100000"/>
                    </w14:srgbClr>
                  </w14:solidFill>
                </w14:textFill>
              </w:rPr>
              <w:t xml:space="preserve">　</w:t>
            </w:r>
            <w:r w:rsidRPr="00690B5F">
              <w:rPr>
                <w:color w:val="000000"/>
                <w:w w:val="18"/>
                <w:szCs w:val="20"/>
                <w:shd w:val="solid" w:color="000000" w:fill="000000"/>
                <w:fitText w:val="80" w:id="-1032102655"/>
                <w14:textFill>
                  <w14:solidFill>
                    <w14:srgbClr w14:val="000000">
                      <w14:alpha w14:val="100000"/>
                    </w14:srgbClr>
                  </w14:solidFill>
                </w14:textFill>
              </w:rPr>
              <w:t>|</w:t>
            </w:r>
            <w:r w:rsidRPr="00690B5F">
              <w:rPr>
                <w:rFonts w:hint="eastAsia"/>
                <w:color w:val="000000"/>
                <w:w w:val="18"/>
                <w:szCs w:val="20"/>
                <w:shd w:val="solid" w:color="000000" w:fill="000000"/>
                <w:fitText w:val="80" w:id="-1032102655"/>
                <w14:textFill>
                  <w14:solidFill>
                    <w14:srgbClr w14:val="000000">
                      <w14:alpha w14:val="100000"/>
                    </w14:srgbClr>
                  </w14:solidFill>
                </w14:textFill>
              </w:rPr>
              <w:t xml:space="preserve">　</w:t>
            </w:r>
            <w:r w:rsidR="000F661D" w:rsidRPr="00690B5F">
              <w:rPr>
                <w:szCs w:val="20"/>
                <w:vertAlign w:val="superscript"/>
              </w:rPr>
              <w:t>9</w:t>
            </w:r>
          </w:p>
        </w:tc>
        <w:tc>
          <w:tcPr>
            <w:tcW w:w="952" w:type="dxa"/>
            <w:vAlign w:val="center"/>
          </w:tcPr>
          <w:p w14:paraId="3A9FBDF5" w14:textId="529BC0DC" w:rsidR="005D49C9" w:rsidRPr="001C59C3" w:rsidRDefault="005D49C9" w:rsidP="009D49D5">
            <w:pPr>
              <w:pStyle w:val="COMTabletext"/>
              <w:widowControl w:val="0"/>
              <w:jc w:val="center"/>
            </w:pPr>
            <w:r w:rsidRPr="001C59C3">
              <w:t>-</w:t>
            </w:r>
            <w:r w:rsidR="008A42F6">
              <w:t xml:space="preserve"> </w:t>
            </w:r>
            <w:r w:rsidR="008A42F6" w:rsidRPr="00690B5F">
              <w:rPr>
                <w:color w:val="000000"/>
                <w:spacing w:val="94"/>
                <w:shd w:val="solid" w:color="000000" w:fill="000000"/>
                <w:fitText w:val="180" w:id="-1032102654"/>
                <w14:textFill>
                  <w14:solidFill>
                    <w14:srgbClr w14:val="000000">
                      <w14:alpha w14:val="100000"/>
                    </w14:srgbClr>
                  </w14:solidFill>
                </w14:textFill>
              </w:rPr>
              <w:t>|</w:t>
            </w:r>
            <w:r w:rsidR="008A42F6" w:rsidRPr="00690B5F">
              <w:rPr>
                <w:color w:val="000000"/>
                <w:shd w:val="solid" w:color="000000" w:fill="000000"/>
                <w:fitText w:val="180" w:id="-1032102654"/>
                <w14:textFill>
                  <w14:solidFill>
                    <w14:srgbClr w14:val="000000">
                      <w14:alpha w14:val="100000"/>
                    </w14:srgbClr>
                  </w14:solidFill>
                </w14:textFill>
              </w:rPr>
              <w:t>|</w:t>
            </w:r>
          </w:p>
        </w:tc>
      </w:tr>
      <w:tr w:rsidR="005D49C9" w:rsidRPr="001C59C3" w14:paraId="30A68D49" w14:textId="77777777" w:rsidTr="00776D51">
        <w:trPr>
          <w:cantSplit/>
        </w:trPr>
        <w:tc>
          <w:tcPr>
            <w:tcW w:w="4603" w:type="dxa"/>
          </w:tcPr>
          <w:p w14:paraId="4E1BC0D1" w14:textId="77777777" w:rsidR="005D49C9" w:rsidRPr="001C59C3" w:rsidRDefault="005D49C9" w:rsidP="009D49D5">
            <w:pPr>
              <w:pStyle w:val="COMTabletext"/>
              <w:widowControl w:val="0"/>
            </w:pPr>
            <w:r w:rsidRPr="001C59C3">
              <w:t>Week 12+ discontinuation rates decreased by 50%</w:t>
            </w:r>
          </w:p>
        </w:tc>
        <w:tc>
          <w:tcPr>
            <w:tcW w:w="1146" w:type="dxa"/>
            <w:vAlign w:val="center"/>
          </w:tcPr>
          <w:p w14:paraId="19C0EADE" w14:textId="50063F68" w:rsidR="005D49C9" w:rsidRPr="00621588" w:rsidRDefault="008A42F6" w:rsidP="009D49D5">
            <w:pPr>
              <w:pStyle w:val="COMTabletext"/>
              <w:widowControl w:val="0"/>
              <w:jc w:val="center"/>
              <w:rPr>
                <w:highlight w:val="darkGray"/>
              </w:rPr>
            </w:pPr>
            <w:r>
              <w:t xml:space="preserve"> </w:t>
            </w:r>
            <w:r w:rsidRPr="00690B5F">
              <w:rPr>
                <w:rFonts w:hint="eastAsia"/>
                <w:color w:val="000000"/>
                <w:w w:val="15"/>
                <w:shd w:val="solid" w:color="000000" w:fill="000000"/>
                <w:fitText w:val="60" w:id="-1032102653"/>
                <w14:textFill>
                  <w14:solidFill>
                    <w14:srgbClr w14:val="000000">
                      <w14:alpha w14:val="100000"/>
                    </w14:srgbClr>
                  </w14:solidFill>
                </w14:textFill>
              </w:rPr>
              <w:t xml:space="preserve">　</w:t>
            </w:r>
            <w:r w:rsidRPr="00690B5F">
              <w:rPr>
                <w:color w:val="000000"/>
                <w:w w:val="15"/>
                <w:shd w:val="solid" w:color="000000" w:fill="000000"/>
                <w:fitText w:val="60" w:id="-1032102653"/>
                <w14:textFill>
                  <w14:solidFill>
                    <w14:srgbClr w14:val="000000">
                      <w14:alpha w14:val="100000"/>
                    </w14:srgbClr>
                  </w14:solidFill>
                </w14:textFill>
              </w:rPr>
              <w:t>|</w:t>
            </w:r>
            <w:r w:rsidRPr="00690B5F">
              <w:rPr>
                <w:rFonts w:hint="eastAsia"/>
                <w:color w:val="000000"/>
                <w:w w:val="15"/>
                <w:shd w:val="solid" w:color="000000" w:fill="000000"/>
                <w:fitText w:val="60" w:id="-1032102653"/>
                <w14:textFill>
                  <w14:solidFill>
                    <w14:srgbClr w14:val="000000">
                      <w14:alpha w14:val="100000"/>
                    </w14:srgbClr>
                  </w14:solidFill>
                </w14:textFill>
              </w:rPr>
              <w:t xml:space="preserve">　</w:t>
            </w:r>
          </w:p>
        </w:tc>
        <w:tc>
          <w:tcPr>
            <w:tcW w:w="1148" w:type="dxa"/>
            <w:vAlign w:val="center"/>
          </w:tcPr>
          <w:p w14:paraId="18FF116E" w14:textId="77777777" w:rsidR="005D49C9" w:rsidRPr="001C59C3" w:rsidRDefault="005D49C9" w:rsidP="009D49D5">
            <w:pPr>
              <w:pStyle w:val="COMTabletext"/>
              <w:widowControl w:val="0"/>
              <w:jc w:val="center"/>
            </w:pPr>
            <w:r w:rsidRPr="001C59C3">
              <w:t>0.0949</w:t>
            </w:r>
          </w:p>
        </w:tc>
        <w:tc>
          <w:tcPr>
            <w:tcW w:w="1147" w:type="dxa"/>
            <w:vAlign w:val="center"/>
          </w:tcPr>
          <w:p w14:paraId="0C4C6714" w14:textId="4E18E6AE" w:rsidR="005D49C9" w:rsidRPr="00690B5F" w:rsidRDefault="008A42F6" w:rsidP="009D49D5">
            <w:pPr>
              <w:pStyle w:val="COMTabletext"/>
              <w:widowControl w:val="0"/>
              <w:jc w:val="center"/>
              <w:rPr>
                <w:szCs w:val="20"/>
                <w:highlight w:val="darkGray"/>
              </w:rPr>
            </w:pPr>
            <w:r w:rsidRPr="00690B5F">
              <w:rPr>
                <w:szCs w:val="20"/>
              </w:rPr>
              <w:t xml:space="preserve"> </w:t>
            </w:r>
            <w:r w:rsidRPr="00690B5F">
              <w:rPr>
                <w:rFonts w:hint="eastAsia"/>
                <w:color w:val="000000"/>
                <w:w w:val="18"/>
                <w:szCs w:val="20"/>
                <w:shd w:val="solid" w:color="000000" w:fill="000000"/>
                <w:fitText w:val="80" w:id="-1032102652"/>
                <w14:textFill>
                  <w14:solidFill>
                    <w14:srgbClr w14:val="000000">
                      <w14:alpha w14:val="100000"/>
                    </w14:srgbClr>
                  </w14:solidFill>
                </w14:textFill>
              </w:rPr>
              <w:t xml:space="preserve">　</w:t>
            </w:r>
            <w:r w:rsidRPr="00690B5F">
              <w:rPr>
                <w:color w:val="000000"/>
                <w:w w:val="18"/>
                <w:szCs w:val="20"/>
                <w:shd w:val="solid" w:color="000000" w:fill="000000"/>
                <w:fitText w:val="80" w:id="-1032102652"/>
                <w14:textFill>
                  <w14:solidFill>
                    <w14:srgbClr w14:val="000000">
                      <w14:alpha w14:val="100000"/>
                    </w14:srgbClr>
                  </w14:solidFill>
                </w14:textFill>
              </w:rPr>
              <w:t>|</w:t>
            </w:r>
            <w:r w:rsidRPr="00690B5F">
              <w:rPr>
                <w:rFonts w:hint="eastAsia"/>
                <w:color w:val="000000"/>
                <w:w w:val="18"/>
                <w:szCs w:val="20"/>
                <w:shd w:val="solid" w:color="000000" w:fill="000000"/>
                <w:fitText w:val="80" w:id="-1032102652"/>
                <w14:textFill>
                  <w14:solidFill>
                    <w14:srgbClr w14:val="000000">
                      <w14:alpha w14:val="100000"/>
                    </w14:srgbClr>
                  </w14:solidFill>
                </w14:textFill>
              </w:rPr>
              <w:t xml:space="preserve">　</w:t>
            </w:r>
            <w:r w:rsidR="00EB1A31" w:rsidRPr="00690B5F">
              <w:rPr>
                <w:szCs w:val="20"/>
                <w:vertAlign w:val="superscript"/>
              </w:rPr>
              <w:t>5</w:t>
            </w:r>
          </w:p>
        </w:tc>
        <w:tc>
          <w:tcPr>
            <w:tcW w:w="952" w:type="dxa"/>
            <w:vAlign w:val="center"/>
          </w:tcPr>
          <w:p w14:paraId="6A1B33FE" w14:textId="6B83B153" w:rsidR="005D49C9" w:rsidRPr="001C59C3" w:rsidRDefault="005D49C9" w:rsidP="009D49D5">
            <w:pPr>
              <w:pStyle w:val="COMTabletext"/>
              <w:widowControl w:val="0"/>
              <w:jc w:val="center"/>
            </w:pPr>
            <w:r w:rsidRPr="001C59C3">
              <w:t>+</w:t>
            </w:r>
            <w:r w:rsidR="008A42F6">
              <w:t xml:space="preserve"> </w:t>
            </w:r>
            <w:r w:rsidR="008A42F6" w:rsidRPr="00690B5F">
              <w:rPr>
                <w:color w:val="000000"/>
                <w:spacing w:val="114"/>
                <w:shd w:val="solid" w:color="000000" w:fill="000000"/>
                <w:fitText w:val="200" w:id="-1032102651"/>
                <w14:textFill>
                  <w14:solidFill>
                    <w14:srgbClr w14:val="000000">
                      <w14:alpha w14:val="100000"/>
                    </w14:srgbClr>
                  </w14:solidFill>
                </w14:textFill>
              </w:rPr>
              <w:t>|</w:t>
            </w:r>
            <w:r w:rsidR="008A42F6" w:rsidRPr="00690B5F">
              <w:rPr>
                <w:color w:val="000000"/>
                <w:shd w:val="solid" w:color="000000" w:fill="000000"/>
                <w:fitText w:val="200" w:id="-1032102651"/>
                <w14:textFill>
                  <w14:solidFill>
                    <w14:srgbClr w14:val="000000">
                      <w14:alpha w14:val="100000"/>
                    </w14:srgbClr>
                  </w14:solidFill>
                </w14:textFill>
              </w:rPr>
              <w:t>|</w:t>
            </w:r>
          </w:p>
        </w:tc>
      </w:tr>
      <w:tr w:rsidR="005D49C9" w:rsidRPr="001C59C3" w14:paraId="369C2780" w14:textId="77777777" w:rsidTr="00621588">
        <w:trPr>
          <w:cantSplit/>
          <w:trHeight w:hRule="exact" w:val="358"/>
        </w:trPr>
        <w:tc>
          <w:tcPr>
            <w:tcW w:w="4603" w:type="dxa"/>
          </w:tcPr>
          <w:p w14:paraId="00870696" w14:textId="77777777" w:rsidR="005D49C9" w:rsidRPr="001C59C3" w:rsidRDefault="005D49C9" w:rsidP="009D49D5">
            <w:pPr>
              <w:pStyle w:val="COMTabletext"/>
              <w:widowControl w:val="0"/>
            </w:pPr>
            <w:r w:rsidRPr="001C59C3">
              <w:t>No non-specific treatment discontinuations</w:t>
            </w:r>
          </w:p>
        </w:tc>
        <w:tc>
          <w:tcPr>
            <w:tcW w:w="1146" w:type="dxa"/>
            <w:vAlign w:val="center"/>
          </w:tcPr>
          <w:p w14:paraId="57144C88" w14:textId="703B039B" w:rsidR="005D49C9" w:rsidRPr="00621588" w:rsidRDefault="008A42F6" w:rsidP="009D49D5">
            <w:pPr>
              <w:pStyle w:val="COMTabletext"/>
              <w:widowControl w:val="0"/>
              <w:jc w:val="center"/>
              <w:rPr>
                <w:highlight w:val="darkGray"/>
              </w:rPr>
            </w:pPr>
            <w:r>
              <w:t xml:space="preserve"> </w:t>
            </w:r>
            <w:r w:rsidRPr="00690B5F">
              <w:rPr>
                <w:rFonts w:hint="eastAsia"/>
                <w:color w:val="000000"/>
                <w:w w:val="15"/>
                <w:shd w:val="solid" w:color="000000" w:fill="000000"/>
                <w:fitText w:val="60" w:id="-1032102650"/>
                <w14:textFill>
                  <w14:solidFill>
                    <w14:srgbClr w14:val="000000">
                      <w14:alpha w14:val="100000"/>
                    </w14:srgbClr>
                  </w14:solidFill>
                </w14:textFill>
              </w:rPr>
              <w:t xml:space="preserve">　</w:t>
            </w:r>
            <w:r w:rsidRPr="00690B5F">
              <w:rPr>
                <w:color w:val="000000"/>
                <w:w w:val="15"/>
                <w:shd w:val="solid" w:color="000000" w:fill="000000"/>
                <w:fitText w:val="60" w:id="-1032102650"/>
                <w14:textFill>
                  <w14:solidFill>
                    <w14:srgbClr w14:val="000000">
                      <w14:alpha w14:val="100000"/>
                    </w14:srgbClr>
                  </w14:solidFill>
                </w14:textFill>
              </w:rPr>
              <w:t>|</w:t>
            </w:r>
            <w:r w:rsidRPr="00690B5F">
              <w:rPr>
                <w:rFonts w:hint="eastAsia"/>
                <w:color w:val="000000"/>
                <w:w w:val="15"/>
                <w:shd w:val="solid" w:color="000000" w:fill="000000"/>
                <w:fitText w:val="60" w:id="-1032102650"/>
                <w14:textFill>
                  <w14:solidFill>
                    <w14:srgbClr w14:val="000000">
                      <w14:alpha w14:val="100000"/>
                    </w14:srgbClr>
                  </w14:solidFill>
                </w14:textFill>
              </w:rPr>
              <w:t xml:space="preserve">　</w:t>
            </w:r>
          </w:p>
        </w:tc>
        <w:tc>
          <w:tcPr>
            <w:tcW w:w="1148" w:type="dxa"/>
            <w:vAlign w:val="center"/>
          </w:tcPr>
          <w:p w14:paraId="40C8E568" w14:textId="77777777" w:rsidR="005D49C9" w:rsidRPr="001C59C3" w:rsidRDefault="005D49C9" w:rsidP="009D49D5">
            <w:pPr>
              <w:pStyle w:val="COMTabletext"/>
              <w:widowControl w:val="0"/>
              <w:jc w:val="center"/>
            </w:pPr>
            <w:r w:rsidRPr="001C59C3">
              <w:t>0.1093</w:t>
            </w:r>
          </w:p>
        </w:tc>
        <w:tc>
          <w:tcPr>
            <w:tcW w:w="1147" w:type="dxa"/>
            <w:vAlign w:val="center"/>
          </w:tcPr>
          <w:p w14:paraId="7615B094" w14:textId="6E555062" w:rsidR="005D49C9" w:rsidRPr="00690B5F" w:rsidRDefault="008A42F6" w:rsidP="009D49D5">
            <w:pPr>
              <w:pStyle w:val="COMTabletext"/>
              <w:widowControl w:val="0"/>
              <w:jc w:val="center"/>
              <w:rPr>
                <w:szCs w:val="20"/>
                <w:highlight w:val="darkGray"/>
              </w:rPr>
            </w:pPr>
            <w:r w:rsidRPr="00690B5F">
              <w:rPr>
                <w:szCs w:val="20"/>
              </w:rPr>
              <w:t xml:space="preserve"> </w:t>
            </w:r>
            <w:r w:rsidRPr="00690B5F">
              <w:rPr>
                <w:rFonts w:hint="eastAsia"/>
                <w:color w:val="000000"/>
                <w:w w:val="18"/>
                <w:szCs w:val="20"/>
                <w:shd w:val="solid" w:color="000000" w:fill="000000"/>
                <w:fitText w:val="80" w:id="-1032102649"/>
                <w14:textFill>
                  <w14:solidFill>
                    <w14:srgbClr w14:val="000000">
                      <w14:alpha w14:val="100000"/>
                    </w14:srgbClr>
                  </w14:solidFill>
                </w14:textFill>
              </w:rPr>
              <w:t xml:space="preserve">　</w:t>
            </w:r>
            <w:r w:rsidRPr="00690B5F">
              <w:rPr>
                <w:color w:val="000000"/>
                <w:w w:val="18"/>
                <w:szCs w:val="20"/>
                <w:shd w:val="solid" w:color="000000" w:fill="000000"/>
                <w:fitText w:val="80" w:id="-1032102649"/>
                <w14:textFill>
                  <w14:solidFill>
                    <w14:srgbClr w14:val="000000">
                      <w14:alpha w14:val="100000"/>
                    </w14:srgbClr>
                  </w14:solidFill>
                </w14:textFill>
              </w:rPr>
              <w:t>|</w:t>
            </w:r>
            <w:r w:rsidRPr="00690B5F">
              <w:rPr>
                <w:rFonts w:hint="eastAsia"/>
                <w:color w:val="000000"/>
                <w:w w:val="18"/>
                <w:szCs w:val="20"/>
                <w:shd w:val="solid" w:color="000000" w:fill="000000"/>
                <w:fitText w:val="80" w:id="-1032102649"/>
                <w14:textFill>
                  <w14:solidFill>
                    <w14:srgbClr w14:val="000000">
                      <w14:alpha w14:val="100000"/>
                    </w14:srgbClr>
                  </w14:solidFill>
                </w14:textFill>
              </w:rPr>
              <w:t xml:space="preserve">　</w:t>
            </w:r>
            <w:r w:rsidR="00EB1A31" w:rsidRPr="00690B5F">
              <w:rPr>
                <w:szCs w:val="20"/>
                <w:vertAlign w:val="superscript"/>
              </w:rPr>
              <w:t>5</w:t>
            </w:r>
          </w:p>
        </w:tc>
        <w:tc>
          <w:tcPr>
            <w:tcW w:w="952" w:type="dxa"/>
            <w:vAlign w:val="center"/>
          </w:tcPr>
          <w:p w14:paraId="392409E3" w14:textId="5E13DB73" w:rsidR="005D49C9" w:rsidRPr="001C59C3" w:rsidRDefault="005D49C9" w:rsidP="009D49D5">
            <w:pPr>
              <w:pStyle w:val="COMTabletext"/>
              <w:widowControl w:val="0"/>
              <w:jc w:val="center"/>
            </w:pPr>
            <w:r w:rsidRPr="001C59C3">
              <w:t>+</w:t>
            </w:r>
            <w:r w:rsidR="008A42F6">
              <w:t xml:space="preserve"> </w:t>
            </w:r>
            <w:r w:rsidR="008A42F6" w:rsidRPr="00690B5F">
              <w:rPr>
                <w:color w:val="000000"/>
                <w:spacing w:val="114"/>
                <w:shd w:val="solid" w:color="000000" w:fill="000000"/>
                <w:fitText w:val="200" w:id="-1032102648"/>
                <w14:textFill>
                  <w14:solidFill>
                    <w14:srgbClr w14:val="000000">
                      <w14:alpha w14:val="100000"/>
                    </w14:srgbClr>
                  </w14:solidFill>
                </w14:textFill>
              </w:rPr>
              <w:t>|</w:t>
            </w:r>
            <w:r w:rsidR="008A42F6" w:rsidRPr="00690B5F">
              <w:rPr>
                <w:color w:val="000000"/>
                <w:shd w:val="solid" w:color="000000" w:fill="000000"/>
                <w:fitText w:val="200" w:id="-1032102648"/>
                <w14:textFill>
                  <w14:solidFill>
                    <w14:srgbClr w14:val="000000">
                      <w14:alpha w14:val="100000"/>
                    </w14:srgbClr>
                  </w14:solidFill>
                </w14:textFill>
              </w:rPr>
              <w:t>|</w:t>
            </w:r>
          </w:p>
        </w:tc>
      </w:tr>
      <w:tr w:rsidR="005D49C9" w:rsidRPr="001C59C3" w14:paraId="49D1E383" w14:textId="77777777" w:rsidTr="00776D51">
        <w:trPr>
          <w:cantSplit/>
        </w:trPr>
        <w:tc>
          <w:tcPr>
            <w:tcW w:w="4603" w:type="dxa"/>
          </w:tcPr>
          <w:p w14:paraId="1FA431C5" w14:textId="77777777" w:rsidR="005D49C9" w:rsidRPr="001C59C3" w:rsidRDefault="005D49C9" w:rsidP="009D49D5">
            <w:pPr>
              <w:pStyle w:val="COMTabletext"/>
              <w:widowControl w:val="0"/>
              <w:rPr>
                <w:vertAlign w:val="superscript"/>
              </w:rPr>
            </w:pPr>
            <w:r w:rsidRPr="001C59C3">
              <w:t xml:space="preserve">No stopping rule discontinuations </w:t>
            </w:r>
            <w:r w:rsidRPr="001C59C3">
              <w:rPr>
                <w:vertAlign w:val="superscript"/>
              </w:rPr>
              <w:t>a</w:t>
            </w:r>
          </w:p>
        </w:tc>
        <w:tc>
          <w:tcPr>
            <w:tcW w:w="1146" w:type="dxa"/>
            <w:vAlign w:val="center"/>
          </w:tcPr>
          <w:p w14:paraId="791604FD" w14:textId="4358A2D5" w:rsidR="005D49C9" w:rsidRPr="00621588" w:rsidRDefault="008A42F6" w:rsidP="009D49D5">
            <w:pPr>
              <w:pStyle w:val="COMTabletext"/>
              <w:widowControl w:val="0"/>
              <w:jc w:val="center"/>
              <w:rPr>
                <w:highlight w:val="darkGray"/>
              </w:rPr>
            </w:pPr>
            <w:r>
              <w:t xml:space="preserve"> </w:t>
            </w:r>
            <w:r w:rsidRPr="00690B5F">
              <w:rPr>
                <w:rFonts w:hint="eastAsia"/>
                <w:color w:val="000000"/>
                <w:w w:val="15"/>
                <w:shd w:val="solid" w:color="000000" w:fill="000000"/>
                <w:fitText w:val="60" w:id="-1032102647"/>
                <w14:textFill>
                  <w14:solidFill>
                    <w14:srgbClr w14:val="000000">
                      <w14:alpha w14:val="100000"/>
                    </w14:srgbClr>
                  </w14:solidFill>
                </w14:textFill>
              </w:rPr>
              <w:t xml:space="preserve">　</w:t>
            </w:r>
            <w:r w:rsidRPr="00690B5F">
              <w:rPr>
                <w:color w:val="000000"/>
                <w:w w:val="15"/>
                <w:shd w:val="solid" w:color="000000" w:fill="000000"/>
                <w:fitText w:val="60" w:id="-1032102647"/>
                <w14:textFill>
                  <w14:solidFill>
                    <w14:srgbClr w14:val="000000">
                      <w14:alpha w14:val="100000"/>
                    </w14:srgbClr>
                  </w14:solidFill>
                </w14:textFill>
              </w:rPr>
              <w:t>|</w:t>
            </w:r>
            <w:r w:rsidRPr="00690B5F">
              <w:rPr>
                <w:rFonts w:hint="eastAsia"/>
                <w:color w:val="000000"/>
                <w:w w:val="15"/>
                <w:shd w:val="solid" w:color="000000" w:fill="000000"/>
                <w:fitText w:val="60" w:id="-1032102647"/>
                <w14:textFill>
                  <w14:solidFill>
                    <w14:srgbClr w14:val="000000">
                      <w14:alpha w14:val="100000"/>
                    </w14:srgbClr>
                  </w14:solidFill>
                </w14:textFill>
              </w:rPr>
              <w:t xml:space="preserve">　</w:t>
            </w:r>
          </w:p>
        </w:tc>
        <w:tc>
          <w:tcPr>
            <w:tcW w:w="1148" w:type="dxa"/>
            <w:vAlign w:val="center"/>
          </w:tcPr>
          <w:p w14:paraId="5CCA677A" w14:textId="77777777" w:rsidR="005D49C9" w:rsidRPr="001C59C3" w:rsidRDefault="005D49C9" w:rsidP="009D49D5">
            <w:pPr>
              <w:pStyle w:val="COMTabletext"/>
              <w:widowControl w:val="0"/>
              <w:jc w:val="center"/>
            </w:pPr>
            <w:r w:rsidRPr="001C59C3">
              <w:t>0.1355</w:t>
            </w:r>
          </w:p>
        </w:tc>
        <w:tc>
          <w:tcPr>
            <w:tcW w:w="1147" w:type="dxa"/>
            <w:vAlign w:val="center"/>
          </w:tcPr>
          <w:p w14:paraId="5BF0A00A" w14:textId="68964AAA" w:rsidR="005D49C9" w:rsidRPr="00690B5F" w:rsidRDefault="008A42F6" w:rsidP="009D49D5">
            <w:pPr>
              <w:pStyle w:val="COMTabletext"/>
              <w:widowControl w:val="0"/>
              <w:jc w:val="center"/>
              <w:rPr>
                <w:szCs w:val="20"/>
                <w:highlight w:val="darkGray"/>
              </w:rPr>
            </w:pPr>
            <w:r w:rsidRPr="00690B5F">
              <w:rPr>
                <w:szCs w:val="20"/>
              </w:rPr>
              <w:t xml:space="preserve"> </w:t>
            </w:r>
            <w:r w:rsidRPr="00690B5F">
              <w:rPr>
                <w:rFonts w:hint="eastAsia"/>
                <w:color w:val="000000"/>
                <w:w w:val="18"/>
                <w:szCs w:val="20"/>
                <w:shd w:val="solid" w:color="000000" w:fill="000000"/>
                <w:fitText w:val="80" w:id="-1032102646"/>
                <w14:textFill>
                  <w14:solidFill>
                    <w14:srgbClr w14:val="000000">
                      <w14:alpha w14:val="100000"/>
                    </w14:srgbClr>
                  </w14:solidFill>
                </w14:textFill>
              </w:rPr>
              <w:t xml:space="preserve">　</w:t>
            </w:r>
            <w:r w:rsidRPr="00690B5F">
              <w:rPr>
                <w:color w:val="000000"/>
                <w:w w:val="18"/>
                <w:szCs w:val="20"/>
                <w:shd w:val="solid" w:color="000000" w:fill="000000"/>
                <w:fitText w:val="80" w:id="-1032102646"/>
                <w14:textFill>
                  <w14:solidFill>
                    <w14:srgbClr w14:val="000000">
                      <w14:alpha w14:val="100000"/>
                    </w14:srgbClr>
                  </w14:solidFill>
                </w14:textFill>
              </w:rPr>
              <w:t>|</w:t>
            </w:r>
            <w:r w:rsidRPr="00690B5F">
              <w:rPr>
                <w:rFonts w:hint="eastAsia"/>
                <w:color w:val="000000"/>
                <w:w w:val="18"/>
                <w:szCs w:val="20"/>
                <w:shd w:val="solid" w:color="000000" w:fill="000000"/>
                <w:fitText w:val="80" w:id="-1032102646"/>
                <w14:textFill>
                  <w14:solidFill>
                    <w14:srgbClr w14:val="000000">
                      <w14:alpha w14:val="100000"/>
                    </w14:srgbClr>
                  </w14:solidFill>
                </w14:textFill>
              </w:rPr>
              <w:t xml:space="preserve">　</w:t>
            </w:r>
            <w:r w:rsidR="00EB1A31" w:rsidRPr="00690B5F">
              <w:rPr>
                <w:szCs w:val="20"/>
                <w:vertAlign w:val="superscript"/>
              </w:rPr>
              <w:t>5</w:t>
            </w:r>
          </w:p>
        </w:tc>
        <w:tc>
          <w:tcPr>
            <w:tcW w:w="952" w:type="dxa"/>
            <w:vAlign w:val="center"/>
          </w:tcPr>
          <w:p w14:paraId="39388EFA" w14:textId="2C095620" w:rsidR="005D49C9" w:rsidRPr="001C59C3" w:rsidRDefault="005D49C9" w:rsidP="009D49D5">
            <w:pPr>
              <w:pStyle w:val="COMTabletext"/>
              <w:widowControl w:val="0"/>
              <w:jc w:val="center"/>
            </w:pPr>
            <w:r w:rsidRPr="001C59C3">
              <w:t>+</w:t>
            </w:r>
            <w:r w:rsidR="008A42F6">
              <w:t xml:space="preserve"> </w:t>
            </w:r>
            <w:r w:rsidR="008A42F6" w:rsidRPr="00690B5F">
              <w:rPr>
                <w:color w:val="000000"/>
                <w:spacing w:val="114"/>
                <w:shd w:val="solid" w:color="000000" w:fill="000000"/>
                <w:fitText w:val="200" w:id="-1032102645"/>
                <w14:textFill>
                  <w14:solidFill>
                    <w14:srgbClr w14:val="000000">
                      <w14:alpha w14:val="100000"/>
                    </w14:srgbClr>
                  </w14:solidFill>
                </w14:textFill>
              </w:rPr>
              <w:t>|</w:t>
            </w:r>
            <w:r w:rsidR="008A42F6" w:rsidRPr="00690B5F">
              <w:rPr>
                <w:color w:val="000000"/>
                <w:shd w:val="solid" w:color="000000" w:fill="000000"/>
                <w:fitText w:val="200" w:id="-1032102645"/>
                <w14:textFill>
                  <w14:solidFill>
                    <w14:srgbClr w14:val="000000">
                      <w14:alpha w14:val="100000"/>
                    </w14:srgbClr>
                  </w14:solidFill>
                </w14:textFill>
              </w:rPr>
              <w:t>|</w:t>
            </w:r>
          </w:p>
        </w:tc>
      </w:tr>
      <w:tr w:rsidR="005D49C9" w:rsidRPr="001C59C3" w14:paraId="10770D29" w14:textId="77777777" w:rsidTr="00776D51">
        <w:trPr>
          <w:cantSplit/>
        </w:trPr>
        <w:tc>
          <w:tcPr>
            <w:tcW w:w="8996" w:type="dxa"/>
            <w:gridSpan w:val="5"/>
            <w:vAlign w:val="center"/>
          </w:tcPr>
          <w:p w14:paraId="1411F880" w14:textId="6DD09801" w:rsidR="005D49C9" w:rsidRPr="009D1BB6" w:rsidRDefault="005D49C9" w:rsidP="009D49D5">
            <w:pPr>
              <w:pStyle w:val="COMTableheadingrow"/>
              <w:widowControl w:val="0"/>
              <w:rPr>
                <w:lang w:val="en-AU"/>
              </w:rPr>
            </w:pPr>
            <w:r w:rsidRPr="009D1BB6">
              <w:rPr>
                <w:lang w:val="en-AU"/>
              </w:rPr>
              <w:t xml:space="preserve">Trial-based transition probabilities (base case </w:t>
            </w:r>
            <w:r w:rsidR="00DC0DCA" w:rsidRPr="009D1BB6">
              <w:rPr>
                <w:lang w:val="en-AU"/>
              </w:rPr>
              <w:t>applied</w:t>
            </w:r>
            <w:r w:rsidRPr="009D1BB6">
              <w:rPr>
                <w:lang w:val="en-AU"/>
              </w:rPr>
              <w:t xml:space="preserve"> up to 64 weeks for difelikefalin treated patients and up to 12 weeks for patients on BSC) </w:t>
            </w:r>
          </w:p>
        </w:tc>
      </w:tr>
      <w:tr w:rsidR="005D49C9" w:rsidRPr="001C59C3" w14:paraId="1E2EB934" w14:textId="77777777" w:rsidTr="00776D51">
        <w:trPr>
          <w:cantSplit/>
        </w:trPr>
        <w:tc>
          <w:tcPr>
            <w:tcW w:w="4603" w:type="dxa"/>
          </w:tcPr>
          <w:p w14:paraId="42409C63" w14:textId="18DE7212" w:rsidR="005D49C9" w:rsidRPr="001C59C3" w:rsidRDefault="006816CF" w:rsidP="009D49D5">
            <w:pPr>
              <w:pStyle w:val="COMTabletext"/>
              <w:widowControl w:val="0"/>
            </w:pPr>
            <w:r w:rsidRPr="001C59C3">
              <w:t>Removed</w:t>
            </w:r>
            <w:r w:rsidR="005D49C9" w:rsidRPr="001C59C3">
              <w:t xml:space="preserve"> additional improvement for difelikefalin treated patients </w:t>
            </w:r>
            <w:r w:rsidR="006D12AB" w:rsidRPr="001C59C3">
              <w:t xml:space="preserve">between 12 to 64 weeks, with </w:t>
            </w:r>
            <w:r w:rsidR="005D49C9" w:rsidRPr="001C59C3">
              <w:t>no change in pruritus severity for all patients after 12 weeks</w:t>
            </w:r>
          </w:p>
        </w:tc>
        <w:tc>
          <w:tcPr>
            <w:tcW w:w="1146" w:type="dxa"/>
            <w:vAlign w:val="center"/>
          </w:tcPr>
          <w:p w14:paraId="43BC482C" w14:textId="5CEA300E" w:rsidR="005D49C9" w:rsidRPr="001C59C3" w:rsidRDefault="008A42F6" w:rsidP="009D49D5">
            <w:pPr>
              <w:pStyle w:val="COMTabletext"/>
              <w:widowControl w:val="0"/>
              <w:jc w:val="center"/>
            </w:pPr>
            <w:r>
              <w:t xml:space="preserve"> </w:t>
            </w:r>
            <w:r w:rsidRPr="008A42F6">
              <w:rPr>
                <w:rFonts w:hint="eastAsia"/>
                <w:color w:val="000000"/>
                <w:w w:val="15"/>
                <w:shd w:val="solid" w:color="000000" w:fill="000000"/>
                <w:fitText w:val="60" w:id="-1032102644"/>
                <w14:textFill>
                  <w14:solidFill>
                    <w14:srgbClr w14:val="000000">
                      <w14:alpha w14:val="100000"/>
                    </w14:srgbClr>
                  </w14:solidFill>
                </w14:textFill>
              </w:rPr>
              <w:t xml:space="preserve">　</w:t>
            </w:r>
            <w:r w:rsidRPr="008A42F6">
              <w:rPr>
                <w:color w:val="000000"/>
                <w:w w:val="15"/>
                <w:shd w:val="solid" w:color="000000" w:fill="000000"/>
                <w:fitText w:val="60" w:id="-1032102644"/>
                <w14:textFill>
                  <w14:solidFill>
                    <w14:srgbClr w14:val="000000">
                      <w14:alpha w14:val="100000"/>
                    </w14:srgbClr>
                  </w14:solidFill>
                </w14:textFill>
              </w:rPr>
              <w:t>|</w:t>
            </w:r>
            <w:r w:rsidRPr="008A42F6">
              <w:rPr>
                <w:rFonts w:hint="eastAsia"/>
                <w:color w:val="000000"/>
                <w:spacing w:val="-5"/>
                <w:w w:val="15"/>
                <w:shd w:val="solid" w:color="000000" w:fill="000000"/>
                <w:fitText w:val="60" w:id="-1032102644"/>
                <w14:textFill>
                  <w14:solidFill>
                    <w14:srgbClr w14:val="000000">
                      <w14:alpha w14:val="100000"/>
                    </w14:srgbClr>
                  </w14:solidFill>
                </w14:textFill>
              </w:rPr>
              <w:t xml:space="preserve">　</w:t>
            </w:r>
          </w:p>
        </w:tc>
        <w:tc>
          <w:tcPr>
            <w:tcW w:w="1148" w:type="dxa"/>
            <w:vAlign w:val="center"/>
          </w:tcPr>
          <w:p w14:paraId="2929A165" w14:textId="77777777" w:rsidR="005D49C9" w:rsidRPr="001C59C3" w:rsidRDefault="005D49C9" w:rsidP="009D49D5">
            <w:pPr>
              <w:pStyle w:val="COMTabletext"/>
              <w:widowControl w:val="0"/>
              <w:jc w:val="center"/>
            </w:pPr>
            <w:r w:rsidRPr="001C59C3">
              <w:t>0.0550</w:t>
            </w:r>
          </w:p>
        </w:tc>
        <w:tc>
          <w:tcPr>
            <w:tcW w:w="1147" w:type="dxa"/>
            <w:vAlign w:val="center"/>
          </w:tcPr>
          <w:p w14:paraId="3D215843" w14:textId="1A915337" w:rsidR="005D49C9" w:rsidRPr="00690B5F" w:rsidRDefault="008A42F6" w:rsidP="009D49D5">
            <w:pPr>
              <w:pStyle w:val="COMTabletext"/>
              <w:widowControl w:val="0"/>
              <w:jc w:val="center"/>
              <w:rPr>
                <w:szCs w:val="20"/>
              </w:rPr>
            </w:pPr>
            <w:r w:rsidRPr="00690B5F">
              <w:rPr>
                <w:szCs w:val="20"/>
              </w:rPr>
              <w:t xml:space="preserve"> </w:t>
            </w:r>
            <w:r w:rsidRPr="00690B5F">
              <w:rPr>
                <w:rFonts w:hint="eastAsia"/>
                <w:color w:val="000000"/>
                <w:w w:val="18"/>
                <w:szCs w:val="20"/>
                <w:shd w:val="solid" w:color="000000" w:fill="000000"/>
                <w:fitText w:val="80" w:id="-1032102643"/>
                <w14:textFill>
                  <w14:solidFill>
                    <w14:srgbClr w14:val="000000">
                      <w14:alpha w14:val="100000"/>
                    </w14:srgbClr>
                  </w14:solidFill>
                </w14:textFill>
              </w:rPr>
              <w:t xml:space="preserve">　</w:t>
            </w:r>
            <w:r w:rsidRPr="00690B5F">
              <w:rPr>
                <w:color w:val="000000"/>
                <w:w w:val="18"/>
                <w:szCs w:val="20"/>
                <w:shd w:val="solid" w:color="000000" w:fill="000000"/>
                <w:fitText w:val="80" w:id="-1032102643"/>
                <w14:textFill>
                  <w14:solidFill>
                    <w14:srgbClr w14:val="000000">
                      <w14:alpha w14:val="100000"/>
                    </w14:srgbClr>
                  </w14:solidFill>
                </w14:textFill>
              </w:rPr>
              <w:t>|</w:t>
            </w:r>
            <w:r w:rsidRPr="00690B5F">
              <w:rPr>
                <w:rFonts w:hint="eastAsia"/>
                <w:color w:val="000000"/>
                <w:w w:val="18"/>
                <w:szCs w:val="20"/>
                <w:shd w:val="solid" w:color="000000" w:fill="000000"/>
                <w:fitText w:val="80" w:id="-1032102643"/>
                <w14:textFill>
                  <w14:solidFill>
                    <w14:srgbClr w14:val="000000">
                      <w14:alpha w14:val="100000"/>
                    </w14:srgbClr>
                  </w14:solidFill>
                </w14:textFill>
              </w:rPr>
              <w:t xml:space="preserve">　</w:t>
            </w:r>
            <w:r w:rsidR="000F661D" w:rsidRPr="00690B5F">
              <w:rPr>
                <w:szCs w:val="20"/>
                <w:vertAlign w:val="superscript"/>
              </w:rPr>
              <w:t>8</w:t>
            </w:r>
          </w:p>
        </w:tc>
        <w:tc>
          <w:tcPr>
            <w:tcW w:w="952" w:type="dxa"/>
            <w:vAlign w:val="center"/>
          </w:tcPr>
          <w:p w14:paraId="4343E180" w14:textId="71546DAD" w:rsidR="005D49C9" w:rsidRPr="001C59C3" w:rsidRDefault="005D49C9" w:rsidP="009D49D5">
            <w:pPr>
              <w:pStyle w:val="COMTabletext"/>
              <w:widowControl w:val="0"/>
              <w:jc w:val="center"/>
            </w:pPr>
            <w:r w:rsidRPr="001C59C3">
              <w:t>+</w:t>
            </w:r>
            <w:r w:rsidR="008A42F6">
              <w:t xml:space="preserve"> </w:t>
            </w:r>
            <w:r w:rsidR="008A42F6" w:rsidRPr="008A42F6">
              <w:rPr>
                <w:color w:val="000000"/>
                <w:spacing w:val="114"/>
                <w:shd w:val="solid" w:color="000000" w:fill="000000"/>
                <w:fitText w:val="200" w:id="-1032102642"/>
                <w14:textFill>
                  <w14:solidFill>
                    <w14:srgbClr w14:val="000000">
                      <w14:alpha w14:val="100000"/>
                    </w14:srgbClr>
                  </w14:solidFill>
                </w14:textFill>
              </w:rPr>
              <w:t>|</w:t>
            </w:r>
            <w:r w:rsidR="008A42F6" w:rsidRPr="008A42F6">
              <w:rPr>
                <w:color w:val="000000"/>
                <w:spacing w:val="1"/>
                <w:shd w:val="solid" w:color="000000" w:fill="000000"/>
                <w:fitText w:val="200" w:id="-1032102642"/>
                <w14:textFill>
                  <w14:solidFill>
                    <w14:srgbClr w14:val="000000">
                      <w14:alpha w14:val="100000"/>
                    </w14:srgbClr>
                  </w14:solidFill>
                </w14:textFill>
              </w:rPr>
              <w:t>|</w:t>
            </w:r>
          </w:p>
        </w:tc>
      </w:tr>
      <w:tr w:rsidR="005D49C9" w:rsidRPr="001C59C3" w14:paraId="0F8C946D" w14:textId="77777777" w:rsidTr="00776D51">
        <w:trPr>
          <w:cantSplit/>
        </w:trPr>
        <w:tc>
          <w:tcPr>
            <w:tcW w:w="8996" w:type="dxa"/>
            <w:gridSpan w:val="5"/>
          </w:tcPr>
          <w:p w14:paraId="55DCB806" w14:textId="5619D86E" w:rsidR="005D49C9" w:rsidRPr="009D1BB6" w:rsidRDefault="005D49C9" w:rsidP="009D49D5">
            <w:pPr>
              <w:pStyle w:val="COMTableheadingrow"/>
              <w:rPr>
                <w:lang w:val="en-AU"/>
              </w:rPr>
            </w:pPr>
            <w:r w:rsidRPr="009D1BB6">
              <w:rPr>
                <w:lang w:val="en-AU"/>
              </w:rPr>
              <w:t xml:space="preserve">Extrapolated transition probabilities (base case no </w:t>
            </w:r>
            <w:r w:rsidR="000C33FA" w:rsidRPr="009D1BB6">
              <w:rPr>
                <w:lang w:val="en-AU"/>
              </w:rPr>
              <w:t>change in pruritus severity</w:t>
            </w:r>
            <w:r w:rsidRPr="009D1BB6">
              <w:rPr>
                <w:lang w:val="en-AU"/>
              </w:rPr>
              <w:t xml:space="preserve"> after 64 weeks for difelikefalin treated patients and after 12 weeks for patients on BSC)</w:t>
            </w:r>
          </w:p>
        </w:tc>
      </w:tr>
      <w:tr w:rsidR="005D49C9" w:rsidRPr="001C59C3" w14:paraId="4EC6E952" w14:textId="77777777" w:rsidTr="00776D51">
        <w:trPr>
          <w:cantSplit/>
        </w:trPr>
        <w:tc>
          <w:tcPr>
            <w:tcW w:w="4603" w:type="dxa"/>
          </w:tcPr>
          <w:p w14:paraId="1F26CFB3" w14:textId="77777777" w:rsidR="005D49C9" w:rsidRPr="001C59C3" w:rsidRDefault="005D49C9" w:rsidP="009D49D5">
            <w:pPr>
              <w:pStyle w:val="COMTabletext"/>
              <w:widowControl w:val="0"/>
            </w:pPr>
            <w:r w:rsidRPr="001C59C3">
              <w:t xml:space="preserve">Waning of placebo response for BSC only based on an annual probability of moving to a worse pruritus health state (10% per year after Week 12)  </w:t>
            </w:r>
          </w:p>
        </w:tc>
        <w:tc>
          <w:tcPr>
            <w:tcW w:w="1146" w:type="dxa"/>
            <w:vAlign w:val="center"/>
          </w:tcPr>
          <w:p w14:paraId="2EFABF0D" w14:textId="437A67C7" w:rsidR="005D49C9" w:rsidRPr="00621588" w:rsidRDefault="008A42F6" w:rsidP="009D49D5">
            <w:pPr>
              <w:pStyle w:val="COMTabletext"/>
              <w:widowControl w:val="0"/>
              <w:jc w:val="center"/>
              <w:rPr>
                <w:highlight w:val="darkGray"/>
              </w:rPr>
            </w:pPr>
            <w:r>
              <w:t xml:space="preserve"> </w:t>
            </w:r>
            <w:r w:rsidRPr="00690B5F">
              <w:rPr>
                <w:rFonts w:hint="eastAsia"/>
                <w:color w:val="000000"/>
                <w:w w:val="15"/>
                <w:shd w:val="solid" w:color="000000" w:fill="000000"/>
                <w:fitText w:val="60" w:id="-1032102641"/>
                <w14:textFill>
                  <w14:solidFill>
                    <w14:srgbClr w14:val="000000">
                      <w14:alpha w14:val="100000"/>
                    </w14:srgbClr>
                  </w14:solidFill>
                </w14:textFill>
              </w:rPr>
              <w:t xml:space="preserve">　</w:t>
            </w:r>
            <w:r w:rsidRPr="00690B5F">
              <w:rPr>
                <w:color w:val="000000"/>
                <w:w w:val="15"/>
                <w:shd w:val="solid" w:color="000000" w:fill="000000"/>
                <w:fitText w:val="60" w:id="-1032102641"/>
                <w14:textFill>
                  <w14:solidFill>
                    <w14:srgbClr w14:val="000000">
                      <w14:alpha w14:val="100000"/>
                    </w14:srgbClr>
                  </w14:solidFill>
                </w14:textFill>
              </w:rPr>
              <w:t>|</w:t>
            </w:r>
            <w:r w:rsidRPr="00690B5F">
              <w:rPr>
                <w:rFonts w:hint="eastAsia"/>
                <w:color w:val="000000"/>
                <w:w w:val="15"/>
                <w:shd w:val="solid" w:color="000000" w:fill="000000"/>
                <w:fitText w:val="60" w:id="-1032102641"/>
                <w14:textFill>
                  <w14:solidFill>
                    <w14:srgbClr w14:val="000000">
                      <w14:alpha w14:val="100000"/>
                    </w14:srgbClr>
                  </w14:solidFill>
                </w14:textFill>
              </w:rPr>
              <w:t xml:space="preserve">　</w:t>
            </w:r>
          </w:p>
        </w:tc>
        <w:tc>
          <w:tcPr>
            <w:tcW w:w="1148" w:type="dxa"/>
            <w:vAlign w:val="center"/>
          </w:tcPr>
          <w:p w14:paraId="648011F7" w14:textId="77777777" w:rsidR="005D49C9" w:rsidRPr="001C59C3" w:rsidRDefault="005D49C9" w:rsidP="009D49D5">
            <w:pPr>
              <w:pStyle w:val="COMTabletext"/>
              <w:widowControl w:val="0"/>
              <w:jc w:val="center"/>
            </w:pPr>
            <w:r w:rsidRPr="001C59C3">
              <w:t>0.1020</w:t>
            </w:r>
          </w:p>
        </w:tc>
        <w:tc>
          <w:tcPr>
            <w:tcW w:w="1147" w:type="dxa"/>
            <w:vAlign w:val="center"/>
          </w:tcPr>
          <w:p w14:paraId="203E0C12" w14:textId="68E6B93E" w:rsidR="005D49C9" w:rsidRPr="00690B5F" w:rsidRDefault="008A42F6" w:rsidP="009D49D5">
            <w:pPr>
              <w:pStyle w:val="COMTabletext"/>
              <w:widowControl w:val="0"/>
              <w:jc w:val="center"/>
              <w:rPr>
                <w:szCs w:val="20"/>
                <w:highlight w:val="darkGray"/>
              </w:rPr>
            </w:pPr>
            <w:r w:rsidRPr="00690B5F">
              <w:rPr>
                <w:szCs w:val="20"/>
              </w:rPr>
              <w:t xml:space="preserve"> </w:t>
            </w:r>
            <w:r w:rsidRPr="00690B5F">
              <w:rPr>
                <w:rFonts w:hint="eastAsia"/>
                <w:color w:val="000000"/>
                <w:w w:val="18"/>
                <w:szCs w:val="20"/>
                <w:shd w:val="solid" w:color="000000" w:fill="000000"/>
                <w:fitText w:val="80" w:id="-1032102640"/>
                <w14:textFill>
                  <w14:solidFill>
                    <w14:srgbClr w14:val="000000">
                      <w14:alpha w14:val="100000"/>
                    </w14:srgbClr>
                  </w14:solidFill>
                </w14:textFill>
              </w:rPr>
              <w:t xml:space="preserve">　</w:t>
            </w:r>
            <w:r w:rsidRPr="00690B5F">
              <w:rPr>
                <w:color w:val="000000"/>
                <w:w w:val="18"/>
                <w:szCs w:val="20"/>
                <w:shd w:val="solid" w:color="000000" w:fill="000000"/>
                <w:fitText w:val="80" w:id="-1032102640"/>
                <w14:textFill>
                  <w14:solidFill>
                    <w14:srgbClr w14:val="000000">
                      <w14:alpha w14:val="100000"/>
                    </w14:srgbClr>
                  </w14:solidFill>
                </w14:textFill>
              </w:rPr>
              <w:t>|</w:t>
            </w:r>
            <w:r w:rsidRPr="00690B5F">
              <w:rPr>
                <w:rFonts w:hint="eastAsia"/>
                <w:color w:val="000000"/>
                <w:w w:val="18"/>
                <w:szCs w:val="20"/>
                <w:shd w:val="solid" w:color="000000" w:fill="000000"/>
                <w:fitText w:val="80" w:id="-1032102640"/>
                <w14:textFill>
                  <w14:solidFill>
                    <w14:srgbClr w14:val="000000">
                      <w14:alpha w14:val="100000"/>
                    </w14:srgbClr>
                  </w14:solidFill>
                </w14:textFill>
              </w:rPr>
              <w:t xml:space="preserve">　</w:t>
            </w:r>
            <w:r w:rsidR="000F661D" w:rsidRPr="00690B5F">
              <w:rPr>
                <w:szCs w:val="20"/>
                <w:vertAlign w:val="superscript"/>
              </w:rPr>
              <w:t>9</w:t>
            </w:r>
          </w:p>
        </w:tc>
        <w:tc>
          <w:tcPr>
            <w:tcW w:w="952" w:type="dxa"/>
            <w:vAlign w:val="center"/>
          </w:tcPr>
          <w:p w14:paraId="0761D221" w14:textId="0BA601E5" w:rsidR="005D49C9" w:rsidRPr="001C59C3" w:rsidRDefault="005D49C9" w:rsidP="009D49D5">
            <w:pPr>
              <w:pStyle w:val="COMTabletext"/>
              <w:widowControl w:val="0"/>
              <w:jc w:val="center"/>
            </w:pPr>
            <w:r w:rsidRPr="001C59C3">
              <w:t>-</w:t>
            </w:r>
            <w:r w:rsidR="008A42F6">
              <w:t xml:space="preserve"> </w:t>
            </w:r>
            <w:r w:rsidR="008A42F6" w:rsidRPr="00690B5F">
              <w:rPr>
                <w:color w:val="000000"/>
                <w:spacing w:val="94"/>
                <w:shd w:val="solid" w:color="000000" w:fill="000000"/>
                <w:fitText w:val="180" w:id="-1032102656"/>
                <w14:textFill>
                  <w14:solidFill>
                    <w14:srgbClr w14:val="000000">
                      <w14:alpha w14:val="100000"/>
                    </w14:srgbClr>
                  </w14:solidFill>
                </w14:textFill>
              </w:rPr>
              <w:t>|</w:t>
            </w:r>
            <w:r w:rsidR="008A42F6" w:rsidRPr="00690B5F">
              <w:rPr>
                <w:color w:val="000000"/>
                <w:shd w:val="solid" w:color="000000" w:fill="000000"/>
                <w:fitText w:val="180" w:id="-1032102656"/>
                <w14:textFill>
                  <w14:solidFill>
                    <w14:srgbClr w14:val="000000">
                      <w14:alpha w14:val="100000"/>
                    </w14:srgbClr>
                  </w14:solidFill>
                </w14:textFill>
              </w:rPr>
              <w:t>|</w:t>
            </w:r>
          </w:p>
        </w:tc>
      </w:tr>
      <w:tr w:rsidR="005D49C9" w:rsidRPr="001C59C3" w14:paraId="4FFE8E33" w14:textId="77777777" w:rsidTr="00776D51">
        <w:trPr>
          <w:cantSplit/>
        </w:trPr>
        <w:tc>
          <w:tcPr>
            <w:tcW w:w="4603" w:type="dxa"/>
          </w:tcPr>
          <w:p w14:paraId="3FF1C482" w14:textId="77777777" w:rsidR="005D49C9" w:rsidRPr="001C59C3" w:rsidRDefault="005D49C9" w:rsidP="009D49D5">
            <w:pPr>
              <w:pStyle w:val="COMTabletext"/>
              <w:widowControl w:val="0"/>
            </w:pPr>
            <w:r w:rsidRPr="001C59C3">
              <w:t>Waning of placebo response based on a greater annual probability of moving to a worse pruritus health state while on BSC (10% per year after Week 12) compared to difelikefalin treatment (5% per year after Week 64)</w:t>
            </w:r>
          </w:p>
        </w:tc>
        <w:tc>
          <w:tcPr>
            <w:tcW w:w="1146" w:type="dxa"/>
            <w:vAlign w:val="center"/>
          </w:tcPr>
          <w:p w14:paraId="390C8146" w14:textId="2FDC0CB2" w:rsidR="005D49C9" w:rsidRPr="00621588" w:rsidRDefault="008A42F6" w:rsidP="009D49D5">
            <w:pPr>
              <w:pStyle w:val="COMTabletext"/>
              <w:widowControl w:val="0"/>
              <w:jc w:val="center"/>
              <w:rPr>
                <w:highlight w:val="darkGray"/>
              </w:rPr>
            </w:pPr>
            <w:r>
              <w:t xml:space="preserve"> </w:t>
            </w:r>
            <w:r w:rsidRPr="00690B5F">
              <w:rPr>
                <w:rFonts w:hint="eastAsia"/>
                <w:color w:val="000000"/>
                <w:w w:val="15"/>
                <w:shd w:val="solid" w:color="000000" w:fill="000000"/>
                <w:fitText w:val="60" w:id="-1032102655"/>
                <w14:textFill>
                  <w14:solidFill>
                    <w14:srgbClr w14:val="000000">
                      <w14:alpha w14:val="100000"/>
                    </w14:srgbClr>
                  </w14:solidFill>
                </w14:textFill>
              </w:rPr>
              <w:t xml:space="preserve">　</w:t>
            </w:r>
            <w:r w:rsidRPr="00690B5F">
              <w:rPr>
                <w:color w:val="000000"/>
                <w:w w:val="15"/>
                <w:shd w:val="solid" w:color="000000" w:fill="000000"/>
                <w:fitText w:val="60" w:id="-1032102655"/>
                <w14:textFill>
                  <w14:solidFill>
                    <w14:srgbClr w14:val="000000">
                      <w14:alpha w14:val="100000"/>
                    </w14:srgbClr>
                  </w14:solidFill>
                </w14:textFill>
              </w:rPr>
              <w:t>|</w:t>
            </w:r>
            <w:r w:rsidRPr="00690B5F">
              <w:rPr>
                <w:rFonts w:hint="eastAsia"/>
                <w:color w:val="000000"/>
                <w:w w:val="15"/>
                <w:shd w:val="solid" w:color="000000" w:fill="000000"/>
                <w:fitText w:val="60" w:id="-1032102655"/>
                <w14:textFill>
                  <w14:solidFill>
                    <w14:srgbClr w14:val="000000">
                      <w14:alpha w14:val="100000"/>
                    </w14:srgbClr>
                  </w14:solidFill>
                </w14:textFill>
              </w:rPr>
              <w:t xml:space="preserve">　</w:t>
            </w:r>
          </w:p>
        </w:tc>
        <w:tc>
          <w:tcPr>
            <w:tcW w:w="1148" w:type="dxa"/>
            <w:vAlign w:val="center"/>
          </w:tcPr>
          <w:p w14:paraId="2FC8304C" w14:textId="77777777" w:rsidR="005D49C9" w:rsidRPr="001C59C3" w:rsidRDefault="005D49C9" w:rsidP="009D49D5">
            <w:pPr>
              <w:pStyle w:val="COMTabletext"/>
              <w:widowControl w:val="0"/>
              <w:jc w:val="center"/>
            </w:pPr>
            <w:r w:rsidRPr="001C59C3">
              <w:t>0.0990</w:t>
            </w:r>
          </w:p>
        </w:tc>
        <w:tc>
          <w:tcPr>
            <w:tcW w:w="1147" w:type="dxa"/>
            <w:vAlign w:val="center"/>
          </w:tcPr>
          <w:p w14:paraId="2DF1B398" w14:textId="3E991CAD" w:rsidR="005D49C9" w:rsidRPr="00690B5F" w:rsidRDefault="008A42F6" w:rsidP="009D49D5">
            <w:pPr>
              <w:pStyle w:val="COMTabletext"/>
              <w:widowControl w:val="0"/>
              <w:jc w:val="center"/>
              <w:rPr>
                <w:szCs w:val="20"/>
                <w:highlight w:val="darkGray"/>
              </w:rPr>
            </w:pPr>
            <w:r w:rsidRPr="00690B5F">
              <w:rPr>
                <w:szCs w:val="20"/>
              </w:rPr>
              <w:t xml:space="preserve"> </w:t>
            </w:r>
            <w:r w:rsidRPr="00690B5F">
              <w:rPr>
                <w:rFonts w:hint="eastAsia"/>
                <w:color w:val="000000"/>
                <w:w w:val="18"/>
                <w:szCs w:val="20"/>
                <w:shd w:val="solid" w:color="000000" w:fill="000000"/>
                <w:fitText w:val="80" w:id="-1032102654"/>
                <w14:textFill>
                  <w14:solidFill>
                    <w14:srgbClr w14:val="000000">
                      <w14:alpha w14:val="100000"/>
                    </w14:srgbClr>
                  </w14:solidFill>
                </w14:textFill>
              </w:rPr>
              <w:t xml:space="preserve">　</w:t>
            </w:r>
            <w:r w:rsidRPr="00690B5F">
              <w:rPr>
                <w:color w:val="000000"/>
                <w:w w:val="18"/>
                <w:szCs w:val="20"/>
                <w:shd w:val="solid" w:color="000000" w:fill="000000"/>
                <w:fitText w:val="80" w:id="-1032102654"/>
                <w14:textFill>
                  <w14:solidFill>
                    <w14:srgbClr w14:val="000000">
                      <w14:alpha w14:val="100000"/>
                    </w14:srgbClr>
                  </w14:solidFill>
                </w14:textFill>
              </w:rPr>
              <w:t>|</w:t>
            </w:r>
            <w:r w:rsidRPr="00690B5F">
              <w:rPr>
                <w:rFonts w:hint="eastAsia"/>
                <w:color w:val="000000"/>
                <w:w w:val="18"/>
                <w:szCs w:val="20"/>
                <w:shd w:val="solid" w:color="000000" w:fill="000000"/>
                <w:fitText w:val="80" w:id="-1032102654"/>
                <w14:textFill>
                  <w14:solidFill>
                    <w14:srgbClr w14:val="000000">
                      <w14:alpha w14:val="100000"/>
                    </w14:srgbClr>
                  </w14:solidFill>
                </w14:textFill>
              </w:rPr>
              <w:t xml:space="preserve">　</w:t>
            </w:r>
            <w:r w:rsidR="000F661D" w:rsidRPr="00690B5F">
              <w:rPr>
                <w:szCs w:val="20"/>
                <w:vertAlign w:val="superscript"/>
              </w:rPr>
              <w:t>9</w:t>
            </w:r>
          </w:p>
        </w:tc>
        <w:tc>
          <w:tcPr>
            <w:tcW w:w="952" w:type="dxa"/>
            <w:vAlign w:val="center"/>
          </w:tcPr>
          <w:p w14:paraId="2C839BD9" w14:textId="1EB1AAD0" w:rsidR="005D49C9" w:rsidRPr="001C59C3" w:rsidRDefault="005D49C9" w:rsidP="009D49D5">
            <w:pPr>
              <w:pStyle w:val="COMTabletext"/>
              <w:widowControl w:val="0"/>
              <w:jc w:val="center"/>
            </w:pPr>
            <w:r w:rsidRPr="001C59C3">
              <w:t>-</w:t>
            </w:r>
            <w:r w:rsidR="008A42F6">
              <w:t xml:space="preserve"> </w:t>
            </w:r>
            <w:r w:rsidR="008A42F6" w:rsidRPr="00690B5F">
              <w:rPr>
                <w:color w:val="000000"/>
                <w:spacing w:val="94"/>
                <w:shd w:val="solid" w:color="000000" w:fill="000000"/>
                <w:fitText w:val="180" w:id="-1032102653"/>
                <w14:textFill>
                  <w14:solidFill>
                    <w14:srgbClr w14:val="000000">
                      <w14:alpha w14:val="100000"/>
                    </w14:srgbClr>
                  </w14:solidFill>
                </w14:textFill>
              </w:rPr>
              <w:t>|</w:t>
            </w:r>
            <w:r w:rsidR="008A42F6" w:rsidRPr="00690B5F">
              <w:rPr>
                <w:color w:val="000000"/>
                <w:shd w:val="solid" w:color="000000" w:fill="000000"/>
                <w:fitText w:val="180" w:id="-1032102653"/>
                <w14:textFill>
                  <w14:solidFill>
                    <w14:srgbClr w14:val="000000">
                      <w14:alpha w14:val="100000"/>
                    </w14:srgbClr>
                  </w14:solidFill>
                </w14:textFill>
              </w:rPr>
              <w:t>|</w:t>
            </w:r>
          </w:p>
        </w:tc>
      </w:tr>
      <w:tr w:rsidR="005D49C9" w:rsidRPr="001C59C3" w14:paraId="486ACD5F" w14:textId="77777777" w:rsidTr="00776D51">
        <w:trPr>
          <w:cantSplit/>
        </w:trPr>
        <w:tc>
          <w:tcPr>
            <w:tcW w:w="4603" w:type="dxa"/>
          </w:tcPr>
          <w:p w14:paraId="73A22778" w14:textId="785AEF0C" w:rsidR="005D49C9" w:rsidRPr="001C59C3" w:rsidRDefault="008C5858" w:rsidP="00776D51">
            <w:pPr>
              <w:pStyle w:val="COMTabletext"/>
              <w:keepNext w:val="0"/>
              <w:widowControl w:val="0"/>
            </w:pPr>
            <w:r w:rsidRPr="001C59C3">
              <w:t xml:space="preserve">Fixed transition probabilities over the whole model duration based on change from baseline to </w:t>
            </w:r>
            <w:r w:rsidR="00120DD9" w:rsidRPr="001C59C3">
              <w:t>12 weeks from the trial (‘Week 0-12’ dataset applied every cycle)</w:t>
            </w:r>
          </w:p>
        </w:tc>
        <w:tc>
          <w:tcPr>
            <w:tcW w:w="1146" w:type="dxa"/>
            <w:vAlign w:val="center"/>
          </w:tcPr>
          <w:p w14:paraId="2ED12AD8" w14:textId="234924E0" w:rsidR="005D49C9" w:rsidRPr="00621588" w:rsidRDefault="008A42F6" w:rsidP="00776D51">
            <w:pPr>
              <w:pStyle w:val="COMTabletext"/>
              <w:keepNext w:val="0"/>
              <w:widowControl w:val="0"/>
              <w:jc w:val="center"/>
              <w:rPr>
                <w:highlight w:val="darkGray"/>
              </w:rPr>
            </w:pPr>
            <w:r>
              <w:t xml:space="preserve"> </w:t>
            </w:r>
            <w:r w:rsidRPr="00690B5F">
              <w:rPr>
                <w:rFonts w:hint="eastAsia"/>
                <w:color w:val="000000"/>
                <w:w w:val="15"/>
                <w:shd w:val="solid" w:color="000000" w:fill="000000"/>
                <w:fitText w:val="60" w:id="-1032102652"/>
                <w14:textFill>
                  <w14:solidFill>
                    <w14:srgbClr w14:val="000000">
                      <w14:alpha w14:val="100000"/>
                    </w14:srgbClr>
                  </w14:solidFill>
                </w14:textFill>
              </w:rPr>
              <w:t xml:space="preserve">　</w:t>
            </w:r>
            <w:r w:rsidRPr="00690B5F">
              <w:rPr>
                <w:color w:val="000000"/>
                <w:w w:val="15"/>
                <w:shd w:val="solid" w:color="000000" w:fill="000000"/>
                <w:fitText w:val="60" w:id="-1032102652"/>
                <w14:textFill>
                  <w14:solidFill>
                    <w14:srgbClr w14:val="000000">
                      <w14:alpha w14:val="100000"/>
                    </w14:srgbClr>
                  </w14:solidFill>
                </w14:textFill>
              </w:rPr>
              <w:t>|</w:t>
            </w:r>
            <w:r w:rsidRPr="00690B5F">
              <w:rPr>
                <w:rFonts w:hint="eastAsia"/>
                <w:color w:val="000000"/>
                <w:w w:val="15"/>
                <w:shd w:val="solid" w:color="000000" w:fill="000000"/>
                <w:fitText w:val="60" w:id="-1032102652"/>
                <w14:textFill>
                  <w14:solidFill>
                    <w14:srgbClr w14:val="000000">
                      <w14:alpha w14:val="100000"/>
                    </w14:srgbClr>
                  </w14:solidFill>
                </w14:textFill>
              </w:rPr>
              <w:t xml:space="preserve">　</w:t>
            </w:r>
          </w:p>
        </w:tc>
        <w:tc>
          <w:tcPr>
            <w:tcW w:w="1148" w:type="dxa"/>
            <w:vAlign w:val="center"/>
          </w:tcPr>
          <w:p w14:paraId="29656AE0" w14:textId="77777777" w:rsidR="005D49C9" w:rsidRPr="001C59C3" w:rsidRDefault="005D49C9" w:rsidP="00776D51">
            <w:pPr>
              <w:pStyle w:val="COMTabletext"/>
              <w:keepNext w:val="0"/>
              <w:widowControl w:val="0"/>
              <w:jc w:val="center"/>
            </w:pPr>
            <w:r w:rsidRPr="001C59C3">
              <w:t>0.0213</w:t>
            </w:r>
          </w:p>
        </w:tc>
        <w:tc>
          <w:tcPr>
            <w:tcW w:w="1147" w:type="dxa"/>
            <w:vAlign w:val="center"/>
          </w:tcPr>
          <w:p w14:paraId="32C1D503" w14:textId="19497193" w:rsidR="005D49C9" w:rsidRPr="00690B5F" w:rsidRDefault="008A42F6" w:rsidP="00776D51">
            <w:pPr>
              <w:pStyle w:val="COMTabletext"/>
              <w:keepNext w:val="0"/>
              <w:widowControl w:val="0"/>
              <w:jc w:val="center"/>
              <w:rPr>
                <w:szCs w:val="20"/>
                <w:highlight w:val="darkGray"/>
              </w:rPr>
            </w:pPr>
            <w:r w:rsidRPr="00690B5F">
              <w:rPr>
                <w:szCs w:val="20"/>
              </w:rPr>
              <w:t xml:space="preserve"> </w:t>
            </w:r>
            <w:r w:rsidRPr="00690B5F">
              <w:rPr>
                <w:rFonts w:hint="eastAsia"/>
                <w:color w:val="000000"/>
                <w:w w:val="22"/>
                <w:szCs w:val="20"/>
                <w:shd w:val="solid" w:color="000000" w:fill="000000"/>
                <w:fitText w:val="100" w:id="-1032102651"/>
                <w14:textFill>
                  <w14:solidFill>
                    <w14:srgbClr w14:val="000000">
                      <w14:alpha w14:val="100000"/>
                    </w14:srgbClr>
                  </w14:solidFill>
                </w14:textFill>
              </w:rPr>
              <w:t xml:space="preserve">　</w:t>
            </w:r>
            <w:r w:rsidRPr="00690B5F">
              <w:rPr>
                <w:color w:val="000000"/>
                <w:w w:val="22"/>
                <w:szCs w:val="20"/>
                <w:shd w:val="solid" w:color="000000" w:fill="000000"/>
                <w:fitText w:val="100" w:id="-1032102651"/>
                <w14:textFill>
                  <w14:solidFill>
                    <w14:srgbClr w14:val="000000">
                      <w14:alpha w14:val="100000"/>
                    </w14:srgbClr>
                  </w14:solidFill>
                </w14:textFill>
              </w:rPr>
              <w:t>|</w:t>
            </w:r>
            <w:r w:rsidRPr="00690B5F">
              <w:rPr>
                <w:rFonts w:hint="eastAsia"/>
                <w:color w:val="000000"/>
                <w:w w:val="22"/>
                <w:szCs w:val="20"/>
                <w:shd w:val="solid" w:color="000000" w:fill="000000"/>
                <w:fitText w:val="100" w:id="-1032102651"/>
                <w14:textFill>
                  <w14:solidFill>
                    <w14:srgbClr w14:val="000000">
                      <w14:alpha w14:val="100000"/>
                    </w14:srgbClr>
                  </w14:solidFill>
                </w14:textFill>
              </w:rPr>
              <w:t xml:space="preserve">　</w:t>
            </w:r>
            <w:r w:rsidR="00A319B5" w:rsidRPr="00690B5F">
              <w:rPr>
                <w:szCs w:val="20"/>
                <w:vertAlign w:val="superscript"/>
              </w:rPr>
              <w:t>11</w:t>
            </w:r>
          </w:p>
        </w:tc>
        <w:tc>
          <w:tcPr>
            <w:tcW w:w="952" w:type="dxa"/>
            <w:vAlign w:val="center"/>
          </w:tcPr>
          <w:p w14:paraId="5115B26D" w14:textId="68E01277" w:rsidR="005D49C9" w:rsidRPr="001C59C3" w:rsidRDefault="005D49C9" w:rsidP="00776D51">
            <w:pPr>
              <w:pStyle w:val="COMTabletext"/>
              <w:keepNext w:val="0"/>
              <w:widowControl w:val="0"/>
              <w:jc w:val="center"/>
            </w:pPr>
            <w:r w:rsidRPr="001C59C3">
              <w:t>+</w:t>
            </w:r>
            <w:r w:rsidR="008A42F6">
              <w:t xml:space="preserve"> </w:t>
            </w:r>
            <w:r w:rsidR="008A42F6" w:rsidRPr="00690B5F">
              <w:rPr>
                <w:color w:val="000000"/>
                <w:spacing w:val="114"/>
                <w:shd w:val="solid" w:color="000000" w:fill="000000"/>
                <w:fitText w:val="200" w:id="-1032102650"/>
                <w14:textFill>
                  <w14:solidFill>
                    <w14:srgbClr w14:val="000000">
                      <w14:alpha w14:val="100000"/>
                    </w14:srgbClr>
                  </w14:solidFill>
                </w14:textFill>
              </w:rPr>
              <w:t>|</w:t>
            </w:r>
            <w:r w:rsidR="008A42F6" w:rsidRPr="00690B5F">
              <w:rPr>
                <w:color w:val="000000"/>
                <w:shd w:val="solid" w:color="000000" w:fill="000000"/>
                <w:fitText w:val="200" w:id="-1032102650"/>
                <w14:textFill>
                  <w14:solidFill>
                    <w14:srgbClr w14:val="000000">
                      <w14:alpha w14:val="100000"/>
                    </w14:srgbClr>
                  </w14:solidFill>
                </w14:textFill>
              </w:rPr>
              <w:t>|</w:t>
            </w:r>
          </w:p>
        </w:tc>
      </w:tr>
      <w:tr w:rsidR="005D49C9" w:rsidRPr="001C59C3" w14:paraId="5E106B64" w14:textId="77777777" w:rsidTr="00776D51">
        <w:trPr>
          <w:cantSplit/>
        </w:trPr>
        <w:tc>
          <w:tcPr>
            <w:tcW w:w="4603" w:type="dxa"/>
          </w:tcPr>
          <w:p w14:paraId="4455A42E" w14:textId="5E9308E3" w:rsidR="005D49C9" w:rsidRPr="001C59C3" w:rsidRDefault="00B92483" w:rsidP="00776D51">
            <w:pPr>
              <w:pStyle w:val="COMTabletext"/>
              <w:keepNext w:val="0"/>
              <w:widowControl w:val="0"/>
            </w:pPr>
            <w:r w:rsidRPr="001C59C3">
              <w:t>Convergence in average pruritus severity between arms over time</w:t>
            </w:r>
            <w:r w:rsidR="00EB77DE" w:rsidRPr="001C59C3">
              <w:t>.</w:t>
            </w:r>
            <w:r w:rsidR="00F04DD0" w:rsidRPr="001C59C3">
              <w:t xml:space="preserve"> </w:t>
            </w:r>
            <w:r w:rsidR="00EB77DE" w:rsidRPr="001C59C3">
              <w:t>M</w:t>
            </w:r>
            <w:r w:rsidR="00F04DD0" w:rsidRPr="001C59C3">
              <w:t>odelled based on the assumption that p</w:t>
            </w:r>
            <w:r w:rsidR="005D49C9" w:rsidRPr="001C59C3">
              <w:t>atients who discontinue difelikefalin treatment</w:t>
            </w:r>
            <w:r w:rsidR="00EB77DE" w:rsidRPr="001C59C3">
              <w:t xml:space="preserve"> after 12 weeks</w:t>
            </w:r>
            <w:r w:rsidR="005D49C9" w:rsidRPr="001C59C3">
              <w:t xml:space="preserve"> </w:t>
            </w:r>
            <w:r w:rsidR="00EB77DE" w:rsidRPr="001C59C3">
              <w:t>would</w:t>
            </w:r>
            <w:r w:rsidR="005D49C9" w:rsidRPr="001C59C3">
              <w:t xml:space="preserve"> assume the same pruritus severity distribution as those in the best supportive care arm</w:t>
            </w:r>
          </w:p>
        </w:tc>
        <w:tc>
          <w:tcPr>
            <w:tcW w:w="1146" w:type="dxa"/>
            <w:vAlign w:val="center"/>
          </w:tcPr>
          <w:p w14:paraId="24885D6B" w14:textId="78969C6B" w:rsidR="005D49C9" w:rsidRPr="00621588" w:rsidRDefault="008A42F6" w:rsidP="00776D51">
            <w:pPr>
              <w:pStyle w:val="COMTabletext"/>
              <w:keepNext w:val="0"/>
              <w:widowControl w:val="0"/>
              <w:jc w:val="center"/>
              <w:rPr>
                <w:highlight w:val="darkGray"/>
              </w:rPr>
            </w:pPr>
            <w:r>
              <w:t xml:space="preserve"> </w:t>
            </w:r>
            <w:r w:rsidRPr="00690B5F">
              <w:rPr>
                <w:rFonts w:hint="eastAsia"/>
                <w:color w:val="000000"/>
                <w:w w:val="15"/>
                <w:shd w:val="solid" w:color="000000" w:fill="000000"/>
                <w:fitText w:val="60" w:id="-1032102649"/>
                <w14:textFill>
                  <w14:solidFill>
                    <w14:srgbClr w14:val="000000">
                      <w14:alpha w14:val="100000"/>
                    </w14:srgbClr>
                  </w14:solidFill>
                </w14:textFill>
              </w:rPr>
              <w:t xml:space="preserve">　</w:t>
            </w:r>
            <w:r w:rsidRPr="00690B5F">
              <w:rPr>
                <w:color w:val="000000"/>
                <w:w w:val="15"/>
                <w:shd w:val="solid" w:color="000000" w:fill="000000"/>
                <w:fitText w:val="60" w:id="-1032102649"/>
                <w14:textFill>
                  <w14:solidFill>
                    <w14:srgbClr w14:val="000000">
                      <w14:alpha w14:val="100000"/>
                    </w14:srgbClr>
                  </w14:solidFill>
                </w14:textFill>
              </w:rPr>
              <w:t>|</w:t>
            </w:r>
            <w:r w:rsidRPr="00690B5F">
              <w:rPr>
                <w:rFonts w:hint="eastAsia"/>
                <w:color w:val="000000"/>
                <w:w w:val="15"/>
                <w:shd w:val="solid" w:color="000000" w:fill="000000"/>
                <w:fitText w:val="60" w:id="-1032102649"/>
                <w14:textFill>
                  <w14:solidFill>
                    <w14:srgbClr w14:val="000000">
                      <w14:alpha w14:val="100000"/>
                    </w14:srgbClr>
                  </w14:solidFill>
                </w14:textFill>
              </w:rPr>
              <w:t xml:space="preserve">　</w:t>
            </w:r>
          </w:p>
        </w:tc>
        <w:tc>
          <w:tcPr>
            <w:tcW w:w="1148" w:type="dxa"/>
            <w:vAlign w:val="center"/>
          </w:tcPr>
          <w:p w14:paraId="1E748A25" w14:textId="77777777" w:rsidR="005D49C9" w:rsidRPr="001C59C3" w:rsidRDefault="005D49C9" w:rsidP="00776D51">
            <w:pPr>
              <w:pStyle w:val="COMTabletext"/>
              <w:keepNext w:val="0"/>
              <w:widowControl w:val="0"/>
              <w:jc w:val="center"/>
            </w:pPr>
            <w:r w:rsidRPr="001C59C3">
              <w:t>0.0567</w:t>
            </w:r>
          </w:p>
        </w:tc>
        <w:tc>
          <w:tcPr>
            <w:tcW w:w="1147" w:type="dxa"/>
            <w:vAlign w:val="center"/>
          </w:tcPr>
          <w:p w14:paraId="77E470B9" w14:textId="03A2E4A9" w:rsidR="005D49C9" w:rsidRPr="00690B5F" w:rsidRDefault="008A42F6" w:rsidP="00776D51">
            <w:pPr>
              <w:pStyle w:val="COMTabletext"/>
              <w:keepNext w:val="0"/>
              <w:widowControl w:val="0"/>
              <w:jc w:val="center"/>
              <w:rPr>
                <w:szCs w:val="20"/>
                <w:highlight w:val="darkGray"/>
              </w:rPr>
            </w:pPr>
            <w:r w:rsidRPr="00690B5F">
              <w:rPr>
                <w:szCs w:val="20"/>
              </w:rPr>
              <w:t xml:space="preserve"> </w:t>
            </w:r>
            <w:r w:rsidRPr="00690B5F">
              <w:rPr>
                <w:rFonts w:hint="eastAsia"/>
                <w:color w:val="000000"/>
                <w:w w:val="18"/>
                <w:szCs w:val="20"/>
                <w:shd w:val="solid" w:color="000000" w:fill="000000"/>
                <w:fitText w:val="80" w:id="-1032102648"/>
                <w14:textFill>
                  <w14:solidFill>
                    <w14:srgbClr w14:val="000000">
                      <w14:alpha w14:val="100000"/>
                    </w14:srgbClr>
                  </w14:solidFill>
                </w14:textFill>
              </w:rPr>
              <w:t xml:space="preserve">　</w:t>
            </w:r>
            <w:r w:rsidRPr="00690B5F">
              <w:rPr>
                <w:color w:val="000000"/>
                <w:w w:val="18"/>
                <w:szCs w:val="20"/>
                <w:shd w:val="solid" w:color="000000" w:fill="000000"/>
                <w:fitText w:val="80" w:id="-1032102648"/>
                <w14:textFill>
                  <w14:solidFill>
                    <w14:srgbClr w14:val="000000">
                      <w14:alpha w14:val="100000"/>
                    </w14:srgbClr>
                  </w14:solidFill>
                </w14:textFill>
              </w:rPr>
              <w:t>|</w:t>
            </w:r>
            <w:r w:rsidRPr="00690B5F">
              <w:rPr>
                <w:rFonts w:hint="eastAsia"/>
                <w:color w:val="000000"/>
                <w:w w:val="18"/>
                <w:szCs w:val="20"/>
                <w:shd w:val="solid" w:color="000000" w:fill="000000"/>
                <w:fitText w:val="80" w:id="-1032102648"/>
                <w14:textFill>
                  <w14:solidFill>
                    <w14:srgbClr w14:val="000000">
                      <w14:alpha w14:val="100000"/>
                    </w14:srgbClr>
                  </w14:solidFill>
                </w14:textFill>
              </w:rPr>
              <w:t xml:space="preserve">　</w:t>
            </w:r>
            <w:r w:rsidR="00A319B5" w:rsidRPr="00690B5F">
              <w:rPr>
                <w:szCs w:val="20"/>
                <w:vertAlign w:val="superscript"/>
              </w:rPr>
              <w:t>8</w:t>
            </w:r>
          </w:p>
        </w:tc>
        <w:tc>
          <w:tcPr>
            <w:tcW w:w="952" w:type="dxa"/>
            <w:vAlign w:val="center"/>
          </w:tcPr>
          <w:p w14:paraId="11C56DC2" w14:textId="7152E21D" w:rsidR="005D49C9" w:rsidRPr="001C59C3" w:rsidRDefault="005D49C9" w:rsidP="00776D51">
            <w:pPr>
              <w:pStyle w:val="COMTabletext"/>
              <w:keepNext w:val="0"/>
              <w:widowControl w:val="0"/>
              <w:jc w:val="center"/>
            </w:pPr>
            <w:r w:rsidRPr="001C59C3">
              <w:t>+</w:t>
            </w:r>
            <w:r w:rsidR="008A42F6">
              <w:t xml:space="preserve"> </w:t>
            </w:r>
            <w:r w:rsidR="008A42F6" w:rsidRPr="00690B5F">
              <w:rPr>
                <w:color w:val="000000"/>
                <w:spacing w:val="114"/>
                <w:shd w:val="solid" w:color="000000" w:fill="000000"/>
                <w:fitText w:val="200" w:id="-1032102647"/>
                <w14:textFill>
                  <w14:solidFill>
                    <w14:srgbClr w14:val="000000">
                      <w14:alpha w14:val="100000"/>
                    </w14:srgbClr>
                  </w14:solidFill>
                </w14:textFill>
              </w:rPr>
              <w:t>|</w:t>
            </w:r>
            <w:r w:rsidR="008A42F6" w:rsidRPr="00690B5F">
              <w:rPr>
                <w:color w:val="000000"/>
                <w:shd w:val="solid" w:color="000000" w:fill="000000"/>
                <w:fitText w:val="200" w:id="-1032102647"/>
                <w14:textFill>
                  <w14:solidFill>
                    <w14:srgbClr w14:val="000000">
                      <w14:alpha w14:val="100000"/>
                    </w14:srgbClr>
                  </w14:solidFill>
                </w14:textFill>
              </w:rPr>
              <w:t>|</w:t>
            </w:r>
          </w:p>
        </w:tc>
      </w:tr>
      <w:tr w:rsidR="005D49C9" w:rsidRPr="001C59C3" w14:paraId="3CCB27B7" w14:textId="77777777" w:rsidTr="00776D51">
        <w:trPr>
          <w:cantSplit/>
        </w:trPr>
        <w:tc>
          <w:tcPr>
            <w:tcW w:w="4603" w:type="dxa"/>
          </w:tcPr>
          <w:p w14:paraId="36F4B2D8" w14:textId="74548543" w:rsidR="005D49C9" w:rsidRPr="001C59C3" w:rsidRDefault="005D49C9" w:rsidP="00776D51">
            <w:pPr>
              <w:pStyle w:val="COMTabletext"/>
              <w:keepNext w:val="0"/>
              <w:widowControl w:val="0"/>
            </w:pPr>
            <w:r w:rsidRPr="001C59C3">
              <w:t>No additional improvement for difelikefalin treated patients after 12 weeks</w:t>
            </w:r>
            <w:r w:rsidR="00E57FDC" w:rsidRPr="001C59C3">
              <w:t xml:space="preserve"> and convergence in average pruritus severity between arms over times (assumptions described above)</w:t>
            </w:r>
          </w:p>
        </w:tc>
        <w:tc>
          <w:tcPr>
            <w:tcW w:w="1146" w:type="dxa"/>
            <w:vAlign w:val="center"/>
          </w:tcPr>
          <w:p w14:paraId="647DE84D" w14:textId="5E8B64AC" w:rsidR="005D49C9" w:rsidRPr="00621588" w:rsidRDefault="008A42F6" w:rsidP="00776D51">
            <w:pPr>
              <w:pStyle w:val="COMTabletext"/>
              <w:keepNext w:val="0"/>
              <w:widowControl w:val="0"/>
              <w:jc w:val="center"/>
              <w:rPr>
                <w:highlight w:val="darkGray"/>
              </w:rPr>
            </w:pPr>
            <w:r>
              <w:t xml:space="preserve"> </w:t>
            </w:r>
            <w:r w:rsidRPr="00690B5F">
              <w:rPr>
                <w:rFonts w:hint="eastAsia"/>
                <w:color w:val="000000"/>
                <w:w w:val="15"/>
                <w:shd w:val="solid" w:color="000000" w:fill="000000"/>
                <w:fitText w:val="60" w:id="-1032102646"/>
                <w14:textFill>
                  <w14:solidFill>
                    <w14:srgbClr w14:val="000000">
                      <w14:alpha w14:val="100000"/>
                    </w14:srgbClr>
                  </w14:solidFill>
                </w14:textFill>
              </w:rPr>
              <w:t xml:space="preserve">　</w:t>
            </w:r>
            <w:r w:rsidRPr="00690B5F">
              <w:rPr>
                <w:color w:val="000000"/>
                <w:w w:val="15"/>
                <w:shd w:val="solid" w:color="000000" w:fill="000000"/>
                <w:fitText w:val="60" w:id="-1032102646"/>
                <w14:textFill>
                  <w14:solidFill>
                    <w14:srgbClr w14:val="000000">
                      <w14:alpha w14:val="100000"/>
                    </w14:srgbClr>
                  </w14:solidFill>
                </w14:textFill>
              </w:rPr>
              <w:t>|</w:t>
            </w:r>
            <w:r w:rsidRPr="00690B5F">
              <w:rPr>
                <w:rFonts w:hint="eastAsia"/>
                <w:color w:val="000000"/>
                <w:w w:val="15"/>
                <w:shd w:val="solid" w:color="000000" w:fill="000000"/>
                <w:fitText w:val="60" w:id="-1032102646"/>
                <w14:textFill>
                  <w14:solidFill>
                    <w14:srgbClr w14:val="000000">
                      <w14:alpha w14:val="100000"/>
                    </w14:srgbClr>
                  </w14:solidFill>
                </w14:textFill>
              </w:rPr>
              <w:t xml:space="preserve">　</w:t>
            </w:r>
          </w:p>
        </w:tc>
        <w:tc>
          <w:tcPr>
            <w:tcW w:w="1148" w:type="dxa"/>
            <w:vAlign w:val="center"/>
          </w:tcPr>
          <w:p w14:paraId="4D45B806" w14:textId="77777777" w:rsidR="005D49C9" w:rsidRPr="001C59C3" w:rsidRDefault="005D49C9" w:rsidP="00776D51">
            <w:pPr>
              <w:pStyle w:val="COMTabletext"/>
              <w:keepNext w:val="0"/>
              <w:widowControl w:val="0"/>
              <w:jc w:val="center"/>
            </w:pPr>
            <w:r w:rsidRPr="001C59C3">
              <w:t>0.0330</w:t>
            </w:r>
          </w:p>
        </w:tc>
        <w:tc>
          <w:tcPr>
            <w:tcW w:w="1147" w:type="dxa"/>
            <w:vAlign w:val="center"/>
          </w:tcPr>
          <w:p w14:paraId="06B1A728" w14:textId="48D4A3F8" w:rsidR="005D49C9" w:rsidRPr="00690B5F" w:rsidRDefault="008A42F6" w:rsidP="00776D51">
            <w:pPr>
              <w:pStyle w:val="COMTabletext"/>
              <w:keepNext w:val="0"/>
              <w:widowControl w:val="0"/>
              <w:jc w:val="center"/>
              <w:rPr>
                <w:szCs w:val="20"/>
                <w:highlight w:val="darkGray"/>
              </w:rPr>
            </w:pPr>
            <w:r w:rsidRPr="00690B5F">
              <w:rPr>
                <w:szCs w:val="20"/>
              </w:rPr>
              <w:t xml:space="preserve"> </w:t>
            </w:r>
            <w:r w:rsidRPr="00690B5F">
              <w:rPr>
                <w:rFonts w:hint="eastAsia"/>
                <w:color w:val="000000"/>
                <w:w w:val="22"/>
                <w:szCs w:val="20"/>
                <w:shd w:val="solid" w:color="000000" w:fill="000000"/>
                <w:fitText w:val="100" w:id="-1032102645"/>
                <w14:textFill>
                  <w14:solidFill>
                    <w14:srgbClr w14:val="000000">
                      <w14:alpha w14:val="100000"/>
                    </w14:srgbClr>
                  </w14:solidFill>
                </w14:textFill>
              </w:rPr>
              <w:t xml:space="preserve">　</w:t>
            </w:r>
            <w:r w:rsidRPr="00690B5F">
              <w:rPr>
                <w:color w:val="000000"/>
                <w:w w:val="22"/>
                <w:szCs w:val="20"/>
                <w:shd w:val="solid" w:color="000000" w:fill="000000"/>
                <w:fitText w:val="100" w:id="-1032102645"/>
                <w14:textFill>
                  <w14:solidFill>
                    <w14:srgbClr w14:val="000000">
                      <w14:alpha w14:val="100000"/>
                    </w14:srgbClr>
                  </w14:solidFill>
                </w14:textFill>
              </w:rPr>
              <w:t>|</w:t>
            </w:r>
            <w:r w:rsidRPr="00690B5F">
              <w:rPr>
                <w:rFonts w:hint="eastAsia"/>
                <w:color w:val="000000"/>
                <w:w w:val="22"/>
                <w:szCs w:val="20"/>
                <w:shd w:val="solid" w:color="000000" w:fill="000000"/>
                <w:fitText w:val="100" w:id="-1032102645"/>
                <w14:textFill>
                  <w14:solidFill>
                    <w14:srgbClr w14:val="000000">
                      <w14:alpha w14:val="100000"/>
                    </w14:srgbClr>
                  </w14:solidFill>
                </w14:textFill>
              </w:rPr>
              <w:t xml:space="preserve">　</w:t>
            </w:r>
            <w:r w:rsidR="00A319B5" w:rsidRPr="00690B5F">
              <w:rPr>
                <w:szCs w:val="20"/>
                <w:vertAlign w:val="superscript"/>
              </w:rPr>
              <w:t>10</w:t>
            </w:r>
          </w:p>
        </w:tc>
        <w:tc>
          <w:tcPr>
            <w:tcW w:w="952" w:type="dxa"/>
            <w:vAlign w:val="center"/>
          </w:tcPr>
          <w:p w14:paraId="68666F5D" w14:textId="32630B1E" w:rsidR="005D49C9" w:rsidRPr="001C59C3" w:rsidRDefault="005D49C9" w:rsidP="00776D51">
            <w:pPr>
              <w:pStyle w:val="COMTabletext"/>
              <w:keepNext w:val="0"/>
              <w:widowControl w:val="0"/>
              <w:jc w:val="center"/>
            </w:pPr>
            <w:r w:rsidRPr="001C59C3">
              <w:t>+</w:t>
            </w:r>
            <w:r w:rsidR="008A42F6">
              <w:t xml:space="preserve"> </w:t>
            </w:r>
            <w:r w:rsidR="008A42F6" w:rsidRPr="00690B5F">
              <w:rPr>
                <w:color w:val="000000"/>
                <w:spacing w:val="114"/>
                <w:shd w:val="solid" w:color="000000" w:fill="000000"/>
                <w:fitText w:val="200" w:id="-1032102644"/>
                <w14:textFill>
                  <w14:solidFill>
                    <w14:srgbClr w14:val="000000">
                      <w14:alpha w14:val="100000"/>
                    </w14:srgbClr>
                  </w14:solidFill>
                </w14:textFill>
              </w:rPr>
              <w:t>|</w:t>
            </w:r>
            <w:r w:rsidR="008A42F6" w:rsidRPr="00690B5F">
              <w:rPr>
                <w:color w:val="000000"/>
                <w:shd w:val="solid" w:color="000000" w:fill="000000"/>
                <w:fitText w:val="200" w:id="-1032102644"/>
                <w14:textFill>
                  <w14:solidFill>
                    <w14:srgbClr w14:val="000000">
                      <w14:alpha w14:val="100000"/>
                    </w14:srgbClr>
                  </w14:solidFill>
                </w14:textFill>
              </w:rPr>
              <w:t>|</w:t>
            </w:r>
          </w:p>
        </w:tc>
      </w:tr>
      <w:tr w:rsidR="005D49C9" w:rsidRPr="001C59C3" w14:paraId="41855E51" w14:textId="77777777" w:rsidTr="00776D51">
        <w:trPr>
          <w:cantSplit/>
        </w:trPr>
        <w:tc>
          <w:tcPr>
            <w:tcW w:w="8996" w:type="dxa"/>
            <w:gridSpan w:val="5"/>
          </w:tcPr>
          <w:p w14:paraId="58BF64A8" w14:textId="77777777" w:rsidR="005D49C9" w:rsidRPr="009D1BB6" w:rsidRDefault="005D49C9" w:rsidP="00776D51">
            <w:pPr>
              <w:pStyle w:val="COMTableheadingrow"/>
              <w:rPr>
                <w:lang w:val="en-AU"/>
              </w:rPr>
            </w:pPr>
            <w:r w:rsidRPr="009D1BB6">
              <w:rPr>
                <w:lang w:val="en-AU"/>
              </w:rPr>
              <w:t>Health state utilities (base case baseline utility 0.6328 with utility decrements for mild 0.0528, moderate 0.1125 and severe 0.1908)</w:t>
            </w:r>
          </w:p>
        </w:tc>
      </w:tr>
      <w:tr w:rsidR="005D49C9" w:rsidRPr="001C59C3" w14:paraId="73439F20" w14:textId="77777777" w:rsidTr="00776D51">
        <w:trPr>
          <w:cantSplit/>
        </w:trPr>
        <w:tc>
          <w:tcPr>
            <w:tcW w:w="4603" w:type="dxa"/>
          </w:tcPr>
          <w:p w14:paraId="348028BC" w14:textId="77777777" w:rsidR="005D49C9" w:rsidRPr="001C59C3" w:rsidRDefault="005D49C9" w:rsidP="00776D51">
            <w:pPr>
              <w:pStyle w:val="COMTabletext"/>
              <w:keepNext w:val="0"/>
              <w:widowControl w:val="0"/>
            </w:pPr>
            <w:r w:rsidRPr="001C59C3">
              <w:t>Lower limit of 95% CI for base case estimates (baseline utility 0.5846 with utility decrements for mild 0.0444, moderate 0.1038 and severe 0.2159)</w:t>
            </w:r>
          </w:p>
        </w:tc>
        <w:tc>
          <w:tcPr>
            <w:tcW w:w="1146" w:type="dxa"/>
            <w:vAlign w:val="center"/>
          </w:tcPr>
          <w:p w14:paraId="33A78FEF" w14:textId="0E13E736" w:rsidR="005D49C9" w:rsidRPr="00621588" w:rsidRDefault="008A42F6" w:rsidP="00776D51">
            <w:pPr>
              <w:pStyle w:val="COMTabletext"/>
              <w:keepNext w:val="0"/>
              <w:widowControl w:val="0"/>
              <w:jc w:val="center"/>
              <w:rPr>
                <w:highlight w:val="darkGray"/>
              </w:rPr>
            </w:pPr>
            <w:r>
              <w:t xml:space="preserve"> </w:t>
            </w:r>
            <w:r w:rsidRPr="008A42F6">
              <w:rPr>
                <w:rFonts w:hint="eastAsia"/>
                <w:color w:val="000000"/>
                <w:w w:val="15"/>
                <w:shd w:val="solid" w:color="000000" w:fill="000000"/>
                <w:fitText w:val="60" w:id="-1032102643"/>
                <w14:textFill>
                  <w14:solidFill>
                    <w14:srgbClr w14:val="000000">
                      <w14:alpha w14:val="100000"/>
                    </w14:srgbClr>
                  </w14:solidFill>
                </w14:textFill>
              </w:rPr>
              <w:t xml:space="preserve">　</w:t>
            </w:r>
            <w:r w:rsidRPr="008A42F6">
              <w:rPr>
                <w:color w:val="000000"/>
                <w:w w:val="15"/>
                <w:shd w:val="solid" w:color="000000" w:fill="000000"/>
                <w:fitText w:val="60" w:id="-1032102643"/>
                <w14:textFill>
                  <w14:solidFill>
                    <w14:srgbClr w14:val="000000">
                      <w14:alpha w14:val="100000"/>
                    </w14:srgbClr>
                  </w14:solidFill>
                </w14:textFill>
              </w:rPr>
              <w:t>|</w:t>
            </w:r>
            <w:r w:rsidRPr="008A42F6">
              <w:rPr>
                <w:rFonts w:hint="eastAsia"/>
                <w:color w:val="000000"/>
                <w:spacing w:val="-5"/>
                <w:w w:val="15"/>
                <w:shd w:val="solid" w:color="000000" w:fill="000000"/>
                <w:fitText w:val="60" w:id="-1032102643"/>
                <w14:textFill>
                  <w14:solidFill>
                    <w14:srgbClr w14:val="000000">
                      <w14:alpha w14:val="100000"/>
                    </w14:srgbClr>
                  </w14:solidFill>
                </w14:textFill>
              </w:rPr>
              <w:t xml:space="preserve">　</w:t>
            </w:r>
          </w:p>
        </w:tc>
        <w:tc>
          <w:tcPr>
            <w:tcW w:w="1148" w:type="dxa"/>
            <w:vAlign w:val="center"/>
          </w:tcPr>
          <w:p w14:paraId="3E49A349" w14:textId="77777777" w:rsidR="005D49C9" w:rsidRPr="001C59C3" w:rsidRDefault="005D49C9" w:rsidP="00776D51">
            <w:pPr>
              <w:pStyle w:val="COMTabletext"/>
              <w:keepNext w:val="0"/>
              <w:widowControl w:val="0"/>
              <w:jc w:val="center"/>
            </w:pPr>
            <w:r w:rsidRPr="001C59C3">
              <w:t>0.0986</w:t>
            </w:r>
          </w:p>
        </w:tc>
        <w:tc>
          <w:tcPr>
            <w:tcW w:w="1147" w:type="dxa"/>
            <w:vAlign w:val="center"/>
          </w:tcPr>
          <w:p w14:paraId="2A09EABB" w14:textId="582EAC5A" w:rsidR="005D49C9" w:rsidRPr="00690B5F" w:rsidRDefault="008A42F6" w:rsidP="00776D51">
            <w:pPr>
              <w:pStyle w:val="COMTabletext"/>
              <w:keepNext w:val="0"/>
              <w:widowControl w:val="0"/>
              <w:jc w:val="center"/>
              <w:rPr>
                <w:szCs w:val="20"/>
              </w:rPr>
            </w:pPr>
            <w:r w:rsidRPr="00690B5F">
              <w:rPr>
                <w:szCs w:val="20"/>
              </w:rPr>
              <w:t xml:space="preserve"> </w:t>
            </w:r>
            <w:r w:rsidRPr="00690B5F">
              <w:rPr>
                <w:rFonts w:hint="eastAsia"/>
                <w:color w:val="000000"/>
                <w:w w:val="18"/>
                <w:szCs w:val="20"/>
                <w:shd w:val="solid" w:color="000000" w:fill="000000"/>
                <w:fitText w:val="80" w:id="-1032102642"/>
                <w14:textFill>
                  <w14:solidFill>
                    <w14:srgbClr w14:val="000000">
                      <w14:alpha w14:val="100000"/>
                    </w14:srgbClr>
                  </w14:solidFill>
                </w14:textFill>
              </w:rPr>
              <w:t xml:space="preserve">　</w:t>
            </w:r>
            <w:r w:rsidRPr="00690B5F">
              <w:rPr>
                <w:color w:val="000000"/>
                <w:w w:val="18"/>
                <w:szCs w:val="20"/>
                <w:shd w:val="solid" w:color="000000" w:fill="000000"/>
                <w:fitText w:val="80" w:id="-1032102642"/>
                <w14:textFill>
                  <w14:solidFill>
                    <w14:srgbClr w14:val="000000">
                      <w14:alpha w14:val="100000"/>
                    </w14:srgbClr>
                  </w14:solidFill>
                </w14:textFill>
              </w:rPr>
              <w:t>|</w:t>
            </w:r>
            <w:r w:rsidRPr="00690B5F">
              <w:rPr>
                <w:rFonts w:hint="eastAsia"/>
                <w:color w:val="000000"/>
                <w:w w:val="18"/>
                <w:szCs w:val="20"/>
                <w:shd w:val="solid" w:color="000000" w:fill="000000"/>
                <w:fitText w:val="80" w:id="-1032102642"/>
                <w14:textFill>
                  <w14:solidFill>
                    <w14:srgbClr w14:val="000000">
                      <w14:alpha w14:val="100000"/>
                    </w14:srgbClr>
                  </w14:solidFill>
                </w14:textFill>
              </w:rPr>
              <w:t xml:space="preserve">　</w:t>
            </w:r>
            <w:r w:rsidR="000F661D" w:rsidRPr="00690B5F">
              <w:rPr>
                <w:szCs w:val="20"/>
                <w:vertAlign w:val="superscript"/>
              </w:rPr>
              <w:t>9</w:t>
            </w:r>
          </w:p>
        </w:tc>
        <w:tc>
          <w:tcPr>
            <w:tcW w:w="952" w:type="dxa"/>
            <w:vAlign w:val="center"/>
          </w:tcPr>
          <w:p w14:paraId="597EDF26" w14:textId="7451E923" w:rsidR="005D49C9" w:rsidRPr="001C59C3" w:rsidRDefault="005D49C9" w:rsidP="00776D51">
            <w:pPr>
              <w:pStyle w:val="COMTabletext"/>
              <w:keepNext w:val="0"/>
              <w:widowControl w:val="0"/>
              <w:jc w:val="center"/>
            </w:pPr>
            <w:r w:rsidRPr="001C59C3">
              <w:t>-</w:t>
            </w:r>
            <w:r w:rsidR="008A42F6">
              <w:t xml:space="preserve"> </w:t>
            </w:r>
            <w:r w:rsidR="008A42F6" w:rsidRPr="008A42F6">
              <w:rPr>
                <w:color w:val="000000"/>
                <w:spacing w:val="94"/>
                <w:shd w:val="solid" w:color="000000" w:fill="000000"/>
                <w:fitText w:val="180" w:id="-1032102641"/>
                <w14:textFill>
                  <w14:solidFill>
                    <w14:srgbClr w14:val="000000">
                      <w14:alpha w14:val="100000"/>
                    </w14:srgbClr>
                  </w14:solidFill>
                </w14:textFill>
              </w:rPr>
              <w:t>|</w:t>
            </w:r>
            <w:r w:rsidR="008A42F6" w:rsidRPr="008A42F6">
              <w:rPr>
                <w:color w:val="000000"/>
                <w:spacing w:val="1"/>
                <w:shd w:val="solid" w:color="000000" w:fill="000000"/>
                <w:fitText w:val="180" w:id="-1032102641"/>
                <w14:textFill>
                  <w14:solidFill>
                    <w14:srgbClr w14:val="000000">
                      <w14:alpha w14:val="100000"/>
                    </w14:srgbClr>
                  </w14:solidFill>
                </w14:textFill>
              </w:rPr>
              <w:t>|</w:t>
            </w:r>
          </w:p>
        </w:tc>
      </w:tr>
      <w:tr w:rsidR="005D49C9" w:rsidRPr="001C59C3" w14:paraId="3C21E294" w14:textId="77777777" w:rsidTr="00776D51">
        <w:trPr>
          <w:cantSplit/>
        </w:trPr>
        <w:tc>
          <w:tcPr>
            <w:tcW w:w="4603" w:type="dxa"/>
          </w:tcPr>
          <w:p w14:paraId="043C852A" w14:textId="77777777" w:rsidR="005D49C9" w:rsidRPr="001C59C3" w:rsidRDefault="005D49C9" w:rsidP="00776D51">
            <w:pPr>
              <w:pStyle w:val="COMTabletext"/>
              <w:keepNext w:val="0"/>
              <w:widowControl w:val="0"/>
            </w:pPr>
            <w:r w:rsidRPr="001C59C3">
              <w:lastRenderedPageBreak/>
              <w:t>Upper limit of 95% CI for base case estimates (baseline utility 0.6810 with utility decrements for mild 0.0612, moderate 0.1213 and severe 0.1656)</w:t>
            </w:r>
          </w:p>
        </w:tc>
        <w:tc>
          <w:tcPr>
            <w:tcW w:w="1146" w:type="dxa"/>
            <w:vAlign w:val="center"/>
          </w:tcPr>
          <w:p w14:paraId="20CD5D86" w14:textId="3CA54A41" w:rsidR="005D49C9" w:rsidRPr="00621588" w:rsidRDefault="008A42F6" w:rsidP="00776D51">
            <w:pPr>
              <w:pStyle w:val="COMTabletext"/>
              <w:keepNext w:val="0"/>
              <w:widowControl w:val="0"/>
              <w:jc w:val="center"/>
              <w:rPr>
                <w:highlight w:val="darkGray"/>
              </w:rPr>
            </w:pPr>
            <w:r>
              <w:t xml:space="preserve"> </w:t>
            </w:r>
            <w:r w:rsidRPr="008A42F6">
              <w:rPr>
                <w:rFonts w:hint="eastAsia"/>
                <w:color w:val="000000"/>
                <w:w w:val="22"/>
                <w:shd w:val="solid" w:color="000000" w:fill="000000"/>
                <w:fitText w:val="100" w:id="-1032102640"/>
                <w14:textFill>
                  <w14:solidFill>
                    <w14:srgbClr w14:val="000000">
                      <w14:alpha w14:val="100000"/>
                    </w14:srgbClr>
                  </w14:solidFill>
                </w14:textFill>
              </w:rPr>
              <w:t xml:space="preserve">　</w:t>
            </w:r>
            <w:r w:rsidRPr="008A42F6">
              <w:rPr>
                <w:color w:val="000000"/>
                <w:w w:val="22"/>
                <w:shd w:val="solid" w:color="000000" w:fill="000000"/>
                <w:fitText w:val="100" w:id="-1032102640"/>
                <w14:textFill>
                  <w14:solidFill>
                    <w14:srgbClr w14:val="000000">
                      <w14:alpha w14:val="100000"/>
                    </w14:srgbClr>
                  </w14:solidFill>
                </w14:textFill>
              </w:rPr>
              <w:t>|</w:t>
            </w:r>
            <w:r w:rsidRPr="008A42F6">
              <w:rPr>
                <w:rFonts w:hint="eastAsia"/>
                <w:color w:val="000000"/>
                <w:spacing w:val="3"/>
                <w:w w:val="22"/>
                <w:shd w:val="solid" w:color="000000" w:fill="000000"/>
                <w:fitText w:val="100" w:id="-1032102640"/>
                <w14:textFill>
                  <w14:solidFill>
                    <w14:srgbClr w14:val="000000">
                      <w14:alpha w14:val="100000"/>
                    </w14:srgbClr>
                  </w14:solidFill>
                </w14:textFill>
              </w:rPr>
              <w:t xml:space="preserve">　</w:t>
            </w:r>
            <w:r w:rsidR="0058463F" w:rsidRPr="00621588">
              <w:rPr>
                <w:vertAlign w:val="superscript"/>
              </w:rPr>
              <w:t xml:space="preserve"> </w:t>
            </w:r>
          </w:p>
        </w:tc>
        <w:tc>
          <w:tcPr>
            <w:tcW w:w="1148" w:type="dxa"/>
            <w:vAlign w:val="center"/>
          </w:tcPr>
          <w:p w14:paraId="0189992D" w14:textId="77777777" w:rsidR="005D49C9" w:rsidRPr="001C59C3" w:rsidRDefault="005D49C9" w:rsidP="00776D51">
            <w:pPr>
              <w:pStyle w:val="COMTabletext"/>
              <w:keepNext w:val="0"/>
              <w:widowControl w:val="0"/>
              <w:jc w:val="center"/>
            </w:pPr>
            <w:r w:rsidRPr="001C59C3">
              <w:t>0.0859</w:t>
            </w:r>
          </w:p>
        </w:tc>
        <w:tc>
          <w:tcPr>
            <w:tcW w:w="1147" w:type="dxa"/>
            <w:vAlign w:val="center"/>
          </w:tcPr>
          <w:p w14:paraId="16C60F5E" w14:textId="558D6BDA" w:rsidR="005D49C9" w:rsidRPr="00621588" w:rsidRDefault="008A42F6" w:rsidP="00776D51">
            <w:pPr>
              <w:pStyle w:val="COMTabletext"/>
              <w:keepNext w:val="0"/>
              <w:widowControl w:val="0"/>
              <w:jc w:val="center"/>
              <w:rPr>
                <w:highlight w:val="darkGray"/>
              </w:rPr>
            </w:pPr>
            <w:r>
              <w:t xml:space="preserve"> </w:t>
            </w:r>
            <w:r w:rsidRPr="008A42F6">
              <w:rPr>
                <w:rFonts w:hint="eastAsia"/>
                <w:color w:val="000000"/>
                <w:w w:val="18"/>
                <w:shd w:val="solid" w:color="000000" w:fill="000000"/>
                <w:fitText w:val="80" w:id="-1032102656"/>
                <w14:textFill>
                  <w14:solidFill>
                    <w14:srgbClr w14:val="000000">
                      <w14:alpha w14:val="100000"/>
                    </w14:srgbClr>
                  </w14:solidFill>
                </w14:textFill>
              </w:rPr>
              <w:t xml:space="preserve">　</w:t>
            </w:r>
            <w:r w:rsidRPr="008A42F6">
              <w:rPr>
                <w:color w:val="000000"/>
                <w:w w:val="18"/>
                <w:shd w:val="solid" w:color="000000" w:fill="000000"/>
                <w:fitText w:val="80" w:id="-1032102656"/>
                <w14:textFill>
                  <w14:solidFill>
                    <w14:srgbClr w14:val="000000">
                      <w14:alpha w14:val="100000"/>
                    </w14:srgbClr>
                  </w14:solidFill>
                </w14:textFill>
              </w:rPr>
              <w:t>|</w:t>
            </w:r>
            <w:r w:rsidRPr="008A42F6">
              <w:rPr>
                <w:rFonts w:hint="eastAsia"/>
                <w:color w:val="000000"/>
                <w:w w:val="18"/>
                <w:shd w:val="solid" w:color="000000" w:fill="000000"/>
                <w:fitText w:val="80" w:id="-1032102656"/>
                <w14:textFill>
                  <w14:solidFill>
                    <w14:srgbClr w14:val="000000">
                      <w14:alpha w14:val="100000"/>
                    </w14:srgbClr>
                  </w14:solidFill>
                </w14:textFill>
              </w:rPr>
              <w:t xml:space="preserve">　</w:t>
            </w:r>
            <w:r w:rsidR="00CD4060">
              <w:rPr>
                <w:vertAlign w:val="superscript"/>
              </w:rPr>
              <w:t>3</w:t>
            </w:r>
          </w:p>
        </w:tc>
        <w:tc>
          <w:tcPr>
            <w:tcW w:w="952" w:type="dxa"/>
            <w:vAlign w:val="center"/>
          </w:tcPr>
          <w:p w14:paraId="47484F95" w14:textId="3791BE10" w:rsidR="005D49C9" w:rsidRPr="001C59C3" w:rsidRDefault="003F153E" w:rsidP="00776D51">
            <w:pPr>
              <w:pStyle w:val="COMTabletext"/>
              <w:keepNext w:val="0"/>
              <w:widowControl w:val="0"/>
              <w:jc w:val="center"/>
            </w:pPr>
            <w:r w:rsidRPr="001C59C3">
              <w:t>+</w:t>
            </w:r>
            <w:r w:rsidR="008A42F6">
              <w:t xml:space="preserve"> </w:t>
            </w:r>
            <w:r w:rsidR="008A42F6" w:rsidRPr="008A42F6">
              <w:rPr>
                <w:color w:val="000000"/>
                <w:spacing w:val="114"/>
                <w:shd w:val="solid" w:color="000000" w:fill="000000"/>
                <w:fitText w:val="200" w:id="-1032102655"/>
                <w14:textFill>
                  <w14:solidFill>
                    <w14:srgbClr w14:val="000000">
                      <w14:alpha w14:val="100000"/>
                    </w14:srgbClr>
                  </w14:solidFill>
                </w14:textFill>
              </w:rPr>
              <w:t>|</w:t>
            </w:r>
            <w:r w:rsidR="008A42F6" w:rsidRPr="008A42F6">
              <w:rPr>
                <w:color w:val="000000"/>
                <w:spacing w:val="1"/>
                <w:shd w:val="solid" w:color="000000" w:fill="000000"/>
                <w:fitText w:val="200" w:id="-1032102655"/>
                <w14:textFill>
                  <w14:solidFill>
                    <w14:srgbClr w14:val="000000">
                      <w14:alpha w14:val="100000"/>
                    </w14:srgbClr>
                  </w14:solidFill>
                </w14:textFill>
              </w:rPr>
              <w:t>|</w:t>
            </w:r>
          </w:p>
        </w:tc>
      </w:tr>
      <w:tr w:rsidR="005D49C9" w:rsidRPr="001C59C3" w14:paraId="10811572" w14:textId="77777777" w:rsidTr="00776D51">
        <w:trPr>
          <w:cantSplit/>
        </w:trPr>
        <w:tc>
          <w:tcPr>
            <w:tcW w:w="4603" w:type="dxa"/>
          </w:tcPr>
          <w:p w14:paraId="7AFE2905" w14:textId="77777777" w:rsidR="005D49C9" w:rsidRPr="001C59C3" w:rsidRDefault="005D49C9" w:rsidP="00776D51">
            <w:pPr>
              <w:pStyle w:val="COMTabletext"/>
              <w:keepNext w:val="0"/>
              <w:widowControl w:val="0"/>
            </w:pPr>
            <w:r w:rsidRPr="001C59C3">
              <w:t>March 2023 submission (baseline utility 0.7024 with utility decrements for mild 0.0676, moderate 0.1544 and severe 0.2606)</w:t>
            </w:r>
          </w:p>
        </w:tc>
        <w:tc>
          <w:tcPr>
            <w:tcW w:w="1146" w:type="dxa"/>
            <w:vAlign w:val="center"/>
          </w:tcPr>
          <w:p w14:paraId="03789C2E" w14:textId="2C1E77E2" w:rsidR="005D49C9" w:rsidRPr="00621588" w:rsidRDefault="008A42F6" w:rsidP="00776D51">
            <w:pPr>
              <w:pStyle w:val="COMTabletext"/>
              <w:keepNext w:val="0"/>
              <w:widowControl w:val="0"/>
              <w:jc w:val="center"/>
              <w:rPr>
                <w:highlight w:val="darkGray"/>
              </w:rPr>
            </w:pPr>
            <w:r>
              <w:t xml:space="preserve"> </w:t>
            </w:r>
            <w:r w:rsidRPr="008A42F6">
              <w:rPr>
                <w:rFonts w:hint="eastAsia"/>
                <w:color w:val="000000"/>
                <w:w w:val="20"/>
                <w:shd w:val="solid" w:color="000000" w:fill="000000"/>
                <w:fitText w:val="90" w:id="-1032102654"/>
                <w14:textFill>
                  <w14:solidFill>
                    <w14:srgbClr w14:val="000000">
                      <w14:alpha w14:val="100000"/>
                    </w14:srgbClr>
                  </w14:solidFill>
                </w14:textFill>
              </w:rPr>
              <w:t xml:space="preserve">　</w:t>
            </w:r>
            <w:r w:rsidRPr="008A42F6">
              <w:rPr>
                <w:color w:val="000000"/>
                <w:w w:val="20"/>
                <w:shd w:val="solid" w:color="000000" w:fill="000000"/>
                <w:fitText w:val="90" w:id="-1032102654"/>
                <w14:textFill>
                  <w14:solidFill>
                    <w14:srgbClr w14:val="000000">
                      <w14:alpha w14:val="100000"/>
                    </w14:srgbClr>
                  </w14:solidFill>
                </w14:textFill>
              </w:rPr>
              <w:t>|</w:t>
            </w:r>
            <w:r w:rsidRPr="008A42F6">
              <w:rPr>
                <w:rFonts w:hint="eastAsia"/>
                <w:color w:val="000000"/>
                <w:spacing w:val="3"/>
                <w:w w:val="20"/>
                <w:shd w:val="solid" w:color="000000" w:fill="000000"/>
                <w:fitText w:val="90" w:id="-1032102654"/>
                <w14:textFill>
                  <w14:solidFill>
                    <w14:srgbClr w14:val="000000">
                      <w14:alpha w14:val="100000"/>
                    </w14:srgbClr>
                  </w14:solidFill>
                </w14:textFill>
              </w:rPr>
              <w:t xml:space="preserve">　</w:t>
            </w:r>
          </w:p>
        </w:tc>
        <w:tc>
          <w:tcPr>
            <w:tcW w:w="1148" w:type="dxa"/>
            <w:vAlign w:val="center"/>
          </w:tcPr>
          <w:p w14:paraId="450C51D3" w14:textId="77777777" w:rsidR="005D49C9" w:rsidRPr="001C59C3" w:rsidRDefault="005D49C9" w:rsidP="00776D51">
            <w:pPr>
              <w:pStyle w:val="COMTabletext"/>
              <w:keepNext w:val="0"/>
              <w:widowControl w:val="0"/>
              <w:jc w:val="center"/>
            </w:pPr>
            <w:r w:rsidRPr="001C59C3">
              <w:t>0.1267</w:t>
            </w:r>
          </w:p>
        </w:tc>
        <w:tc>
          <w:tcPr>
            <w:tcW w:w="1147" w:type="dxa"/>
            <w:vAlign w:val="center"/>
          </w:tcPr>
          <w:p w14:paraId="04ABDF93" w14:textId="35102601" w:rsidR="005D49C9" w:rsidRPr="00621588" w:rsidRDefault="008A42F6" w:rsidP="00776D51">
            <w:pPr>
              <w:pStyle w:val="COMTabletext"/>
              <w:keepNext w:val="0"/>
              <w:widowControl w:val="0"/>
              <w:jc w:val="center"/>
              <w:rPr>
                <w:highlight w:val="darkGray"/>
              </w:rPr>
            </w:pPr>
            <w:r>
              <w:t xml:space="preserve"> </w:t>
            </w:r>
            <w:r w:rsidRPr="008A42F6">
              <w:rPr>
                <w:rFonts w:hint="eastAsia"/>
                <w:color w:val="000000"/>
                <w:w w:val="18"/>
                <w:shd w:val="solid" w:color="000000" w:fill="000000"/>
                <w:fitText w:val="80" w:id="-1032102653"/>
                <w14:textFill>
                  <w14:solidFill>
                    <w14:srgbClr w14:val="000000">
                      <w14:alpha w14:val="100000"/>
                    </w14:srgbClr>
                  </w14:solidFill>
                </w14:textFill>
              </w:rPr>
              <w:t xml:space="preserve">　</w:t>
            </w:r>
            <w:r w:rsidRPr="008A42F6">
              <w:rPr>
                <w:color w:val="000000"/>
                <w:w w:val="18"/>
                <w:shd w:val="solid" w:color="000000" w:fill="000000"/>
                <w:fitText w:val="80" w:id="-1032102653"/>
                <w14:textFill>
                  <w14:solidFill>
                    <w14:srgbClr w14:val="000000">
                      <w14:alpha w14:val="100000"/>
                    </w14:srgbClr>
                  </w14:solidFill>
                </w14:textFill>
              </w:rPr>
              <w:t>|</w:t>
            </w:r>
            <w:r w:rsidRPr="008A42F6">
              <w:rPr>
                <w:rFonts w:hint="eastAsia"/>
                <w:color w:val="000000"/>
                <w:w w:val="18"/>
                <w:shd w:val="solid" w:color="000000" w:fill="000000"/>
                <w:fitText w:val="80" w:id="-1032102653"/>
                <w14:textFill>
                  <w14:solidFill>
                    <w14:srgbClr w14:val="000000">
                      <w14:alpha w14:val="100000"/>
                    </w14:srgbClr>
                  </w14:solidFill>
                </w14:textFill>
              </w:rPr>
              <w:t xml:space="preserve">　</w:t>
            </w:r>
            <w:r w:rsidR="007A64FC">
              <w:rPr>
                <w:vertAlign w:val="superscript"/>
              </w:rPr>
              <w:t>4</w:t>
            </w:r>
          </w:p>
        </w:tc>
        <w:tc>
          <w:tcPr>
            <w:tcW w:w="952" w:type="dxa"/>
            <w:vAlign w:val="center"/>
          </w:tcPr>
          <w:p w14:paraId="50ACCEA9" w14:textId="68DF738B" w:rsidR="005D49C9" w:rsidRPr="001C59C3" w:rsidRDefault="005D49C9" w:rsidP="00776D51">
            <w:pPr>
              <w:pStyle w:val="COMTabletext"/>
              <w:keepNext w:val="0"/>
              <w:widowControl w:val="0"/>
              <w:jc w:val="center"/>
            </w:pPr>
            <w:r w:rsidRPr="001C59C3">
              <w:t>-</w:t>
            </w:r>
            <w:r w:rsidR="008A42F6">
              <w:t xml:space="preserve"> </w:t>
            </w:r>
            <w:r w:rsidR="008A42F6" w:rsidRPr="008A42F6">
              <w:rPr>
                <w:color w:val="000000"/>
                <w:spacing w:val="94"/>
                <w:shd w:val="solid" w:color="000000" w:fill="000000"/>
                <w:fitText w:val="180" w:id="-1032102652"/>
                <w14:textFill>
                  <w14:solidFill>
                    <w14:srgbClr w14:val="000000">
                      <w14:alpha w14:val="100000"/>
                    </w14:srgbClr>
                  </w14:solidFill>
                </w14:textFill>
              </w:rPr>
              <w:t>|</w:t>
            </w:r>
            <w:r w:rsidR="008A42F6" w:rsidRPr="008A42F6">
              <w:rPr>
                <w:color w:val="000000"/>
                <w:spacing w:val="1"/>
                <w:shd w:val="solid" w:color="000000" w:fill="000000"/>
                <w:fitText w:val="180" w:id="-1032102652"/>
                <w14:textFill>
                  <w14:solidFill>
                    <w14:srgbClr w14:val="000000">
                      <w14:alpha w14:val="100000"/>
                    </w14:srgbClr>
                  </w14:solidFill>
                </w14:textFill>
              </w:rPr>
              <w:t>|</w:t>
            </w:r>
          </w:p>
        </w:tc>
      </w:tr>
      <w:tr w:rsidR="005D49C9" w:rsidRPr="001C59C3" w14:paraId="6DEB7EB6" w14:textId="77777777" w:rsidTr="00776D51">
        <w:trPr>
          <w:cantSplit/>
        </w:trPr>
        <w:tc>
          <w:tcPr>
            <w:tcW w:w="4603" w:type="dxa"/>
          </w:tcPr>
          <w:p w14:paraId="4320670B" w14:textId="77777777" w:rsidR="005D49C9" w:rsidRPr="001C59C3" w:rsidRDefault="005D49C9" w:rsidP="00776D51">
            <w:pPr>
              <w:pStyle w:val="COMTabletext"/>
              <w:keepNext w:val="0"/>
              <w:widowControl w:val="0"/>
            </w:pPr>
            <w:r w:rsidRPr="001C59C3">
              <w:t>Thokala 2023 (baseline utility 0.6168 with utility decrements for mild 0.0378, moderate 0.1025 and severe 0.1875)</w:t>
            </w:r>
          </w:p>
        </w:tc>
        <w:tc>
          <w:tcPr>
            <w:tcW w:w="1146" w:type="dxa"/>
            <w:vAlign w:val="center"/>
          </w:tcPr>
          <w:p w14:paraId="4D1DE66A" w14:textId="27E9D6FE" w:rsidR="005D49C9" w:rsidRPr="00621588" w:rsidRDefault="008A42F6" w:rsidP="00776D51">
            <w:pPr>
              <w:pStyle w:val="COMTabletext"/>
              <w:keepNext w:val="0"/>
              <w:widowControl w:val="0"/>
              <w:jc w:val="center"/>
              <w:rPr>
                <w:highlight w:val="darkGray"/>
              </w:rPr>
            </w:pPr>
            <w:r>
              <w:t xml:space="preserve"> </w:t>
            </w:r>
            <w:r w:rsidRPr="008A42F6">
              <w:rPr>
                <w:rFonts w:hint="eastAsia"/>
                <w:color w:val="000000"/>
                <w:w w:val="20"/>
                <w:shd w:val="solid" w:color="000000" w:fill="000000"/>
                <w:fitText w:val="90" w:id="-1032102651"/>
                <w14:textFill>
                  <w14:solidFill>
                    <w14:srgbClr w14:val="000000">
                      <w14:alpha w14:val="100000"/>
                    </w14:srgbClr>
                  </w14:solidFill>
                </w14:textFill>
              </w:rPr>
              <w:t xml:space="preserve">　</w:t>
            </w:r>
            <w:r w:rsidRPr="008A42F6">
              <w:rPr>
                <w:color w:val="000000"/>
                <w:w w:val="20"/>
                <w:shd w:val="solid" w:color="000000" w:fill="000000"/>
                <w:fitText w:val="90" w:id="-1032102651"/>
                <w14:textFill>
                  <w14:solidFill>
                    <w14:srgbClr w14:val="000000">
                      <w14:alpha w14:val="100000"/>
                    </w14:srgbClr>
                  </w14:solidFill>
                </w14:textFill>
              </w:rPr>
              <w:t>|</w:t>
            </w:r>
            <w:r w:rsidRPr="008A42F6">
              <w:rPr>
                <w:rFonts w:hint="eastAsia"/>
                <w:color w:val="000000"/>
                <w:spacing w:val="3"/>
                <w:w w:val="20"/>
                <w:shd w:val="solid" w:color="000000" w:fill="000000"/>
                <w:fitText w:val="90" w:id="-1032102651"/>
                <w14:textFill>
                  <w14:solidFill>
                    <w14:srgbClr w14:val="000000">
                      <w14:alpha w14:val="100000"/>
                    </w14:srgbClr>
                  </w14:solidFill>
                </w14:textFill>
              </w:rPr>
              <w:t xml:space="preserve">　</w:t>
            </w:r>
          </w:p>
        </w:tc>
        <w:tc>
          <w:tcPr>
            <w:tcW w:w="1148" w:type="dxa"/>
            <w:vAlign w:val="center"/>
          </w:tcPr>
          <w:p w14:paraId="0F1D4D0C" w14:textId="77777777" w:rsidR="005D49C9" w:rsidRPr="001C59C3" w:rsidRDefault="005D49C9" w:rsidP="00776D51">
            <w:pPr>
              <w:pStyle w:val="COMTabletext"/>
              <w:keepNext w:val="0"/>
              <w:widowControl w:val="0"/>
              <w:jc w:val="center"/>
            </w:pPr>
            <w:r w:rsidRPr="001C59C3">
              <w:t>0.0893</w:t>
            </w:r>
          </w:p>
        </w:tc>
        <w:tc>
          <w:tcPr>
            <w:tcW w:w="1147" w:type="dxa"/>
            <w:vAlign w:val="center"/>
          </w:tcPr>
          <w:p w14:paraId="72218558" w14:textId="466723B5" w:rsidR="005D49C9" w:rsidRPr="00621588" w:rsidRDefault="008A42F6" w:rsidP="00776D51">
            <w:pPr>
              <w:pStyle w:val="COMTabletext"/>
              <w:keepNext w:val="0"/>
              <w:widowControl w:val="0"/>
              <w:jc w:val="center"/>
              <w:rPr>
                <w:highlight w:val="darkGray"/>
              </w:rPr>
            </w:pPr>
            <w:r>
              <w:t xml:space="preserve"> </w:t>
            </w:r>
            <w:r w:rsidRPr="008A42F6">
              <w:rPr>
                <w:rFonts w:hint="eastAsia"/>
                <w:color w:val="000000"/>
                <w:w w:val="18"/>
                <w:shd w:val="solid" w:color="000000" w:fill="000000"/>
                <w:fitText w:val="80" w:id="-1032102650"/>
                <w14:textFill>
                  <w14:solidFill>
                    <w14:srgbClr w14:val="000000">
                      <w14:alpha w14:val="100000"/>
                    </w14:srgbClr>
                  </w14:solidFill>
                </w14:textFill>
              </w:rPr>
              <w:t xml:space="preserve">　</w:t>
            </w:r>
            <w:r w:rsidRPr="008A42F6">
              <w:rPr>
                <w:color w:val="000000"/>
                <w:w w:val="18"/>
                <w:shd w:val="solid" w:color="000000" w:fill="000000"/>
                <w:fitText w:val="80" w:id="-1032102650"/>
                <w14:textFill>
                  <w14:solidFill>
                    <w14:srgbClr w14:val="000000">
                      <w14:alpha w14:val="100000"/>
                    </w14:srgbClr>
                  </w14:solidFill>
                </w14:textFill>
              </w:rPr>
              <w:t>|</w:t>
            </w:r>
            <w:r w:rsidRPr="008A42F6">
              <w:rPr>
                <w:rFonts w:hint="eastAsia"/>
                <w:color w:val="000000"/>
                <w:w w:val="18"/>
                <w:shd w:val="solid" w:color="000000" w:fill="000000"/>
                <w:fitText w:val="80" w:id="-1032102650"/>
                <w14:textFill>
                  <w14:solidFill>
                    <w14:srgbClr w14:val="000000">
                      <w14:alpha w14:val="100000"/>
                    </w14:srgbClr>
                  </w14:solidFill>
                </w14:textFill>
              </w:rPr>
              <w:t xml:space="preserve">　</w:t>
            </w:r>
            <w:r w:rsidR="00CD4060">
              <w:rPr>
                <w:vertAlign w:val="superscript"/>
              </w:rPr>
              <w:t>3</w:t>
            </w:r>
          </w:p>
        </w:tc>
        <w:tc>
          <w:tcPr>
            <w:tcW w:w="952" w:type="dxa"/>
            <w:vAlign w:val="center"/>
          </w:tcPr>
          <w:p w14:paraId="0B0585D2" w14:textId="4F263F0C" w:rsidR="005D49C9" w:rsidRPr="001C59C3" w:rsidRDefault="003F153E" w:rsidP="00776D51">
            <w:pPr>
              <w:pStyle w:val="COMTabletext"/>
              <w:keepNext w:val="0"/>
              <w:widowControl w:val="0"/>
              <w:jc w:val="center"/>
            </w:pPr>
            <w:r w:rsidRPr="001C59C3">
              <w:t>+</w:t>
            </w:r>
            <w:r w:rsidR="008A42F6">
              <w:t xml:space="preserve"> </w:t>
            </w:r>
            <w:r w:rsidR="008A42F6" w:rsidRPr="008A42F6">
              <w:rPr>
                <w:color w:val="000000"/>
                <w:spacing w:val="114"/>
                <w:shd w:val="solid" w:color="000000" w:fill="000000"/>
                <w:fitText w:val="200" w:id="-1032102649"/>
                <w14:textFill>
                  <w14:solidFill>
                    <w14:srgbClr w14:val="000000">
                      <w14:alpha w14:val="100000"/>
                    </w14:srgbClr>
                  </w14:solidFill>
                </w14:textFill>
              </w:rPr>
              <w:t>|</w:t>
            </w:r>
            <w:r w:rsidR="008A42F6" w:rsidRPr="008A42F6">
              <w:rPr>
                <w:color w:val="000000"/>
                <w:spacing w:val="1"/>
                <w:shd w:val="solid" w:color="000000" w:fill="000000"/>
                <w:fitText w:val="200" w:id="-1032102649"/>
                <w14:textFill>
                  <w14:solidFill>
                    <w14:srgbClr w14:val="000000">
                      <w14:alpha w14:val="100000"/>
                    </w14:srgbClr>
                  </w14:solidFill>
                </w14:textFill>
              </w:rPr>
              <w:t>|</w:t>
            </w:r>
          </w:p>
        </w:tc>
      </w:tr>
      <w:tr w:rsidR="005D49C9" w:rsidRPr="001C59C3" w14:paraId="426D4B9B" w14:textId="77777777" w:rsidTr="00776D51">
        <w:trPr>
          <w:cantSplit/>
        </w:trPr>
        <w:tc>
          <w:tcPr>
            <w:tcW w:w="4603" w:type="dxa"/>
          </w:tcPr>
          <w:p w14:paraId="7E68F982" w14:textId="77777777" w:rsidR="005D49C9" w:rsidRPr="001C59C3" w:rsidRDefault="005D49C9" w:rsidP="00776D51">
            <w:pPr>
              <w:pStyle w:val="COMTabletext"/>
              <w:keepNext w:val="0"/>
              <w:widowControl w:val="0"/>
            </w:pPr>
            <w:r w:rsidRPr="001C59C3">
              <w:t>SHAREHD trial (baseline utility 0.744 with utility decrements for mild 0.018, moderate 0.155 and severe 0.149)</w:t>
            </w:r>
          </w:p>
        </w:tc>
        <w:tc>
          <w:tcPr>
            <w:tcW w:w="1146" w:type="dxa"/>
            <w:vAlign w:val="center"/>
          </w:tcPr>
          <w:p w14:paraId="1C38F7ED" w14:textId="50E9A976" w:rsidR="005D49C9" w:rsidRPr="00621588" w:rsidRDefault="008A42F6" w:rsidP="00776D51">
            <w:pPr>
              <w:pStyle w:val="COMTabletext"/>
              <w:keepNext w:val="0"/>
              <w:widowControl w:val="0"/>
              <w:jc w:val="center"/>
              <w:rPr>
                <w:highlight w:val="darkGray"/>
              </w:rPr>
            </w:pPr>
            <w:r>
              <w:t xml:space="preserve"> </w:t>
            </w:r>
            <w:r w:rsidRPr="008A42F6">
              <w:rPr>
                <w:rFonts w:hint="eastAsia"/>
                <w:color w:val="000000"/>
                <w:w w:val="20"/>
                <w:shd w:val="solid" w:color="000000" w:fill="000000"/>
                <w:fitText w:val="90" w:id="-1032102648"/>
                <w14:textFill>
                  <w14:solidFill>
                    <w14:srgbClr w14:val="000000">
                      <w14:alpha w14:val="100000"/>
                    </w14:srgbClr>
                  </w14:solidFill>
                </w14:textFill>
              </w:rPr>
              <w:t xml:space="preserve">　</w:t>
            </w:r>
            <w:r w:rsidRPr="008A42F6">
              <w:rPr>
                <w:color w:val="000000"/>
                <w:w w:val="20"/>
                <w:shd w:val="solid" w:color="000000" w:fill="000000"/>
                <w:fitText w:val="90" w:id="-1032102648"/>
                <w14:textFill>
                  <w14:solidFill>
                    <w14:srgbClr w14:val="000000">
                      <w14:alpha w14:val="100000"/>
                    </w14:srgbClr>
                  </w14:solidFill>
                </w14:textFill>
              </w:rPr>
              <w:t>|</w:t>
            </w:r>
            <w:r w:rsidRPr="008A42F6">
              <w:rPr>
                <w:rFonts w:hint="eastAsia"/>
                <w:color w:val="000000"/>
                <w:spacing w:val="3"/>
                <w:w w:val="20"/>
                <w:shd w:val="solid" w:color="000000" w:fill="000000"/>
                <w:fitText w:val="90" w:id="-1032102648"/>
                <w14:textFill>
                  <w14:solidFill>
                    <w14:srgbClr w14:val="000000">
                      <w14:alpha w14:val="100000"/>
                    </w14:srgbClr>
                  </w14:solidFill>
                </w14:textFill>
              </w:rPr>
              <w:t xml:space="preserve">　</w:t>
            </w:r>
          </w:p>
        </w:tc>
        <w:tc>
          <w:tcPr>
            <w:tcW w:w="1148" w:type="dxa"/>
            <w:vAlign w:val="center"/>
          </w:tcPr>
          <w:p w14:paraId="508BF0C6" w14:textId="77777777" w:rsidR="005D49C9" w:rsidRPr="001C59C3" w:rsidRDefault="005D49C9" w:rsidP="00776D51">
            <w:pPr>
              <w:pStyle w:val="COMTabletext"/>
              <w:keepNext w:val="0"/>
              <w:widowControl w:val="0"/>
              <w:jc w:val="center"/>
            </w:pPr>
            <w:r w:rsidRPr="001C59C3">
              <w:t>0.0938</w:t>
            </w:r>
          </w:p>
        </w:tc>
        <w:tc>
          <w:tcPr>
            <w:tcW w:w="1147" w:type="dxa"/>
            <w:vAlign w:val="center"/>
          </w:tcPr>
          <w:p w14:paraId="23A0C62E" w14:textId="1EC9F3CC" w:rsidR="005D49C9" w:rsidRPr="00621588" w:rsidRDefault="008A42F6" w:rsidP="00776D51">
            <w:pPr>
              <w:pStyle w:val="COMTabletext"/>
              <w:keepNext w:val="0"/>
              <w:widowControl w:val="0"/>
              <w:jc w:val="center"/>
              <w:rPr>
                <w:highlight w:val="darkGray"/>
              </w:rPr>
            </w:pPr>
            <w:r>
              <w:t xml:space="preserve"> </w:t>
            </w:r>
            <w:r w:rsidRPr="008A42F6">
              <w:rPr>
                <w:rFonts w:hint="eastAsia"/>
                <w:color w:val="000000"/>
                <w:w w:val="18"/>
                <w:shd w:val="solid" w:color="000000" w:fill="000000"/>
                <w:fitText w:val="80" w:id="-1032102647"/>
                <w14:textFill>
                  <w14:solidFill>
                    <w14:srgbClr w14:val="000000">
                      <w14:alpha w14:val="100000"/>
                    </w14:srgbClr>
                  </w14:solidFill>
                </w14:textFill>
              </w:rPr>
              <w:t xml:space="preserve">　</w:t>
            </w:r>
            <w:r w:rsidRPr="008A42F6">
              <w:rPr>
                <w:color w:val="000000"/>
                <w:w w:val="18"/>
                <w:shd w:val="solid" w:color="000000" w:fill="000000"/>
                <w:fitText w:val="80" w:id="-1032102647"/>
                <w14:textFill>
                  <w14:solidFill>
                    <w14:srgbClr w14:val="000000">
                      <w14:alpha w14:val="100000"/>
                    </w14:srgbClr>
                  </w14:solidFill>
                </w14:textFill>
              </w:rPr>
              <w:t>|</w:t>
            </w:r>
            <w:r w:rsidRPr="008A42F6">
              <w:rPr>
                <w:rFonts w:hint="eastAsia"/>
                <w:color w:val="000000"/>
                <w:w w:val="18"/>
                <w:shd w:val="solid" w:color="000000" w:fill="000000"/>
                <w:fitText w:val="80" w:id="-1032102647"/>
                <w14:textFill>
                  <w14:solidFill>
                    <w14:srgbClr w14:val="000000">
                      <w14:alpha w14:val="100000"/>
                    </w14:srgbClr>
                  </w14:solidFill>
                </w14:textFill>
              </w:rPr>
              <w:t xml:space="preserve">　</w:t>
            </w:r>
            <w:r w:rsidR="00CD4060">
              <w:rPr>
                <w:vertAlign w:val="superscript"/>
              </w:rPr>
              <w:t>3</w:t>
            </w:r>
          </w:p>
        </w:tc>
        <w:tc>
          <w:tcPr>
            <w:tcW w:w="952" w:type="dxa"/>
            <w:vAlign w:val="center"/>
          </w:tcPr>
          <w:p w14:paraId="69DF9BEA" w14:textId="020FE59B" w:rsidR="005D49C9" w:rsidRPr="001C59C3" w:rsidRDefault="005D49C9" w:rsidP="00776D51">
            <w:pPr>
              <w:pStyle w:val="COMTabletext"/>
              <w:keepNext w:val="0"/>
              <w:widowControl w:val="0"/>
              <w:jc w:val="center"/>
            </w:pPr>
            <w:r w:rsidRPr="001C59C3">
              <w:t>-</w:t>
            </w:r>
            <w:r w:rsidR="008A42F6">
              <w:t xml:space="preserve"> </w:t>
            </w:r>
            <w:r w:rsidR="008A42F6" w:rsidRPr="008A42F6">
              <w:rPr>
                <w:color w:val="000000"/>
                <w:spacing w:val="94"/>
                <w:shd w:val="solid" w:color="000000" w:fill="000000"/>
                <w:fitText w:val="180" w:id="-1032102646"/>
                <w14:textFill>
                  <w14:solidFill>
                    <w14:srgbClr w14:val="000000">
                      <w14:alpha w14:val="100000"/>
                    </w14:srgbClr>
                  </w14:solidFill>
                </w14:textFill>
              </w:rPr>
              <w:t>|</w:t>
            </w:r>
            <w:r w:rsidR="008A42F6" w:rsidRPr="008A42F6">
              <w:rPr>
                <w:color w:val="000000"/>
                <w:spacing w:val="1"/>
                <w:shd w:val="solid" w:color="000000" w:fill="000000"/>
                <w:fitText w:val="180" w:id="-1032102646"/>
                <w14:textFill>
                  <w14:solidFill>
                    <w14:srgbClr w14:val="000000">
                      <w14:alpha w14:val="100000"/>
                    </w14:srgbClr>
                  </w14:solidFill>
                </w14:textFill>
              </w:rPr>
              <w:t>|</w:t>
            </w:r>
          </w:p>
        </w:tc>
      </w:tr>
      <w:tr w:rsidR="005D49C9" w:rsidRPr="001C59C3" w14:paraId="5A098386" w14:textId="77777777" w:rsidTr="00776D51">
        <w:trPr>
          <w:cantSplit/>
        </w:trPr>
        <w:tc>
          <w:tcPr>
            <w:tcW w:w="4603" w:type="dxa"/>
          </w:tcPr>
          <w:p w14:paraId="75FA4CDA" w14:textId="77777777" w:rsidR="005D49C9" w:rsidRPr="001C59C3" w:rsidRDefault="005D49C9" w:rsidP="00776D51">
            <w:pPr>
              <w:pStyle w:val="COMTabletext"/>
              <w:keepNext w:val="0"/>
              <w:widowControl w:val="0"/>
            </w:pPr>
            <w:r w:rsidRPr="001C59C3">
              <w:t>Decrease utility decrements by 25%</w:t>
            </w:r>
          </w:p>
        </w:tc>
        <w:tc>
          <w:tcPr>
            <w:tcW w:w="1146" w:type="dxa"/>
            <w:vAlign w:val="center"/>
          </w:tcPr>
          <w:p w14:paraId="1E633558" w14:textId="2F16EFE1" w:rsidR="005D49C9" w:rsidRPr="00621588" w:rsidRDefault="008A42F6" w:rsidP="00776D51">
            <w:pPr>
              <w:pStyle w:val="COMTabletext"/>
              <w:keepNext w:val="0"/>
              <w:widowControl w:val="0"/>
              <w:jc w:val="center"/>
              <w:rPr>
                <w:highlight w:val="darkGray"/>
              </w:rPr>
            </w:pPr>
            <w:r>
              <w:t xml:space="preserve"> </w:t>
            </w:r>
            <w:r w:rsidRPr="008A42F6">
              <w:rPr>
                <w:rFonts w:hint="eastAsia"/>
                <w:color w:val="000000"/>
                <w:w w:val="20"/>
                <w:shd w:val="solid" w:color="000000" w:fill="000000"/>
                <w:fitText w:val="90" w:id="-1032102645"/>
                <w14:textFill>
                  <w14:solidFill>
                    <w14:srgbClr w14:val="000000">
                      <w14:alpha w14:val="100000"/>
                    </w14:srgbClr>
                  </w14:solidFill>
                </w14:textFill>
              </w:rPr>
              <w:t xml:space="preserve">　</w:t>
            </w:r>
            <w:r w:rsidRPr="008A42F6">
              <w:rPr>
                <w:color w:val="000000"/>
                <w:w w:val="20"/>
                <w:shd w:val="solid" w:color="000000" w:fill="000000"/>
                <w:fitText w:val="90" w:id="-1032102645"/>
                <w14:textFill>
                  <w14:solidFill>
                    <w14:srgbClr w14:val="000000">
                      <w14:alpha w14:val="100000"/>
                    </w14:srgbClr>
                  </w14:solidFill>
                </w14:textFill>
              </w:rPr>
              <w:t>|</w:t>
            </w:r>
            <w:r w:rsidRPr="008A42F6">
              <w:rPr>
                <w:rFonts w:hint="eastAsia"/>
                <w:color w:val="000000"/>
                <w:spacing w:val="3"/>
                <w:w w:val="20"/>
                <w:shd w:val="solid" w:color="000000" w:fill="000000"/>
                <w:fitText w:val="90" w:id="-1032102645"/>
                <w14:textFill>
                  <w14:solidFill>
                    <w14:srgbClr w14:val="000000">
                      <w14:alpha w14:val="100000"/>
                    </w14:srgbClr>
                  </w14:solidFill>
                </w14:textFill>
              </w:rPr>
              <w:t xml:space="preserve">　</w:t>
            </w:r>
          </w:p>
        </w:tc>
        <w:tc>
          <w:tcPr>
            <w:tcW w:w="1148" w:type="dxa"/>
            <w:vAlign w:val="center"/>
          </w:tcPr>
          <w:p w14:paraId="5F02250B" w14:textId="77777777" w:rsidR="005D49C9" w:rsidRPr="001C59C3" w:rsidRDefault="005D49C9" w:rsidP="00776D51">
            <w:pPr>
              <w:pStyle w:val="COMTabletext"/>
              <w:keepNext w:val="0"/>
              <w:widowControl w:val="0"/>
              <w:jc w:val="center"/>
            </w:pPr>
            <w:r w:rsidRPr="001C59C3">
              <w:t>0.0691</w:t>
            </w:r>
          </w:p>
        </w:tc>
        <w:tc>
          <w:tcPr>
            <w:tcW w:w="1147" w:type="dxa"/>
            <w:vAlign w:val="center"/>
          </w:tcPr>
          <w:p w14:paraId="7053FA0C" w14:textId="2AC59E27" w:rsidR="005D49C9" w:rsidRPr="00621588" w:rsidRDefault="008A42F6" w:rsidP="00776D51">
            <w:pPr>
              <w:pStyle w:val="COMTabletext"/>
              <w:keepNext w:val="0"/>
              <w:widowControl w:val="0"/>
              <w:jc w:val="center"/>
              <w:rPr>
                <w:highlight w:val="darkGray"/>
              </w:rPr>
            </w:pPr>
            <w:r>
              <w:t xml:space="preserve"> </w:t>
            </w:r>
            <w:r w:rsidRPr="008A42F6">
              <w:rPr>
                <w:rFonts w:hint="eastAsia"/>
                <w:color w:val="000000"/>
                <w:w w:val="18"/>
                <w:shd w:val="solid" w:color="000000" w:fill="000000"/>
                <w:fitText w:val="80" w:id="-1032102644"/>
                <w14:textFill>
                  <w14:solidFill>
                    <w14:srgbClr w14:val="000000">
                      <w14:alpha w14:val="100000"/>
                    </w14:srgbClr>
                  </w14:solidFill>
                </w14:textFill>
              </w:rPr>
              <w:t xml:space="preserve">　</w:t>
            </w:r>
            <w:r w:rsidRPr="008A42F6">
              <w:rPr>
                <w:color w:val="000000"/>
                <w:w w:val="18"/>
                <w:shd w:val="solid" w:color="000000" w:fill="000000"/>
                <w:fitText w:val="80" w:id="-1032102644"/>
                <w14:textFill>
                  <w14:solidFill>
                    <w14:srgbClr w14:val="000000">
                      <w14:alpha w14:val="100000"/>
                    </w14:srgbClr>
                  </w14:solidFill>
                </w14:textFill>
              </w:rPr>
              <w:t>|</w:t>
            </w:r>
            <w:r w:rsidRPr="008A42F6">
              <w:rPr>
                <w:rFonts w:hint="eastAsia"/>
                <w:color w:val="000000"/>
                <w:w w:val="18"/>
                <w:shd w:val="solid" w:color="000000" w:fill="000000"/>
                <w:fitText w:val="80" w:id="-1032102644"/>
                <w14:textFill>
                  <w14:solidFill>
                    <w14:srgbClr w14:val="000000">
                      <w14:alpha w14:val="100000"/>
                    </w14:srgbClr>
                  </w14:solidFill>
                </w14:textFill>
              </w:rPr>
              <w:t xml:space="preserve">　</w:t>
            </w:r>
            <w:r w:rsidR="00B80654">
              <w:rPr>
                <w:vertAlign w:val="superscript"/>
              </w:rPr>
              <w:t>5</w:t>
            </w:r>
          </w:p>
        </w:tc>
        <w:tc>
          <w:tcPr>
            <w:tcW w:w="952" w:type="dxa"/>
            <w:vAlign w:val="center"/>
          </w:tcPr>
          <w:p w14:paraId="60ACA381" w14:textId="1BC81EF5" w:rsidR="005D49C9" w:rsidRPr="001C59C3" w:rsidRDefault="005D49C9" w:rsidP="00776D51">
            <w:pPr>
              <w:pStyle w:val="COMTabletext"/>
              <w:keepNext w:val="0"/>
              <w:widowControl w:val="0"/>
              <w:jc w:val="center"/>
            </w:pPr>
            <w:r w:rsidRPr="001C59C3">
              <w:t>+</w:t>
            </w:r>
            <w:r w:rsidR="008A42F6">
              <w:t xml:space="preserve"> </w:t>
            </w:r>
            <w:r w:rsidR="008A42F6" w:rsidRPr="008A42F6">
              <w:rPr>
                <w:color w:val="000000"/>
                <w:spacing w:val="114"/>
                <w:shd w:val="solid" w:color="000000" w:fill="000000"/>
                <w:fitText w:val="200" w:id="-1032102643"/>
                <w14:textFill>
                  <w14:solidFill>
                    <w14:srgbClr w14:val="000000">
                      <w14:alpha w14:val="100000"/>
                    </w14:srgbClr>
                  </w14:solidFill>
                </w14:textFill>
              </w:rPr>
              <w:t>|</w:t>
            </w:r>
            <w:r w:rsidR="008A42F6" w:rsidRPr="008A42F6">
              <w:rPr>
                <w:color w:val="000000"/>
                <w:spacing w:val="1"/>
                <w:shd w:val="solid" w:color="000000" w:fill="000000"/>
                <w:fitText w:val="200" w:id="-1032102643"/>
                <w14:textFill>
                  <w14:solidFill>
                    <w14:srgbClr w14:val="000000">
                      <w14:alpha w14:val="100000"/>
                    </w14:srgbClr>
                  </w14:solidFill>
                </w14:textFill>
              </w:rPr>
              <w:t>|</w:t>
            </w:r>
          </w:p>
        </w:tc>
      </w:tr>
      <w:tr w:rsidR="005D49C9" w:rsidRPr="001C59C3" w14:paraId="3A26F44C" w14:textId="77777777" w:rsidTr="00776D51">
        <w:trPr>
          <w:cantSplit/>
        </w:trPr>
        <w:tc>
          <w:tcPr>
            <w:tcW w:w="4603" w:type="dxa"/>
          </w:tcPr>
          <w:p w14:paraId="3A078897" w14:textId="77777777" w:rsidR="005D49C9" w:rsidRPr="001C59C3" w:rsidRDefault="005D49C9" w:rsidP="00776D51">
            <w:pPr>
              <w:pStyle w:val="COMTabletext"/>
              <w:keepNext w:val="0"/>
              <w:widowControl w:val="0"/>
            </w:pPr>
            <w:r w:rsidRPr="001C59C3">
              <w:t>Decrease utility decrements by 50%</w:t>
            </w:r>
          </w:p>
        </w:tc>
        <w:tc>
          <w:tcPr>
            <w:tcW w:w="1146" w:type="dxa"/>
            <w:vAlign w:val="center"/>
          </w:tcPr>
          <w:p w14:paraId="4E0FEBAF" w14:textId="1DFD66AD" w:rsidR="005D49C9" w:rsidRPr="00621588" w:rsidRDefault="008A42F6" w:rsidP="00776D51">
            <w:pPr>
              <w:pStyle w:val="COMTabletext"/>
              <w:keepNext w:val="0"/>
              <w:widowControl w:val="0"/>
              <w:jc w:val="center"/>
              <w:rPr>
                <w:highlight w:val="darkGray"/>
              </w:rPr>
            </w:pPr>
            <w:r>
              <w:t xml:space="preserve"> </w:t>
            </w:r>
            <w:r w:rsidRPr="008A42F6">
              <w:rPr>
                <w:rFonts w:hint="eastAsia"/>
                <w:color w:val="000000"/>
                <w:w w:val="20"/>
                <w:shd w:val="solid" w:color="000000" w:fill="000000"/>
                <w:fitText w:val="90" w:id="-1032102642"/>
                <w14:textFill>
                  <w14:solidFill>
                    <w14:srgbClr w14:val="000000">
                      <w14:alpha w14:val="100000"/>
                    </w14:srgbClr>
                  </w14:solidFill>
                </w14:textFill>
              </w:rPr>
              <w:t xml:space="preserve">　</w:t>
            </w:r>
            <w:r w:rsidRPr="008A42F6">
              <w:rPr>
                <w:color w:val="000000"/>
                <w:w w:val="20"/>
                <w:shd w:val="solid" w:color="000000" w:fill="000000"/>
                <w:fitText w:val="90" w:id="-1032102642"/>
                <w14:textFill>
                  <w14:solidFill>
                    <w14:srgbClr w14:val="000000">
                      <w14:alpha w14:val="100000"/>
                    </w14:srgbClr>
                  </w14:solidFill>
                </w14:textFill>
              </w:rPr>
              <w:t>|</w:t>
            </w:r>
            <w:r w:rsidRPr="008A42F6">
              <w:rPr>
                <w:rFonts w:hint="eastAsia"/>
                <w:color w:val="000000"/>
                <w:spacing w:val="3"/>
                <w:w w:val="20"/>
                <w:shd w:val="solid" w:color="000000" w:fill="000000"/>
                <w:fitText w:val="90" w:id="-1032102642"/>
                <w14:textFill>
                  <w14:solidFill>
                    <w14:srgbClr w14:val="000000">
                      <w14:alpha w14:val="100000"/>
                    </w14:srgbClr>
                  </w14:solidFill>
                </w14:textFill>
              </w:rPr>
              <w:t xml:space="preserve">　</w:t>
            </w:r>
          </w:p>
        </w:tc>
        <w:tc>
          <w:tcPr>
            <w:tcW w:w="1148" w:type="dxa"/>
            <w:vAlign w:val="center"/>
          </w:tcPr>
          <w:p w14:paraId="53D188D1" w14:textId="77777777" w:rsidR="005D49C9" w:rsidRPr="001C59C3" w:rsidRDefault="005D49C9" w:rsidP="00776D51">
            <w:pPr>
              <w:pStyle w:val="COMTabletext"/>
              <w:keepNext w:val="0"/>
              <w:widowControl w:val="0"/>
              <w:jc w:val="center"/>
            </w:pPr>
            <w:r w:rsidRPr="001C59C3">
              <w:t>0.0459</w:t>
            </w:r>
          </w:p>
        </w:tc>
        <w:tc>
          <w:tcPr>
            <w:tcW w:w="1147" w:type="dxa"/>
            <w:vAlign w:val="center"/>
          </w:tcPr>
          <w:p w14:paraId="287A9783" w14:textId="34461D48" w:rsidR="005D49C9" w:rsidRPr="00621588" w:rsidRDefault="008A42F6" w:rsidP="00776D51">
            <w:pPr>
              <w:pStyle w:val="COMTabletext"/>
              <w:keepNext w:val="0"/>
              <w:widowControl w:val="0"/>
              <w:jc w:val="center"/>
              <w:rPr>
                <w:highlight w:val="darkGray"/>
              </w:rPr>
            </w:pPr>
            <w:r>
              <w:t xml:space="preserve"> </w:t>
            </w:r>
            <w:r w:rsidRPr="008A42F6">
              <w:rPr>
                <w:rFonts w:hint="eastAsia"/>
                <w:color w:val="000000"/>
                <w:w w:val="18"/>
                <w:shd w:val="solid" w:color="000000" w:fill="000000"/>
                <w:fitText w:val="80" w:id="-1032102641"/>
                <w14:textFill>
                  <w14:solidFill>
                    <w14:srgbClr w14:val="000000">
                      <w14:alpha w14:val="100000"/>
                    </w14:srgbClr>
                  </w14:solidFill>
                </w14:textFill>
              </w:rPr>
              <w:t xml:space="preserve">　</w:t>
            </w:r>
            <w:r w:rsidRPr="008A42F6">
              <w:rPr>
                <w:color w:val="000000"/>
                <w:w w:val="18"/>
                <w:shd w:val="solid" w:color="000000" w:fill="000000"/>
                <w:fitText w:val="80" w:id="-1032102641"/>
                <w14:textFill>
                  <w14:solidFill>
                    <w14:srgbClr w14:val="000000">
                      <w14:alpha w14:val="100000"/>
                    </w14:srgbClr>
                  </w14:solidFill>
                </w14:textFill>
              </w:rPr>
              <w:t>|</w:t>
            </w:r>
            <w:r w:rsidRPr="008A42F6">
              <w:rPr>
                <w:rFonts w:hint="eastAsia"/>
                <w:color w:val="000000"/>
                <w:w w:val="18"/>
                <w:shd w:val="solid" w:color="000000" w:fill="000000"/>
                <w:fitText w:val="80" w:id="-1032102641"/>
                <w14:textFill>
                  <w14:solidFill>
                    <w14:srgbClr w14:val="000000">
                      <w14:alpha w14:val="100000"/>
                    </w14:srgbClr>
                  </w14:solidFill>
                </w14:textFill>
              </w:rPr>
              <w:t xml:space="preserve">　</w:t>
            </w:r>
            <w:r w:rsidR="00F97BC9">
              <w:rPr>
                <w:vertAlign w:val="superscript"/>
              </w:rPr>
              <w:t>6</w:t>
            </w:r>
          </w:p>
        </w:tc>
        <w:tc>
          <w:tcPr>
            <w:tcW w:w="952" w:type="dxa"/>
            <w:vAlign w:val="center"/>
          </w:tcPr>
          <w:p w14:paraId="0213516A" w14:textId="7AF19924" w:rsidR="005D49C9" w:rsidRPr="001C59C3" w:rsidRDefault="005D49C9" w:rsidP="00776D51">
            <w:pPr>
              <w:pStyle w:val="COMTabletext"/>
              <w:keepNext w:val="0"/>
              <w:widowControl w:val="0"/>
              <w:jc w:val="center"/>
            </w:pPr>
            <w:r w:rsidRPr="001C59C3">
              <w:t>+</w:t>
            </w:r>
            <w:r w:rsidR="008A42F6">
              <w:t xml:space="preserve"> </w:t>
            </w:r>
            <w:r w:rsidR="008A42F6" w:rsidRPr="008A42F6">
              <w:rPr>
                <w:color w:val="000000"/>
                <w:spacing w:val="114"/>
                <w:shd w:val="solid" w:color="000000" w:fill="000000"/>
                <w:fitText w:val="200" w:id="-1032102640"/>
                <w14:textFill>
                  <w14:solidFill>
                    <w14:srgbClr w14:val="000000">
                      <w14:alpha w14:val="100000"/>
                    </w14:srgbClr>
                  </w14:solidFill>
                </w14:textFill>
              </w:rPr>
              <w:t>|</w:t>
            </w:r>
            <w:r w:rsidR="008A42F6" w:rsidRPr="008A42F6">
              <w:rPr>
                <w:color w:val="000000"/>
                <w:spacing w:val="1"/>
                <w:shd w:val="solid" w:color="000000" w:fill="000000"/>
                <w:fitText w:val="200" w:id="-1032102640"/>
                <w14:textFill>
                  <w14:solidFill>
                    <w14:srgbClr w14:val="000000">
                      <w14:alpha w14:val="100000"/>
                    </w14:srgbClr>
                  </w14:solidFill>
                </w14:textFill>
              </w:rPr>
              <w:t>|</w:t>
            </w:r>
          </w:p>
        </w:tc>
      </w:tr>
      <w:tr w:rsidR="00D62BD2" w:rsidRPr="001C59C3" w14:paraId="2379941A" w14:textId="77777777" w:rsidTr="00776D51">
        <w:trPr>
          <w:cantSplit/>
        </w:trPr>
        <w:tc>
          <w:tcPr>
            <w:tcW w:w="8996" w:type="dxa"/>
            <w:gridSpan w:val="5"/>
          </w:tcPr>
          <w:p w14:paraId="5DE7DF97" w14:textId="07979264" w:rsidR="00D62BD2" w:rsidRPr="009D1BB6" w:rsidRDefault="00D62BD2" w:rsidP="00776D51">
            <w:pPr>
              <w:pStyle w:val="COMTableheadingrow"/>
              <w:rPr>
                <w:lang w:val="en-AU"/>
              </w:rPr>
            </w:pPr>
            <w:r w:rsidRPr="009D1BB6">
              <w:rPr>
                <w:lang w:val="en-AU"/>
              </w:rPr>
              <w:t>Adverse event costs (</w:t>
            </w:r>
            <w:r w:rsidR="00A22C4F" w:rsidRPr="009D1BB6">
              <w:rPr>
                <w:lang w:val="en-AU"/>
              </w:rPr>
              <w:t>base case 4-week cost of $518.49 per event</w:t>
            </w:r>
            <w:r w:rsidR="003F153E" w:rsidRPr="009D1BB6">
              <w:rPr>
                <w:lang w:val="en-AU"/>
              </w:rPr>
              <w:t xml:space="preserve"> based on Chan 2016</w:t>
            </w:r>
            <w:r w:rsidRPr="009D1BB6">
              <w:rPr>
                <w:lang w:val="en-AU"/>
              </w:rPr>
              <w:t>)</w:t>
            </w:r>
          </w:p>
        </w:tc>
      </w:tr>
      <w:tr w:rsidR="00D62BD2" w:rsidRPr="001C59C3" w14:paraId="2DCDC6DA" w14:textId="77777777" w:rsidTr="00776D51">
        <w:trPr>
          <w:cantSplit/>
        </w:trPr>
        <w:tc>
          <w:tcPr>
            <w:tcW w:w="4603" w:type="dxa"/>
          </w:tcPr>
          <w:p w14:paraId="0A3360AC" w14:textId="77777777" w:rsidR="00D62BD2" w:rsidRPr="001C59C3" w:rsidRDefault="00D62BD2" w:rsidP="00776D51">
            <w:pPr>
              <w:pStyle w:val="COMTabletext"/>
              <w:keepNext w:val="0"/>
              <w:widowControl w:val="0"/>
            </w:pPr>
            <w:r w:rsidRPr="001C59C3">
              <w:t>No adverse event costs</w:t>
            </w:r>
          </w:p>
        </w:tc>
        <w:tc>
          <w:tcPr>
            <w:tcW w:w="1146" w:type="dxa"/>
            <w:vAlign w:val="center"/>
          </w:tcPr>
          <w:p w14:paraId="701054F0" w14:textId="1D58CFD2" w:rsidR="00D62BD2" w:rsidRPr="00621588" w:rsidRDefault="008A42F6" w:rsidP="00776D51">
            <w:pPr>
              <w:pStyle w:val="COMTabletext"/>
              <w:keepNext w:val="0"/>
              <w:widowControl w:val="0"/>
              <w:jc w:val="center"/>
              <w:rPr>
                <w:highlight w:val="darkGray"/>
              </w:rPr>
            </w:pPr>
            <w:r>
              <w:t xml:space="preserve"> </w:t>
            </w:r>
            <w:r w:rsidRPr="008A42F6">
              <w:rPr>
                <w:rFonts w:hint="eastAsia"/>
                <w:color w:val="000000"/>
                <w:w w:val="20"/>
                <w:shd w:val="solid" w:color="000000" w:fill="000000"/>
                <w:fitText w:val="90" w:id="-1032102656"/>
                <w14:textFill>
                  <w14:solidFill>
                    <w14:srgbClr w14:val="000000">
                      <w14:alpha w14:val="100000"/>
                    </w14:srgbClr>
                  </w14:solidFill>
                </w14:textFill>
              </w:rPr>
              <w:t xml:space="preserve">　</w:t>
            </w:r>
            <w:r w:rsidRPr="008A42F6">
              <w:rPr>
                <w:color w:val="000000"/>
                <w:w w:val="20"/>
                <w:shd w:val="solid" w:color="000000" w:fill="000000"/>
                <w:fitText w:val="90" w:id="-1032102656"/>
                <w14:textFill>
                  <w14:solidFill>
                    <w14:srgbClr w14:val="000000">
                      <w14:alpha w14:val="100000"/>
                    </w14:srgbClr>
                  </w14:solidFill>
                </w14:textFill>
              </w:rPr>
              <w:t>|</w:t>
            </w:r>
            <w:r w:rsidRPr="008A42F6">
              <w:rPr>
                <w:rFonts w:hint="eastAsia"/>
                <w:color w:val="000000"/>
                <w:spacing w:val="3"/>
                <w:w w:val="20"/>
                <w:shd w:val="solid" w:color="000000" w:fill="000000"/>
                <w:fitText w:val="90" w:id="-1032102656"/>
                <w14:textFill>
                  <w14:solidFill>
                    <w14:srgbClr w14:val="000000">
                      <w14:alpha w14:val="100000"/>
                    </w14:srgbClr>
                  </w14:solidFill>
                </w14:textFill>
              </w:rPr>
              <w:t xml:space="preserve">　</w:t>
            </w:r>
          </w:p>
        </w:tc>
        <w:tc>
          <w:tcPr>
            <w:tcW w:w="1148" w:type="dxa"/>
            <w:vAlign w:val="center"/>
          </w:tcPr>
          <w:p w14:paraId="3D976CB4" w14:textId="77777777" w:rsidR="00D62BD2" w:rsidRPr="001C59C3" w:rsidRDefault="00D62BD2" w:rsidP="00776D51">
            <w:pPr>
              <w:pStyle w:val="COMTabletext"/>
              <w:keepNext w:val="0"/>
              <w:widowControl w:val="0"/>
              <w:jc w:val="center"/>
            </w:pPr>
            <w:r w:rsidRPr="001C59C3">
              <w:t>0.0922</w:t>
            </w:r>
          </w:p>
        </w:tc>
        <w:tc>
          <w:tcPr>
            <w:tcW w:w="1147" w:type="dxa"/>
            <w:vAlign w:val="center"/>
          </w:tcPr>
          <w:p w14:paraId="7532166B" w14:textId="068AE271" w:rsidR="00D62BD2" w:rsidRPr="00621588" w:rsidRDefault="008A42F6" w:rsidP="00776D51">
            <w:pPr>
              <w:pStyle w:val="COMTabletext"/>
              <w:keepNext w:val="0"/>
              <w:widowControl w:val="0"/>
              <w:jc w:val="center"/>
              <w:rPr>
                <w:highlight w:val="darkGray"/>
              </w:rPr>
            </w:pPr>
            <w:r>
              <w:t xml:space="preserve"> </w:t>
            </w:r>
            <w:r w:rsidRPr="008A42F6">
              <w:rPr>
                <w:rFonts w:hint="eastAsia"/>
                <w:color w:val="000000"/>
                <w:w w:val="18"/>
                <w:shd w:val="solid" w:color="000000" w:fill="000000"/>
                <w:fitText w:val="80" w:id="-1032102655"/>
                <w14:textFill>
                  <w14:solidFill>
                    <w14:srgbClr w14:val="000000">
                      <w14:alpha w14:val="100000"/>
                    </w14:srgbClr>
                  </w14:solidFill>
                </w14:textFill>
              </w:rPr>
              <w:t xml:space="preserve">　</w:t>
            </w:r>
            <w:r w:rsidRPr="008A42F6">
              <w:rPr>
                <w:color w:val="000000"/>
                <w:w w:val="18"/>
                <w:shd w:val="solid" w:color="000000" w:fill="000000"/>
                <w:fitText w:val="80" w:id="-1032102655"/>
                <w14:textFill>
                  <w14:solidFill>
                    <w14:srgbClr w14:val="000000">
                      <w14:alpha w14:val="100000"/>
                    </w14:srgbClr>
                  </w14:solidFill>
                </w14:textFill>
              </w:rPr>
              <w:t>|</w:t>
            </w:r>
            <w:r w:rsidRPr="008A42F6">
              <w:rPr>
                <w:rFonts w:hint="eastAsia"/>
                <w:color w:val="000000"/>
                <w:w w:val="18"/>
                <w:shd w:val="solid" w:color="000000" w:fill="000000"/>
                <w:fitText w:val="80" w:id="-1032102655"/>
                <w14:textFill>
                  <w14:solidFill>
                    <w14:srgbClr w14:val="000000">
                      <w14:alpha w14:val="100000"/>
                    </w14:srgbClr>
                  </w14:solidFill>
                </w14:textFill>
              </w:rPr>
              <w:t xml:space="preserve">　</w:t>
            </w:r>
            <w:r w:rsidR="00CD4060">
              <w:rPr>
                <w:vertAlign w:val="superscript"/>
              </w:rPr>
              <w:t>3</w:t>
            </w:r>
          </w:p>
        </w:tc>
        <w:tc>
          <w:tcPr>
            <w:tcW w:w="952" w:type="dxa"/>
            <w:vAlign w:val="center"/>
          </w:tcPr>
          <w:p w14:paraId="1D930FB1" w14:textId="319F90E2" w:rsidR="00D62BD2" w:rsidRPr="001C59C3" w:rsidRDefault="00D62BD2" w:rsidP="00776D51">
            <w:pPr>
              <w:pStyle w:val="COMTabletext"/>
              <w:keepNext w:val="0"/>
              <w:widowControl w:val="0"/>
              <w:jc w:val="center"/>
            </w:pPr>
            <w:r w:rsidRPr="001C59C3">
              <w:t>-</w:t>
            </w:r>
            <w:r w:rsidR="008A42F6">
              <w:t xml:space="preserve"> </w:t>
            </w:r>
            <w:r w:rsidR="008A42F6" w:rsidRPr="008A42F6">
              <w:rPr>
                <w:color w:val="000000"/>
                <w:spacing w:val="94"/>
                <w:shd w:val="solid" w:color="000000" w:fill="000000"/>
                <w:fitText w:val="180" w:id="-1032102654"/>
                <w14:textFill>
                  <w14:solidFill>
                    <w14:srgbClr w14:val="000000">
                      <w14:alpha w14:val="100000"/>
                    </w14:srgbClr>
                  </w14:solidFill>
                </w14:textFill>
              </w:rPr>
              <w:t>|</w:t>
            </w:r>
            <w:r w:rsidR="008A42F6" w:rsidRPr="008A42F6">
              <w:rPr>
                <w:color w:val="000000"/>
                <w:spacing w:val="1"/>
                <w:shd w:val="solid" w:color="000000" w:fill="000000"/>
                <w:fitText w:val="180" w:id="-1032102654"/>
                <w14:textFill>
                  <w14:solidFill>
                    <w14:srgbClr w14:val="000000">
                      <w14:alpha w14:val="100000"/>
                    </w14:srgbClr>
                  </w14:solidFill>
                </w14:textFill>
              </w:rPr>
              <w:t>|</w:t>
            </w:r>
          </w:p>
        </w:tc>
      </w:tr>
      <w:tr w:rsidR="00A22C4F" w:rsidRPr="001C59C3" w14:paraId="1289BAAC" w14:textId="77777777" w:rsidTr="00776D51">
        <w:trPr>
          <w:cantSplit/>
        </w:trPr>
        <w:tc>
          <w:tcPr>
            <w:tcW w:w="4603" w:type="dxa"/>
          </w:tcPr>
          <w:p w14:paraId="39F4B543" w14:textId="41E8FA7B" w:rsidR="00A22C4F" w:rsidRPr="001C59C3" w:rsidRDefault="007F73D2" w:rsidP="00A22C4F">
            <w:pPr>
              <w:pStyle w:val="COMTabletext"/>
              <w:keepNext w:val="0"/>
              <w:widowControl w:val="0"/>
            </w:pPr>
            <w:r w:rsidRPr="001C59C3">
              <w:t>1 year cost</w:t>
            </w:r>
            <w:r w:rsidR="00A22C4F" w:rsidRPr="001C59C3">
              <w:t xml:space="preserve"> of $6,758.94 per event</w:t>
            </w:r>
            <w:r w:rsidR="003F153E" w:rsidRPr="001C59C3">
              <w:t xml:space="preserve"> based on Chan 2016</w:t>
            </w:r>
          </w:p>
        </w:tc>
        <w:tc>
          <w:tcPr>
            <w:tcW w:w="1146" w:type="dxa"/>
          </w:tcPr>
          <w:p w14:paraId="7BDA9092" w14:textId="73295E03" w:rsidR="00A22C4F" w:rsidRPr="00621588" w:rsidRDefault="008A42F6" w:rsidP="00A22C4F">
            <w:pPr>
              <w:pStyle w:val="COMTabletext"/>
              <w:keepNext w:val="0"/>
              <w:widowControl w:val="0"/>
              <w:jc w:val="center"/>
              <w:rPr>
                <w:highlight w:val="darkGray"/>
              </w:rPr>
            </w:pPr>
            <w:r>
              <w:t xml:space="preserve"> </w:t>
            </w:r>
            <w:r w:rsidRPr="008A42F6">
              <w:rPr>
                <w:rFonts w:hint="eastAsia"/>
                <w:color w:val="000000"/>
                <w:w w:val="20"/>
                <w:shd w:val="solid" w:color="000000" w:fill="000000"/>
                <w:fitText w:val="90" w:id="-1032102653"/>
                <w14:textFill>
                  <w14:solidFill>
                    <w14:srgbClr w14:val="000000">
                      <w14:alpha w14:val="100000"/>
                    </w14:srgbClr>
                  </w14:solidFill>
                </w14:textFill>
              </w:rPr>
              <w:t xml:space="preserve">　</w:t>
            </w:r>
            <w:r w:rsidRPr="008A42F6">
              <w:rPr>
                <w:color w:val="000000"/>
                <w:w w:val="20"/>
                <w:shd w:val="solid" w:color="000000" w:fill="000000"/>
                <w:fitText w:val="90" w:id="-1032102653"/>
                <w14:textFill>
                  <w14:solidFill>
                    <w14:srgbClr w14:val="000000">
                      <w14:alpha w14:val="100000"/>
                    </w14:srgbClr>
                  </w14:solidFill>
                </w14:textFill>
              </w:rPr>
              <w:t>|</w:t>
            </w:r>
            <w:r w:rsidRPr="008A42F6">
              <w:rPr>
                <w:rFonts w:hint="eastAsia"/>
                <w:color w:val="000000"/>
                <w:spacing w:val="3"/>
                <w:w w:val="20"/>
                <w:shd w:val="solid" w:color="000000" w:fill="000000"/>
                <w:fitText w:val="90" w:id="-1032102653"/>
                <w14:textFill>
                  <w14:solidFill>
                    <w14:srgbClr w14:val="000000">
                      <w14:alpha w14:val="100000"/>
                    </w14:srgbClr>
                  </w14:solidFill>
                </w14:textFill>
              </w:rPr>
              <w:t xml:space="preserve">　</w:t>
            </w:r>
          </w:p>
        </w:tc>
        <w:tc>
          <w:tcPr>
            <w:tcW w:w="1148" w:type="dxa"/>
          </w:tcPr>
          <w:p w14:paraId="0AE92AF3" w14:textId="07713E47" w:rsidR="00A22C4F" w:rsidRPr="001C59C3" w:rsidRDefault="00A22C4F" w:rsidP="00A22C4F">
            <w:pPr>
              <w:pStyle w:val="COMTabletext"/>
              <w:keepNext w:val="0"/>
              <w:widowControl w:val="0"/>
              <w:jc w:val="center"/>
            </w:pPr>
            <w:r w:rsidRPr="001C59C3">
              <w:t>0.0922</w:t>
            </w:r>
          </w:p>
        </w:tc>
        <w:tc>
          <w:tcPr>
            <w:tcW w:w="1147" w:type="dxa"/>
          </w:tcPr>
          <w:p w14:paraId="2E217423" w14:textId="629C557B" w:rsidR="00A22C4F" w:rsidRPr="00621588" w:rsidRDefault="008A42F6" w:rsidP="00A22C4F">
            <w:pPr>
              <w:pStyle w:val="COMTabletext"/>
              <w:keepNext w:val="0"/>
              <w:widowControl w:val="0"/>
              <w:jc w:val="center"/>
              <w:rPr>
                <w:highlight w:val="darkGray"/>
              </w:rPr>
            </w:pPr>
            <w:r>
              <w:t xml:space="preserve"> </w:t>
            </w:r>
            <w:r w:rsidRPr="008A42F6">
              <w:rPr>
                <w:rFonts w:hint="eastAsia"/>
                <w:color w:val="000000"/>
                <w:w w:val="18"/>
                <w:shd w:val="solid" w:color="000000" w:fill="000000"/>
                <w:fitText w:val="80" w:id="-1032102652"/>
                <w14:textFill>
                  <w14:solidFill>
                    <w14:srgbClr w14:val="000000">
                      <w14:alpha w14:val="100000"/>
                    </w14:srgbClr>
                  </w14:solidFill>
                </w14:textFill>
              </w:rPr>
              <w:t xml:space="preserve">　</w:t>
            </w:r>
            <w:r w:rsidRPr="008A42F6">
              <w:rPr>
                <w:color w:val="000000"/>
                <w:w w:val="18"/>
                <w:shd w:val="solid" w:color="000000" w:fill="000000"/>
                <w:fitText w:val="80" w:id="-1032102652"/>
                <w14:textFill>
                  <w14:solidFill>
                    <w14:srgbClr w14:val="000000">
                      <w14:alpha w14:val="100000"/>
                    </w14:srgbClr>
                  </w14:solidFill>
                </w14:textFill>
              </w:rPr>
              <w:t>|</w:t>
            </w:r>
            <w:r w:rsidRPr="008A42F6">
              <w:rPr>
                <w:rFonts w:hint="eastAsia"/>
                <w:color w:val="000000"/>
                <w:w w:val="18"/>
                <w:shd w:val="solid" w:color="000000" w:fill="000000"/>
                <w:fitText w:val="80" w:id="-1032102652"/>
                <w14:textFill>
                  <w14:solidFill>
                    <w14:srgbClr w14:val="000000">
                      <w14:alpha w14:val="100000"/>
                    </w14:srgbClr>
                  </w14:solidFill>
                </w14:textFill>
              </w:rPr>
              <w:t xml:space="preserve">　</w:t>
            </w:r>
            <w:r w:rsidR="00CD4060">
              <w:rPr>
                <w:vertAlign w:val="superscript"/>
              </w:rPr>
              <w:t>3</w:t>
            </w:r>
          </w:p>
        </w:tc>
        <w:tc>
          <w:tcPr>
            <w:tcW w:w="952" w:type="dxa"/>
          </w:tcPr>
          <w:p w14:paraId="54711D9C" w14:textId="75AFAD90" w:rsidR="00A22C4F" w:rsidRPr="001C59C3" w:rsidRDefault="00A22C4F" w:rsidP="00A22C4F">
            <w:pPr>
              <w:pStyle w:val="COMTabletext"/>
              <w:keepNext w:val="0"/>
              <w:widowControl w:val="0"/>
              <w:jc w:val="center"/>
            </w:pPr>
            <w:r w:rsidRPr="001C59C3">
              <w:t>+</w:t>
            </w:r>
            <w:r w:rsidR="008A42F6">
              <w:t xml:space="preserve"> </w:t>
            </w:r>
            <w:r w:rsidR="008A42F6" w:rsidRPr="008A42F6">
              <w:rPr>
                <w:color w:val="000000"/>
                <w:spacing w:val="114"/>
                <w:shd w:val="solid" w:color="000000" w:fill="000000"/>
                <w:fitText w:val="200" w:id="-1032102651"/>
                <w14:textFill>
                  <w14:solidFill>
                    <w14:srgbClr w14:val="000000">
                      <w14:alpha w14:val="100000"/>
                    </w14:srgbClr>
                  </w14:solidFill>
                </w14:textFill>
              </w:rPr>
              <w:t>|</w:t>
            </w:r>
            <w:r w:rsidR="008A42F6" w:rsidRPr="008A42F6">
              <w:rPr>
                <w:color w:val="000000"/>
                <w:spacing w:val="1"/>
                <w:shd w:val="solid" w:color="000000" w:fill="000000"/>
                <w:fitText w:val="200" w:id="-1032102651"/>
                <w14:textFill>
                  <w14:solidFill>
                    <w14:srgbClr w14:val="000000">
                      <w14:alpha w14:val="100000"/>
                    </w14:srgbClr>
                  </w14:solidFill>
                </w14:textFill>
              </w:rPr>
              <w:t>|</w:t>
            </w:r>
          </w:p>
        </w:tc>
      </w:tr>
      <w:tr w:rsidR="00D62BD2" w:rsidRPr="001C59C3" w14:paraId="68E2CD94" w14:textId="77777777" w:rsidTr="00776D51">
        <w:trPr>
          <w:cantSplit/>
        </w:trPr>
        <w:tc>
          <w:tcPr>
            <w:tcW w:w="4603" w:type="dxa"/>
          </w:tcPr>
          <w:p w14:paraId="4A5272F6" w14:textId="4D9F7DA5" w:rsidR="00D62BD2" w:rsidRPr="001C59C3" w:rsidRDefault="00D62BD2" w:rsidP="00776D51">
            <w:pPr>
              <w:pStyle w:val="COMTabletext"/>
              <w:keepNext w:val="0"/>
              <w:widowControl w:val="0"/>
            </w:pPr>
            <w:r w:rsidRPr="001C59C3">
              <w:t>$14,907 heart failure hospitalisation costs</w:t>
            </w:r>
            <w:r w:rsidR="00672F07" w:rsidRPr="001C59C3">
              <w:t xml:space="preserve"> (AR-DRG F62A)</w:t>
            </w:r>
            <w:r w:rsidRPr="001C59C3">
              <w:t xml:space="preserve"> applied to the modelled rate of adverse events per cycle</w:t>
            </w:r>
          </w:p>
        </w:tc>
        <w:tc>
          <w:tcPr>
            <w:tcW w:w="1146" w:type="dxa"/>
            <w:vAlign w:val="center"/>
          </w:tcPr>
          <w:p w14:paraId="58111212" w14:textId="1508982C" w:rsidR="00D62BD2" w:rsidRPr="00621588" w:rsidRDefault="008A42F6" w:rsidP="00776D51">
            <w:pPr>
              <w:pStyle w:val="COMTabletext"/>
              <w:keepNext w:val="0"/>
              <w:widowControl w:val="0"/>
              <w:jc w:val="center"/>
              <w:rPr>
                <w:highlight w:val="darkGray"/>
              </w:rPr>
            </w:pPr>
            <w:r>
              <w:t xml:space="preserve"> </w:t>
            </w:r>
            <w:r w:rsidRPr="008A42F6">
              <w:rPr>
                <w:rFonts w:hint="eastAsia"/>
                <w:color w:val="000000"/>
                <w:w w:val="20"/>
                <w:shd w:val="solid" w:color="000000" w:fill="000000"/>
                <w:fitText w:val="90" w:id="-1032102650"/>
                <w14:textFill>
                  <w14:solidFill>
                    <w14:srgbClr w14:val="000000">
                      <w14:alpha w14:val="100000"/>
                    </w14:srgbClr>
                  </w14:solidFill>
                </w14:textFill>
              </w:rPr>
              <w:t xml:space="preserve">　</w:t>
            </w:r>
            <w:r w:rsidRPr="008A42F6">
              <w:rPr>
                <w:color w:val="000000"/>
                <w:w w:val="20"/>
                <w:shd w:val="solid" w:color="000000" w:fill="000000"/>
                <w:fitText w:val="90" w:id="-1032102650"/>
                <w14:textFill>
                  <w14:solidFill>
                    <w14:srgbClr w14:val="000000">
                      <w14:alpha w14:val="100000"/>
                    </w14:srgbClr>
                  </w14:solidFill>
                </w14:textFill>
              </w:rPr>
              <w:t>|</w:t>
            </w:r>
            <w:r w:rsidRPr="008A42F6">
              <w:rPr>
                <w:rFonts w:hint="eastAsia"/>
                <w:color w:val="000000"/>
                <w:spacing w:val="3"/>
                <w:w w:val="20"/>
                <w:shd w:val="solid" w:color="000000" w:fill="000000"/>
                <w:fitText w:val="90" w:id="-1032102650"/>
                <w14:textFill>
                  <w14:solidFill>
                    <w14:srgbClr w14:val="000000">
                      <w14:alpha w14:val="100000"/>
                    </w14:srgbClr>
                  </w14:solidFill>
                </w14:textFill>
              </w:rPr>
              <w:t xml:space="preserve">　</w:t>
            </w:r>
          </w:p>
        </w:tc>
        <w:tc>
          <w:tcPr>
            <w:tcW w:w="1148" w:type="dxa"/>
            <w:vAlign w:val="center"/>
          </w:tcPr>
          <w:p w14:paraId="21EF1A0D" w14:textId="77777777" w:rsidR="00D62BD2" w:rsidRPr="001C59C3" w:rsidRDefault="00D62BD2" w:rsidP="00776D51">
            <w:pPr>
              <w:pStyle w:val="COMTabletext"/>
              <w:keepNext w:val="0"/>
              <w:widowControl w:val="0"/>
              <w:jc w:val="center"/>
            </w:pPr>
            <w:r w:rsidRPr="001C59C3">
              <w:t>0.0922</w:t>
            </w:r>
          </w:p>
        </w:tc>
        <w:tc>
          <w:tcPr>
            <w:tcW w:w="1147" w:type="dxa"/>
            <w:vAlign w:val="center"/>
          </w:tcPr>
          <w:p w14:paraId="6CC73292" w14:textId="3B4C2136" w:rsidR="00D62BD2" w:rsidRPr="00621588" w:rsidRDefault="008A42F6" w:rsidP="00776D51">
            <w:pPr>
              <w:pStyle w:val="COMTabletext"/>
              <w:keepNext w:val="0"/>
              <w:widowControl w:val="0"/>
              <w:jc w:val="center"/>
              <w:rPr>
                <w:highlight w:val="darkGray"/>
              </w:rPr>
            </w:pPr>
            <w:r>
              <w:t xml:space="preserve"> </w:t>
            </w:r>
            <w:r w:rsidRPr="008A42F6">
              <w:rPr>
                <w:rFonts w:hint="eastAsia"/>
                <w:color w:val="000000"/>
                <w:w w:val="18"/>
                <w:shd w:val="solid" w:color="000000" w:fill="000000"/>
                <w:fitText w:val="80" w:id="-1032102649"/>
                <w14:textFill>
                  <w14:solidFill>
                    <w14:srgbClr w14:val="000000">
                      <w14:alpha w14:val="100000"/>
                    </w14:srgbClr>
                  </w14:solidFill>
                </w14:textFill>
              </w:rPr>
              <w:t xml:space="preserve">　</w:t>
            </w:r>
            <w:r w:rsidRPr="008A42F6">
              <w:rPr>
                <w:color w:val="000000"/>
                <w:w w:val="18"/>
                <w:shd w:val="solid" w:color="000000" w:fill="000000"/>
                <w:fitText w:val="80" w:id="-1032102649"/>
                <w14:textFill>
                  <w14:solidFill>
                    <w14:srgbClr w14:val="000000">
                      <w14:alpha w14:val="100000"/>
                    </w14:srgbClr>
                  </w14:solidFill>
                </w14:textFill>
              </w:rPr>
              <w:t>|</w:t>
            </w:r>
            <w:r w:rsidRPr="008A42F6">
              <w:rPr>
                <w:rFonts w:hint="eastAsia"/>
                <w:color w:val="000000"/>
                <w:w w:val="18"/>
                <w:shd w:val="solid" w:color="000000" w:fill="000000"/>
                <w:fitText w:val="80" w:id="-1032102649"/>
                <w14:textFill>
                  <w14:solidFill>
                    <w14:srgbClr w14:val="000000">
                      <w14:alpha w14:val="100000"/>
                    </w14:srgbClr>
                  </w14:solidFill>
                </w14:textFill>
              </w:rPr>
              <w:t xml:space="preserve">　</w:t>
            </w:r>
            <w:r w:rsidR="00F97BC9">
              <w:rPr>
                <w:vertAlign w:val="superscript"/>
              </w:rPr>
              <w:t>5</w:t>
            </w:r>
          </w:p>
        </w:tc>
        <w:tc>
          <w:tcPr>
            <w:tcW w:w="952" w:type="dxa"/>
            <w:vAlign w:val="center"/>
          </w:tcPr>
          <w:p w14:paraId="30EC00AE" w14:textId="44EC58E5" w:rsidR="00D62BD2" w:rsidRPr="001C59C3" w:rsidRDefault="00D62BD2" w:rsidP="00776D51">
            <w:pPr>
              <w:pStyle w:val="COMTabletext"/>
              <w:keepNext w:val="0"/>
              <w:widowControl w:val="0"/>
              <w:jc w:val="center"/>
            </w:pPr>
            <w:r w:rsidRPr="001C59C3">
              <w:t>+</w:t>
            </w:r>
            <w:r w:rsidR="008A42F6">
              <w:t xml:space="preserve"> </w:t>
            </w:r>
            <w:r w:rsidR="008A42F6" w:rsidRPr="008A42F6">
              <w:rPr>
                <w:color w:val="000000"/>
                <w:spacing w:val="114"/>
                <w:shd w:val="solid" w:color="000000" w:fill="000000"/>
                <w:fitText w:val="200" w:id="-1032102648"/>
                <w14:textFill>
                  <w14:solidFill>
                    <w14:srgbClr w14:val="000000">
                      <w14:alpha w14:val="100000"/>
                    </w14:srgbClr>
                  </w14:solidFill>
                </w14:textFill>
              </w:rPr>
              <w:t>|</w:t>
            </w:r>
            <w:r w:rsidR="008A42F6" w:rsidRPr="008A42F6">
              <w:rPr>
                <w:color w:val="000000"/>
                <w:spacing w:val="1"/>
                <w:shd w:val="solid" w:color="000000" w:fill="000000"/>
                <w:fitText w:val="200" w:id="-1032102648"/>
                <w14:textFill>
                  <w14:solidFill>
                    <w14:srgbClr w14:val="000000">
                      <w14:alpha w14:val="100000"/>
                    </w14:srgbClr>
                  </w14:solidFill>
                </w14:textFill>
              </w:rPr>
              <w:t>|</w:t>
            </w:r>
          </w:p>
        </w:tc>
      </w:tr>
      <w:tr w:rsidR="00D62BD2" w:rsidRPr="001C59C3" w14:paraId="604C7DA4" w14:textId="77777777" w:rsidTr="00776D51">
        <w:trPr>
          <w:cantSplit/>
        </w:trPr>
        <w:tc>
          <w:tcPr>
            <w:tcW w:w="4603" w:type="dxa"/>
          </w:tcPr>
          <w:p w14:paraId="5FF593B6" w14:textId="23D16E40" w:rsidR="00D62BD2" w:rsidRPr="001C59C3" w:rsidRDefault="00D62BD2" w:rsidP="00776D51">
            <w:pPr>
              <w:pStyle w:val="COMTabletext"/>
              <w:keepNext w:val="0"/>
              <w:widowControl w:val="0"/>
            </w:pPr>
            <w:r w:rsidRPr="001C59C3">
              <w:t>$13,312 for pulmonary oedema and respiratory failure hospitalisation costs</w:t>
            </w:r>
            <w:r w:rsidR="00CB4CDD" w:rsidRPr="001C59C3">
              <w:t xml:space="preserve"> (AR-DRG E64A)</w:t>
            </w:r>
            <w:r w:rsidRPr="001C59C3">
              <w:t xml:space="preserve"> applied to the modelled rate of adverse events per cycle</w:t>
            </w:r>
          </w:p>
        </w:tc>
        <w:tc>
          <w:tcPr>
            <w:tcW w:w="1146" w:type="dxa"/>
            <w:vAlign w:val="center"/>
          </w:tcPr>
          <w:p w14:paraId="6B308B00" w14:textId="05C285DD" w:rsidR="00D62BD2" w:rsidRPr="00621588" w:rsidRDefault="008A42F6" w:rsidP="00776D51">
            <w:pPr>
              <w:pStyle w:val="COMTabletext"/>
              <w:keepNext w:val="0"/>
              <w:widowControl w:val="0"/>
              <w:jc w:val="center"/>
              <w:rPr>
                <w:highlight w:val="darkGray"/>
              </w:rPr>
            </w:pPr>
            <w:r>
              <w:t xml:space="preserve"> </w:t>
            </w:r>
            <w:r w:rsidRPr="008A42F6">
              <w:rPr>
                <w:rFonts w:hint="eastAsia"/>
                <w:color w:val="000000"/>
                <w:w w:val="20"/>
                <w:shd w:val="solid" w:color="000000" w:fill="000000"/>
                <w:fitText w:val="90" w:id="-1032102647"/>
                <w14:textFill>
                  <w14:solidFill>
                    <w14:srgbClr w14:val="000000">
                      <w14:alpha w14:val="100000"/>
                    </w14:srgbClr>
                  </w14:solidFill>
                </w14:textFill>
              </w:rPr>
              <w:t xml:space="preserve">　</w:t>
            </w:r>
            <w:r w:rsidRPr="008A42F6">
              <w:rPr>
                <w:color w:val="000000"/>
                <w:w w:val="20"/>
                <w:shd w:val="solid" w:color="000000" w:fill="000000"/>
                <w:fitText w:val="90" w:id="-1032102647"/>
                <w14:textFill>
                  <w14:solidFill>
                    <w14:srgbClr w14:val="000000">
                      <w14:alpha w14:val="100000"/>
                    </w14:srgbClr>
                  </w14:solidFill>
                </w14:textFill>
              </w:rPr>
              <w:t>|</w:t>
            </w:r>
            <w:r w:rsidRPr="008A42F6">
              <w:rPr>
                <w:rFonts w:hint="eastAsia"/>
                <w:color w:val="000000"/>
                <w:spacing w:val="3"/>
                <w:w w:val="20"/>
                <w:shd w:val="solid" w:color="000000" w:fill="000000"/>
                <w:fitText w:val="90" w:id="-1032102647"/>
                <w14:textFill>
                  <w14:solidFill>
                    <w14:srgbClr w14:val="000000">
                      <w14:alpha w14:val="100000"/>
                    </w14:srgbClr>
                  </w14:solidFill>
                </w14:textFill>
              </w:rPr>
              <w:t xml:space="preserve">　</w:t>
            </w:r>
          </w:p>
        </w:tc>
        <w:tc>
          <w:tcPr>
            <w:tcW w:w="1148" w:type="dxa"/>
            <w:vAlign w:val="center"/>
          </w:tcPr>
          <w:p w14:paraId="40516FB1" w14:textId="77777777" w:rsidR="00D62BD2" w:rsidRPr="001C59C3" w:rsidRDefault="00D62BD2" w:rsidP="00776D51">
            <w:pPr>
              <w:pStyle w:val="COMTabletext"/>
              <w:keepNext w:val="0"/>
              <w:widowControl w:val="0"/>
              <w:jc w:val="center"/>
            </w:pPr>
            <w:r w:rsidRPr="001C59C3">
              <w:t>0.0922</w:t>
            </w:r>
          </w:p>
        </w:tc>
        <w:tc>
          <w:tcPr>
            <w:tcW w:w="1147" w:type="dxa"/>
            <w:vAlign w:val="center"/>
          </w:tcPr>
          <w:p w14:paraId="0F36BA56" w14:textId="403E5426" w:rsidR="00D62BD2" w:rsidRPr="00621588" w:rsidRDefault="008A42F6" w:rsidP="00776D51">
            <w:pPr>
              <w:pStyle w:val="COMTabletext"/>
              <w:keepNext w:val="0"/>
              <w:widowControl w:val="0"/>
              <w:jc w:val="center"/>
              <w:rPr>
                <w:highlight w:val="darkGray"/>
              </w:rPr>
            </w:pPr>
            <w:r>
              <w:t xml:space="preserve"> </w:t>
            </w:r>
            <w:r w:rsidRPr="008A42F6">
              <w:rPr>
                <w:rFonts w:hint="eastAsia"/>
                <w:color w:val="000000"/>
                <w:w w:val="18"/>
                <w:shd w:val="solid" w:color="000000" w:fill="000000"/>
                <w:fitText w:val="80" w:id="-1032102646"/>
                <w14:textFill>
                  <w14:solidFill>
                    <w14:srgbClr w14:val="000000">
                      <w14:alpha w14:val="100000"/>
                    </w14:srgbClr>
                  </w14:solidFill>
                </w14:textFill>
              </w:rPr>
              <w:t xml:space="preserve">　</w:t>
            </w:r>
            <w:r w:rsidRPr="008A42F6">
              <w:rPr>
                <w:color w:val="000000"/>
                <w:w w:val="18"/>
                <w:shd w:val="solid" w:color="000000" w:fill="000000"/>
                <w:fitText w:val="80" w:id="-1032102646"/>
                <w14:textFill>
                  <w14:solidFill>
                    <w14:srgbClr w14:val="000000">
                      <w14:alpha w14:val="100000"/>
                    </w14:srgbClr>
                  </w14:solidFill>
                </w14:textFill>
              </w:rPr>
              <w:t>|</w:t>
            </w:r>
            <w:r w:rsidRPr="008A42F6">
              <w:rPr>
                <w:rFonts w:hint="eastAsia"/>
                <w:color w:val="000000"/>
                <w:w w:val="18"/>
                <w:shd w:val="solid" w:color="000000" w:fill="000000"/>
                <w:fitText w:val="80" w:id="-1032102646"/>
                <w14:textFill>
                  <w14:solidFill>
                    <w14:srgbClr w14:val="000000">
                      <w14:alpha w14:val="100000"/>
                    </w14:srgbClr>
                  </w14:solidFill>
                </w14:textFill>
              </w:rPr>
              <w:t xml:space="preserve">　</w:t>
            </w:r>
            <w:r w:rsidR="00F97BC9">
              <w:rPr>
                <w:vertAlign w:val="superscript"/>
              </w:rPr>
              <w:t>5</w:t>
            </w:r>
          </w:p>
        </w:tc>
        <w:tc>
          <w:tcPr>
            <w:tcW w:w="952" w:type="dxa"/>
            <w:vAlign w:val="center"/>
          </w:tcPr>
          <w:p w14:paraId="41973156" w14:textId="411F425E" w:rsidR="00D62BD2" w:rsidRPr="001C59C3" w:rsidRDefault="00D62BD2" w:rsidP="00776D51">
            <w:pPr>
              <w:pStyle w:val="COMTabletext"/>
              <w:keepNext w:val="0"/>
              <w:widowControl w:val="0"/>
              <w:jc w:val="center"/>
            </w:pPr>
            <w:r w:rsidRPr="001C59C3">
              <w:t>+</w:t>
            </w:r>
            <w:r w:rsidR="008A42F6">
              <w:t xml:space="preserve"> </w:t>
            </w:r>
            <w:r w:rsidR="008A42F6" w:rsidRPr="008A42F6">
              <w:rPr>
                <w:color w:val="000000"/>
                <w:spacing w:val="114"/>
                <w:shd w:val="solid" w:color="000000" w:fill="000000"/>
                <w:fitText w:val="200" w:id="-1032102645"/>
                <w14:textFill>
                  <w14:solidFill>
                    <w14:srgbClr w14:val="000000">
                      <w14:alpha w14:val="100000"/>
                    </w14:srgbClr>
                  </w14:solidFill>
                </w14:textFill>
              </w:rPr>
              <w:t>|</w:t>
            </w:r>
            <w:r w:rsidR="008A42F6" w:rsidRPr="008A42F6">
              <w:rPr>
                <w:color w:val="000000"/>
                <w:spacing w:val="1"/>
                <w:shd w:val="solid" w:color="000000" w:fill="000000"/>
                <w:fitText w:val="200" w:id="-1032102645"/>
                <w14:textFill>
                  <w14:solidFill>
                    <w14:srgbClr w14:val="000000">
                      <w14:alpha w14:val="100000"/>
                    </w14:srgbClr>
                  </w14:solidFill>
                </w14:textFill>
              </w:rPr>
              <w:t>|</w:t>
            </w:r>
          </w:p>
        </w:tc>
      </w:tr>
    </w:tbl>
    <w:p w14:paraId="446CEC15" w14:textId="50CD1528" w:rsidR="005D49C9" w:rsidRPr="001C59C3" w:rsidRDefault="005D49C9" w:rsidP="005D49C9">
      <w:pPr>
        <w:pStyle w:val="COMTablefooter"/>
      </w:pPr>
      <w:r w:rsidRPr="001C59C3">
        <w:t>Source: Table 89, p219 and the ‘A10 – A DFK_Section3model_July2023’ Excel workbook</w:t>
      </w:r>
    </w:p>
    <w:p w14:paraId="154F7E4A" w14:textId="4FE09456" w:rsidR="00CB4CDD" w:rsidRPr="001C59C3" w:rsidRDefault="00CB4CDD" w:rsidP="00CB4CDD">
      <w:pPr>
        <w:pStyle w:val="COMTablefooter"/>
      </w:pPr>
      <w:r w:rsidRPr="001C59C3">
        <w:t>Abbreviations: AR-DRG, Australian Refined Diagnosis Related Groups</w:t>
      </w:r>
    </w:p>
    <w:p w14:paraId="21A9B89F" w14:textId="59D23E74" w:rsidR="005D49C9" w:rsidRPr="001C59C3" w:rsidRDefault="005D49C9" w:rsidP="005D49C9">
      <w:pPr>
        <w:pStyle w:val="COMTablefooter"/>
      </w:pPr>
      <w:r w:rsidRPr="001C59C3">
        <w:rPr>
          <w:vertAlign w:val="superscript"/>
        </w:rPr>
        <w:t>a</w:t>
      </w:r>
      <w:r w:rsidRPr="001C59C3">
        <w:t xml:space="preserve"> There was an error in the economic model</w:t>
      </w:r>
      <w:r w:rsidR="003F153E" w:rsidRPr="001C59C3">
        <w:t xml:space="preserve"> for this sensitivity analysis</w:t>
      </w:r>
      <w:r w:rsidRPr="001C59C3">
        <w:t>, as transition probabilities for difelikefalin treated patients were based on the subgroup of responders only. This was corrected during the evaluation, with transition probabilities based on all patients when the stopping rule was removed.</w:t>
      </w:r>
    </w:p>
    <w:p w14:paraId="071C812F" w14:textId="0CDDF459" w:rsidR="005D49C9" w:rsidRDefault="005D49C9" w:rsidP="00690B5F">
      <w:pPr>
        <w:pStyle w:val="COMTablefooter"/>
      </w:pPr>
      <w:r w:rsidRPr="001C59C3">
        <w:t>Italicised estimates were calculated during the evaluation</w:t>
      </w:r>
    </w:p>
    <w:p w14:paraId="0852F2C5" w14:textId="77777777" w:rsidR="00B619E8" w:rsidRPr="00690B5F" w:rsidRDefault="00B619E8" w:rsidP="00690B5F">
      <w:pPr>
        <w:pStyle w:val="COMTablefooter"/>
        <w:rPr>
          <w:i/>
          <w:iCs/>
        </w:rPr>
      </w:pPr>
      <w:r w:rsidRPr="00690B5F">
        <w:rPr>
          <w:i/>
          <w:iCs/>
        </w:rPr>
        <w:t xml:space="preserve">The redacted values correspond to the following ranges: </w:t>
      </w:r>
    </w:p>
    <w:p w14:paraId="4BB76893" w14:textId="705DB9BC" w:rsidR="00B619E8" w:rsidRPr="00690B5F" w:rsidRDefault="00B619E8" w:rsidP="00690B5F">
      <w:pPr>
        <w:pStyle w:val="COMTablefooter"/>
        <w:rPr>
          <w:i/>
          <w:iCs/>
        </w:rPr>
      </w:pPr>
      <w:r w:rsidRPr="00690B5F">
        <w:rPr>
          <w:i/>
          <w:iCs/>
          <w:vertAlign w:val="superscript"/>
        </w:rPr>
        <w:t>3</w:t>
      </w:r>
      <w:r w:rsidRPr="00690B5F">
        <w:rPr>
          <w:i/>
          <w:iCs/>
        </w:rPr>
        <w:t xml:space="preserve"> </w:t>
      </w:r>
      <w:r w:rsidR="00CD4060" w:rsidRPr="00690B5F">
        <w:rPr>
          <w:i/>
          <w:iCs/>
        </w:rPr>
        <w:t>$45,000 to &lt; $55,000</w:t>
      </w:r>
    </w:p>
    <w:p w14:paraId="5633AAD0" w14:textId="25CCCF34" w:rsidR="00B619E8" w:rsidRPr="00690B5F" w:rsidRDefault="00B619E8" w:rsidP="00690B5F">
      <w:pPr>
        <w:pStyle w:val="COMTablefooter"/>
        <w:rPr>
          <w:i/>
          <w:iCs/>
        </w:rPr>
      </w:pPr>
      <w:r w:rsidRPr="00690B5F">
        <w:rPr>
          <w:i/>
          <w:iCs/>
          <w:vertAlign w:val="superscript"/>
        </w:rPr>
        <w:t xml:space="preserve">4 </w:t>
      </w:r>
      <w:r w:rsidR="007A64FC" w:rsidRPr="00690B5F">
        <w:rPr>
          <w:i/>
          <w:iCs/>
        </w:rPr>
        <w:t>$25,000 to &lt; $35,000</w:t>
      </w:r>
    </w:p>
    <w:p w14:paraId="172CDE7B" w14:textId="102D9E5C" w:rsidR="00B619E8" w:rsidRPr="00690B5F" w:rsidRDefault="00B619E8" w:rsidP="00690B5F">
      <w:pPr>
        <w:pStyle w:val="COMTablefooter"/>
        <w:rPr>
          <w:i/>
          <w:iCs/>
        </w:rPr>
      </w:pPr>
      <w:r w:rsidRPr="00690B5F">
        <w:rPr>
          <w:i/>
          <w:iCs/>
          <w:vertAlign w:val="superscript"/>
        </w:rPr>
        <w:t>5</w:t>
      </w:r>
      <w:r w:rsidRPr="00690B5F">
        <w:rPr>
          <w:i/>
          <w:iCs/>
        </w:rPr>
        <w:t xml:space="preserve"> </w:t>
      </w:r>
      <w:r w:rsidR="00B80654" w:rsidRPr="00690B5F">
        <w:rPr>
          <w:i/>
          <w:iCs/>
        </w:rPr>
        <w:t>$55,000 to &lt; $75,000</w:t>
      </w:r>
    </w:p>
    <w:p w14:paraId="14F4A3CD" w14:textId="46468066" w:rsidR="00690B5F" w:rsidRPr="00690B5F" w:rsidRDefault="00690B5F" w:rsidP="00690B5F">
      <w:pPr>
        <w:pStyle w:val="COMTablefooter"/>
        <w:rPr>
          <w:i/>
          <w:iCs/>
        </w:rPr>
      </w:pPr>
      <w:r w:rsidRPr="00690B5F">
        <w:rPr>
          <w:i/>
          <w:iCs/>
          <w:vertAlign w:val="superscript"/>
        </w:rPr>
        <w:t>6</w:t>
      </w:r>
      <w:r w:rsidRPr="00690B5F">
        <w:rPr>
          <w:i/>
          <w:iCs/>
        </w:rPr>
        <w:t xml:space="preserve"> </w:t>
      </w:r>
      <w:r w:rsidR="00F97BC9" w:rsidRPr="00690B5F">
        <w:rPr>
          <w:i/>
          <w:iCs/>
        </w:rPr>
        <w:t>$95,000 to &lt; $115,000</w:t>
      </w:r>
    </w:p>
    <w:p w14:paraId="66C6DA29" w14:textId="754FE442" w:rsidR="000F661D" w:rsidRPr="00690B5F" w:rsidRDefault="000F661D" w:rsidP="00690B5F">
      <w:pPr>
        <w:pStyle w:val="COMTablefooter"/>
        <w:rPr>
          <w:i/>
          <w:iCs/>
          <w:szCs w:val="18"/>
        </w:rPr>
      </w:pPr>
      <w:r w:rsidRPr="00690B5F">
        <w:rPr>
          <w:i/>
          <w:iCs/>
          <w:szCs w:val="18"/>
          <w:vertAlign w:val="superscript"/>
        </w:rPr>
        <w:t>7</w:t>
      </w:r>
      <w:r w:rsidRPr="00690B5F">
        <w:rPr>
          <w:i/>
          <w:iCs/>
          <w:szCs w:val="18"/>
        </w:rPr>
        <w:t xml:space="preserve"> $255,000 to &lt; $355,000</w:t>
      </w:r>
    </w:p>
    <w:p w14:paraId="420F1A93" w14:textId="601B938F" w:rsidR="000F661D" w:rsidRPr="00690B5F" w:rsidRDefault="000F661D" w:rsidP="00690B5F">
      <w:pPr>
        <w:pStyle w:val="COMTablefooter"/>
        <w:rPr>
          <w:i/>
          <w:iCs/>
          <w:szCs w:val="18"/>
        </w:rPr>
      </w:pPr>
      <w:r w:rsidRPr="00690B5F">
        <w:rPr>
          <w:i/>
          <w:iCs/>
          <w:szCs w:val="18"/>
          <w:vertAlign w:val="superscript"/>
        </w:rPr>
        <w:t>8</w:t>
      </w:r>
      <w:r w:rsidRPr="00690B5F">
        <w:rPr>
          <w:i/>
          <w:iCs/>
          <w:szCs w:val="18"/>
        </w:rPr>
        <w:t xml:space="preserve"> $75,000 to &lt; $95,000</w:t>
      </w:r>
    </w:p>
    <w:p w14:paraId="55C23F83" w14:textId="7EFBA14C" w:rsidR="000F661D" w:rsidRPr="00690B5F" w:rsidRDefault="000F661D" w:rsidP="00690B5F">
      <w:pPr>
        <w:pStyle w:val="COMTablefooter"/>
        <w:rPr>
          <w:i/>
          <w:iCs/>
          <w:szCs w:val="18"/>
        </w:rPr>
      </w:pPr>
      <w:r w:rsidRPr="00690B5F">
        <w:rPr>
          <w:i/>
          <w:iCs/>
          <w:szCs w:val="18"/>
          <w:vertAlign w:val="superscript"/>
        </w:rPr>
        <w:t>9</w:t>
      </w:r>
      <w:r w:rsidRPr="00690B5F">
        <w:rPr>
          <w:i/>
          <w:iCs/>
          <w:szCs w:val="18"/>
        </w:rPr>
        <w:t xml:space="preserve"> $35,000 to &lt; $45,000</w:t>
      </w:r>
    </w:p>
    <w:p w14:paraId="1F253704" w14:textId="78DC1930" w:rsidR="000F661D" w:rsidRPr="00690B5F" w:rsidRDefault="000F661D" w:rsidP="00690B5F">
      <w:pPr>
        <w:pStyle w:val="COMTablefooter"/>
        <w:rPr>
          <w:i/>
          <w:iCs/>
          <w:szCs w:val="18"/>
        </w:rPr>
      </w:pPr>
      <w:r w:rsidRPr="00690B5F">
        <w:rPr>
          <w:i/>
          <w:iCs/>
          <w:szCs w:val="18"/>
          <w:vertAlign w:val="superscript"/>
        </w:rPr>
        <w:t>10</w:t>
      </w:r>
      <w:r w:rsidRPr="00690B5F">
        <w:rPr>
          <w:i/>
          <w:iCs/>
          <w:szCs w:val="18"/>
        </w:rPr>
        <w:t xml:space="preserve"> $135,000 to &lt; $155,000</w:t>
      </w:r>
    </w:p>
    <w:p w14:paraId="4CC4BA0F" w14:textId="42FDDD3B" w:rsidR="00A319B5" w:rsidRPr="00690B5F" w:rsidRDefault="00A319B5" w:rsidP="00690B5F">
      <w:pPr>
        <w:pStyle w:val="COMTablefooter"/>
        <w:rPr>
          <w:i/>
          <w:iCs/>
          <w:szCs w:val="18"/>
        </w:rPr>
      </w:pPr>
      <w:r w:rsidRPr="00690B5F">
        <w:rPr>
          <w:i/>
          <w:iCs/>
          <w:szCs w:val="18"/>
          <w:vertAlign w:val="superscript"/>
        </w:rPr>
        <w:t>11</w:t>
      </w:r>
      <w:r w:rsidRPr="00690B5F">
        <w:rPr>
          <w:i/>
          <w:iCs/>
          <w:szCs w:val="18"/>
        </w:rPr>
        <w:t xml:space="preserve"> $155,000 to &lt; $255,000</w:t>
      </w:r>
    </w:p>
    <w:p w14:paraId="6107A2AA" w14:textId="6F21D068" w:rsidR="00402812" w:rsidRPr="001C59C3" w:rsidRDefault="000B4973" w:rsidP="004F15B1">
      <w:pPr>
        <w:pStyle w:val="COMexecsumnumberedpara"/>
      </w:pPr>
      <w:r w:rsidRPr="001C59C3">
        <w:t>The</w:t>
      </w:r>
      <w:r w:rsidR="006175C2" w:rsidRPr="001C59C3">
        <w:t xml:space="preserve"> ESC noted the</w:t>
      </w:r>
      <w:r w:rsidRPr="001C59C3">
        <w:t xml:space="preserve"> model was most sensitive to the extrapolation of treatment effects beyond 12 weeks, utility decrements associated with pruritus, treatment discontinuations and adverse event costs.</w:t>
      </w:r>
    </w:p>
    <w:p w14:paraId="7CB8BF0B" w14:textId="74CC1380" w:rsidR="00D463DE" w:rsidRPr="001C59C3" w:rsidRDefault="00D463DE" w:rsidP="004F15B1">
      <w:pPr>
        <w:pStyle w:val="COMexecsumnumberedpara"/>
      </w:pPr>
      <w:bookmarkStart w:id="52" w:name="_Ref147851114"/>
      <w:r w:rsidRPr="001C59C3">
        <w:t xml:space="preserve">The resubmission acknowledged the extrapolation of treatment effects was key to the analysis, particularly for best supportive care due to a lack of data beyond 12 weeks. The resubmission claimed the base case assumption of no loss of placebo response (i.e. no change in pruritus severity) was highly conservative and biased against difelikefalin, as sensitivity analyses including waning of treatment effects resulted in lower ICER per QALY gained estimates compared to the base case. The </w:t>
      </w:r>
      <w:r w:rsidR="007423DB" w:rsidRPr="001C59C3">
        <w:t xml:space="preserve">ESC considered the </w:t>
      </w:r>
      <w:r w:rsidRPr="001C59C3">
        <w:t>resubmission’s app</w:t>
      </w:r>
      <w:r w:rsidR="00116170" w:rsidRPr="001C59C3">
        <w:t>roach was in favour of difelikefalin as it resulted in greater relative treatment benefits than observed in the double-blind trials with no convergence in average pruritus severity between treatment arm</w:t>
      </w:r>
      <w:r w:rsidR="00F13F73" w:rsidRPr="001C59C3">
        <w:t>s regardless of treatment status.</w:t>
      </w:r>
      <w:bookmarkEnd w:id="52"/>
      <w:r w:rsidR="003F155E" w:rsidRPr="001C59C3">
        <w:t xml:space="preserve"> </w:t>
      </w:r>
      <w:r w:rsidR="002620B7" w:rsidRPr="001C59C3">
        <w:t xml:space="preserve">The </w:t>
      </w:r>
      <w:r w:rsidR="006B714D" w:rsidRPr="001C59C3">
        <w:t>p</w:t>
      </w:r>
      <w:r w:rsidR="002620B7" w:rsidRPr="001C59C3">
        <w:t xml:space="preserve">re-PBAC Response contended the lack of convergence in itch </w:t>
      </w:r>
      <w:r w:rsidR="002620B7" w:rsidRPr="001C59C3">
        <w:lastRenderedPageBreak/>
        <w:t>severity over time in the base case model is a direct consequence of the assumption that placebo responses do not attenuate</w:t>
      </w:r>
      <w:r w:rsidR="00DA5BAC" w:rsidRPr="001C59C3">
        <w:t xml:space="preserve">. The Response argued </w:t>
      </w:r>
      <w:r w:rsidR="002620B7" w:rsidRPr="001C59C3">
        <w:t>that</w:t>
      </w:r>
      <w:r w:rsidR="00DA5BAC" w:rsidRPr="001C59C3">
        <w:t>,</w:t>
      </w:r>
      <w:r w:rsidR="002620B7" w:rsidRPr="001C59C3">
        <w:t xml:space="preserve"> based on the parameters of the ESC advice, convergence will only occur if the model assumes patients treated with difelikefalin are more likely to lose response than untreated patients are to lose a placebo response. </w:t>
      </w:r>
    </w:p>
    <w:p w14:paraId="11272300" w14:textId="7B4C89E4" w:rsidR="00F13F73" w:rsidRPr="001C59C3" w:rsidRDefault="00F13F73" w:rsidP="004F15B1">
      <w:pPr>
        <w:pStyle w:val="COMexecsumnumberedpara"/>
      </w:pPr>
      <w:r w:rsidRPr="001C59C3">
        <w:t xml:space="preserve">The resubmission acknowledged that changes to treatment discontinuation rates produced unexpected results as the ICER per QALY gained improved with increasing discontinuation rates. This was due to the assumption of no change in pruritus severity in all patients on best supportive care after 12 weeks. The </w:t>
      </w:r>
      <w:r w:rsidR="007423DB" w:rsidRPr="001C59C3">
        <w:t xml:space="preserve">ESC noted the </w:t>
      </w:r>
      <w:r w:rsidRPr="001C59C3">
        <w:t>assumption also applied to those who switched to best supportive care after discontinuing difelikefalin treatment, which favoured difelikefalin as treatment benefits were maintained without ongoing treatment costs</w:t>
      </w:r>
      <w:r w:rsidR="001C59C3">
        <w:t xml:space="preserve">. </w:t>
      </w:r>
    </w:p>
    <w:p w14:paraId="5C429B04" w14:textId="689CD13E" w:rsidR="00BE52CF" w:rsidRPr="001C59C3" w:rsidRDefault="00BE52CF" w:rsidP="004F15B1">
      <w:pPr>
        <w:pStyle w:val="COMexecsumnumberedpara"/>
      </w:pPr>
      <w:r w:rsidRPr="001C59C3">
        <w:t>The model was sensitive to alternative adverse event costs based on implementation of a full year of costs per event. The model was also sensitive to higher costs per event based on the Cost Weights for Australian Refined Diagnosis Related Group (AR-DRG) version 11, 2020-2021 (public sector) for heart failure ($14,907, F62A major complexity) and pulmonary oedema and respiratory failure ($13,312, E64A major complexity).</w:t>
      </w:r>
      <w:r w:rsidR="0005571D" w:rsidRPr="001C59C3">
        <w:t xml:space="preserve"> </w:t>
      </w:r>
    </w:p>
    <w:p w14:paraId="17B3AF0E" w14:textId="427A84F7" w:rsidR="006B714D" w:rsidRPr="001C59C3" w:rsidRDefault="007423DB" w:rsidP="00453FAD">
      <w:pPr>
        <w:pStyle w:val="COMexecsumnumberedpara"/>
      </w:pPr>
      <w:bookmarkStart w:id="53" w:name="_Ref147851006"/>
      <w:bookmarkStart w:id="54" w:name="_Ref150514870"/>
      <w:r w:rsidRPr="001C59C3">
        <w:t xml:space="preserve">Overall, the ESC considered the economic model remained highly uncertain </w:t>
      </w:r>
      <w:r w:rsidR="00186C49" w:rsidRPr="001C59C3">
        <w:t>and continued to favour difelikefalin. Th</w:t>
      </w:r>
      <w:r w:rsidR="00F466D3" w:rsidRPr="001C59C3">
        <w:t>e ESC advised th</w:t>
      </w:r>
      <w:r w:rsidR="00186C49" w:rsidRPr="001C59C3">
        <w:t xml:space="preserve">is was </w:t>
      </w:r>
      <w:r w:rsidR="00F466D3" w:rsidRPr="001C59C3">
        <w:t xml:space="preserve">primarily </w:t>
      </w:r>
      <w:r w:rsidR="00186C49" w:rsidRPr="001C59C3">
        <w:t xml:space="preserve">due to </w:t>
      </w:r>
      <w:r w:rsidR="00F466D3" w:rsidRPr="001C59C3">
        <w:t xml:space="preserve">optimistic </w:t>
      </w:r>
      <w:r w:rsidR="00186C49" w:rsidRPr="001C59C3">
        <w:t>extrapolation of treatment effect</w:t>
      </w:r>
      <w:r w:rsidR="00F466D3" w:rsidRPr="001C59C3">
        <w:t>s</w:t>
      </w:r>
      <w:r w:rsidR="00AB2A22" w:rsidRPr="001C59C3">
        <w:t xml:space="preserve"> and benefits</w:t>
      </w:r>
      <w:r w:rsidR="003F155E" w:rsidRPr="001C59C3">
        <w:t xml:space="preserve"> that may not be clinically plausible (see paragraphs </w:t>
      </w:r>
      <w:r w:rsidR="003F155E" w:rsidRPr="001C59C3">
        <w:fldChar w:fldCharType="begin" w:fldLock="1"/>
      </w:r>
      <w:r w:rsidR="003F155E" w:rsidRPr="001C59C3">
        <w:instrText xml:space="preserve"> REF _Ref147851074 \r \h </w:instrText>
      </w:r>
      <w:r w:rsidR="00D265A1" w:rsidRPr="001C59C3">
        <w:instrText xml:space="preserve"> \* MERGEFORMAT </w:instrText>
      </w:r>
      <w:r w:rsidR="003F155E" w:rsidRPr="001C59C3">
        <w:fldChar w:fldCharType="separate"/>
      </w:r>
      <w:r w:rsidR="00A63698" w:rsidRPr="001C59C3">
        <w:t>6.62</w:t>
      </w:r>
      <w:r w:rsidR="003F155E" w:rsidRPr="001C59C3">
        <w:fldChar w:fldCharType="end"/>
      </w:r>
      <w:r w:rsidR="003F155E" w:rsidRPr="001C59C3">
        <w:t xml:space="preserve"> and </w:t>
      </w:r>
      <w:r w:rsidR="003F155E" w:rsidRPr="001C59C3">
        <w:fldChar w:fldCharType="begin" w:fldLock="1"/>
      </w:r>
      <w:r w:rsidR="003F155E" w:rsidRPr="001C59C3">
        <w:instrText xml:space="preserve"> REF _Ref147851114 \r \h </w:instrText>
      </w:r>
      <w:r w:rsidR="00D265A1" w:rsidRPr="001C59C3">
        <w:instrText xml:space="preserve"> \* MERGEFORMAT </w:instrText>
      </w:r>
      <w:r w:rsidR="003F155E" w:rsidRPr="001C59C3">
        <w:fldChar w:fldCharType="separate"/>
      </w:r>
      <w:r w:rsidR="00A63698" w:rsidRPr="001C59C3">
        <w:t>6.76</w:t>
      </w:r>
      <w:r w:rsidR="003F155E" w:rsidRPr="001C59C3">
        <w:fldChar w:fldCharType="end"/>
      </w:r>
      <w:r w:rsidR="003F155E" w:rsidRPr="001C59C3">
        <w:t>)</w:t>
      </w:r>
      <w:r w:rsidR="00186C49" w:rsidRPr="001C59C3">
        <w:t xml:space="preserve">, underestimation of adverse event costs </w:t>
      </w:r>
      <w:r w:rsidR="003F155E" w:rsidRPr="001C59C3">
        <w:t xml:space="preserve">(see paragraph </w:t>
      </w:r>
      <w:r w:rsidR="003F155E" w:rsidRPr="001C59C3">
        <w:fldChar w:fldCharType="begin" w:fldLock="1"/>
      </w:r>
      <w:r w:rsidR="003F155E" w:rsidRPr="001C59C3">
        <w:instrText xml:space="preserve"> REF _Ref147851175 \r \h </w:instrText>
      </w:r>
      <w:r w:rsidR="00D265A1" w:rsidRPr="001C59C3">
        <w:instrText xml:space="preserve"> \* MERGEFORMAT </w:instrText>
      </w:r>
      <w:r w:rsidR="003F155E" w:rsidRPr="001C59C3">
        <w:fldChar w:fldCharType="separate"/>
      </w:r>
      <w:r w:rsidR="00A63698" w:rsidRPr="001C59C3">
        <w:t>6.67</w:t>
      </w:r>
      <w:r w:rsidR="003F155E" w:rsidRPr="001C59C3">
        <w:fldChar w:fldCharType="end"/>
      </w:r>
      <w:r w:rsidR="003F155E" w:rsidRPr="001C59C3">
        <w:t xml:space="preserve">) </w:t>
      </w:r>
      <w:r w:rsidR="00F466D3" w:rsidRPr="001C59C3">
        <w:t xml:space="preserve">and </w:t>
      </w:r>
      <w:r w:rsidR="00186C49" w:rsidRPr="001C59C3">
        <w:t xml:space="preserve"> </w:t>
      </w:r>
      <w:r w:rsidR="00F466D3" w:rsidRPr="001C59C3">
        <w:t xml:space="preserve">inclusion of </w:t>
      </w:r>
      <w:r w:rsidR="00186C49" w:rsidRPr="001C59C3">
        <w:t xml:space="preserve">revised pruritus-related utility decrements </w:t>
      </w:r>
      <w:r w:rsidR="00F466D3" w:rsidRPr="001C59C3">
        <w:t xml:space="preserve">that </w:t>
      </w:r>
      <w:r w:rsidR="00186C49" w:rsidRPr="001C59C3">
        <w:t>remained relatively large and uncertain</w:t>
      </w:r>
      <w:r w:rsidR="003F155E" w:rsidRPr="001C59C3">
        <w:t xml:space="preserve"> (see paragraph </w:t>
      </w:r>
      <w:r w:rsidR="003F155E" w:rsidRPr="001C59C3">
        <w:fldChar w:fldCharType="begin" w:fldLock="1"/>
      </w:r>
      <w:r w:rsidR="003F155E" w:rsidRPr="001C59C3">
        <w:instrText xml:space="preserve"> REF _Ref147851234 \r \h </w:instrText>
      </w:r>
      <w:r w:rsidR="00D265A1" w:rsidRPr="001C59C3">
        <w:instrText xml:space="preserve"> \* MERGEFORMAT </w:instrText>
      </w:r>
      <w:r w:rsidR="003F155E" w:rsidRPr="001C59C3">
        <w:fldChar w:fldCharType="separate"/>
      </w:r>
      <w:r w:rsidR="00A63698" w:rsidRPr="001C59C3">
        <w:t>6.68</w:t>
      </w:r>
      <w:r w:rsidR="003F155E" w:rsidRPr="001C59C3">
        <w:fldChar w:fldCharType="end"/>
      </w:r>
      <w:r w:rsidR="003F155E" w:rsidRPr="001C59C3">
        <w:t>)</w:t>
      </w:r>
      <w:r w:rsidR="00186C49" w:rsidRPr="001C59C3">
        <w:t>.</w:t>
      </w:r>
      <w:bookmarkEnd w:id="53"/>
      <w:r w:rsidR="0079667D" w:rsidRPr="001C59C3">
        <w:t xml:space="preserve"> In addition, the ESC noted the economic model assumed patients will only have access to difelikefalin once per lifetime and considered a reduction in the time horizon may be appropriate to account for the likelihood of episodic treatment in clinical practice.</w:t>
      </w:r>
      <w:r w:rsidR="00453FAD" w:rsidRPr="001C59C3">
        <w:t xml:space="preserve"> </w:t>
      </w:r>
      <w:bookmarkStart w:id="55" w:name="_Hlk150515152"/>
      <w:r w:rsidR="006B714D" w:rsidRPr="001C59C3">
        <w:t xml:space="preserve">The </w:t>
      </w:r>
      <w:r w:rsidR="00DB1A72" w:rsidRPr="001C59C3">
        <w:t>p</w:t>
      </w:r>
      <w:r w:rsidR="006B714D" w:rsidRPr="001C59C3">
        <w:t>re-PBAC Response</w:t>
      </w:r>
      <w:r w:rsidR="00F442B6" w:rsidRPr="001C59C3">
        <w:t xml:space="preserve"> noted ESC advice that the model structure was likely to be generally reliable for decision making and offered </w:t>
      </w:r>
      <w:r w:rsidR="00F442B6" w:rsidRPr="00E54E0B">
        <w:t>a</w:t>
      </w:r>
      <w:r w:rsidR="008A42F6">
        <w:t xml:space="preserve"> </w:t>
      </w:r>
      <w:r w:rsidR="008A42F6" w:rsidRPr="00690B5F">
        <w:rPr>
          <w:color w:val="000000"/>
          <w:w w:val="15"/>
          <w:shd w:val="solid" w:color="000000" w:fill="000000"/>
          <w:fitText w:val="-20" w:id="-1032102644"/>
          <w14:textFill>
            <w14:solidFill>
              <w14:srgbClr w14:val="000000">
                <w14:alpha w14:val="100000"/>
              </w14:srgbClr>
            </w14:solidFill>
          </w14:textFill>
        </w:rPr>
        <w:t xml:space="preserve">|  </w:t>
      </w:r>
      <w:r w:rsidR="008A42F6" w:rsidRPr="00690B5F">
        <w:rPr>
          <w:color w:val="000000"/>
          <w:spacing w:val="-69"/>
          <w:w w:val="15"/>
          <w:shd w:val="solid" w:color="000000" w:fill="000000"/>
          <w:fitText w:val="-20" w:id="-1032102644"/>
          <w14:textFill>
            <w14:solidFill>
              <w14:srgbClr w14:val="000000">
                <w14:alpha w14:val="100000"/>
              </w14:srgbClr>
            </w14:solidFill>
          </w14:textFill>
        </w:rPr>
        <w:t>|</w:t>
      </w:r>
      <w:r w:rsidR="00F442B6" w:rsidRPr="001C59C3">
        <w:t xml:space="preserve">% price reduction (see paragraph </w:t>
      </w:r>
      <w:r w:rsidR="00F442B6" w:rsidRPr="001C59C3">
        <w:fldChar w:fldCharType="begin" w:fldLock="1"/>
      </w:r>
      <w:r w:rsidR="00F442B6" w:rsidRPr="001C59C3">
        <w:instrText xml:space="preserve"> REF _Ref150429347 \r \h </w:instrText>
      </w:r>
      <w:r w:rsidR="00F442B6" w:rsidRPr="001C59C3">
        <w:fldChar w:fldCharType="separate"/>
      </w:r>
      <w:r w:rsidR="00F442B6" w:rsidRPr="001C59C3">
        <w:t>3.2</w:t>
      </w:r>
      <w:r w:rsidR="00F442B6" w:rsidRPr="001C59C3">
        <w:fldChar w:fldCharType="end"/>
      </w:r>
      <w:r w:rsidR="00F442B6" w:rsidRPr="001C59C3">
        <w:t xml:space="preserve">) </w:t>
      </w:r>
      <w:r w:rsidR="006B714D" w:rsidRPr="001C59C3">
        <w:t xml:space="preserve">to mitigate </w:t>
      </w:r>
      <w:r w:rsidR="00F442B6" w:rsidRPr="001C59C3">
        <w:t xml:space="preserve">any remaining </w:t>
      </w:r>
      <w:r w:rsidR="006B714D" w:rsidRPr="001C59C3">
        <w:t xml:space="preserve">uncertainties </w:t>
      </w:r>
      <w:r w:rsidR="00AE08FB" w:rsidRPr="001C59C3">
        <w:t>regarding</w:t>
      </w:r>
      <w:r w:rsidR="006B714D" w:rsidRPr="001C59C3">
        <w:t xml:space="preserve"> the economic model</w:t>
      </w:r>
      <w:r w:rsidR="00F442B6" w:rsidRPr="001C59C3">
        <w:t xml:space="preserve">. The Response </w:t>
      </w:r>
      <w:r w:rsidR="00AE08FB" w:rsidRPr="001C59C3">
        <w:t>stated</w:t>
      </w:r>
      <w:r w:rsidR="00F442B6" w:rsidRPr="001C59C3">
        <w:t xml:space="preserve"> this price reduction </w:t>
      </w:r>
      <w:r w:rsidR="00AE08FB" w:rsidRPr="001C59C3">
        <w:t xml:space="preserve">decreased </w:t>
      </w:r>
      <w:r w:rsidR="006B714D" w:rsidRPr="001C59C3">
        <w:t xml:space="preserve">the </w:t>
      </w:r>
      <w:r w:rsidR="00AE08FB" w:rsidRPr="001C59C3">
        <w:t xml:space="preserve">resubmission </w:t>
      </w:r>
      <w:r w:rsidR="006B714D" w:rsidRPr="001C59C3">
        <w:t xml:space="preserve">ICER </w:t>
      </w:r>
      <w:r w:rsidR="00AE08FB" w:rsidRPr="001C59C3">
        <w:t>per QALY gained from</w:t>
      </w:r>
      <w:r w:rsidR="00DF3A80">
        <w:t xml:space="preserve"> </w:t>
      </w:r>
      <w:r w:rsidR="00DF3A80" w:rsidRPr="00DF3A80">
        <w:t>$45,000 to &lt;</w:t>
      </w:r>
      <w:r w:rsidR="00690B5F">
        <w:t> </w:t>
      </w:r>
      <w:r w:rsidR="00DF3A80" w:rsidRPr="00DF3A80">
        <w:t>$55,000</w:t>
      </w:r>
      <w:r w:rsidR="00DF3A80">
        <w:t xml:space="preserve"> to</w:t>
      </w:r>
      <w:r w:rsidR="00AE08FB" w:rsidRPr="001C59C3">
        <w:t xml:space="preserve"> </w:t>
      </w:r>
      <w:r w:rsidR="00DF3A80" w:rsidRPr="00DF3A80">
        <w:t>$35,000 to &lt; $45,000</w:t>
      </w:r>
      <w:r w:rsidR="00DF3A80">
        <w:t xml:space="preserve"> .</w:t>
      </w:r>
      <w:bookmarkEnd w:id="54"/>
      <w:bookmarkEnd w:id="55"/>
    </w:p>
    <w:p w14:paraId="472842D7" w14:textId="09F0634A" w:rsidR="00C25D9C" w:rsidRPr="001C59C3" w:rsidRDefault="00C25D9C" w:rsidP="00D81F19">
      <w:pPr>
        <w:pStyle w:val="COMH2-non-numbered"/>
        <w:keepLines/>
      </w:pPr>
      <w:bookmarkStart w:id="56" w:name="_Toc22897646"/>
      <w:bookmarkStart w:id="57" w:name="_Toc144890474"/>
      <w:bookmarkStart w:id="58" w:name="_Hlk148099848"/>
      <w:r w:rsidRPr="001C59C3">
        <w:lastRenderedPageBreak/>
        <w:t>Drug</w:t>
      </w:r>
      <w:r w:rsidR="006B3A82" w:rsidRPr="001C59C3">
        <w:t xml:space="preserve"> </w:t>
      </w:r>
      <w:r w:rsidRPr="001C59C3">
        <w:t>cost/patient</w:t>
      </w:r>
      <w:bookmarkEnd w:id="56"/>
      <w:bookmarkEnd w:id="57"/>
    </w:p>
    <w:p w14:paraId="51691BD3" w14:textId="1CCEE042" w:rsidR="00494207" w:rsidRPr="001C59C3" w:rsidRDefault="00E16AD8" w:rsidP="00D81F19">
      <w:pPr>
        <w:pStyle w:val="COMtablefigcaption"/>
        <w:keepLines/>
      </w:pPr>
      <w:bookmarkStart w:id="59" w:name="_Ref104805102"/>
      <w:bookmarkStart w:id="60" w:name="_Hlk148099690"/>
      <w:bookmarkEnd w:id="58"/>
      <w:r w:rsidRPr="001C59C3">
        <w:t xml:space="preserve">Table </w:t>
      </w:r>
      <w:r w:rsidR="007232F8">
        <w:fldChar w:fldCharType="begin" w:fldLock="1"/>
      </w:r>
      <w:r w:rsidR="007232F8">
        <w:instrText xml:space="preserve"> SEQ Table \* ARABIC </w:instrText>
      </w:r>
      <w:r w:rsidR="007232F8">
        <w:fldChar w:fldCharType="separate"/>
      </w:r>
      <w:r w:rsidR="002E112D" w:rsidRPr="009D1BB6">
        <w:t>12</w:t>
      </w:r>
      <w:r w:rsidR="007232F8">
        <w:fldChar w:fldCharType="end"/>
      </w:r>
      <w:bookmarkEnd w:id="59"/>
      <w:r w:rsidRPr="001C59C3">
        <w:t>:</w:t>
      </w:r>
      <w:r w:rsidR="00494207" w:rsidRPr="001C59C3">
        <w:t xml:space="preserve"> Drug cost per patient for </w:t>
      </w:r>
      <w:r w:rsidR="002E112D" w:rsidRPr="001C59C3">
        <w:t>difelikefalin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21"/>
        <w:gridCol w:w="2299"/>
        <w:gridCol w:w="2299"/>
        <w:gridCol w:w="2298"/>
      </w:tblGrid>
      <w:tr w:rsidR="002E112D" w:rsidRPr="001C59C3" w14:paraId="4D79C51A" w14:textId="77777777" w:rsidTr="006645BC">
        <w:trPr>
          <w:cantSplit/>
          <w:tblHeader/>
          <w:jc w:val="center"/>
        </w:trPr>
        <w:tc>
          <w:tcPr>
            <w:tcW w:w="1176" w:type="pct"/>
            <w:shd w:val="clear" w:color="auto" w:fill="auto"/>
            <w:vAlign w:val="center"/>
          </w:tcPr>
          <w:p w14:paraId="7B5A36C1" w14:textId="77777777" w:rsidR="002E112D" w:rsidRPr="001C59C3" w:rsidRDefault="002E112D" w:rsidP="00D81F19">
            <w:pPr>
              <w:pStyle w:val="COMTableheadingrow"/>
              <w:keepLines/>
              <w:jc w:val="center"/>
              <w:rPr>
                <w:lang w:val="en-AU"/>
              </w:rPr>
            </w:pPr>
          </w:p>
        </w:tc>
        <w:tc>
          <w:tcPr>
            <w:tcW w:w="1275" w:type="pct"/>
            <w:shd w:val="clear" w:color="auto" w:fill="auto"/>
            <w:vAlign w:val="center"/>
          </w:tcPr>
          <w:p w14:paraId="4EF3897E" w14:textId="77777777" w:rsidR="002E112D" w:rsidRPr="001C59C3" w:rsidRDefault="002E112D" w:rsidP="00D81F19">
            <w:pPr>
              <w:pStyle w:val="COMTableheadingrow"/>
              <w:keepLines/>
              <w:jc w:val="center"/>
              <w:rPr>
                <w:lang w:val="en-AU"/>
              </w:rPr>
            </w:pPr>
            <w:r w:rsidRPr="001C59C3">
              <w:rPr>
                <w:lang w:val="en-AU"/>
              </w:rPr>
              <w:t>KALM trials (12 weeks)</w:t>
            </w:r>
          </w:p>
        </w:tc>
        <w:tc>
          <w:tcPr>
            <w:tcW w:w="1275" w:type="pct"/>
            <w:shd w:val="clear" w:color="auto" w:fill="auto"/>
            <w:vAlign w:val="center"/>
          </w:tcPr>
          <w:p w14:paraId="6FEE7885" w14:textId="77777777" w:rsidR="002E112D" w:rsidRPr="001C59C3" w:rsidRDefault="002E112D" w:rsidP="00D81F19">
            <w:pPr>
              <w:pStyle w:val="COMTableheadingrow"/>
              <w:keepLines/>
              <w:jc w:val="center"/>
              <w:rPr>
                <w:lang w:val="en-AU"/>
              </w:rPr>
            </w:pPr>
            <w:r w:rsidRPr="001C59C3">
              <w:rPr>
                <w:lang w:val="en-AU"/>
              </w:rPr>
              <w:t>Economic model</w:t>
            </w:r>
          </w:p>
        </w:tc>
        <w:tc>
          <w:tcPr>
            <w:tcW w:w="1274" w:type="pct"/>
            <w:shd w:val="clear" w:color="auto" w:fill="auto"/>
            <w:vAlign w:val="center"/>
          </w:tcPr>
          <w:p w14:paraId="2A9266AD" w14:textId="77777777" w:rsidR="002E112D" w:rsidRPr="001C59C3" w:rsidRDefault="002E112D" w:rsidP="00D81F19">
            <w:pPr>
              <w:pStyle w:val="COMTableheadingrow"/>
              <w:keepLines/>
              <w:jc w:val="center"/>
              <w:rPr>
                <w:lang w:val="en-AU"/>
              </w:rPr>
            </w:pPr>
            <w:r w:rsidRPr="001C59C3">
              <w:rPr>
                <w:lang w:val="en-AU"/>
              </w:rPr>
              <w:t>Financial estimates</w:t>
            </w:r>
          </w:p>
        </w:tc>
      </w:tr>
      <w:tr w:rsidR="002E112D" w:rsidRPr="001C59C3" w14:paraId="061AAE95" w14:textId="77777777" w:rsidTr="006645BC">
        <w:trPr>
          <w:cantSplit/>
          <w:jc w:val="center"/>
        </w:trPr>
        <w:tc>
          <w:tcPr>
            <w:tcW w:w="1176" w:type="pct"/>
            <w:shd w:val="clear" w:color="auto" w:fill="auto"/>
            <w:vAlign w:val="center"/>
          </w:tcPr>
          <w:p w14:paraId="781BAD74" w14:textId="77777777" w:rsidR="002E112D" w:rsidRPr="001C59C3" w:rsidRDefault="002E112D" w:rsidP="00D81F19">
            <w:pPr>
              <w:pStyle w:val="COMTabletext"/>
              <w:keepLines/>
            </w:pPr>
            <w:r w:rsidRPr="001C59C3">
              <w:t>Dose regimen</w:t>
            </w:r>
          </w:p>
        </w:tc>
        <w:tc>
          <w:tcPr>
            <w:tcW w:w="1275" w:type="pct"/>
            <w:shd w:val="clear" w:color="auto" w:fill="auto"/>
            <w:vAlign w:val="center"/>
          </w:tcPr>
          <w:p w14:paraId="58DA2FA7" w14:textId="77777777" w:rsidR="002E112D" w:rsidRPr="001C59C3" w:rsidRDefault="002E112D" w:rsidP="00D81F19">
            <w:pPr>
              <w:pStyle w:val="COMTabletext"/>
              <w:keepLines/>
              <w:jc w:val="center"/>
            </w:pPr>
            <w:r w:rsidRPr="001C59C3">
              <w:t>Weight-based dose (0.5 µg/kg), 3-4 times per week</w:t>
            </w:r>
          </w:p>
        </w:tc>
        <w:tc>
          <w:tcPr>
            <w:tcW w:w="1275" w:type="pct"/>
            <w:shd w:val="clear" w:color="auto" w:fill="auto"/>
            <w:vAlign w:val="center"/>
          </w:tcPr>
          <w:p w14:paraId="456304E4" w14:textId="12DD3B0D" w:rsidR="002E112D" w:rsidRPr="001C59C3" w:rsidRDefault="002E112D" w:rsidP="00D81F19">
            <w:pPr>
              <w:pStyle w:val="COMTabletext"/>
              <w:keepLines/>
              <w:jc w:val="center"/>
            </w:pPr>
            <w:r w:rsidRPr="001C59C3">
              <w:t>1</w:t>
            </w:r>
            <w:r w:rsidR="00541F85" w:rsidRPr="001C59C3">
              <w:t>.06</w:t>
            </w:r>
            <w:r w:rsidRPr="001C59C3">
              <w:t xml:space="preserve"> vial</w:t>
            </w:r>
            <w:r w:rsidR="00541F85" w:rsidRPr="001C59C3">
              <w:t>s</w:t>
            </w:r>
            <w:r w:rsidRPr="001C59C3">
              <w:t xml:space="preserve"> (50 µg) 3 times per week</w:t>
            </w:r>
          </w:p>
        </w:tc>
        <w:tc>
          <w:tcPr>
            <w:tcW w:w="1274" w:type="pct"/>
            <w:shd w:val="clear" w:color="auto" w:fill="auto"/>
            <w:vAlign w:val="center"/>
          </w:tcPr>
          <w:p w14:paraId="02BF75E6" w14:textId="2EB6F0A8" w:rsidR="002E112D" w:rsidRPr="001C59C3" w:rsidRDefault="002E112D" w:rsidP="00D81F19">
            <w:pPr>
              <w:pStyle w:val="COMTabletext"/>
              <w:keepLines/>
              <w:jc w:val="center"/>
            </w:pPr>
            <w:r w:rsidRPr="001C59C3">
              <w:t>1</w:t>
            </w:r>
            <w:r w:rsidR="00541F85" w:rsidRPr="001C59C3">
              <w:t>.06</w:t>
            </w:r>
            <w:r w:rsidRPr="001C59C3">
              <w:t xml:space="preserve"> vial</w:t>
            </w:r>
            <w:r w:rsidR="00541F85" w:rsidRPr="001C59C3">
              <w:t>s</w:t>
            </w:r>
            <w:r w:rsidRPr="001C59C3">
              <w:t xml:space="preserve"> (50 µg) 3 times per week</w:t>
            </w:r>
          </w:p>
        </w:tc>
      </w:tr>
      <w:tr w:rsidR="002E112D" w:rsidRPr="001C59C3" w14:paraId="1835D175" w14:textId="77777777" w:rsidTr="006645BC">
        <w:trPr>
          <w:cantSplit/>
          <w:jc w:val="center"/>
        </w:trPr>
        <w:tc>
          <w:tcPr>
            <w:tcW w:w="1176" w:type="pct"/>
            <w:shd w:val="clear" w:color="auto" w:fill="auto"/>
            <w:vAlign w:val="center"/>
          </w:tcPr>
          <w:p w14:paraId="48A83C2F" w14:textId="77777777" w:rsidR="002E112D" w:rsidRPr="001C59C3" w:rsidRDefault="002E112D" w:rsidP="00D81F19">
            <w:pPr>
              <w:pStyle w:val="COMTabletext"/>
              <w:keepLines/>
            </w:pPr>
            <w:r w:rsidRPr="001C59C3">
              <w:t>Adherence</w:t>
            </w:r>
          </w:p>
        </w:tc>
        <w:tc>
          <w:tcPr>
            <w:tcW w:w="1275" w:type="pct"/>
            <w:shd w:val="clear" w:color="auto" w:fill="auto"/>
            <w:vAlign w:val="center"/>
          </w:tcPr>
          <w:p w14:paraId="7919AE6E" w14:textId="77777777" w:rsidR="002E112D" w:rsidRPr="001C59C3" w:rsidRDefault="002E112D" w:rsidP="00D81F19">
            <w:pPr>
              <w:pStyle w:val="COMTabletext"/>
              <w:keepLines/>
              <w:jc w:val="center"/>
            </w:pPr>
            <w:r w:rsidRPr="001C59C3">
              <w:t>KALM-1: 94.3%</w:t>
            </w:r>
          </w:p>
          <w:p w14:paraId="69459AEF" w14:textId="77777777" w:rsidR="002E112D" w:rsidRPr="001C59C3" w:rsidRDefault="002E112D" w:rsidP="00D81F19">
            <w:pPr>
              <w:pStyle w:val="COMTabletext"/>
              <w:keepLines/>
              <w:jc w:val="center"/>
            </w:pPr>
            <w:r w:rsidRPr="001C59C3">
              <w:t>KALM-2: 95.4%</w:t>
            </w:r>
          </w:p>
        </w:tc>
        <w:tc>
          <w:tcPr>
            <w:tcW w:w="1275" w:type="pct"/>
            <w:shd w:val="clear" w:color="auto" w:fill="auto"/>
            <w:vAlign w:val="center"/>
          </w:tcPr>
          <w:p w14:paraId="2E55AF19" w14:textId="2E4BE4BE" w:rsidR="002E112D" w:rsidRPr="001C59C3" w:rsidRDefault="002E112D" w:rsidP="00D81F19">
            <w:pPr>
              <w:pStyle w:val="COMTabletext"/>
              <w:keepLines/>
              <w:jc w:val="center"/>
              <w:rPr>
                <w:vertAlign w:val="superscript"/>
              </w:rPr>
            </w:pPr>
            <w:r w:rsidRPr="001C59C3">
              <w:t xml:space="preserve">94.45% </w:t>
            </w:r>
            <w:r w:rsidR="00513175" w:rsidRPr="001C59C3">
              <w:rPr>
                <w:vertAlign w:val="superscript"/>
              </w:rPr>
              <w:t>a</w:t>
            </w:r>
          </w:p>
        </w:tc>
        <w:tc>
          <w:tcPr>
            <w:tcW w:w="1274" w:type="pct"/>
            <w:shd w:val="clear" w:color="auto" w:fill="auto"/>
            <w:vAlign w:val="center"/>
          </w:tcPr>
          <w:p w14:paraId="282B179E" w14:textId="172D0AA2" w:rsidR="002E112D" w:rsidRPr="001C59C3" w:rsidRDefault="002E112D" w:rsidP="00D81F19">
            <w:pPr>
              <w:pStyle w:val="COMTabletext"/>
              <w:keepLines/>
              <w:jc w:val="center"/>
              <w:rPr>
                <w:vertAlign w:val="superscript"/>
              </w:rPr>
            </w:pPr>
            <w:r w:rsidRPr="001C59C3">
              <w:t>9</w:t>
            </w:r>
            <w:r w:rsidR="007C5A45" w:rsidRPr="001C59C3">
              <w:t>4.45</w:t>
            </w:r>
            <w:r w:rsidRPr="001C59C3">
              <w:t xml:space="preserve">% </w:t>
            </w:r>
            <w:r w:rsidR="00513175" w:rsidRPr="001C59C3">
              <w:rPr>
                <w:vertAlign w:val="superscript"/>
              </w:rPr>
              <w:t>a</w:t>
            </w:r>
          </w:p>
        </w:tc>
      </w:tr>
      <w:tr w:rsidR="002E112D" w:rsidRPr="001C59C3" w14:paraId="425EA86F" w14:textId="77777777" w:rsidTr="006645BC">
        <w:trPr>
          <w:cantSplit/>
          <w:jc w:val="center"/>
        </w:trPr>
        <w:tc>
          <w:tcPr>
            <w:tcW w:w="1176" w:type="pct"/>
            <w:shd w:val="clear" w:color="auto" w:fill="auto"/>
            <w:vAlign w:val="center"/>
          </w:tcPr>
          <w:p w14:paraId="63B12CCD" w14:textId="77777777" w:rsidR="002E112D" w:rsidRPr="001C59C3" w:rsidRDefault="002E112D" w:rsidP="00D81F19">
            <w:pPr>
              <w:pStyle w:val="COMTabletext"/>
              <w:keepLines/>
            </w:pPr>
            <w:r w:rsidRPr="001C59C3">
              <w:t>Mean time on treatment</w:t>
            </w:r>
          </w:p>
        </w:tc>
        <w:tc>
          <w:tcPr>
            <w:tcW w:w="1275" w:type="pct"/>
            <w:shd w:val="clear" w:color="auto" w:fill="auto"/>
            <w:vAlign w:val="center"/>
          </w:tcPr>
          <w:p w14:paraId="1F109043" w14:textId="77777777" w:rsidR="002E112D" w:rsidRPr="001C59C3" w:rsidRDefault="002E112D" w:rsidP="00D81F19">
            <w:pPr>
              <w:pStyle w:val="COMTabletext"/>
              <w:keepLines/>
              <w:jc w:val="center"/>
            </w:pPr>
            <w:r w:rsidRPr="001C59C3">
              <w:t>-</w:t>
            </w:r>
          </w:p>
        </w:tc>
        <w:tc>
          <w:tcPr>
            <w:tcW w:w="1275" w:type="pct"/>
            <w:shd w:val="clear" w:color="auto" w:fill="auto"/>
            <w:vAlign w:val="center"/>
          </w:tcPr>
          <w:p w14:paraId="597B215F" w14:textId="6059F20B" w:rsidR="002E112D" w:rsidRPr="001C59C3" w:rsidRDefault="002E112D" w:rsidP="00D81F19">
            <w:pPr>
              <w:pStyle w:val="COMTabletext"/>
              <w:keepLines/>
              <w:jc w:val="center"/>
              <w:rPr>
                <w:vertAlign w:val="superscript"/>
              </w:rPr>
            </w:pPr>
            <w:r w:rsidRPr="001C59C3">
              <w:t xml:space="preserve">1.16 years over 5-year time horizon </w:t>
            </w:r>
            <w:r w:rsidR="00513175" w:rsidRPr="001C59C3">
              <w:rPr>
                <w:vertAlign w:val="superscript"/>
              </w:rPr>
              <w:t>b</w:t>
            </w:r>
          </w:p>
        </w:tc>
        <w:tc>
          <w:tcPr>
            <w:tcW w:w="1274" w:type="pct"/>
            <w:shd w:val="clear" w:color="auto" w:fill="auto"/>
            <w:vAlign w:val="center"/>
          </w:tcPr>
          <w:p w14:paraId="63BC1AD7" w14:textId="6A714A05" w:rsidR="002E112D" w:rsidRPr="001C59C3" w:rsidRDefault="00431623" w:rsidP="00D81F19">
            <w:pPr>
              <w:pStyle w:val="COMTabletext"/>
              <w:keepLines/>
              <w:jc w:val="center"/>
            </w:pPr>
            <w:r w:rsidRPr="001C59C3">
              <w:t>Not calculable</w:t>
            </w:r>
          </w:p>
        </w:tc>
      </w:tr>
      <w:tr w:rsidR="006645BC" w:rsidRPr="001C59C3" w14:paraId="719D66DF" w14:textId="77777777" w:rsidTr="006645BC">
        <w:trPr>
          <w:cantSplit/>
          <w:jc w:val="center"/>
        </w:trPr>
        <w:tc>
          <w:tcPr>
            <w:tcW w:w="1176" w:type="pct"/>
            <w:shd w:val="clear" w:color="auto" w:fill="auto"/>
          </w:tcPr>
          <w:p w14:paraId="33E566E5" w14:textId="66D5A689" w:rsidR="006645BC" w:rsidRPr="001C59C3" w:rsidRDefault="006645BC" w:rsidP="00D81F19">
            <w:pPr>
              <w:pStyle w:val="COMTabletext"/>
              <w:keepLines/>
            </w:pPr>
            <w:r w:rsidRPr="001C59C3">
              <w:t>Cost of scripts</w:t>
            </w:r>
          </w:p>
        </w:tc>
        <w:tc>
          <w:tcPr>
            <w:tcW w:w="1275" w:type="pct"/>
            <w:shd w:val="clear" w:color="auto" w:fill="auto"/>
          </w:tcPr>
          <w:p w14:paraId="02A94194" w14:textId="2D62C843" w:rsidR="006645BC" w:rsidRPr="001C59C3" w:rsidRDefault="006645BC" w:rsidP="00D81F19">
            <w:pPr>
              <w:pStyle w:val="COMTabletext"/>
              <w:keepLines/>
              <w:jc w:val="center"/>
            </w:pPr>
            <w:r w:rsidRPr="001C59C3">
              <w:t>-</w:t>
            </w:r>
          </w:p>
        </w:tc>
        <w:tc>
          <w:tcPr>
            <w:tcW w:w="1275" w:type="pct"/>
            <w:shd w:val="clear" w:color="auto" w:fill="auto"/>
          </w:tcPr>
          <w:p w14:paraId="32456AD6" w14:textId="5C2A4E51" w:rsidR="006645BC" w:rsidRPr="00FB6DC7" w:rsidRDefault="00D014A3" w:rsidP="00D81F19">
            <w:pPr>
              <w:pStyle w:val="COMTabletext"/>
              <w:keepLines/>
              <w:jc w:val="center"/>
            </w:pPr>
            <w:r>
              <w:t>$</w:t>
            </w:r>
            <w:r w:rsidR="008A42F6" w:rsidRPr="008A42F6">
              <w:rPr>
                <w:color w:val="000000"/>
                <w:shd w:val="solid" w:color="000000" w:fill="000000"/>
                <w14:textFill>
                  <w14:solidFill>
                    <w14:srgbClr w14:val="000000">
                      <w14:alpha w14:val="100000"/>
                    </w14:srgbClr>
                  </w14:solidFill>
                </w14:textFill>
              </w:rPr>
              <w:t>|</w:t>
            </w:r>
          </w:p>
        </w:tc>
        <w:tc>
          <w:tcPr>
            <w:tcW w:w="1274" w:type="pct"/>
            <w:shd w:val="clear" w:color="auto" w:fill="auto"/>
          </w:tcPr>
          <w:p w14:paraId="2C2063B2" w14:textId="127B6665" w:rsidR="006645BC" w:rsidRPr="00FB6DC7" w:rsidRDefault="00D014A3" w:rsidP="00D81F19">
            <w:pPr>
              <w:pStyle w:val="COMTabletext"/>
              <w:keepLines/>
              <w:jc w:val="center"/>
            </w:pPr>
            <w:r>
              <w:t>$</w:t>
            </w:r>
            <w:r w:rsidR="008A42F6" w:rsidRPr="008A42F6">
              <w:rPr>
                <w:color w:val="000000"/>
                <w:shd w:val="solid" w:color="000000" w:fill="000000"/>
                <w14:textFill>
                  <w14:solidFill>
                    <w14:srgbClr w14:val="000000">
                      <w14:alpha w14:val="100000"/>
                    </w14:srgbClr>
                  </w14:solidFill>
                </w14:textFill>
              </w:rPr>
              <w:t>|</w:t>
            </w:r>
            <w:r w:rsidR="00431623" w:rsidRPr="00FB6DC7">
              <w:rPr>
                <w:vertAlign w:val="superscript"/>
              </w:rPr>
              <w:t>c</w:t>
            </w:r>
          </w:p>
        </w:tc>
      </w:tr>
      <w:tr w:rsidR="003C4CF1" w:rsidRPr="001C59C3" w14:paraId="6193ECF6" w14:textId="77777777" w:rsidTr="006645BC">
        <w:trPr>
          <w:cantSplit/>
          <w:jc w:val="center"/>
        </w:trPr>
        <w:tc>
          <w:tcPr>
            <w:tcW w:w="1176" w:type="pct"/>
            <w:shd w:val="clear" w:color="auto" w:fill="auto"/>
            <w:vAlign w:val="center"/>
          </w:tcPr>
          <w:p w14:paraId="643F5140" w14:textId="239C79BA" w:rsidR="003C4CF1" w:rsidRPr="001C59C3" w:rsidRDefault="00F24921" w:rsidP="00D81F19">
            <w:pPr>
              <w:pStyle w:val="COMTabletext"/>
              <w:keepLines/>
            </w:pPr>
            <w:r w:rsidRPr="001C59C3">
              <w:t>Drug cost per patient</w:t>
            </w:r>
          </w:p>
        </w:tc>
        <w:tc>
          <w:tcPr>
            <w:tcW w:w="1275" w:type="pct"/>
            <w:shd w:val="clear" w:color="auto" w:fill="auto"/>
            <w:vAlign w:val="center"/>
          </w:tcPr>
          <w:p w14:paraId="6C1CF6D0" w14:textId="44F6A2F2" w:rsidR="003C4CF1" w:rsidRPr="001C59C3" w:rsidRDefault="00F24921" w:rsidP="00D81F19">
            <w:pPr>
              <w:pStyle w:val="COMTabletext"/>
              <w:keepLines/>
              <w:jc w:val="center"/>
            </w:pPr>
            <w:r w:rsidRPr="001C59C3">
              <w:t>-</w:t>
            </w:r>
          </w:p>
        </w:tc>
        <w:tc>
          <w:tcPr>
            <w:tcW w:w="1275" w:type="pct"/>
            <w:shd w:val="clear" w:color="auto" w:fill="auto"/>
            <w:vAlign w:val="center"/>
          </w:tcPr>
          <w:p w14:paraId="2E357F5A" w14:textId="28FE2C15" w:rsidR="003C4CF1" w:rsidRPr="001C59C3" w:rsidRDefault="00D014A3" w:rsidP="00D81F19">
            <w:pPr>
              <w:pStyle w:val="COMTabletext"/>
              <w:keepLines/>
              <w:jc w:val="center"/>
              <w:rPr>
                <w:vertAlign w:val="superscript"/>
              </w:rPr>
            </w:pPr>
            <w:r>
              <w:t>$</w:t>
            </w:r>
            <w:r w:rsidR="008A42F6" w:rsidRPr="00D014A3">
              <w:rPr>
                <w:color w:val="000000"/>
                <w:spacing w:val="164"/>
                <w:shd w:val="solid" w:color="000000" w:fill="000000"/>
                <w:fitText w:val="250" w:id="-1032102643"/>
                <w14:textFill>
                  <w14:solidFill>
                    <w14:srgbClr w14:val="000000">
                      <w14:alpha w14:val="100000"/>
                    </w14:srgbClr>
                  </w14:solidFill>
                </w14:textFill>
              </w:rPr>
              <w:t>|</w:t>
            </w:r>
            <w:r w:rsidR="008A42F6" w:rsidRPr="00D014A3">
              <w:rPr>
                <w:color w:val="000000"/>
                <w:shd w:val="solid" w:color="000000" w:fill="000000"/>
                <w:fitText w:val="250" w:id="-1032102643"/>
                <w14:textFill>
                  <w14:solidFill>
                    <w14:srgbClr w14:val="000000">
                      <w14:alpha w14:val="100000"/>
                    </w14:srgbClr>
                  </w14:solidFill>
                </w14:textFill>
              </w:rPr>
              <w:t>|</w:t>
            </w:r>
            <w:r w:rsidR="00AA57C6" w:rsidRPr="001C59C3">
              <w:t xml:space="preserve"> for one course (1.16 years) of treatment</w:t>
            </w:r>
            <w:r w:rsidR="005C6CC4" w:rsidRPr="001C59C3">
              <w:t xml:space="preserve"> </w:t>
            </w:r>
            <w:r w:rsidR="00431623" w:rsidRPr="001C59C3">
              <w:rPr>
                <w:vertAlign w:val="superscript"/>
              </w:rPr>
              <w:t>d</w:t>
            </w:r>
          </w:p>
        </w:tc>
        <w:tc>
          <w:tcPr>
            <w:tcW w:w="1274" w:type="pct"/>
            <w:shd w:val="clear" w:color="auto" w:fill="auto"/>
            <w:vAlign w:val="center"/>
          </w:tcPr>
          <w:p w14:paraId="556367DA" w14:textId="266C593A" w:rsidR="003C4CF1" w:rsidRPr="001C59C3" w:rsidRDefault="00D014A3" w:rsidP="00D81F19">
            <w:pPr>
              <w:pStyle w:val="COMTabletext"/>
              <w:keepLines/>
              <w:jc w:val="center"/>
            </w:pPr>
            <w:r>
              <w:t>$</w:t>
            </w:r>
            <w:r w:rsidR="008A42F6" w:rsidRPr="00D014A3">
              <w:rPr>
                <w:rFonts w:hint="eastAsia"/>
                <w:color w:val="000000"/>
                <w:w w:val="15"/>
                <w:shd w:val="solid" w:color="000000" w:fill="000000"/>
                <w:fitText w:val="30" w:id="-1032102642"/>
                <w14:textFill>
                  <w14:solidFill>
                    <w14:srgbClr w14:val="000000">
                      <w14:alpha w14:val="100000"/>
                    </w14:srgbClr>
                  </w14:solidFill>
                </w14:textFill>
              </w:rPr>
              <w:t xml:space="preserve">　</w:t>
            </w:r>
            <w:r w:rsidR="008A42F6" w:rsidRPr="00D014A3">
              <w:rPr>
                <w:color w:val="000000"/>
                <w:w w:val="15"/>
                <w:shd w:val="solid" w:color="000000" w:fill="000000"/>
                <w:fitText w:val="30" w:id="-1032102642"/>
                <w14:textFill>
                  <w14:solidFill>
                    <w14:srgbClr w14:val="000000">
                      <w14:alpha w14:val="100000"/>
                    </w14:srgbClr>
                  </w14:solidFill>
                </w14:textFill>
              </w:rPr>
              <w:t>|</w:t>
            </w:r>
            <w:r w:rsidR="008A42F6" w:rsidRPr="00D014A3">
              <w:rPr>
                <w:rFonts w:hint="eastAsia"/>
                <w:color w:val="000000"/>
                <w:spacing w:val="-35"/>
                <w:w w:val="15"/>
                <w:shd w:val="solid" w:color="000000" w:fill="000000"/>
                <w:fitText w:val="30" w:id="-1032102642"/>
                <w14:textFill>
                  <w14:solidFill>
                    <w14:srgbClr w14:val="000000">
                      <w14:alpha w14:val="100000"/>
                    </w14:srgbClr>
                  </w14:solidFill>
                </w14:textFill>
              </w:rPr>
              <w:t xml:space="preserve">　</w:t>
            </w:r>
            <w:r>
              <w:rPr>
                <w:rFonts w:hint="eastAsia"/>
                <w:color w:val="000000"/>
                <w:shd w:val="solid" w:color="000000" w:fill="000000"/>
                <w14:textFill>
                  <w14:solidFill>
                    <w14:srgbClr w14:val="000000">
                      <w14:alpha w14:val="100000"/>
                    </w14:srgbClr>
                  </w14:solidFill>
                </w14:textFill>
              </w:rPr>
              <w:t xml:space="preserve"> </w:t>
            </w:r>
            <w:r>
              <w:t xml:space="preserve"> i</w:t>
            </w:r>
            <w:r w:rsidR="00AA57C6" w:rsidRPr="001C59C3">
              <w:t>n each year</w:t>
            </w:r>
            <w:r w:rsidR="005C6CC4" w:rsidRPr="001C59C3">
              <w:t xml:space="preserve"> </w:t>
            </w:r>
            <w:r w:rsidR="00431623" w:rsidRPr="001C59C3">
              <w:rPr>
                <w:vertAlign w:val="superscript"/>
              </w:rPr>
              <w:t>e</w:t>
            </w:r>
          </w:p>
        </w:tc>
      </w:tr>
    </w:tbl>
    <w:p w14:paraId="717CADAF" w14:textId="70B8B6A4" w:rsidR="00494207" w:rsidRPr="001C59C3" w:rsidRDefault="00494207" w:rsidP="00D81F19">
      <w:pPr>
        <w:pStyle w:val="COMTablefooter"/>
        <w:keepNext/>
        <w:keepLines/>
      </w:pPr>
      <w:r w:rsidRPr="001C59C3">
        <w:t xml:space="preserve">Source: </w:t>
      </w:r>
      <w:r w:rsidR="009E616E" w:rsidRPr="001C59C3">
        <w:t>constructed during the evaluation</w:t>
      </w:r>
    </w:p>
    <w:p w14:paraId="29994D11" w14:textId="20676971" w:rsidR="007C5A45" w:rsidRPr="001C59C3" w:rsidRDefault="00513175" w:rsidP="00D81F19">
      <w:pPr>
        <w:pStyle w:val="COMTablefooter"/>
        <w:keepNext/>
        <w:keepLines/>
      </w:pPr>
      <w:r w:rsidRPr="001C59C3">
        <w:rPr>
          <w:vertAlign w:val="superscript"/>
        </w:rPr>
        <w:t>a</w:t>
      </w:r>
      <w:r w:rsidR="007C5A45" w:rsidRPr="001C59C3">
        <w:t xml:space="preserve"> </w:t>
      </w:r>
      <w:r w:rsidR="003C4CF1" w:rsidRPr="001C59C3">
        <w:t>Calculated as (94.3% + 95.4%)/2</w:t>
      </w:r>
    </w:p>
    <w:p w14:paraId="71E34671" w14:textId="75E3C57E" w:rsidR="00F60756" w:rsidRPr="001C59C3" w:rsidRDefault="00513175" w:rsidP="00D81F19">
      <w:pPr>
        <w:pStyle w:val="COMTablefooter"/>
        <w:keepNext/>
        <w:keepLines/>
      </w:pPr>
      <w:r w:rsidRPr="001C59C3">
        <w:rPr>
          <w:vertAlign w:val="superscript"/>
        </w:rPr>
        <w:t>b</w:t>
      </w:r>
      <w:r w:rsidR="00F60756" w:rsidRPr="001C59C3">
        <w:t xml:space="preserve"> Based on mean years in on-treatment health states</w:t>
      </w:r>
    </w:p>
    <w:p w14:paraId="11264000" w14:textId="3657FF05" w:rsidR="00513175" w:rsidRPr="001C59C3" w:rsidRDefault="00196DBD" w:rsidP="00D81F19">
      <w:pPr>
        <w:pStyle w:val="COMTablefooter"/>
        <w:keepNext/>
        <w:keepLines/>
      </w:pPr>
      <w:r w:rsidRPr="001C59C3">
        <w:rPr>
          <w:vertAlign w:val="superscript"/>
        </w:rPr>
        <w:t>c</w:t>
      </w:r>
      <w:r w:rsidRPr="001C59C3">
        <w:t xml:space="preserve"> </w:t>
      </w:r>
      <w:r w:rsidR="00513175" w:rsidRPr="001C59C3">
        <w:t>During the evaluation, the effective DPMQs for public hospitals (</w:t>
      </w:r>
      <w:r w:rsidR="00D014A3">
        <w:t>$</w:t>
      </w:r>
      <w:r w:rsidR="008A42F6" w:rsidRPr="00D014A3">
        <w:rPr>
          <w:color w:val="000000"/>
          <w:spacing w:val="37"/>
          <w:shd w:val="solid" w:color="000000" w:fill="000000"/>
          <w:fitText w:val="270" w:id="-1032102641"/>
          <w14:textFill>
            <w14:solidFill>
              <w14:srgbClr w14:val="000000">
                <w14:alpha w14:val="100000"/>
              </w14:srgbClr>
            </w14:solidFill>
          </w14:textFill>
        </w:rPr>
        <w:t xml:space="preserve">|  </w:t>
      </w:r>
      <w:r w:rsidR="008A42F6" w:rsidRPr="00D014A3">
        <w:rPr>
          <w:color w:val="000000"/>
          <w:spacing w:val="1"/>
          <w:shd w:val="solid" w:color="000000" w:fill="000000"/>
          <w:fitText w:val="270" w:id="-1032102641"/>
          <w14:textFill>
            <w14:solidFill>
              <w14:srgbClr w14:val="000000">
                <w14:alpha w14:val="100000"/>
              </w14:srgbClr>
            </w14:solidFill>
          </w14:textFill>
        </w:rPr>
        <w:t>|</w:t>
      </w:r>
      <w:r w:rsidR="00513175" w:rsidRPr="001C59C3">
        <w:t xml:space="preserve">) and private hospitals/community pharmacy </w:t>
      </w:r>
      <w:r w:rsidR="00513175" w:rsidRPr="00621588">
        <w:t>(</w:t>
      </w:r>
      <w:r w:rsidR="00D014A3">
        <w:t>$</w:t>
      </w:r>
      <w:r w:rsidR="008A42F6" w:rsidRPr="00D014A3">
        <w:rPr>
          <w:color w:val="000000"/>
          <w:spacing w:val="37"/>
          <w:shd w:val="solid" w:color="000000" w:fill="000000"/>
          <w:fitText w:val="270" w:id="-1032102640"/>
          <w14:textFill>
            <w14:solidFill>
              <w14:srgbClr w14:val="000000">
                <w14:alpha w14:val="100000"/>
              </w14:srgbClr>
            </w14:solidFill>
          </w14:textFill>
        </w:rPr>
        <w:t xml:space="preserve">|  </w:t>
      </w:r>
      <w:r w:rsidR="008A42F6" w:rsidRPr="00D014A3">
        <w:rPr>
          <w:color w:val="000000"/>
          <w:spacing w:val="1"/>
          <w:shd w:val="solid" w:color="000000" w:fill="000000"/>
          <w:fitText w:val="270" w:id="-1032102640"/>
          <w14:textFill>
            <w14:solidFill>
              <w14:srgbClr w14:val="000000">
                <w14:alpha w14:val="100000"/>
              </w14:srgbClr>
            </w14:solidFill>
          </w14:textFill>
        </w:rPr>
        <w:t>|</w:t>
      </w:r>
      <w:r w:rsidR="00513175" w:rsidRPr="00621588">
        <w:t xml:space="preserve">) were calculated using the proposed AEMP of </w:t>
      </w:r>
      <w:r w:rsidR="00D014A3">
        <w:t>$</w:t>
      </w:r>
      <w:r w:rsidR="008A42F6" w:rsidRPr="00D014A3">
        <w:rPr>
          <w:color w:val="000000"/>
          <w:spacing w:val="40"/>
          <w:shd w:val="solid" w:color="000000" w:fill="000000"/>
          <w:fitText w:val="280" w:id="-1032102656"/>
          <w14:textFill>
            <w14:solidFill>
              <w14:srgbClr w14:val="000000">
                <w14:alpha w14:val="100000"/>
              </w14:srgbClr>
            </w14:solidFill>
          </w14:textFill>
        </w:rPr>
        <w:t xml:space="preserve">|  </w:t>
      </w:r>
      <w:r w:rsidR="008A42F6" w:rsidRPr="00D014A3">
        <w:rPr>
          <w:color w:val="000000"/>
          <w:spacing w:val="2"/>
          <w:shd w:val="solid" w:color="000000" w:fill="000000"/>
          <w:fitText w:val="280" w:id="-1032102656"/>
          <w14:textFill>
            <w14:solidFill>
              <w14:srgbClr w14:val="000000">
                <w14:alpha w14:val="100000"/>
              </w14:srgbClr>
            </w14:solidFill>
          </w14:textFill>
        </w:rPr>
        <w:t>|</w:t>
      </w:r>
      <w:r w:rsidR="00513175" w:rsidRPr="00621588">
        <w:t xml:space="preserve"> for 12 vials and 1 July 2023 fees and mark-ups associated with the requested Section 100 (HSD) CAR listing. A weighted DPMQ of </w:t>
      </w:r>
      <w:r w:rsidR="00D014A3">
        <w:t>$</w:t>
      </w:r>
      <w:r w:rsidR="008A42F6" w:rsidRPr="00D014A3">
        <w:rPr>
          <w:color w:val="000000"/>
          <w:spacing w:val="40"/>
          <w:shd w:val="solid" w:color="000000" w:fill="000000"/>
          <w:fitText w:val="280" w:id="-1032102655"/>
          <w14:textFill>
            <w14:solidFill>
              <w14:srgbClr w14:val="000000">
                <w14:alpha w14:val="100000"/>
              </w14:srgbClr>
            </w14:solidFill>
          </w14:textFill>
        </w:rPr>
        <w:t xml:space="preserve">|  </w:t>
      </w:r>
      <w:r w:rsidR="008A42F6" w:rsidRPr="00D014A3">
        <w:rPr>
          <w:color w:val="000000"/>
          <w:spacing w:val="2"/>
          <w:shd w:val="solid" w:color="000000" w:fill="000000"/>
          <w:fitText w:val="280" w:id="-1032102655"/>
          <w14:textFill>
            <w14:solidFill>
              <w14:srgbClr w14:val="000000">
                <w14:alpha w14:val="100000"/>
              </w14:srgbClr>
            </w14:solidFill>
          </w14:textFill>
        </w:rPr>
        <w:t>|</w:t>
      </w:r>
      <w:r w:rsidR="00513175" w:rsidRPr="00621588">
        <w:t xml:space="preserve"> was estimated assuming m</w:t>
      </w:r>
      <w:r w:rsidR="00513175" w:rsidRPr="001C59C3">
        <w:t>ost patients would obtain difelikefalin through public hospitals (75% public, 25% private/community pharmacy)</w:t>
      </w:r>
    </w:p>
    <w:p w14:paraId="0F82AFDC" w14:textId="460740E0" w:rsidR="005C6CC4" w:rsidRPr="001C59C3" w:rsidRDefault="00431623" w:rsidP="00D81F19">
      <w:pPr>
        <w:pStyle w:val="COMTablefooter"/>
        <w:keepNext/>
        <w:keepLines/>
      </w:pPr>
      <w:r w:rsidRPr="001C59C3">
        <w:rPr>
          <w:vertAlign w:val="superscript"/>
        </w:rPr>
        <w:t>d</w:t>
      </w:r>
      <w:r w:rsidR="005C6CC4" w:rsidRPr="001C59C3">
        <w:t xml:space="preserve"> The estimated drug cost per patient per year was </w:t>
      </w:r>
      <w:r w:rsidR="00D014A3">
        <w:t>$</w:t>
      </w:r>
      <w:r w:rsidR="008A42F6" w:rsidRPr="00D014A3">
        <w:rPr>
          <w:color w:val="000000"/>
          <w:spacing w:val="40"/>
          <w:shd w:val="solid" w:color="000000" w:fill="000000"/>
          <w:fitText w:val="280" w:id="-1032102654"/>
          <w14:textFill>
            <w14:solidFill>
              <w14:srgbClr w14:val="000000">
                <w14:alpha w14:val="100000"/>
              </w14:srgbClr>
            </w14:solidFill>
          </w14:textFill>
        </w:rPr>
        <w:t xml:space="preserve">|  </w:t>
      </w:r>
      <w:r w:rsidR="008A42F6" w:rsidRPr="00D014A3">
        <w:rPr>
          <w:color w:val="000000"/>
          <w:spacing w:val="2"/>
          <w:shd w:val="solid" w:color="000000" w:fill="000000"/>
          <w:fitText w:val="280" w:id="-1032102654"/>
          <w14:textFill>
            <w14:solidFill>
              <w14:srgbClr w14:val="000000">
                <w14:alpha w14:val="100000"/>
              </w14:srgbClr>
            </w14:solidFill>
          </w14:textFill>
        </w:rPr>
        <w:t>|</w:t>
      </w:r>
      <w:r w:rsidR="005C6CC4" w:rsidRPr="001C59C3">
        <w:t xml:space="preserve"> based on </w:t>
      </w:r>
      <w:r w:rsidR="0013183A" w:rsidRPr="001C59C3">
        <w:t xml:space="preserve">an estimated effective DPMQ </w:t>
      </w:r>
      <w:r w:rsidR="00D014A3">
        <w:t>$</w:t>
      </w:r>
      <w:r w:rsidR="008A42F6" w:rsidRPr="00D014A3">
        <w:rPr>
          <w:color w:val="000000"/>
          <w:spacing w:val="37"/>
          <w:shd w:val="solid" w:color="000000" w:fill="000000"/>
          <w:fitText w:val="270" w:id="-1032102653"/>
          <w14:textFill>
            <w14:solidFill>
              <w14:srgbClr w14:val="000000">
                <w14:alpha w14:val="100000"/>
              </w14:srgbClr>
            </w14:solidFill>
          </w14:textFill>
        </w:rPr>
        <w:t xml:space="preserve">|  </w:t>
      </w:r>
      <w:r w:rsidR="008A42F6" w:rsidRPr="00D014A3">
        <w:rPr>
          <w:color w:val="000000"/>
          <w:spacing w:val="1"/>
          <w:shd w:val="solid" w:color="000000" w:fill="000000"/>
          <w:fitText w:val="270" w:id="-1032102653"/>
          <w14:textFill>
            <w14:solidFill>
              <w14:srgbClr w14:val="000000">
                <w14:alpha w14:val="100000"/>
              </w14:srgbClr>
            </w14:solidFill>
          </w14:textFill>
        </w:rPr>
        <w:t>|</w:t>
      </w:r>
      <w:r w:rsidR="0013183A" w:rsidRPr="001C59C3">
        <w:t xml:space="preserve"> per vial x 1.06 vials/dose x 3 doses per week</w:t>
      </w:r>
      <w:r w:rsidR="005A69EB" w:rsidRPr="001C59C3">
        <w:t>, adjusted for</w:t>
      </w:r>
      <w:r w:rsidR="00A47E20" w:rsidRPr="001C59C3">
        <w:t xml:space="preserve"> 94.45% a</w:t>
      </w:r>
      <w:r w:rsidR="00B2702D" w:rsidRPr="001C59C3">
        <w:t>dherence and</w:t>
      </w:r>
      <w:r w:rsidR="005A69EB" w:rsidRPr="001C59C3">
        <w:t xml:space="preserve"> 52.</w:t>
      </w:r>
      <w:r w:rsidR="00004B02" w:rsidRPr="001C59C3">
        <w:t>17</w:t>
      </w:r>
      <w:r w:rsidR="005A69EB" w:rsidRPr="001C59C3">
        <w:t xml:space="preserve"> weeks</w:t>
      </w:r>
      <w:r w:rsidR="00B2702D" w:rsidRPr="001C59C3">
        <w:t xml:space="preserve"> in a year. This was multiplied by mean time on treatment of 1.16 years.</w:t>
      </w:r>
    </w:p>
    <w:p w14:paraId="6AEEA3FE" w14:textId="5DC584FC" w:rsidR="00431623" w:rsidRDefault="00431623" w:rsidP="00690B5F">
      <w:pPr>
        <w:pStyle w:val="COMTablefooter"/>
        <w:keepNext/>
        <w:keepLines/>
      </w:pPr>
      <w:r w:rsidRPr="001C59C3">
        <w:rPr>
          <w:vertAlign w:val="superscript"/>
        </w:rPr>
        <w:t>e</w:t>
      </w:r>
      <w:r w:rsidR="00B2702D" w:rsidRPr="001C59C3">
        <w:t xml:space="preserve"> </w:t>
      </w:r>
      <w:r w:rsidRPr="001C59C3">
        <w:t>Based on fixed proportions of persistent responders (42.3%), non-persistent responders (8.9%), persistent non-responders (42.2%) and non-persistent non-responders (6.4%) and assumed treatment durations for each category in the financial estimates</w:t>
      </w:r>
      <w:r w:rsidR="009D1BB6">
        <w:t>.</w:t>
      </w:r>
    </w:p>
    <w:p w14:paraId="16EF4367" w14:textId="65FC4EA6" w:rsidR="002B05A1" w:rsidRPr="001C59C3" w:rsidRDefault="004B7133" w:rsidP="004F15B1">
      <w:pPr>
        <w:pStyle w:val="COMexecsumnumberedpara"/>
        <w:rPr>
          <w:color w:val="0066FF"/>
        </w:rPr>
      </w:pPr>
      <w:r w:rsidRPr="001C59C3">
        <w:t>The estimated d</w:t>
      </w:r>
      <w:r w:rsidR="00C76C32" w:rsidRPr="001C59C3">
        <w:t xml:space="preserve">rug cost per patient </w:t>
      </w:r>
      <w:r w:rsidR="00E62A11" w:rsidRPr="001C59C3">
        <w:t xml:space="preserve">in </w:t>
      </w:r>
      <w:r w:rsidR="00E62A11" w:rsidRPr="001C59C3">
        <w:fldChar w:fldCharType="begin" w:fldLock="1"/>
      </w:r>
      <w:r w:rsidR="00E62A11" w:rsidRPr="001C59C3">
        <w:instrText xml:space="preserve"> REF _Ref104805102 \h </w:instrText>
      </w:r>
      <w:r w:rsidR="00E62A11" w:rsidRPr="001C59C3">
        <w:fldChar w:fldCharType="separate"/>
      </w:r>
      <w:r w:rsidR="00E62A11" w:rsidRPr="001C59C3">
        <w:t xml:space="preserve">Table </w:t>
      </w:r>
      <w:r w:rsidR="00E62A11" w:rsidRPr="009D1BB6">
        <w:t>12</w:t>
      </w:r>
      <w:r w:rsidR="00E62A11" w:rsidRPr="001C59C3">
        <w:fldChar w:fldCharType="end"/>
      </w:r>
      <w:r w:rsidR="00E9548F" w:rsidRPr="001C59C3">
        <w:t xml:space="preserve"> </w:t>
      </w:r>
      <w:r w:rsidR="00E62A11" w:rsidRPr="001C59C3">
        <w:t xml:space="preserve">for </w:t>
      </w:r>
      <w:r w:rsidR="00501A00" w:rsidRPr="001C59C3">
        <w:t>the financial estimates</w:t>
      </w:r>
      <w:r w:rsidR="00AA57C6" w:rsidRPr="001C59C3">
        <w:t xml:space="preserve"> re</w:t>
      </w:r>
      <w:r w:rsidR="00E62A11" w:rsidRPr="001C59C3">
        <w:t xml:space="preserve">presents the cost within an individual year whereas the cost for </w:t>
      </w:r>
      <w:r w:rsidR="00501A00" w:rsidRPr="001C59C3">
        <w:t>t</w:t>
      </w:r>
      <w:r w:rsidR="00C76C32" w:rsidRPr="001C59C3">
        <w:t>he economic model</w:t>
      </w:r>
      <w:r w:rsidR="00AA57C6" w:rsidRPr="001C59C3">
        <w:t xml:space="preserve"> </w:t>
      </w:r>
      <w:r w:rsidR="00E62A11" w:rsidRPr="001C59C3">
        <w:t>represents the total cost for one course of treatment.</w:t>
      </w:r>
      <w:r w:rsidR="00C76C32" w:rsidRPr="001C59C3">
        <w:t xml:space="preserve"> </w:t>
      </w:r>
      <w:bookmarkEnd w:id="60"/>
      <w:r w:rsidR="00AE08FB" w:rsidRPr="001C59C3">
        <w:t xml:space="preserve">The pre-PBAC response offered </w:t>
      </w:r>
      <w:r w:rsidR="00AE08FB" w:rsidRPr="00C23A89">
        <w:t xml:space="preserve">a </w:t>
      </w:r>
      <w:r w:rsidR="00C46F5E" w:rsidRPr="00690B5F">
        <w:rPr>
          <w:color w:val="000000"/>
          <w:w w:val="15"/>
          <w:shd w:val="solid" w:color="000000" w:fill="000000"/>
          <w:fitText w:val="-20" w:id="-1026324991"/>
          <w14:textFill>
            <w14:solidFill>
              <w14:srgbClr w14:val="000000">
                <w14:alpha w14:val="100000"/>
              </w14:srgbClr>
            </w14:solidFill>
          </w14:textFill>
        </w:rPr>
        <w:t xml:space="preserve">|  </w:t>
      </w:r>
      <w:r w:rsidR="00C46F5E" w:rsidRPr="00690B5F">
        <w:rPr>
          <w:color w:val="000000"/>
          <w:spacing w:val="-69"/>
          <w:w w:val="15"/>
          <w:shd w:val="solid" w:color="000000" w:fill="000000"/>
          <w:fitText w:val="-20" w:id="-1026324991"/>
          <w14:textFill>
            <w14:solidFill>
              <w14:srgbClr w14:val="000000">
                <w14:alpha w14:val="100000"/>
              </w14:srgbClr>
            </w14:solidFill>
          </w14:textFill>
        </w:rPr>
        <w:t>|</w:t>
      </w:r>
      <w:r w:rsidR="00AE08FB" w:rsidRPr="00C23A89">
        <w:t>%</w:t>
      </w:r>
      <w:r w:rsidR="00AE08FB" w:rsidRPr="001C59C3">
        <w:t xml:space="preserve"> price reduction resulting in an effective AEMP of </w:t>
      </w:r>
      <w:r w:rsidR="00D014A3">
        <w:t>$</w:t>
      </w:r>
      <w:r w:rsidR="008A42F6" w:rsidRPr="00690B5F">
        <w:rPr>
          <w:color w:val="000000"/>
          <w:w w:val="15"/>
          <w:shd w:val="solid" w:color="000000" w:fill="000000"/>
          <w:fitText w:val="-20" w:id="-1032102652"/>
          <w14:textFill>
            <w14:solidFill>
              <w14:srgbClr w14:val="000000">
                <w14:alpha w14:val="100000"/>
              </w14:srgbClr>
            </w14:solidFill>
          </w14:textFill>
        </w:rPr>
        <w:t xml:space="preserve">|  </w:t>
      </w:r>
      <w:r w:rsidR="008A42F6" w:rsidRPr="00690B5F">
        <w:rPr>
          <w:color w:val="000000"/>
          <w:spacing w:val="-69"/>
          <w:w w:val="15"/>
          <w:shd w:val="solid" w:color="000000" w:fill="000000"/>
          <w:fitText w:val="-20" w:id="-1032102652"/>
          <w14:textFill>
            <w14:solidFill>
              <w14:srgbClr w14:val="000000">
                <w14:alpha w14:val="100000"/>
              </w14:srgbClr>
            </w14:solidFill>
          </w14:textFill>
        </w:rPr>
        <w:t>|</w:t>
      </w:r>
      <w:r w:rsidR="00AE08FB" w:rsidRPr="001C59C3">
        <w:t xml:space="preserve"> for 12 vials.</w:t>
      </w:r>
    </w:p>
    <w:p w14:paraId="4A6608C1" w14:textId="77777777" w:rsidR="004E6F5E" w:rsidRPr="001C59C3" w:rsidRDefault="004E6F5E" w:rsidP="004E6F5E">
      <w:pPr>
        <w:pStyle w:val="COMH2-non-numbered"/>
      </w:pPr>
      <w:bookmarkStart w:id="61" w:name="_Toc144890475"/>
      <w:r w:rsidRPr="001C59C3">
        <w:t>Estimated PBS usage &amp; financial implications</w:t>
      </w:r>
      <w:bookmarkEnd w:id="61"/>
    </w:p>
    <w:p w14:paraId="6D342AEA" w14:textId="6A6BBE78" w:rsidR="004E6F5E" w:rsidRPr="001C59C3" w:rsidRDefault="004E6F5E" w:rsidP="004F15B1">
      <w:pPr>
        <w:pStyle w:val="COMexecsumnumberedpara"/>
        <w:rPr>
          <w:color w:val="0066FF"/>
        </w:rPr>
      </w:pPr>
      <w:r w:rsidRPr="001C59C3">
        <w:t>This resubmission w</w:t>
      </w:r>
      <w:r w:rsidR="000F7A61" w:rsidRPr="001C59C3">
        <w:t>as</w:t>
      </w:r>
      <w:r w:rsidRPr="001C59C3">
        <w:t xml:space="preserve"> not considered by DUSC. The resubmission used an epidemiological approach to estimate the utilisation and financial impacts associated with the PBS/RPBS listing of difelikefalin. </w:t>
      </w:r>
    </w:p>
    <w:p w14:paraId="04B31D2D" w14:textId="4C9437F9" w:rsidR="0072416F" w:rsidRPr="001C59C3" w:rsidRDefault="000F7500" w:rsidP="004F15B1">
      <w:pPr>
        <w:pStyle w:val="COMexecsumnumberedpara"/>
        <w:rPr>
          <w:color w:val="0066FF"/>
        </w:rPr>
      </w:pPr>
      <w:r w:rsidRPr="001C59C3">
        <w:t>Key inputs for the financial estimates are summarised in</w:t>
      </w:r>
      <w:r w:rsidR="00483AAF" w:rsidRPr="001C59C3">
        <w:t xml:space="preserve"> </w:t>
      </w:r>
      <w:r w:rsidR="009E616E" w:rsidRPr="001C59C3">
        <w:fldChar w:fldCharType="begin" w:fldLock="1"/>
      </w:r>
      <w:r w:rsidR="009E616E" w:rsidRPr="001C59C3">
        <w:instrText xml:space="preserve"> REF _Ref104805262 \h </w:instrText>
      </w:r>
      <w:r w:rsidR="009E616E" w:rsidRPr="001C59C3">
        <w:fldChar w:fldCharType="separate"/>
      </w:r>
      <w:r w:rsidR="009E616E" w:rsidRPr="001C59C3">
        <w:t xml:space="preserve">Table </w:t>
      </w:r>
      <w:r w:rsidR="009E616E" w:rsidRPr="009D1BB6">
        <w:t>13</w:t>
      </w:r>
      <w:r w:rsidR="009E616E" w:rsidRPr="001C59C3">
        <w:fldChar w:fldCharType="end"/>
      </w:r>
      <w:r w:rsidR="009E616E" w:rsidRPr="001C59C3">
        <w:t>.</w:t>
      </w:r>
    </w:p>
    <w:p w14:paraId="3393BCE7" w14:textId="0F75644C" w:rsidR="00E42F73" w:rsidRPr="001C59C3" w:rsidRDefault="00E16AD8" w:rsidP="00FD4ED6">
      <w:pPr>
        <w:pStyle w:val="COMtablefigcaption"/>
      </w:pPr>
      <w:bookmarkStart w:id="62" w:name="_Ref104805262"/>
      <w:r w:rsidRPr="001C59C3">
        <w:t xml:space="preserve">Table </w:t>
      </w:r>
      <w:r w:rsidR="007232F8">
        <w:fldChar w:fldCharType="begin" w:fldLock="1"/>
      </w:r>
      <w:r w:rsidR="007232F8">
        <w:instrText xml:space="preserve"> SEQ Table \* ARABIC </w:instrText>
      </w:r>
      <w:r w:rsidR="007232F8">
        <w:fldChar w:fldCharType="separate"/>
      </w:r>
      <w:r w:rsidR="00240A97" w:rsidRPr="009D1BB6">
        <w:t>13</w:t>
      </w:r>
      <w:r w:rsidR="007232F8">
        <w:fldChar w:fldCharType="end"/>
      </w:r>
      <w:bookmarkEnd w:id="62"/>
      <w:r w:rsidRPr="001C59C3">
        <w:t>:</w:t>
      </w:r>
      <w:r w:rsidR="00E42F73" w:rsidRPr="001C59C3">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16"/>
        <w:gridCol w:w="3665"/>
        <w:gridCol w:w="3636"/>
      </w:tblGrid>
      <w:tr w:rsidR="000F4F0F" w:rsidRPr="001C59C3" w14:paraId="4C04E18D" w14:textId="77777777" w:rsidTr="00946816">
        <w:trPr>
          <w:cantSplit/>
          <w:tblHeader/>
        </w:trPr>
        <w:tc>
          <w:tcPr>
            <w:tcW w:w="952" w:type="pct"/>
            <w:tcBorders>
              <w:bottom w:val="single" w:sz="4" w:space="0" w:color="auto"/>
            </w:tcBorders>
            <w:shd w:val="clear" w:color="auto" w:fill="auto"/>
            <w:vAlign w:val="center"/>
          </w:tcPr>
          <w:p w14:paraId="218B8BA3" w14:textId="77777777" w:rsidR="000F4F0F" w:rsidRPr="001C59C3" w:rsidRDefault="000F4F0F" w:rsidP="00776D51">
            <w:pPr>
              <w:jc w:val="left"/>
              <w:rPr>
                <w:rFonts w:ascii="Arial Narrow" w:eastAsiaTheme="majorEastAsia" w:hAnsi="Arial Narrow" w:cs="Times New Roman"/>
                <w:b/>
                <w:sz w:val="20"/>
              </w:rPr>
            </w:pPr>
            <w:r w:rsidRPr="001C59C3">
              <w:rPr>
                <w:rFonts w:ascii="Arial Narrow" w:eastAsiaTheme="majorEastAsia" w:hAnsi="Arial Narrow" w:cs="Times New Roman"/>
                <w:b/>
                <w:sz w:val="20"/>
              </w:rPr>
              <w:t>Parameter</w:t>
            </w:r>
          </w:p>
        </w:tc>
        <w:tc>
          <w:tcPr>
            <w:tcW w:w="2032" w:type="pct"/>
            <w:tcBorders>
              <w:bottom w:val="single" w:sz="4" w:space="0" w:color="auto"/>
            </w:tcBorders>
            <w:shd w:val="clear" w:color="auto" w:fill="auto"/>
            <w:vAlign w:val="center"/>
          </w:tcPr>
          <w:p w14:paraId="0178C229" w14:textId="77777777" w:rsidR="000F4F0F" w:rsidRPr="001C59C3" w:rsidRDefault="000F4F0F" w:rsidP="00776D51">
            <w:pPr>
              <w:jc w:val="left"/>
              <w:rPr>
                <w:rFonts w:ascii="Arial Narrow" w:eastAsiaTheme="majorEastAsia" w:hAnsi="Arial Narrow" w:cs="Times New Roman"/>
                <w:b/>
                <w:sz w:val="20"/>
              </w:rPr>
            </w:pPr>
            <w:r w:rsidRPr="001C59C3">
              <w:rPr>
                <w:rFonts w:ascii="Arial Narrow" w:eastAsiaTheme="majorEastAsia" w:hAnsi="Arial Narrow" w:cs="Times New Roman"/>
                <w:b/>
                <w:sz w:val="20"/>
              </w:rPr>
              <w:t>Values and source</w:t>
            </w:r>
          </w:p>
        </w:tc>
        <w:tc>
          <w:tcPr>
            <w:tcW w:w="2016" w:type="pct"/>
            <w:tcBorders>
              <w:bottom w:val="single" w:sz="4" w:space="0" w:color="auto"/>
            </w:tcBorders>
            <w:shd w:val="clear" w:color="auto" w:fill="auto"/>
            <w:vAlign w:val="center"/>
          </w:tcPr>
          <w:p w14:paraId="10BD5F7C" w14:textId="77777777" w:rsidR="000F4F0F" w:rsidRPr="001C59C3" w:rsidRDefault="000F4F0F" w:rsidP="00776D51">
            <w:pPr>
              <w:jc w:val="left"/>
              <w:rPr>
                <w:rFonts w:ascii="Arial Narrow" w:eastAsiaTheme="majorEastAsia" w:hAnsi="Arial Narrow" w:cs="Times New Roman"/>
                <w:b/>
                <w:sz w:val="20"/>
              </w:rPr>
            </w:pPr>
            <w:r w:rsidRPr="001C59C3">
              <w:rPr>
                <w:rFonts w:ascii="Arial Narrow" w:eastAsiaTheme="majorEastAsia" w:hAnsi="Arial Narrow" w:cs="Times New Roman"/>
                <w:b/>
                <w:sz w:val="20"/>
              </w:rPr>
              <w:t>Comment</w:t>
            </w:r>
          </w:p>
        </w:tc>
      </w:tr>
      <w:tr w:rsidR="000F4F0F" w:rsidRPr="001C59C3" w14:paraId="01BD5981" w14:textId="77777777" w:rsidTr="00946816">
        <w:trPr>
          <w:cantSplit/>
        </w:trPr>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724DCAD4" w14:textId="77777777" w:rsidR="000F4F0F" w:rsidRPr="001C59C3" w:rsidRDefault="000F4F0F" w:rsidP="00776D51">
            <w:pPr>
              <w:jc w:val="left"/>
              <w:rPr>
                <w:rFonts w:ascii="Arial Narrow" w:eastAsiaTheme="majorEastAsia" w:hAnsi="Arial Narrow" w:cstheme="majorBidi"/>
                <w:bCs/>
                <w:sz w:val="20"/>
              </w:rPr>
            </w:pPr>
            <w:r w:rsidRPr="001C59C3">
              <w:rPr>
                <w:rFonts w:ascii="Arial Narrow" w:eastAsiaTheme="majorEastAsia" w:hAnsi="Arial Narrow" w:cstheme="majorBidi"/>
                <w:bCs/>
                <w:sz w:val="20"/>
              </w:rPr>
              <w:t>Prevalence of haemodialysis</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2D6B1F0D" w14:textId="77777777" w:rsidR="000F4F0F" w:rsidRPr="001C59C3" w:rsidRDefault="000F4F0F" w:rsidP="00776D51">
            <w:pPr>
              <w:jc w:val="left"/>
              <w:rPr>
                <w:rFonts w:ascii="Arial Narrow" w:eastAsiaTheme="majorEastAsia" w:hAnsi="Arial Narrow" w:cstheme="majorBidi"/>
                <w:bCs/>
                <w:sz w:val="20"/>
              </w:rPr>
            </w:pPr>
            <w:r w:rsidRPr="001C59C3">
              <w:rPr>
                <w:rFonts w:ascii="Arial Narrow" w:eastAsiaTheme="majorEastAsia" w:hAnsi="Arial Narrow" w:cstheme="majorBidi"/>
                <w:bCs/>
                <w:sz w:val="20"/>
              </w:rPr>
              <w:t xml:space="preserve">13,700 in Year 1 increasing to 17,141 in Year 6. Prevalence of in-centre and at-home haemodialysis patients in the </w:t>
            </w:r>
            <w:r w:rsidRPr="001C59C3">
              <w:rPr>
                <w:rFonts w:ascii="Arial Narrow" w:eastAsia="TimesNewRoman" w:hAnsi="Arial Narrow" w:cstheme="majorBidi"/>
                <w:bCs/>
                <w:sz w:val="20"/>
              </w:rPr>
              <w:t>ANZDATA 45th Annual Report (2017-2021), extrapolated over the first 6 years of listing (2024-2029) using an annual growth rate of 4.58%.</w:t>
            </w:r>
          </w:p>
        </w:tc>
        <w:tc>
          <w:tcPr>
            <w:tcW w:w="2016" w:type="pct"/>
            <w:tcBorders>
              <w:top w:val="single" w:sz="4" w:space="0" w:color="auto"/>
              <w:left w:val="single" w:sz="4" w:space="0" w:color="auto"/>
              <w:bottom w:val="single" w:sz="4" w:space="0" w:color="auto"/>
              <w:right w:val="single" w:sz="4" w:space="0" w:color="auto"/>
            </w:tcBorders>
            <w:shd w:val="clear" w:color="auto" w:fill="auto"/>
            <w:vAlign w:val="center"/>
          </w:tcPr>
          <w:p w14:paraId="01930F44" w14:textId="429B6C7F" w:rsidR="000F4F0F" w:rsidRPr="001C59C3" w:rsidRDefault="000F4F0F" w:rsidP="00776D51">
            <w:pPr>
              <w:jc w:val="left"/>
              <w:rPr>
                <w:rFonts w:ascii="Arial Narrow" w:eastAsia="TimesNewRoman" w:hAnsi="Arial Narrow" w:cstheme="majorBidi"/>
                <w:bCs/>
                <w:sz w:val="20"/>
              </w:rPr>
            </w:pPr>
            <w:r w:rsidRPr="001C59C3">
              <w:rPr>
                <w:rFonts w:ascii="Arial Narrow" w:eastAsia="TimesNewRoman" w:hAnsi="Arial Narrow" w:cstheme="majorBidi"/>
                <w:bCs/>
                <w:sz w:val="20"/>
              </w:rPr>
              <w:t>The DUSC previously considered the source to be reasonable. The re</w:t>
            </w:r>
            <w:r w:rsidR="002A4E67" w:rsidRPr="001C59C3">
              <w:rPr>
                <w:rFonts w:ascii="Arial Narrow" w:eastAsia="TimesNewRoman" w:hAnsi="Arial Narrow" w:cstheme="majorBidi"/>
                <w:bCs/>
                <w:sz w:val="20"/>
              </w:rPr>
              <w:t>submission</w:t>
            </w:r>
            <w:r w:rsidRPr="001C59C3">
              <w:rPr>
                <w:rFonts w:ascii="Arial Narrow" w:eastAsia="TimesNewRoman" w:hAnsi="Arial Narrow" w:cstheme="majorBidi"/>
                <w:bCs/>
                <w:sz w:val="20"/>
              </w:rPr>
              <w:t xml:space="preserve"> estimates appropriately include patients on at-home haemodialysis. The extrapolated estimates were appropriately calculated using a growth rate rather than the fixed increment applied in the previous submission.</w:t>
            </w:r>
          </w:p>
        </w:tc>
      </w:tr>
      <w:tr w:rsidR="000F4F0F" w:rsidRPr="001C59C3" w14:paraId="4F224DAB" w14:textId="77777777" w:rsidTr="00946816">
        <w:trPr>
          <w:cantSplit/>
        </w:trPr>
        <w:tc>
          <w:tcPr>
            <w:tcW w:w="952" w:type="pct"/>
            <w:tcBorders>
              <w:top w:val="single" w:sz="4" w:space="0" w:color="auto"/>
            </w:tcBorders>
            <w:shd w:val="clear" w:color="auto" w:fill="auto"/>
            <w:vAlign w:val="center"/>
          </w:tcPr>
          <w:p w14:paraId="581F6D60" w14:textId="77777777" w:rsidR="000F4F0F" w:rsidRPr="001C59C3" w:rsidRDefault="000F4F0F" w:rsidP="00776D51">
            <w:pPr>
              <w:jc w:val="left"/>
              <w:rPr>
                <w:rFonts w:ascii="Arial Narrow" w:eastAsiaTheme="majorEastAsia" w:hAnsi="Arial Narrow" w:cstheme="majorBidi"/>
                <w:bCs/>
                <w:sz w:val="20"/>
              </w:rPr>
            </w:pPr>
            <w:r w:rsidRPr="001C59C3">
              <w:rPr>
                <w:rFonts w:ascii="Arial Narrow" w:eastAsiaTheme="majorEastAsia" w:hAnsi="Arial Narrow" w:cstheme="majorBidi"/>
                <w:bCs/>
                <w:sz w:val="20"/>
              </w:rPr>
              <w:lastRenderedPageBreak/>
              <w:t>Proportion of patients with moderate to severe pruritus</w:t>
            </w:r>
          </w:p>
        </w:tc>
        <w:tc>
          <w:tcPr>
            <w:tcW w:w="2032" w:type="pct"/>
            <w:tcBorders>
              <w:top w:val="single" w:sz="4" w:space="0" w:color="auto"/>
            </w:tcBorders>
            <w:shd w:val="clear" w:color="auto" w:fill="auto"/>
            <w:vAlign w:val="center"/>
          </w:tcPr>
          <w:p w14:paraId="48B3D41A" w14:textId="77777777" w:rsidR="000F4F0F" w:rsidRPr="001C59C3" w:rsidRDefault="000F4F0F" w:rsidP="00776D51">
            <w:pPr>
              <w:jc w:val="left"/>
              <w:rPr>
                <w:rFonts w:ascii="Arial Narrow" w:eastAsia="TimesNewRoman" w:hAnsi="Arial Narrow" w:cstheme="majorBidi"/>
                <w:bCs/>
                <w:sz w:val="20"/>
              </w:rPr>
            </w:pPr>
            <w:r w:rsidRPr="001C59C3">
              <w:rPr>
                <w:rFonts w:ascii="Arial Narrow" w:eastAsiaTheme="majorEastAsia" w:hAnsi="Arial Narrow" w:cstheme="majorBidi"/>
                <w:bCs/>
                <w:sz w:val="20"/>
              </w:rPr>
              <w:t>43%: b</w:t>
            </w:r>
            <w:r w:rsidRPr="001C59C3">
              <w:rPr>
                <w:rFonts w:ascii="Arial Narrow" w:eastAsia="TimesNewRoman" w:hAnsi="Arial Narrow" w:cstheme="majorBidi"/>
                <w:bCs/>
                <w:sz w:val="20"/>
              </w:rPr>
              <w:t xml:space="preserve">ased on a sample of 700 Australian and New Zealand haemodialysis patients in the Dialysis Outcomes and Practice Patterns Study, with self-reported moderate-severe pruritus (Sukul 2020, DOPPS data 2009-2015). </w:t>
            </w:r>
          </w:p>
        </w:tc>
        <w:tc>
          <w:tcPr>
            <w:tcW w:w="2016" w:type="pct"/>
            <w:tcBorders>
              <w:top w:val="single" w:sz="4" w:space="0" w:color="auto"/>
            </w:tcBorders>
            <w:shd w:val="clear" w:color="auto" w:fill="auto"/>
            <w:vAlign w:val="center"/>
          </w:tcPr>
          <w:p w14:paraId="35DCBAF8" w14:textId="77777777" w:rsidR="000F4F0F" w:rsidRPr="001C59C3" w:rsidRDefault="000F4F0F" w:rsidP="00776D51">
            <w:pPr>
              <w:jc w:val="left"/>
              <w:rPr>
                <w:rFonts w:ascii="Arial Narrow" w:eastAsia="TimesNewRoman" w:hAnsi="Arial Narrow" w:cstheme="majorBidi"/>
                <w:bCs/>
                <w:sz w:val="20"/>
              </w:rPr>
            </w:pPr>
            <w:r w:rsidRPr="001C59C3">
              <w:rPr>
                <w:rFonts w:ascii="Arial Narrow" w:eastAsia="TimesNewRoman" w:hAnsi="Arial Narrow" w:cstheme="majorBidi"/>
                <w:bCs/>
                <w:sz w:val="20"/>
              </w:rPr>
              <w:t xml:space="preserve">The DUSC previously considered the source to be reasonable, but noted the lack of an itch rating scale in the restriction may lead to usage in patients with less severe disease. The DUSC considered this parameter may effectively be underestimated in practice. </w:t>
            </w:r>
          </w:p>
          <w:p w14:paraId="6FFD878B" w14:textId="77777777" w:rsidR="000F4F0F" w:rsidRPr="001C59C3" w:rsidRDefault="000F4F0F" w:rsidP="00776D51">
            <w:pPr>
              <w:jc w:val="left"/>
              <w:rPr>
                <w:rFonts w:ascii="Arial Narrow" w:eastAsia="TimesNewRoman" w:hAnsi="Arial Narrow" w:cstheme="majorBidi"/>
                <w:bCs/>
                <w:sz w:val="20"/>
              </w:rPr>
            </w:pPr>
          </w:p>
          <w:p w14:paraId="6C45DC53" w14:textId="7A223115" w:rsidR="000F4F0F" w:rsidRPr="001C59C3" w:rsidRDefault="000F4F0F" w:rsidP="00776D51">
            <w:pPr>
              <w:jc w:val="left"/>
              <w:rPr>
                <w:rFonts w:ascii="Arial Narrow" w:eastAsia="TimesNewRoman" w:hAnsi="Arial Narrow" w:cstheme="majorBidi"/>
                <w:bCs/>
                <w:sz w:val="20"/>
              </w:rPr>
            </w:pPr>
            <w:r w:rsidRPr="001C59C3">
              <w:rPr>
                <w:rFonts w:ascii="Arial Narrow" w:eastAsia="TimesNewRoman" w:hAnsi="Arial Narrow" w:cstheme="majorBidi"/>
                <w:bCs/>
                <w:sz w:val="20"/>
              </w:rPr>
              <w:t>The resubmission stated that this parameter was not updated to reflect the re</w:t>
            </w:r>
            <w:r w:rsidR="002A4E67" w:rsidRPr="001C59C3">
              <w:rPr>
                <w:rFonts w:ascii="Arial Narrow" w:eastAsia="TimesNewRoman" w:hAnsi="Arial Narrow" w:cstheme="majorBidi"/>
                <w:bCs/>
                <w:sz w:val="20"/>
              </w:rPr>
              <w:t>submission</w:t>
            </w:r>
            <w:r w:rsidRPr="001C59C3">
              <w:rPr>
                <w:rFonts w:ascii="Arial Narrow" w:eastAsia="TimesNewRoman" w:hAnsi="Arial Narrow" w:cstheme="majorBidi"/>
                <w:bCs/>
                <w:sz w:val="20"/>
              </w:rPr>
              <w:t xml:space="preserve"> PBS restriction (inclusion of a WI-NRS score to determine disease severity) and the resulting financial estimates would inform a risk sharing arrangement</w:t>
            </w:r>
            <w:r w:rsidR="001C59C3">
              <w:rPr>
                <w:rFonts w:ascii="Arial Narrow" w:eastAsia="TimesNewRoman" w:hAnsi="Arial Narrow" w:cstheme="majorBidi"/>
                <w:bCs/>
                <w:sz w:val="20"/>
              </w:rPr>
              <w:t xml:space="preserve">. </w:t>
            </w:r>
          </w:p>
        </w:tc>
      </w:tr>
      <w:tr w:rsidR="000F4F0F" w:rsidRPr="001C59C3" w14:paraId="3F977D9D" w14:textId="77777777" w:rsidTr="00483AAF">
        <w:trPr>
          <w:cantSplit/>
        </w:trPr>
        <w:tc>
          <w:tcPr>
            <w:tcW w:w="952" w:type="pct"/>
            <w:shd w:val="clear" w:color="auto" w:fill="auto"/>
            <w:vAlign w:val="center"/>
          </w:tcPr>
          <w:p w14:paraId="720A7A27" w14:textId="77777777" w:rsidR="000F4F0F" w:rsidRPr="001C59C3" w:rsidRDefault="000F4F0F" w:rsidP="00776D51">
            <w:pPr>
              <w:jc w:val="left"/>
              <w:rPr>
                <w:rFonts w:ascii="Arial Narrow" w:eastAsiaTheme="majorEastAsia" w:hAnsi="Arial Narrow" w:cstheme="majorBidi"/>
                <w:bCs/>
                <w:sz w:val="20"/>
              </w:rPr>
            </w:pPr>
            <w:r w:rsidRPr="001C59C3">
              <w:rPr>
                <w:rFonts w:ascii="Arial Narrow" w:eastAsiaTheme="majorEastAsia" w:hAnsi="Arial Narrow" w:cstheme="majorBidi"/>
                <w:bCs/>
                <w:sz w:val="20"/>
              </w:rPr>
              <w:t>Rate of CKD-aP diagnosis</w:t>
            </w:r>
          </w:p>
        </w:tc>
        <w:tc>
          <w:tcPr>
            <w:tcW w:w="2032" w:type="pct"/>
            <w:shd w:val="clear" w:color="auto" w:fill="auto"/>
            <w:vAlign w:val="center"/>
          </w:tcPr>
          <w:p w14:paraId="16FD0CA0" w14:textId="77777777" w:rsidR="000F4F0F" w:rsidRPr="001C59C3" w:rsidRDefault="000F4F0F" w:rsidP="00776D51">
            <w:pPr>
              <w:jc w:val="left"/>
              <w:rPr>
                <w:rFonts w:ascii="Arial Narrow" w:eastAsiaTheme="majorEastAsia" w:hAnsi="Arial Narrow" w:cstheme="majorBidi"/>
                <w:bCs/>
                <w:sz w:val="20"/>
              </w:rPr>
            </w:pPr>
            <w:r w:rsidRPr="001C59C3">
              <w:rPr>
                <w:rFonts w:ascii="Arial Narrow" w:eastAsiaTheme="majorEastAsia" w:hAnsi="Arial Narrow" w:cstheme="majorBidi"/>
                <w:bCs/>
                <w:sz w:val="20"/>
              </w:rPr>
              <w:t>83% in Year 1 increasing to 93% in Year 6. B</w:t>
            </w:r>
            <w:r w:rsidRPr="001C59C3">
              <w:rPr>
                <w:rFonts w:ascii="Arial Narrow" w:eastAsia="TimesNewRoman" w:hAnsi="Arial Narrow" w:cstheme="majorBidi"/>
                <w:bCs/>
                <w:sz w:val="20"/>
              </w:rPr>
              <w:t>ased on a survey of 8,621 patients enrolled at the start of DOPPS phase 5 (2012–2015), 17% of patients nearly always or always bothered by itchy skin had not reported their condition to any healthcare provider (</w:t>
            </w:r>
            <w:r w:rsidRPr="001C59C3">
              <w:rPr>
                <w:rFonts w:ascii="Arial Narrow" w:eastAsiaTheme="majorEastAsia" w:hAnsi="Arial Narrow" w:cstheme="majorBidi"/>
                <w:bCs/>
                <w:sz w:val="20"/>
              </w:rPr>
              <w:t xml:space="preserve">Rayner 2017, DOPPS data 2012-2015). An assumed 2% yearly increment was applied to the diagnosis rate due to increased awareness of treatment availability. </w:t>
            </w:r>
          </w:p>
        </w:tc>
        <w:tc>
          <w:tcPr>
            <w:tcW w:w="2016" w:type="pct"/>
            <w:shd w:val="clear" w:color="auto" w:fill="auto"/>
            <w:vAlign w:val="center"/>
          </w:tcPr>
          <w:p w14:paraId="04DA23AE" w14:textId="49E8E5EB" w:rsidR="000F4F0F" w:rsidRPr="001C59C3" w:rsidRDefault="000F4F0F" w:rsidP="00776D51">
            <w:pPr>
              <w:jc w:val="left"/>
              <w:rPr>
                <w:rFonts w:ascii="Arial Narrow" w:eastAsia="TimesNewRoman" w:hAnsi="Arial Narrow" w:cstheme="majorBidi"/>
                <w:bCs/>
                <w:sz w:val="20"/>
              </w:rPr>
            </w:pPr>
            <w:r w:rsidRPr="001C59C3">
              <w:rPr>
                <w:rFonts w:ascii="Arial Narrow" w:eastAsia="TimesNewRoman" w:hAnsi="Arial Narrow" w:cstheme="majorBidi"/>
                <w:bCs/>
                <w:sz w:val="20"/>
              </w:rPr>
              <w:t>The DUSC previously considered the diagnosis rate in the previous submission was underestimated (83%, fixed over 6 years) given the availability of difelikefalin in the PBS may increase the rate of patients reporting itchy skin. A 2% yearly increment in diagnosis rates was assumed in the resubmission.</w:t>
            </w:r>
            <w:r w:rsidR="00826EF3" w:rsidRPr="001C59C3">
              <w:rPr>
                <w:rFonts w:ascii="Arial Narrow" w:eastAsia="TimesNewRoman" w:hAnsi="Arial Narrow" w:cstheme="majorBidi"/>
                <w:bCs/>
                <w:sz w:val="20"/>
              </w:rPr>
              <w:t xml:space="preserve"> The ESC noted the DUSC advice provided on this issue was not specific to a simple prevalence</w:t>
            </w:r>
            <w:r w:rsidR="009D49D5" w:rsidRPr="001C59C3">
              <w:rPr>
                <w:rFonts w:ascii="Arial Narrow" w:eastAsia="TimesNewRoman" w:hAnsi="Arial Narrow" w:cstheme="majorBidi"/>
                <w:bCs/>
                <w:sz w:val="20"/>
              </w:rPr>
              <w:t>-</w:t>
            </w:r>
            <w:r w:rsidR="00826EF3" w:rsidRPr="001C59C3">
              <w:rPr>
                <w:rFonts w:ascii="Arial Narrow" w:eastAsia="TimesNewRoman" w:hAnsi="Arial Narrow" w:cstheme="majorBidi"/>
                <w:bCs/>
                <w:sz w:val="20"/>
              </w:rPr>
              <w:t>based approach.</w:t>
            </w:r>
            <w:r w:rsidR="009C1595" w:rsidRPr="001C59C3">
              <w:rPr>
                <w:rFonts w:ascii="Arial Narrow" w:eastAsia="TimesNewRoman" w:hAnsi="Arial Narrow" w:cstheme="majorBidi"/>
                <w:bCs/>
                <w:sz w:val="20"/>
              </w:rPr>
              <w:t xml:space="preserve"> The pre-PBAC response acknowledged the ESC advice and amended the rate of CKD-aP diagnosis (see paragraph </w:t>
            </w:r>
            <w:r w:rsidR="009C1595" w:rsidRPr="001C59C3">
              <w:rPr>
                <w:rFonts w:ascii="Arial Narrow" w:eastAsia="TimesNewRoman" w:hAnsi="Arial Narrow" w:cstheme="majorBidi"/>
                <w:bCs/>
                <w:sz w:val="20"/>
              </w:rPr>
              <w:fldChar w:fldCharType="begin" w:fldLock="1"/>
            </w:r>
            <w:r w:rsidR="009C1595" w:rsidRPr="001C59C3">
              <w:rPr>
                <w:rFonts w:ascii="Arial Narrow" w:eastAsia="TimesNewRoman" w:hAnsi="Arial Narrow" w:cstheme="majorBidi"/>
                <w:bCs/>
                <w:sz w:val="20"/>
              </w:rPr>
              <w:instrText xml:space="preserve"> REF _Ref150432393 \r \h </w:instrText>
            </w:r>
            <w:r w:rsidR="009C1595" w:rsidRPr="001C59C3">
              <w:rPr>
                <w:rFonts w:ascii="Arial Narrow" w:eastAsia="TimesNewRoman" w:hAnsi="Arial Narrow" w:cstheme="majorBidi"/>
                <w:bCs/>
                <w:sz w:val="20"/>
              </w:rPr>
            </w:r>
            <w:r w:rsidR="009C1595" w:rsidRPr="001C59C3">
              <w:rPr>
                <w:rFonts w:ascii="Arial Narrow" w:eastAsia="TimesNewRoman" w:hAnsi="Arial Narrow" w:cstheme="majorBidi"/>
                <w:bCs/>
                <w:sz w:val="20"/>
              </w:rPr>
              <w:fldChar w:fldCharType="separate"/>
            </w:r>
            <w:r w:rsidR="009C1595" w:rsidRPr="001C59C3">
              <w:rPr>
                <w:rFonts w:ascii="Arial Narrow" w:eastAsia="TimesNewRoman" w:hAnsi="Arial Narrow" w:cstheme="majorBidi"/>
                <w:bCs/>
                <w:sz w:val="20"/>
              </w:rPr>
              <w:t>6.86</w:t>
            </w:r>
            <w:r w:rsidR="009C1595" w:rsidRPr="001C59C3">
              <w:rPr>
                <w:rFonts w:ascii="Arial Narrow" w:eastAsia="TimesNewRoman" w:hAnsi="Arial Narrow" w:cstheme="majorBidi"/>
                <w:bCs/>
                <w:sz w:val="20"/>
              </w:rPr>
              <w:fldChar w:fldCharType="end"/>
            </w:r>
            <w:r w:rsidR="009C1595" w:rsidRPr="001C59C3">
              <w:rPr>
                <w:rFonts w:ascii="Arial Narrow" w:eastAsia="TimesNewRoman" w:hAnsi="Arial Narrow" w:cstheme="majorBidi"/>
                <w:bCs/>
                <w:sz w:val="20"/>
              </w:rPr>
              <w:t>).</w:t>
            </w:r>
            <w:r w:rsidR="00956BFF" w:rsidRPr="001C59C3">
              <w:rPr>
                <w:rFonts w:ascii="Arial Narrow" w:eastAsia="TimesNewRoman" w:hAnsi="Arial Narrow" w:cstheme="majorBidi"/>
                <w:bCs/>
                <w:sz w:val="20"/>
              </w:rPr>
              <w:t xml:space="preserve"> </w:t>
            </w:r>
          </w:p>
        </w:tc>
      </w:tr>
      <w:tr w:rsidR="000F4F0F" w:rsidRPr="001C59C3" w14:paraId="05F2E405" w14:textId="77777777" w:rsidTr="00483AAF">
        <w:trPr>
          <w:cantSplit/>
        </w:trPr>
        <w:tc>
          <w:tcPr>
            <w:tcW w:w="952" w:type="pct"/>
            <w:shd w:val="clear" w:color="auto" w:fill="auto"/>
            <w:vAlign w:val="center"/>
          </w:tcPr>
          <w:p w14:paraId="31BABABD" w14:textId="77777777" w:rsidR="000F4F0F" w:rsidRPr="001C59C3" w:rsidRDefault="000F4F0F" w:rsidP="00776D51">
            <w:pPr>
              <w:jc w:val="left"/>
              <w:rPr>
                <w:rFonts w:ascii="Arial Narrow" w:eastAsiaTheme="majorEastAsia" w:hAnsi="Arial Narrow" w:cstheme="majorBidi"/>
                <w:bCs/>
                <w:sz w:val="20"/>
              </w:rPr>
            </w:pPr>
            <w:r w:rsidRPr="001C59C3">
              <w:rPr>
                <w:rFonts w:ascii="Arial Narrow" w:eastAsiaTheme="majorEastAsia" w:hAnsi="Arial Narrow" w:cstheme="majorBidi"/>
                <w:bCs/>
                <w:sz w:val="20"/>
              </w:rPr>
              <w:t>Uptake of difelikefalin</w:t>
            </w:r>
          </w:p>
        </w:tc>
        <w:tc>
          <w:tcPr>
            <w:tcW w:w="2032" w:type="pct"/>
            <w:shd w:val="clear" w:color="auto" w:fill="auto"/>
            <w:vAlign w:val="center"/>
          </w:tcPr>
          <w:p w14:paraId="639AC22B" w14:textId="77777777" w:rsidR="000F4F0F" w:rsidRPr="001C59C3" w:rsidRDefault="000F4F0F" w:rsidP="00776D51">
            <w:pPr>
              <w:jc w:val="left"/>
              <w:rPr>
                <w:rFonts w:ascii="Arial Narrow" w:eastAsiaTheme="majorEastAsia" w:hAnsi="Arial Narrow" w:cstheme="majorBidi"/>
                <w:bCs/>
                <w:sz w:val="20"/>
              </w:rPr>
            </w:pPr>
            <w:r w:rsidRPr="001C59C3">
              <w:rPr>
                <w:rFonts w:ascii="Arial Narrow" w:eastAsiaTheme="majorEastAsia" w:hAnsi="Arial Narrow" w:cstheme="majorBidi"/>
                <w:bCs/>
                <w:sz w:val="20"/>
              </w:rPr>
              <w:t xml:space="preserve">Assumed uptake of difelikefalin of </w:t>
            </w:r>
            <w:bookmarkStart w:id="63" w:name="_Hlk147764820"/>
            <w:r w:rsidRPr="001C59C3">
              <w:rPr>
                <w:rFonts w:ascii="Arial Narrow" w:eastAsiaTheme="majorEastAsia" w:hAnsi="Arial Narrow" w:cstheme="majorBidi"/>
                <w:bCs/>
                <w:sz w:val="20"/>
              </w:rPr>
              <w:t>70% in Year 1, increasing by 4% each year, to 90% in Year 6</w:t>
            </w:r>
            <w:bookmarkEnd w:id="63"/>
            <w:r w:rsidRPr="001C59C3">
              <w:rPr>
                <w:rFonts w:ascii="Arial Narrow" w:eastAsiaTheme="majorEastAsia" w:hAnsi="Arial Narrow" w:cstheme="majorBidi"/>
                <w:bCs/>
                <w:sz w:val="20"/>
              </w:rPr>
              <w:t xml:space="preserve">. </w:t>
            </w:r>
          </w:p>
        </w:tc>
        <w:tc>
          <w:tcPr>
            <w:tcW w:w="2016" w:type="pct"/>
            <w:shd w:val="clear" w:color="auto" w:fill="auto"/>
            <w:vAlign w:val="center"/>
          </w:tcPr>
          <w:p w14:paraId="4317DFD6" w14:textId="06C93554" w:rsidR="000F4F0F" w:rsidRPr="001C59C3" w:rsidRDefault="000F4F0F" w:rsidP="00776D51">
            <w:pPr>
              <w:jc w:val="left"/>
              <w:rPr>
                <w:rFonts w:ascii="Arial Narrow" w:eastAsiaTheme="majorEastAsia" w:hAnsi="Arial Narrow" w:cstheme="majorBidi"/>
                <w:bCs/>
                <w:sz w:val="20"/>
              </w:rPr>
            </w:pPr>
            <w:r w:rsidRPr="001C59C3">
              <w:rPr>
                <w:rFonts w:ascii="Arial Narrow" w:eastAsiaTheme="majorEastAsia" w:hAnsi="Arial Narrow" w:cstheme="majorBidi"/>
                <w:bCs/>
                <w:sz w:val="20"/>
              </w:rPr>
              <w:t>The DUSC previously considered the uptake rates to be reasonable. This parameter was unchanged from the previous submission.</w:t>
            </w:r>
            <w:r w:rsidR="00431623" w:rsidRPr="001C59C3">
              <w:rPr>
                <w:rFonts w:ascii="Arial Narrow" w:eastAsiaTheme="majorEastAsia" w:hAnsi="Arial Narrow" w:cstheme="majorBidi"/>
                <w:bCs/>
                <w:sz w:val="20"/>
              </w:rPr>
              <w:t xml:space="preserve"> </w:t>
            </w:r>
            <w:r w:rsidR="00431623" w:rsidRPr="001C59C3">
              <w:rPr>
                <w:rFonts w:ascii="Arial Narrow" w:eastAsia="TimesNewRoman" w:hAnsi="Arial Narrow" w:cstheme="majorBidi"/>
                <w:bCs/>
                <w:sz w:val="20"/>
              </w:rPr>
              <w:t>The ESC noted the DUSC advice provided on this issue was not specific to a simple prevalence</w:t>
            </w:r>
            <w:r w:rsidR="009D49D5" w:rsidRPr="001C59C3">
              <w:rPr>
                <w:rFonts w:ascii="Arial Narrow" w:eastAsia="TimesNewRoman" w:hAnsi="Arial Narrow" w:cstheme="majorBidi"/>
                <w:bCs/>
                <w:sz w:val="20"/>
              </w:rPr>
              <w:t>-</w:t>
            </w:r>
            <w:r w:rsidR="00431623" w:rsidRPr="001C59C3">
              <w:rPr>
                <w:rFonts w:ascii="Arial Narrow" w:eastAsia="TimesNewRoman" w:hAnsi="Arial Narrow" w:cstheme="majorBidi"/>
                <w:bCs/>
                <w:sz w:val="20"/>
              </w:rPr>
              <w:t>based approach</w:t>
            </w:r>
            <w:r w:rsidR="009C1595" w:rsidRPr="001C59C3">
              <w:rPr>
                <w:rFonts w:ascii="Arial Narrow" w:eastAsia="TimesNewRoman" w:hAnsi="Arial Narrow" w:cstheme="majorBidi"/>
                <w:bCs/>
                <w:sz w:val="20"/>
              </w:rPr>
              <w:t xml:space="preserve">. The pre-PBAC response acknowledged the ESC advice and reduced the uptake rate (see paragraph </w:t>
            </w:r>
            <w:r w:rsidR="009C1595" w:rsidRPr="001C59C3">
              <w:rPr>
                <w:rFonts w:ascii="Arial Narrow" w:eastAsia="TimesNewRoman" w:hAnsi="Arial Narrow" w:cstheme="majorBidi"/>
                <w:bCs/>
                <w:sz w:val="20"/>
              </w:rPr>
              <w:fldChar w:fldCharType="begin" w:fldLock="1"/>
            </w:r>
            <w:r w:rsidR="009C1595" w:rsidRPr="001C59C3">
              <w:rPr>
                <w:rFonts w:ascii="Arial Narrow" w:eastAsia="TimesNewRoman" w:hAnsi="Arial Narrow" w:cstheme="majorBidi"/>
                <w:bCs/>
                <w:sz w:val="20"/>
              </w:rPr>
              <w:instrText xml:space="preserve"> REF _Ref150432292 \r \h </w:instrText>
            </w:r>
            <w:r w:rsidR="009C1595" w:rsidRPr="001C59C3">
              <w:rPr>
                <w:rFonts w:ascii="Arial Narrow" w:eastAsia="TimesNewRoman" w:hAnsi="Arial Narrow" w:cstheme="majorBidi"/>
                <w:bCs/>
                <w:sz w:val="20"/>
              </w:rPr>
            </w:r>
            <w:r w:rsidR="009C1595" w:rsidRPr="001C59C3">
              <w:rPr>
                <w:rFonts w:ascii="Arial Narrow" w:eastAsia="TimesNewRoman" w:hAnsi="Arial Narrow" w:cstheme="majorBidi"/>
                <w:bCs/>
                <w:sz w:val="20"/>
              </w:rPr>
              <w:fldChar w:fldCharType="separate"/>
            </w:r>
            <w:r w:rsidR="009C1595" w:rsidRPr="001C59C3">
              <w:rPr>
                <w:rFonts w:ascii="Arial Narrow" w:eastAsia="TimesNewRoman" w:hAnsi="Arial Narrow" w:cstheme="majorBidi"/>
                <w:bCs/>
                <w:sz w:val="20"/>
              </w:rPr>
              <w:t>6.85</w:t>
            </w:r>
            <w:r w:rsidR="009C1595" w:rsidRPr="001C59C3">
              <w:rPr>
                <w:rFonts w:ascii="Arial Narrow" w:eastAsia="TimesNewRoman" w:hAnsi="Arial Narrow" w:cstheme="majorBidi"/>
                <w:bCs/>
                <w:sz w:val="20"/>
              </w:rPr>
              <w:fldChar w:fldCharType="end"/>
            </w:r>
            <w:r w:rsidR="009C1595" w:rsidRPr="001C59C3">
              <w:rPr>
                <w:rFonts w:ascii="Arial Narrow" w:eastAsia="TimesNewRoman" w:hAnsi="Arial Narrow" w:cstheme="majorBidi"/>
                <w:bCs/>
                <w:sz w:val="20"/>
              </w:rPr>
              <w:t>).</w:t>
            </w:r>
          </w:p>
        </w:tc>
      </w:tr>
      <w:tr w:rsidR="000F4F0F" w:rsidRPr="001C59C3" w14:paraId="07608F06" w14:textId="77777777" w:rsidTr="00483AAF">
        <w:trPr>
          <w:cantSplit/>
        </w:trPr>
        <w:tc>
          <w:tcPr>
            <w:tcW w:w="952" w:type="pct"/>
            <w:shd w:val="clear" w:color="auto" w:fill="auto"/>
            <w:vAlign w:val="center"/>
          </w:tcPr>
          <w:p w14:paraId="52224E09" w14:textId="77777777" w:rsidR="000F4F0F" w:rsidRPr="001C59C3" w:rsidRDefault="000F4F0F" w:rsidP="00776D51">
            <w:pPr>
              <w:jc w:val="left"/>
              <w:rPr>
                <w:rFonts w:ascii="Arial Narrow" w:eastAsiaTheme="majorEastAsia" w:hAnsi="Arial Narrow" w:cstheme="majorBidi"/>
                <w:bCs/>
                <w:sz w:val="20"/>
              </w:rPr>
            </w:pPr>
            <w:r w:rsidRPr="001C59C3">
              <w:rPr>
                <w:rFonts w:ascii="Arial Narrow" w:eastAsiaTheme="majorEastAsia" w:hAnsi="Arial Narrow" w:cstheme="majorBidi"/>
                <w:bCs/>
                <w:sz w:val="20"/>
              </w:rPr>
              <w:t>Proportion of patients with response</w:t>
            </w:r>
          </w:p>
        </w:tc>
        <w:tc>
          <w:tcPr>
            <w:tcW w:w="2032" w:type="pct"/>
            <w:shd w:val="clear" w:color="auto" w:fill="auto"/>
            <w:vAlign w:val="center"/>
          </w:tcPr>
          <w:p w14:paraId="09188E48" w14:textId="77777777" w:rsidR="000F4F0F" w:rsidRPr="001C59C3" w:rsidRDefault="000F4F0F" w:rsidP="00776D51">
            <w:pPr>
              <w:jc w:val="left"/>
              <w:rPr>
                <w:rFonts w:ascii="Arial Narrow" w:eastAsiaTheme="majorEastAsia" w:hAnsi="Arial Narrow" w:cstheme="majorBidi"/>
                <w:bCs/>
                <w:sz w:val="20"/>
              </w:rPr>
            </w:pPr>
            <w:r w:rsidRPr="001C59C3">
              <w:rPr>
                <w:rFonts w:ascii="Arial Narrow" w:eastAsiaTheme="majorEastAsia" w:hAnsi="Arial Narrow" w:cstheme="majorBidi"/>
                <w:bCs/>
                <w:sz w:val="20"/>
              </w:rPr>
              <w:t>51.3%: based on patients achieving ≥5-point improvement in 5-D Itch score at 12 weeks from baseline in the KALM trials, applied in the economic analysis of the resubmission.</w:t>
            </w:r>
          </w:p>
        </w:tc>
        <w:tc>
          <w:tcPr>
            <w:tcW w:w="2016" w:type="pct"/>
            <w:shd w:val="clear" w:color="auto" w:fill="auto"/>
            <w:vAlign w:val="center"/>
          </w:tcPr>
          <w:p w14:paraId="0E171FEC" w14:textId="77777777" w:rsidR="000F4F0F" w:rsidRPr="001C59C3" w:rsidRDefault="000F4F0F" w:rsidP="00776D51">
            <w:pPr>
              <w:jc w:val="left"/>
              <w:rPr>
                <w:rFonts w:ascii="Arial Narrow" w:eastAsiaTheme="majorEastAsia" w:hAnsi="Arial Narrow" w:cstheme="majorBidi"/>
                <w:bCs/>
                <w:sz w:val="20"/>
              </w:rPr>
            </w:pPr>
            <w:r w:rsidRPr="001C59C3">
              <w:rPr>
                <w:rFonts w:ascii="Arial Narrow" w:eastAsiaTheme="majorEastAsia" w:hAnsi="Arial Narrow" w:cstheme="majorBidi"/>
                <w:bCs/>
                <w:sz w:val="20"/>
              </w:rPr>
              <w:t xml:space="preserve">The DUSC previously considered this was underestimated due to a lack of a formal response criterion in the restriction. </w:t>
            </w:r>
          </w:p>
          <w:p w14:paraId="28306A51" w14:textId="77777777" w:rsidR="000F4F0F" w:rsidRPr="001C59C3" w:rsidRDefault="000F4F0F" w:rsidP="00776D51">
            <w:pPr>
              <w:jc w:val="left"/>
              <w:rPr>
                <w:rFonts w:ascii="Arial Narrow" w:eastAsiaTheme="majorEastAsia" w:hAnsi="Arial Narrow" w:cstheme="majorBidi"/>
                <w:bCs/>
                <w:sz w:val="20"/>
              </w:rPr>
            </w:pPr>
          </w:p>
          <w:p w14:paraId="646B6723" w14:textId="0076B4F0" w:rsidR="000F4F0F" w:rsidRPr="001C59C3" w:rsidRDefault="000F4F0F" w:rsidP="00776D51">
            <w:pPr>
              <w:jc w:val="left"/>
              <w:rPr>
                <w:rFonts w:ascii="Arial Narrow" w:eastAsiaTheme="majorEastAsia" w:hAnsi="Arial Narrow" w:cstheme="majorBidi"/>
                <w:bCs/>
                <w:sz w:val="20"/>
              </w:rPr>
            </w:pPr>
            <w:r w:rsidRPr="001C59C3">
              <w:rPr>
                <w:rFonts w:ascii="Arial Narrow" w:eastAsiaTheme="majorEastAsia" w:hAnsi="Arial Narrow" w:cstheme="majorBidi"/>
                <w:bCs/>
                <w:sz w:val="20"/>
              </w:rPr>
              <w:t>The resubmission stated that this was not updated to reflect the re</w:t>
            </w:r>
            <w:r w:rsidR="002A4E67" w:rsidRPr="001C59C3">
              <w:rPr>
                <w:rFonts w:ascii="Arial Narrow" w:eastAsiaTheme="majorEastAsia" w:hAnsi="Arial Narrow" w:cstheme="majorBidi"/>
                <w:bCs/>
                <w:sz w:val="20"/>
              </w:rPr>
              <w:t>submission</w:t>
            </w:r>
            <w:r w:rsidRPr="001C59C3">
              <w:rPr>
                <w:rFonts w:ascii="Arial Narrow" w:eastAsiaTheme="majorEastAsia" w:hAnsi="Arial Narrow" w:cstheme="majorBidi"/>
                <w:bCs/>
                <w:sz w:val="20"/>
              </w:rPr>
              <w:t xml:space="preserve"> PBS restriction (response based on ≥3-point improvement in WI</w:t>
            </w:r>
            <w:r w:rsidRPr="001C59C3">
              <w:rPr>
                <w:rFonts w:ascii="Arial Narrow" w:eastAsiaTheme="majorEastAsia" w:hAnsi="Arial Narrow" w:cstheme="majorBidi"/>
                <w:bCs/>
                <w:sz w:val="20"/>
              </w:rPr>
              <w:noBreakHyphen/>
              <w:t xml:space="preserve">NRS score) and the resulting financial estimates would inform a risk sharing arrangement. It was uncertain whether response based on 5-D Itch would be applicable to response based on the WI-NRS scale. However, the use of trial-based WI-NRS </w:t>
            </w:r>
            <w:r w:rsidR="00793DED" w:rsidRPr="001C59C3">
              <w:rPr>
                <w:rFonts w:ascii="Arial Narrow" w:eastAsiaTheme="majorEastAsia" w:hAnsi="Arial Narrow" w:cstheme="majorBidi"/>
                <w:bCs/>
                <w:sz w:val="20"/>
              </w:rPr>
              <w:t>data</w:t>
            </w:r>
            <w:r w:rsidRPr="001C59C3">
              <w:rPr>
                <w:rFonts w:ascii="Arial Narrow" w:eastAsiaTheme="majorEastAsia" w:hAnsi="Arial Narrow" w:cstheme="majorBidi"/>
                <w:bCs/>
                <w:sz w:val="20"/>
              </w:rPr>
              <w:t xml:space="preserve"> would have minimal impact on the financial estimates given numerically similar response rates (51.1%).</w:t>
            </w:r>
          </w:p>
        </w:tc>
      </w:tr>
      <w:tr w:rsidR="000F4F0F" w:rsidRPr="001C59C3" w14:paraId="79EE8F15" w14:textId="77777777" w:rsidTr="00483AAF">
        <w:trPr>
          <w:cantSplit/>
        </w:trPr>
        <w:tc>
          <w:tcPr>
            <w:tcW w:w="952" w:type="pct"/>
            <w:shd w:val="clear" w:color="auto" w:fill="auto"/>
            <w:vAlign w:val="center"/>
          </w:tcPr>
          <w:p w14:paraId="1E5B7C79" w14:textId="77777777" w:rsidR="000F4F0F" w:rsidRPr="001C59C3" w:rsidRDefault="000F4F0F" w:rsidP="00776D51">
            <w:pPr>
              <w:jc w:val="left"/>
              <w:rPr>
                <w:rFonts w:ascii="Arial Narrow" w:eastAsiaTheme="majorEastAsia" w:hAnsi="Arial Narrow" w:cstheme="majorBidi"/>
                <w:bCs/>
                <w:sz w:val="20"/>
              </w:rPr>
            </w:pPr>
            <w:r w:rsidRPr="001C59C3">
              <w:rPr>
                <w:rFonts w:ascii="Arial Narrow" w:eastAsiaTheme="majorEastAsia" w:hAnsi="Arial Narrow" w:cstheme="majorBidi"/>
                <w:bCs/>
                <w:sz w:val="20"/>
              </w:rPr>
              <w:lastRenderedPageBreak/>
              <w:t>Treatment persistence in responders</w:t>
            </w:r>
          </w:p>
        </w:tc>
        <w:tc>
          <w:tcPr>
            <w:tcW w:w="2032" w:type="pct"/>
            <w:shd w:val="clear" w:color="auto" w:fill="auto"/>
            <w:vAlign w:val="center"/>
          </w:tcPr>
          <w:p w14:paraId="36C2F6A3" w14:textId="77777777" w:rsidR="000F4F0F" w:rsidRPr="001C59C3" w:rsidRDefault="000F4F0F" w:rsidP="00776D51">
            <w:pPr>
              <w:jc w:val="left"/>
              <w:rPr>
                <w:rFonts w:ascii="Arial Narrow" w:eastAsiaTheme="majorEastAsia" w:hAnsi="Arial Narrow" w:cstheme="majorBidi"/>
                <w:bCs/>
                <w:sz w:val="20"/>
              </w:rPr>
            </w:pPr>
            <w:r w:rsidRPr="001C59C3">
              <w:rPr>
                <w:rFonts w:ascii="Arial Narrow" w:eastAsiaTheme="majorEastAsia" w:hAnsi="Arial Narrow" w:cstheme="majorBidi"/>
                <w:bCs/>
                <w:sz w:val="20"/>
              </w:rPr>
              <w:t>82.6%. Based on treatment discontinuations observed in the KALM OLE studies (23.2% excluding the sponsor stopping the study early). An adjusted discontinuation rate of 17.4% was used assuming perfect persistence during the initial 12 weeks of therapy (calculated as 0.75 x 23.2%).</w:t>
            </w:r>
          </w:p>
        </w:tc>
        <w:tc>
          <w:tcPr>
            <w:tcW w:w="2016" w:type="pct"/>
            <w:shd w:val="clear" w:color="auto" w:fill="auto"/>
            <w:vAlign w:val="center"/>
          </w:tcPr>
          <w:p w14:paraId="707CAC65" w14:textId="77777777" w:rsidR="000F4F0F" w:rsidRPr="001C59C3" w:rsidRDefault="000F4F0F" w:rsidP="00776D51">
            <w:pPr>
              <w:jc w:val="left"/>
              <w:rPr>
                <w:rFonts w:ascii="Arial Narrow" w:eastAsiaTheme="majorEastAsia" w:hAnsi="Arial Narrow" w:cstheme="majorBidi"/>
                <w:bCs/>
                <w:sz w:val="20"/>
              </w:rPr>
            </w:pPr>
            <w:r w:rsidRPr="001C59C3">
              <w:rPr>
                <w:rFonts w:ascii="Arial Narrow" w:eastAsiaTheme="majorEastAsia" w:hAnsi="Arial Narrow" w:cstheme="majorBidi"/>
                <w:bCs/>
                <w:sz w:val="20"/>
              </w:rPr>
              <w:t>No justification was provided for the assumption of perfect persistence during the first 12 weeks of treatment, which was inconsistent with trial-based data that informed discontinuations in non-responders (13.3%, see below). Treatment persistence is likely overestimated.</w:t>
            </w:r>
          </w:p>
        </w:tc>
      </w:tr>
      <w:tr w:rsidR="000F4F0F" w:rsidRPr="001C59C3" w14:paraId="6CE711AF" w14:textId="77777777" w:rsidTr="00483AAF">
        <w:trPr>
          <w:cantSplit/>
        </w:trPr>
        <w:tc>
          <w:tcPr>
            <w:tcW w:w="952" w:type="pct"/>
            <w:shd w:val="clear" w:color="auto" w:fill="auto"/>
            <w:vAlign w:val="center"/>
          </w:tcPr>
          <w:p w14:paraId="4FF40426" w14:textId="77777777" w:rsidR="000F4F0F" w:rsidRPr="001C59C3" w:rsidRDefault="000F4F0F" w:rsidP="00776D51">
            <w:pPr>
              <w:jc w:val="left"/>
              <w:rPr>
                <w:rFonts w:ascii="Arial Narrow" w:eastAsiaTheme="majorEastAsia" w:hAnsi="Arial Narrow" w:cstheme="majorBidi"/>
                <w:bCs/>
                <w:sz w:val="20"/>
              </w:rPr>
            </w:pPr>
            <w:r w:rsidRPr="001C59C3">
              <w:rPr>
                <w:rFonts w:ascii="Arial Narrow" w:eastAsiaTheme="majorEastAsia" w:hAnsi="Arial Narrow" w:cstheme="majorBidi"/>
                <w:bCs/>
                <w:sz w:val="20"/>
              </w:rPr>
              <w:t>Treatment persistence in non-responders</w:t>
            </w:r>
          </w:p>
        </w:tc>
        <w:tc>
          <w:tcPr>
            <w:tcW w:w="2032" w:type="pct"/>
            <w:shd w:val="clear" w:color="auto" w:fill="auto"/>
            <w:vAlign w:val="center"/>
          </w:tcPr>
          <w:p w14:paraId="5F5018D1" w14:textId="77777777" w:rsidR="000F4F0F" w:rsidRPr="001C59C3" w:rsidRDefault="000F4F0F" w:rsidP="00776D51">
            <w:pPr>
              <w:jc w:val="left"/>
              <w:rPr>
                <w:rFonts w:ascii="Arial Narrow" w:eastAsiaTheme="majorEastAsia" w:hAnsi="Arial Narrow" w:cstheme="majorBidi"/>
                <w:bCs/>
                <w:sz w:val="20"/>
              </w:rPr>
            </w:pPr>
            <w:r w:rsidRPr="001C59C3">
              <w:rPr>
                <w:rFonts w:ascii="Arial Narrow" w:eastAsiaTheme="majorEastAsia" w:hAnsi="Arial Narrow" w:cstheme="majorBidi"/>
                <w:bCs/>
                <w:sz w:val="20"/>
              </w:rPr>
              <w:t>86.7%. Based on treatment discontinuations observed in the KALM double-blind trials (13.3%).</w:t>
            </w:r>
          </w:p>
        </w:tc>
        <w:tc>
          <w:tcPr>
            <w:tcW w:w="2016" w:type="pct"/>
            <w:shd w:val="clear" w:color="auto" w:fill="auto"/>
            <w:vAlign w:val="center"/>
          </w:tcPr>
          <w:p w14:paraId="1ED50329" w14:textId="77777777" w:rsidR="000F4F0F" w:rsidRPr="001C59C3" w:rsidRDefault="000F4F0F" w:rsidP="00776D51">
            <w:pPr>
              <w:jc w:val="left"/>
              <w:rPr>
                <w:rFonts w:ascii="Arial Narrow" w:eastAsiaTheme="majorEastAsia" w:hAnsi="Arial Narrow" w:cstheme="majorBidi"/>
                <w:bCs/>
                <w:sz w:val="20"/>
              </w:rPr>
            </w:pPr>
            <w:r w:rsidRPr="001C59C3">
              <w:rPr>
                <w:rFonts w:ascii="Arial Narrow" w:eastAsiaTheme="majorEastAsia" w:hAnsi="Arial Narrow" w:cstheme="majorBidi"/>
                <w:bCs/>
                <w:sz w:val="20"/>
              </w:rPr>
              <w:t>This appeared reasonable.</w:t>
            </w:r>
          </w:p>
        </w:tc>
      </w:tr>
      <w:tr w:rsidR="000F4F0F" w:rsidRPr="001C59C3" w14:paraId="52512320" w14:textId="77777777" w:rsidTr="00483AAF">
        <w:trPr>
          <w:cantSplit/>
        </w:trPr>
        <w:tc>
          <w:tcPr>
            <w:tcW w:w="952" w:type="pct"/>
            <w:shd w:val="clear" w:color="auto" w:fill="auto"/>
            <w:vAlign w:val="center"/>
          </w:tcPr>
          <w:p w14:paraId="779E65F3" w14:textId="77777777" w:rsidR="000F4F0F" w:rsidRPr="001C59C3" w:rsidRDefault="000F4F0F" w:rsidP="00776D51">
            <w:pPr>
              <w:jc w:val="left"/>
              <w:rPr>
                <w:rFonts w:ascii="Arial Narrow" w:eastAsiaTheme="majorEastAsia" w:hAnsi="Arial Narrow" w:cstheme="majorBidi"/>
                <w:bCs/>
                <w:sz w:val="20"/>
              </w:rPr>
            </w:pPr>
            <w:r w:rsidRPr="001C59C3">
              <w:rPr>
                <w:rFonts w:ascii="Arial Narrow" w:eastAsiaTheme="majorEastAsia" w:hAnsi="Arial Narrow" w:cstheme="majorBidi"/>
                <w:bCs/>
                <w:sz w:val="20"/>
              </w:rPr>
              <w:t>Treatment duration in persistent and non-persistent responders</w:t>
            </w:r>
          </w:p>
        </w:tc>
        <w:tc>
          <w:tcPr>
            <w:tcW w:w="2032" w:type="pct"/>
            <w:shd w:val="clear" w:color="auto" w:fill="auto"/>
            <w:vAlign w:val="center"/>
          </w:tcPr>
          <w:p w14:paraId="12BA1364" w14:textId="6374ED3A" w:rsidR="000F4F0F" w:rsidRPr="001C59C3" w:rsidRDefault="00795387" w:rsidP="00776D51">
            <w:pPr>
              <w:jc w:val="left"/>
              <w:rPr>
                <w:rFonts w:ascii="Arial Narrow" w:eastAsiaTheme="majorEastAsia" w:hAnsi="Arial Narrow" w:cstheme="majorBidi"/>
                <w:bCs/>
                <w:sz w:val="20"/>
              </w:rPr>
            </w:pPr>
            <w:r w:rsidRPr="001C59C3">
              <w:rPr>
                <w:rFonts w:ascii="Arial Narrow" w:eastAsiaTheme="majorEastAsia" w:hAnsi="Arial Narrow" w:cstheme="majorBidi"/>
                <w:bCs/>
                <w:sz w:val="20"/>
              </w:rPr>
              <w:t xml:space="preserve">Assumed as </w:t>
            </w:r>
            <w:r w:rsidR="000F4F0F" w:rsidRPr="001C59C3">
              <w:rPr>
                <w:rFonts w:ascii="Arial Narrow" w:eastAsiaTheme="majorEastAsia" w:hAnsi="Arial Narrow" w:cstheme="majorBidi"/>
                <w:bCs/>
                <w:sz w:val="20"/>
              </w:rPr>
              <w:t>1 year in persistent responders and 32 weeks in non-persistent responders. Non-persistent responders were assumed to have perfect persistence in the first 12 weeks and then discontinued mid-way through the remaining continuation phase of 40 weeks (calculated as 12 weeks + 20 weeks).</w:t>
            </w:r>
          </w:p>
        </w:tc>
        <w:tc>
          <w:tcPr>
            <w:tcW w:w="2016" w:type="pct"/>
            <w:shd w:val="clear" w:color="auto" w:fill="auto"/>
            <w:vAlign w:val="center"/>
          </w:tcPr>
          <w:p w14:paraId="07869D67" w14:textId="700F7988" w:rsidR="000F4F0F" w:rsidRPr="001C59C3" w:rsidRDefault="000F4F0F" w:rsidP="00776D51">
            <w:pPr>
              <w:jc w:val="left"/>
              <w:rPr>
                <w:rFonts w:ascii="Arial Narrow" w:eastAsiaTheme="majorEastAsia" w:hAnsi="Arial Narrow" w:cstheme="majorBidi"/>
                <w:bCs/>
                <w:sz w:val="20"/>
              </w:rPr>
            </w:pPr>
            <w:r w:rsidRPr="001C59C3">
              <w:rPr>
                <w:rFonts w:ascii="Arial Narrow" w:eastAsiaTheme="majorEastAsia" w:hAnsi="Arial Narrow" w:cstheme="majorBidi"/>
                <w:bCs/>
                <w:sz w:val="20"/>
              </w:rPr>
              <w:t xml:space="preserve">No justification was provided for the assumed 1-year treatment duration, with no ability to continue treatment in subsequent years. The </w:t>
            </w:r>
            <w:r w:rsidR="00DA04B9" w:rsidRPr="001C59C3">
              <w:rPr>
                <w:rFonts w:ascii="Arial Narrow" w:eastAsiaTheme="majorEastAsia" w:hAnsi="Arial Narrow" w:cstheme="majorBidi"/>
                <w:bCs/>
                <w:sz w:val="20"/>
              </w:rPr>
              <w:t xml:space="preserve">evaluation considered the </w:t>
            </w:r>
            <w:r w:rsidRPr="001C59C3">
              <w:rPr>
                <w:rFonts w:ascii="Arial Narrow" w:eastAsiaTheme="majorEastAsia" w:hAnsi="Arial Narrow" w:cstheme="majorBidi"/>
                <w:bCs/>
                <w:sz w:val="20"/>
              </w:rPr>
              <w:t>average treatment duration for responders is likely underestimated.</w:t>
            </w:r>
            <w:r w:rsidR="00DA04B9" w:rsidRPr="001C59C3">
              <w:rPr>
                <w:rFonts w:ascii="Arial Narrow" w:eastAsiaTheme="majorEastAsia" w:hAnsi="Arial Narrow" w:cstheme="majorBidi"/>
                <w:bCs/>
                <w:sz w:val="20"/>
              </w:rPr>
              <w:t xml:space="preserve"> The PSCR argued the prevalence</w:t>
            </w:r>
            <w:r w:rsidR="009D49D5" w:rsidRPr="001C59C3">
              <w:rPr>
                <w:rFonts w:ascii="Arial Narrow" w:eastAsiaTheme="majorEastAsia" w:hAnsi="Arial Narrow" w:cstheme="majorBidi"/>
                <w:bCs/>
                <w:sz w:val="20"/>
              </w:rPr>
              <w:t>-</w:t>
            </w:r>
            <w:r w:rsidR="00DA04B9" w:rsidRPr="001C59C3">
              <w:rPr>
                <w:rFonts w:ascii="Arial Narrow" w:eastAsiaTheme="majorEastAsia" w:hAnsi="Arial Narrow" w:cstheme="majorBidi"/>
                <w:bCs/>
                <w:sz w:val="20"/>
              </w:rPr>
              <w:t xml:space="preserve">based approach means that the financial estimates do not assume a treatment duration cap of 1 year </w:t>
            </w:r>
            <w:r w:rsidR="001B6504" w:rsidRPr="001C59C3">
              <w:rPr>
                <w:rFonts w:ascii="Arial Narrow" w:eastAsiaTheme="majorEastAsia" w:hAnsi="Arial Narrow" w:cstheme="majorBidi"/>
                <w:bCs/>
                <w:sz w:val="20"/>
              </w:rPr>
              <w:t>as patients continuing treatment beyond one year are reflected and counted in the analysis as the subsequent year’s prevalent pool of patients on treatment</w:t>
            </w:r>
            <w:r w:rsidR="00DA04B9" w:rsidRPr="001C59C3">
              <w:rPr>
                <w:rFonts w:ascii="Arial Narrow" w:eastAsiaTheme="majorEastAsia" w:hAnsi="Arial Narrow" w:cstheme="majorBidi"/>
                <w:bCs/>
                <w:sz w:val="20"/>
              </w:rPr>
              <w:t>.</w:t>
            </w:r>
          </w:p>
        </w:tc>
      </w:tr>
      <w:tr w:rsidR="000F4F0F" w:rsidRPr="001C59C3" w14:paraId="5CDFD97B" w14:textId="77777777" w:rsidTr="00483AAF">
        <w:trPr>
          <w:cantSplit/>
        </w:trPr>
        <w:tc>
          <w:tcPr>
            <w:tcW w:w="952" w:type="pct"/>
            <w:shd w:val="clear" w:color="auto" w:fill="auto"/>
            <w:vAlign w:val="center"/>
          </w:tcPr>
          <w:p w14:paraId="0DBD70FF" w14:textId="77777777" w:rsidR="000F4F0F" w:rsidRPr="001C59C3" w:rsidRDefault="000F4F0F" w:rsidP="00776D51">
            <w:pPr>
              <w:jc w:val="left"/>
              <w:rPr>
                <w:rFonts w:ascii="Arial Narrow" w:eastAsiaTheme="majorEastAsia" w:hAnsi="Arial Narrow" w:cstheme="majorBidi"/>
                <w:bCs/>
                <w:sz w:val="20"/>
              </w:rPr>
            </w:pPr>
            <w:r w:rsidRPr="001C59C3">
              <w:rPr>
                <w:rFonts w:ascii="Arial Narrow" w:eastAsiaTheme="majorEastAsia" w:hAnsi="Arial Narrow" w:cstheme="majorBidi"/>
                <w:bCs/>
                <w:sz w:val="20"/>
              </w:rPr>
              <w:t>Treatment duration in persistent and non-persistent non-responders</w:t>
            </w:r>
          </w:p>
        </w:tc>
        <w:tc>
          <w:tcPr>
            <w:tcW w:w="2032" w:type="pct"/>
            <w:shd w:val="clear" w:color="auto" w:fill="auto"/>
            <w:vAlign w:val="center"/>
          </w:tcPr>
          <w:p w14:paraId="37A4AF78" w14:textId="77777777" w:rsidR="000F4F0F" w:rsidRPr="001C59C3" w:rsidRDefault="000F4F0F" w:rsidP="00776D51">
            <w:pPr>
              <w:jc w:val="left"/>
              <w:rPr>
                <w:rFonts w:ascii="Arial Narrow" w:eastAsiaTheme="majorEastAsia" w:hAnsi="Arial Narrow" w:cstheme="majorBidi"/>
                <w:bCs/>
                <w:sz w:val="20"/>
              </w:rPr>
            </w:pPr>
            <w:r w:rsidRPr="001C59C3">
              <w:rPr>
                <w:rFonts w:ascii="Arial Narrow" w:eastAsiaTheme="majorEastAsia" w:hAnsi="Arial Narrow" w:cstheme="majorBidi"/>
                <w:bCs/>
                <w:sz w:val="20"/>
              </w:rPr>
              <w:t>12 weeks in persistent non-responders and 6 weeks in non-persistent non-responders. Non-persistent non-responders were assumed to stop treatment mid-way through the induction period (i.e. at 6 weeks).</w:t>
            </w:r>
          </w:p>
        </w:tc>
        <w:tc>
          <w:tcPr>
            <w:tcW w:w="2016" w:type="pct"/>
            <w:shd w:val="clear" w:color="auto" w:fill="auto"/>
            <w:vAlign w:val="center"/>
          </w:tcPr>
          <w:p w14:paraId="43EC5759" w14:textId="77777777" w:rsidR="000F4F0F" w:rsidRPr="001C59C3" w:rsidRDefault="000F4F0F" w:rsidP="00776D51">
            <w:pPr>
              <w:jc w:val="left"/>
              <w:rPr>
                <w:rFonts w:ascii="Arial Narrow" w:eastAsiaTheme="majorEastAsia" w:hAnsi="Arial Narrow" w:cstheme="majorBidi"/>
                <w:bCs/>
                <w:sz w:val="20"/>
              </w:rPr>
            </w:pPr>
            <w:r w:rsidRPr="001C59C3">
              <w:rPr>
                <w:rFonts w:ascii="Arial Narrow" w:eastAsiaTheme="majorEastAsia" w:hAnsi="Arial Narrow" w:cstheme="majorBidi"/>
                <w:bCs/>
                <w:sz w:val="20"/>
              </w:rPr>
              <w:t xml:space="preserve">The simplified approach used to estimate the average treatment duration for non-persistent patients (linear trend) may be reasonable given the relatively short induction period with likely minimal impact on financial estimates. </w:t>
            </w:r>
          </w:p>
        </w:tc>
      </w:tr>
      <w:tr w:rsidR="000F4F0F" w:rsidRPr="001C59C3" w14:paraId="0B48911A" w14:textId="77777777" w:rsidTr="00483AAF">
        <w:trPr>
          <w:cantSplit/>
        </w:trPr>
        <w:tc>
          <w:tcPr>
            <w:tcW w:w="952" w:type="pct"/>
            <w:shd w:val="clear" w:color="auto" w:fill="auto"/>
            <w:vAlign w:val="center"/>
          </w:tcPr>
          <w:p w14:paraId="12A72FF5" w14:textId="77777777" w:rsidR="000F4F0F" w:rsidRPr="001C59C3" w:rsidRDefault="000F4F0F" w:rsidP="00776D51">
            <w:pPr>
              <w:jc w:val="left"/>
              <w:rPr>
                <w:rFonts w:ascii="Arial Narrow" w:eastAsiaTheme="majorEastAsia" w:hAnsi="Arial Narrow" w:cstheme="majorBidi"/>
                <w:bCs/>
                <w:sz w:val="20"/>
              </w:rPr>
            </w:pPr>
            <w:r w:rsidRPr="001C59C3">
              <w:rPr>
                <w:rFonts w:ascii="Arial Narrow" w:eastAsiaTheme="majorEastAsia" w:hAnsi="Arial Narrow" w:cstheme="majorBidi"/>
                <w:bCs/>
                <w:sz w:val="20"/>
              </w:rPr>
              <w:t>Treatment adherence</w:t>
            </w:r>
          </w:p>
        </w:tc>
        <w:tc>
          <w:tcPr>
            <w:tcW w:w="2032" w:type="pct"/>
            <w:shd w:val="clear" w:color="auto" w:fill="auto"/>
            <w:vAlign w:val="center"/>
          </w:tcPr>
          <w:p w14:paraId="32E78F8A" w14:textId="77777777" w:rsidR="000F4F0F" w:rsidRPr="001C59C3" w:rsidRDefault="000F4F0F" w:rsidP="00776D51">
            <w:pPr>
              <w:jc w:val="left"/>
              <w:rPr>
                <w:rFonts w:ascii="Arial Narrow" w:eastAsiaTheme="majorEastAsia" w:hAnsi="Arial Narrow" w:cstheme="majorBidi"/>
                <w:bCs/>
                <w:sz w:val="20"/>
              </w:rPr>
            </w:pPr>
            <w:r w:rsidRPr="001C59C3">
              <w:rPr>
                <w:rFonts w:ascii="Arial Narrow" w:eastAsiaTheme="majorEastAsia" w:hAnsi="Arial Narrow" w:cstheme="majorBidi"/>
                <w:bCs/>
                <w:sz w:val="20"/>
              </w:rPr>
              <w:t>94.45% based on the KALM trials</w:t>
            </w:r>
          </w:p>
        </w:tc>
        <w:tc>
          <w:tcPr>
            <w:tcW w:w="2016" w:type="pct"/>
            <w:shd w:val="clear" w:color="auto" w:fill="auto"/>
            <w:vAlign w:val="center"/>
          </w:tcPr>
          <w:p w14:paraId="787A6A2F" w14:textId="41E8ECD3" w:rsidR="000F4F0F" w:rsidRPr="001C59C3" w:rsidRDefault="000F4F0F" w:rsidP="00776D51">
            <w:pPr>
              <w:jc w:val="left"/>
              <w:rPr>
                <w:rFonts w:ascii="Arial Narrow" w:eastAsiaTheme="majorEastAsia" w:hAnsi="Arial Narrow" w:cstheme="majorBidi"/>
                <w:bCs/>
                <w:sz w:val="20"/>
              </w:rPr>
            </w:pPr>
            <w:r w:rsidRPr="001C59C3">
              <w:rPr>
                <w:rFonts w:ascii="Arial Narrow" w:eastAsiaTheme="majorEastAsia" w:hAnsi="Arial Narrow" w:cstheme="majorBidi"/>
                <w:bCs/>
                <w:sz w:val="20"/>
              </w:rPr>
              <w:t>Trial-based adherence may not be applicable to</w:t>
            </w:r>
            <w:r w:rsidR="00C54B28" w:rsidRPr="001C59C3">
              <w:rPr>
                <w:rFonts w:ascii="Arial Narrow" w:eastAsiaTheme="majorEastAsia" w:hAnsi="Arial Narrow" w:cstheme="majorBidi"/>
                <w:bCs/>
                <w:sz w:val="20"/>
              </w:rPr>
              <w:t xml:space="preserve"> clinical</w:t>
            </w:r>
            <w:r w:rsidRPr="001C59C3">
              <w:rPr>
                <w:rFonts w:ascii="Arial Narrow" w:eastAsiaTheme="majorEastAsia" w:hAnsi="Arial Narrow" w:cstheme="majorBidi"/>
                <w:bCs/>
                <w:sz w:val="20"/>
              </w:rPr>
              <w:t xml:space="preserve"> practice.</w:t>
            </w:r>
          </w:p>
        </w:tc>
      </w:tr>
      <w:tr w:rsidR="000F4F0F" w:rsidRPr="001C59C3" w14:paraId="2BB95025" w14:textId="77777777" w:rsidTr="00483AAF">
        <w:trPr>
          <w:cantSplit/>
        </w:trPr>
        <w:tc>
          <w:tcPr>
            <w:tcW w:w="952" w:type="pct"/>
            <w:shd w:val="clear" w:color="auto" w:fill="auto"/>
            <w:vAlign w:val="center"/>
          </w:tcPr>
          <w:p w14:paraId="79F34804" w14:textId="77777777" w:rsidR="000F4F0F" w:rsidRPr="001C59C3" w:rsidRDefault="000F4F0F" w:rsidP="00776D51">
            <w:pPr>
              <w:jc w:val="left"/>
              <w:rPr>
                <w:rFonts w:ascii="Arial Narrow" w:eastAsiaTheme="majorEastAsia" w:hAnsi="Arial Narrow" w:cstheme="majorBidi"/>
                <w:bCs/>
                <w:sz w:val="20"/>
              </w:rPr>
            </w:pPr>
            <w:r w:rsidRPr="001C59C3">
              <w:rPr>
                <w:rFonts w:ascii="Arial Narrow" w:eastAsiaTheme="majorEastAsia" w:hAnsi="Arial Narrow" w:cstheme="majorBidi"/>
                <w:bCs/>
                <w:sz w:val="20"/>
              </w:rPr>
              <w:t>Scripts per year</w:t>
            </w:r>
          </w:p>
        </w:tc>
        <w:tc>
          <w:tcPr>
            <w:tcW w:w="2032" w:type="pct"/>
            <w:shd w:val="clear" w:color="auto" w:fill="auto"/>
            <w:vAlign w:val="center"/>
          </w:tcPr>
          <w:p w14:paraId="051EBCCA" w14:textId="01D69685" w:rsidR="000F4F0F" w:rsidRPr="001C59C3" w:rsidRDefault="000F4F0F" w:rsidP="00776D51">
            <w:pPr>
              <w:jc w:val="left"/>
              <w:rPr>
                <w:rFonts w:ascii="Arial Narrow" w:eastAsiaTheme="majorEastAsia" w:hAnsi="Arial Narrow" w:cstheme="majorBidi"/>
                <w:bCs/>
                <w:sz w:val="20"/>
              </w:rPr>
            </w:pPr>
            <w:r w:rsidRPr="001C59C3">
              <w:rPr>
                <w:rFonts w:ascii="Arial Narrow" w:eastAsiaTheme="majorEastAsia" w:hAnsi="Arial Narrow" w:cstheme="majorBidi"/>
                <w:bCs/>
                <w:sz w:val="20"/>
              </w:rPr>
              <w:t>Based on 1.06 vials per dose (derived</w:t>
            </w:r>
            <w:r w:rsidR="00C54B28" w:rsidRPr="001C59C3">
              <w:rPr>
                <w:rFonts w:ascii="Arial Narrow" w:eastAsiaTheme="majorEastAsia" w:hAnsi="Arial Narrow" w:cstheme="majorBidi"/>
                <w:bCs/>
                <w:sz w:val="20"/>
              </w:rPr>
              <w:t xml:space="preserve"> from</w:t>
            </w:r>
            <w:r w:rsidRPr="001C59C3">
              <w:rPr>
                <w:rFonts w:ascii="Arial Narrow" w:eastAsiaTheme="majorEastAsia" w:hAnsi="Arial Narrow" w:cstheme="majorBidi"/>
                <w:bCs/>
                <w:sz w:val="20"/>
              </w:rPr>
              <w:t xml:space="preserve"> trial-based weight data) administered 3 times a week, estimated durations of therapy (see above) and 94.45% adherence.</w:t>
            </w:r>
          </w:p>
          <w:p w14:paraId="073D4443" w14:textId="77777777" w:rsidR="000F4F0F" w:rsidRPr="001C59C3" w:rsidRDefault="000F4F0F" w:rsidP="00776D51">
            <w:pPr>
              <w:jc w:val="left"/>
              <w:rPr>
                <w:rFonts w:ascii="Arial Narrow" w:eastAsiaTheme="majorEastAsia" w:hAnsi="Arial Narrow" w:cstheme="majorBidi"/>
                <w:bCs/>
                <w:sz w:val="20"/>
                <w:u w:val="single"/>
              </w:rPr>
            </w:pPr>
          </w:p>
          <w:p w14:paraId="54707EA1" w14:textId="77777777" w:rsidR="000F4F0F" w:rsidRPr="001C59C3" w:rsidRDefault="000F4F0F" w:rsidP="00776D51">
            <w:pPr>
              <w:jc w:val="left"/>
              <w:rPr>
                <w:rFonts w:ascii="Arial Narrow" w:eastAsiaTheme="majorEastAsia" w:hAnsi="Arial Narrow" w:cstheme="majorBidi"/>
                <w:bCs/>
                <w:sz w:val="20"/>
                <w:u w:val="single"/>
              </w:rPr>
            </w:pPr>
            <w:r w:rsidRPr="001C59C3">
              <w:rPr>
                <w:rFonts w:ascii="Arial Narrow" w:eastAsiaTheme="majorEastAsia" w:hAnsi="Arial Narrow" w:cstheme="majorBidi"/>
                <w:bCs/>
                <w:sz w:val="20"/>
                <w:u w:val="single"/>
              </w:rPr>
              <w:t>Initial scripts</w:t>
            </w:r>
          </w:p>
          <w:p w14:paraId="7AB6BA7B" w14:textId="249EEF86" w:rsidR="000F4F0F" w:rsidRPr="001C59C3" w:rsidRDefault="000F4F0F" w:rsidP="00776D51">
            <w:pPr>
              <w:jc w:val="left"/>
              <w:rPr>
                <w:rFonts w:ascii="Arial Narrow" w:eastAsiaTheme="majorEastAsia" w:hAnsi="Arial Narrow" w:cstheme="majorBidi"/>
                <w:bCs/>
                <w:sz w:val="20"/>
              </w:rPr>
            </w:pPr>
            <w:r w:rsidRPr="001C59C3">
              <w:rPr>
                <w:rFonts w:ascii="Arial Narrow" w:eastAsiaTheme="majorEastAsia" w:hAnsi="Arial Narrow" w:cstheme="majorBidi"/>
                <w:bCs/>
                <w:sz w:val="20"/>
              </w:rPr>
              <w:t>3</w:t>
            </w:r>
            <w:r w:rsidR="00B61579" w:rsidRPr="001C59C3">
              <w:rPr>
                <w:rFonts w:ascii="Arial Narrow" w:eastAsiaTheme="majorEastAsia" w:hAnsi="Arial Narrow" w:cstheme="majorBidi"/>
                <w:bCs/>
                <w:sz w:val="20"/>
              </w:rPr>
              <w:t>.0</w:t>
            </w:r>
            <w:r w:rsidRPr="001C59C3">
              <w:rPr>
                <w:rFonts w:ascii="Arial Narrow" w:eastAsiaTheme="majorEastAsia" w:hAnsi="Arial Narrow" w:cstheme="majorBidi"/>
                <w:bCs/>
                <w:sz w:val="20"/>
              </w:rPr>
              <w:t xml:space="preserve"> per persistent and non-persistent responder, 3</w:t>
            </w:r>
            <w:r w:rsidR="00B61579" w:rsidRPr="001C59C3">
              <w:rPr>
                <w:rFonts w:ascii="Arial Narrow" w:eastAsiaTheme="majorEastAsia" w:hAnsi="Arial Narrow" w:cstheme="majorBidi"/>
                <w:bCs/>
                <w:sz w:val="20"/>
              </w:rPr>
              <w:t>.0</w:t>
            </w:r>
            <w:r w:rsidRPr="001C59C3">
              <w:rPr>
                <w:rFonts w:ascii="Arial Narrow" w:eastAsiaTheme="majorEastAsia" w:hAnsi="Arial Narrow" w:cstheme="majorBidi"/>
                <w:bCs/>
                <w:sz w:val="20"/>
              </w:rPr>
              <w:t xml:space="preserve"> per persistent non-responder and 1.5 per non-persistent non-responder. </w:t>
            </w:r>
          </w:p>
          <w:p w14:paraId="4F1CF246" w14:textId="77777777" w:rsidR="000F4F0F" w:rsidRPr="001C59C3" w:rsidRDefault="000F4F0F" w:rsidP="00776D51">
            <w:pPr>
              <w:jc w:val="left"/>
              <w:rPr>
                <w:rFonts w:ascii="Arial Narrow" w:eastAsiaTheme="majorEastAsia" w:hAnsi="Arial Narrow" w:cstheme="majorBidi"/>
                <w:bCs/>
                <w:sz w:val="20"/>
              </w:rPr>
            </w:pPr>
          </w:p>
          <w:p w14:paraId="24874F5B" w14:textId="77777777" w:rsidR="000F4F0F" w:rsidRPr="001C59C3" w:rsidRDefault="000F4F0F" w:rsidP="00776D51">
            <w:pPr>
              <w:jc w:val="left"/>
              <w:rPr>
                <w:rFonts w:ascii="Arial Narrow" w:eastAsiaTheme="majorEastAsia" w:hAnsi="Arial Narrow" w:cstheme="majorBidi"/>
                <w:bCs/>
                <w:sz w:val="20"/>
                <w:u w:val="single"/>
              </w:rPr>
            </w:pPr>
            <w:r w:rsidRPr="001C59C3">
              <w:rPr>
                <w:rFonts w:ascii="Arial Narrow" w:eastAsiaTheme="majorEastAsia" w:hAnsi="Arial Narrow" w:cstheme="majorBidi"/>
                <w:bCs/>
                <w:sz w:val="20"/>
                <w:u w:val="single"/>
              </w:rPr>
              <w:t>Continuing scripts</w:t>
            </w:r>
          </w:p>
          <w:p w14:paraId="75FC2D6C" w14:textId="5335D1AE" w:rsidR="000F4F0F" w:rsidRPr="001C59C3" w:rsidRDefault="00154238" w:rsidP="00776D51">
            <w:pPr>
              <w:jc w:val="left"/>
              <w:rPr>
                <w:rFonts w:ascii="Arial Narrow" w:eastAsiaTheme="majorEastAsia" w:hAnsi="Arial Narrow" w:cstheme="majorBidi"/>
                <w:bCs/>
                <w:sz w:val="20"/>
              </w:rPr>
            </w:pPr>
            <w:r>
              <w:rPr>
                <w:rFonts w:ascii="Arial Narrow" w:eastAsiaTheme="majorEastAsia" w:hAnsi="Arial Narrow" w:cstheme="majorBidi"/>
                <w:bCs/>
                <w:sz w:val="20"/>
              </w:rPr>
              <w:t>10.1</w:t>
            </w:r>
            <w:r w:rsidR="000F4F0F" w:rsidRPr="001C59C3">
              <w:rPr>
                <w:rFonts w:ascii="Arial Narrow" w:eastAsiaTheme="majorEastAsia" w:hAnsi="Arial Narrow" w:cstheme="majorBidi"/>
                <w:bCs/>
                <w:sz w:val="20"/>
              </w:rPr>
              <w:t xml:space="preserve"> per persistent responder, </w:t>
            </w:r>
            <w:r>
              <w:rPr>
                <w:rFonts w:ascii="Arial Narrow" w:eastAsiaTheme="majorEastAsia" w:hAnsi="Arial Narrow" w:cstheme="majorBidi"/>
                <w:bCs/>
                <w:sz w:val="20"/>
              </w:rPr>
              <w:t>5.0</w:t>
            </w:r>
            <w:r w:rsidR="000F4F0F" w:rsidRPr="001C59C3">
              <w:rPr>
                <w:rFonts w:ascii="Arial Narrow" w:eastAsiaTheme="majorEastAsia" w:hAnsi="Arial Narrow" w:cstheme="majorBidi"/>
                <w:bCs/>
                <w:sz w:val="20"/>
              </w:rPr>
              <w:t xml:space="preserve"> per non-persistent responder and none for non-responders. These estimates were corrected during the evaluation as the resubmission’s estimates were calculated based on 1 vial per dose rather than 1.06 vials per dose.</w:t>
            </w:r>
          </w:p>
        </w:tc>
        <w:tc>
          <w:tcPr>
            <w:tcW w:w="2016" w:type="pct"/>
            <w:shd w:val="clear" w:color="auto" w:fill="auto"/>
            <w:vAlign w:val="center"/>
          </w:tcPr>
          <w:p w14:paraId="6667807E" w14:textId="18FC0E8D" w:rsidR="000F4F0F" w:rsidRPr="001C59C3" w:rsidRDefault="000F4F0F" w:rsidP="00776D51">
            <w:pPr>
              <w:jc w:val="left"/>
              <w:rPr>
                <w:rFonts w:ascii="Arial Narrow" w:eastAsiaTheme="majorEastAsia" w:hAnsi="Arial Narrow" w:cstheme="majorBidi"/>
                <w:bCs/>
                <w:sz w:val="20"/>
              </w:rPr>
            </w:pPr>
            <w:r w:rsidRPr="001C59C3">
              <w:rPr>
                <w:rFonts w:ascii="Arial Narrow" w:eastAsiaTheme="majorEastAsia" w:hAnsi="Arial Narrow" w:cstheme="majorBidi"/>
                <w:bCs/>
                <w:sz w:val="20"/>
              </w:rPr>
              <w:t xml:space="preserve">The DUSC previously considered the script parameters (assuming 1 vial per dose) were underestimated as some patients (those whose weight exceeds 104 kg) may require 2 vials per dose. The resubmission appropriately accounted for increased vial use due to weight-based dosing. However, the resubmission did not account for additional doses (exceeding 3 times per week) which was inconsistent with trial data suggesting approximately 23-25% of patients in the key trials received </w:t>
            </w:r>
            <w:r w:rsidR="00C54B28" w:rsidRPr="001C59C3">
              <w:rPr>
                <w:rFonts w:ascii="Arial Narrow" w:eastAsiaTheme="majorEastAsia" w:hAnsi="Arial Narrow" w:cstheme="majorBidi"/>
                <w:bCs/>
                <w:sz w:val="20"/>
              </w:rPr>
              <w:t>≥1</w:t>
            </w:r>
            <w:r w:rsidRPr="001C59C3">
              <w:rPr>
                <w:rFonts w:ascii="Arial Narrow" w:eastAsiaTheme="majorEastAsia" w:hAnsi="Arial Narrow" w:cstheme="majorBidi"/>
                <w:bCs/>
                <w:sz w:val="20"/>
              </w:rPr>
              <w:t xml:space="preserve"> additional dose over the 12-week double-blind period.</w:t>
            </w:r>
          </w:p>
        </w:tc>
      </w:tr>
    </w:tbl>
    <w:p w14:paraId="16BABEEE" w14:textId="5C49ACE4" w:rsidR="00271329" w:rsidRPr="001C59C3" w:rsidRDefault="00271329" w:rsidP="00271329">
      <w:pPr>
        <w:pStyle w:val="COMTablefooter"/>
      </w:pPr>
      <w:r w:rsidRPr="001C59C3">
        <w:t>Source: Sections 4.1-4.2, pp223-233 of the resubmission</w:t>
      </w:r>
    </w:p>
    <w:p w14:paraId="4010D40D" w14:textId="78327779" w:rsidR="00DB1A72" w:rsidRPr="001C59C3" w:rsidRDefault="00271329" w:rsidP="00946816">
      <w:pPr>
        <w:pStyle w:val="COMTablefooter"/>
      </w:pPr>
      <w:r w:rsidRPr="001C59C3">
        <w:t>Abbreviations: OLE, open-label extension; WI-NRS, Worst Itching Intensity Numeric</w:t>
      </w:r>
      <w:r w:rsidR="0078041C" w:rsidRPr="001C59C3">
        <w:t>al</w:t>
      </w:r>
      <w:r w:rsidRPr="001C59C3">
        <w:t xml:space="preserve"> Rating Scale</w:t>
      </w:r>
      <w:bookmarkStart w:id="64" w:name="_Hlk143867550"/>
    </w:p>
    <w:p w14:paraId="5E0503BE" w14:textId="5C29B753" w:rsidR="00AB7985" w:rsidRPr="001C59C3" w:rsidRDefault="00AB7985" w:rsidP="00AB7985">
      <w:pPr>
        <w:pStyle w:val="COMexecsumnumberedpara"/>
      </w:pPr>
      <w:bookmarkStart w:id="65" w:name="_Ref148013738"/>
      <w:r w:rsidRPr="001C59C3">
        <w:t xml:space="preserve">The </w:t>
      </w:r>
      <w:r w:rsidR="001804C0" w:rsidRPr="001C59C3">
        <w:t xml:space="preserve">evaluation noted the </w:t>
      </w:r>
      <w:r w:rsidRPr="001C59C3">
        <w:t>observed differences between</w:t>
      </w:r>
      <w:r w:rsidR="001804C0" w:rsidRPr="001C59C3">
        <w:t xml:space="preserve"> </w:t>
      </w:r>
      <w:r w:rsidRPr="001C59C3">
        <w:t>submission</w:t>
      </w:r>
      <w:r w:rsidR="001804C0" w:rsidRPr="001C59C3">
        <w:t>s</w:t>
      </w:r>
      <w:r w:rsidRPr="001C59C3">
        <w:t xml:space="preserve"> </w:t>
      </w:r>
      <w:r w:rsidR="001804C0" w:rsidRPr="001C59C3">
        <w:t xml:space="preserve">(see </w:t>
      </w:r>
      <w:r w:rsidR="001804C0" w:rsidRPr="001C59C3">
        <w:fldChar w:fldCharType="begin" w:fldLock="1"/>
      </w:r>
      <w:r w:rsidR="001804C0" w:rsidRPr="001C59C3">
        <w:instrText xml:space="preserve"> REF _Ref104805295 \h </w:instrText>
      </w:r>
      <w:r w:rsidR="001804C0" w:rsidRPr="001C59C3">
        <w:fldChar w:fldCharType="separate"/>
      </w:r>
      <w:r w:rsidR="001804C0" w:rsidRPr="001C59C3">
        <w:t xml:space="preserve">Table </w:t>
      </w:r>
      <w:r w:rsidR="001804C0" w:rsidRPr="009D1BB6">
        <w:t>14</w:t>
      </w:r>
      <w:r w:rsidR="001804C0" w:rsidRPr="001C59C3">
        <w:fldChar w:fldCharType="end"/>
      </w:r>
      <w:r w:rsidR="001804C0" w:rsidRPr="001C59C3">
        <w:t xml:space="preserve">) </w:t>
      </w:r>
      <w:r w:rsidRPr="001C59C3">
        <w:t xml:space="preserve">were primarily due to structural changes with the use of a simple, prevalence-based approach that did not include additional mortality or prior treatment exposure adjustments that were applied in the previous submission. The removal of additional </w:t>
      </w:r>
      <w:r w:rsidRPr="001C59C3">
        <w:lastRenderedPageBreak/>
        <w:t>mortality adjustments was consistent with recommendations from the DUSC. The ESC acknowledged that the resubmission had adopted the simple prevalence approach advised by DUSC in March 2023. However, the ESC considered the resubmission had not adjusted key input assumptions to account for the change to a simple prevalence-based approach.</w:t>
      </w:r>
      <w:bookmarkEnd w:id="65"/>
    </w:p>
    <w:p w14:paraId="016D710F" w14:textId="1CB64215" w:rsidR="00AB7985" w:rsidRPr="001C59C3" w:rsidRDefault="00AB7985" w:rsidP="00AB7985">
      <w:pPr>
        <w:pStyle w:val="COMexecsumnumberedpara"/>
      </w:pPr>
      <w:bookmarkStart w:id="66" w:name="_Ref150517655"/>
      <w:bookmarkStart w:id="67" w:name="_Ref150432292"/>
      <w:r w:rsidRPr="001C59C3">
        <w:t xml:space="preserve">The ESC considered the uptake rate was a key input assumption that required adjustment with the adoption of a simple prevalence approach. The ESC acknowledged the PSCR argument that the resubmission used the same uptake rates as per the March 2023 </w:t>
      </w:r>
      <w:r w:rsidR="00CE44D0" w:rsidRPr="001C59C3">
        <w:t>submission and</w:t>
      </w:r>
      <w:r w:rsidRPr="001C59C3">
        <w:t xml:space="preserve"> noted that these had previously been considered reasonable by DUSC when applied to an eligible population that was adjusted for prior treatment exposure and mortality. However, the ESC considered the application of this approach in the current resubmission resulted in treated patient estimates that were implausibly large as it was based on relatively high uptake rates applied to the unadjusted eligible population estimates. The ESC considered that, given the proportion of patients with a response was assumed to be 51.3%, the assumption that the proportion of the eligible population treated with difelikefalin would continue to increase from 70% in Year 1 to 90% in Year 6 was not appropriate</w:t>
      </w:r>
      <w:r w:rsidR="001C59C3">
        <w:t xml:space="preserve">. </w:t>
      </w:r>
      <w:r w:rsidR="00A55B9F" w:rsidRPr="001C59C3">
        <w:t xml:space="preserve">The </w:t>
      </w:r>
      <w:r w:rsidR="00DB1A72" w:rsidRPr="001C59C3">
        <w:t>p</w:t>
      </w:r>
      <w:r w:rsidR="00A55B9F" w:rsidRPr="001C59C3">
        <w:t xml:space="preserve">re-PBAC Response acknowledged the advice of the ESC and </w:t>
      </w:r>
      <w:r w:rsidR="00896414" w:rsidRPr="001C59C3">
        <w:t xml:space="preserve">provided revised financial estimates that </w:t>
      </w:r>
      <w:r w:rsidR="002A4E67" w:rsidRPr="001C59C3">
        <w:t>amended</w:t>
      </w:r>
      <w:r w:rsidR="009C1595" w:rsidRPr="001C59C3">
        <w:t xml:space="preserve"> the uptake rate </w:t>
      </w:r>
      <w:r w:rsidR="00A55B9F" w:rsidRPr="001C59C3">
        <w:t>to 30% in Year 1, 45% in Year 2</w:t>
      </w:r>
      <w:r w:rsidR="009C1595" w:rsidRPr="001C59C3">
        <w:t xml:space="preserve"> and</w:t>
      </w:r>
      <w:r w:rsidR="00A55B9F" w:rsidRPr="001C59C3">
        <w:t>,</w:t>
      </w:r>
      <w:r w:rsidR="009C1595" w:rsidRPr="001C59C3">
        <w:t xml:space="preserve"> increasing by </w:t>
      </w:r>
      <w:r w:rsidR="00A55B9F" w:rsidRPr="001C59C3">
        <w:t>10% per year up to a total of 75% in Year 6</w:t>
      </w:r>
      <w:r w:rsidR="009C1595" w:rsidRPr="001C59C3">
        <w:t>.</w:t>
      </w:r>
      <w:bookmarkEnd w:id="66"/>
      <w:bookmarkEnd w:id="67"/>
    </w:p>
    <w:p w14:paraId="5E97088A" w14:textId="1711D3DB" w:rsidR="00AB7985" w:rsidRPr="001C59C3" w:rsidRDefault="00AB7985" w:rsidP="00AB7985">
      <w:pPr>
        <w:pStyle w:val="COMexecsumnumberedpara"/>
      </w:pPr>
      <w:bookmarkStart w:id="68" w:name="_Ref150517449"/>
      <w:bookmarkStart w:id="69" w:name="_Ref150432393"/>
      <w:r w:rsidRPr="001C59C3">
        <w:t xml:space="preserve">The ESC acknowledged that the increasing rate of CKD-associated pruritus used in the resubmission was consistent with the March 2023 DUSC advice. However, like the uptake rate, the ESC considered this assumption should be amended to account for the simple prevalence approach used in the resubmission. The ESC considered that the application of a constant rate of diagnosis across time (83%) would likely be more appropriate in this context. </w:t>
      </w:r>
      <w:r w:rsidR="00A55B9F" w:rsidRPr="001C59C3">
        <w:t xml:space="preserve">The </w:t>
      </w:r>
      <w:r w:rsidR="00DB1A72" w:rsidRPr="001C59C3">
        <w:t>p</w:t>
      </w:r>
      <w:r w:rsidR="00A55B9F" w:rsidRPr="001C59C3">
        <w:t>re-PBAC Response</w:t>
      </w:r>
      <w:r w:rsidR="00896414" w:rsidRPr="001C59C3">
        <w:t xml:space="preserve"> provided revised financials that included a constant rate of diagnosis across time (83%) as per ESC advice.</w:t>
      </w:r>
      <w:bookmarkEnd w:id="68"/>
      <w:r w:rsidR="00A55B9F" w:rsidRPr="001C59C3">
        <w:t xml:space="preserve"> </w:t>
      </w:r>
      <w:bookmarkEnd w:id="69"/>
    </w:p>
    <w:p w14:paraId="6ABC525E" w14:textId="21F94330" w:rsidR="00AB7985" w:rsidRPr="001C59C3" w:rsidRDefault="00AB7985" w:rsidP="005F0B86">
      <w:pPr>
        <w:pStyle w:val="COMexecsumnumberedpara"/>
      </w:pPr>
      <w:bookmarkStart w:id="70" w:name="_Ref143791877"/>
      <w:bookmarkStart w:id="71" w:name="_Ref148013756"/>
      <w:bookmarkStart w:id="72" w:name="_Ref150770395"/>
      <w:r w:rsidRPr="001C59C3">
        <w:t xml:space="preserve">All treated patients in each year were assumed to receive initial treatment for up to 12 weeks. The evaluation considered there were also additional concerns regarding the inconsistent application of discontinuation rates between responders (perfect persistence in the first 12 weeks of treatment) and non-responders (13.3% discontinuation rate in the first 12 weeks of treatment) (see </w:t>
      </w:r>
      <w:r w:rsidRPr="001C59C3">
        <w:fldChar w:fldCharType="begin" w:fldLock="1"/>
      </w:r>
      <w:r w:rsidRPr="001C59C3">
        <w:instrText xml:space="preserve"> REF _Ref104805262 \h  \* MERGEFORMAT </w:instrText>
      </w:r>
      <w:r w:rsidRPr="001C59C3">
        <w:fldChar w:fldCharType="separate"/>
      </w:r>
      <w:r w:rsidRPr="001C59C3">
        <w:t xml:space="preserve">Table </w:t>
      </w:r>
      <w:r w:rsidRPr="009D1BB6">
        <w:t>13</w:t>
      </w:r>
      <w:r w:rsidRPr="001C59C3">
        <w:fldChar w:fldCharType="end"/>
      </w:r>
      <w:r w:rsidRPr="001C59C3">
        <w:t xml:space="preserve"> above). The ESC considered the proportion of patients experiencing a response was not adequately incorporated in the simple prevalence approach presented in the submission. As such, the ESC considered the estimated script numbers were also implausibly large. </w:t>
      </w:r>
      <w:bookmarkEnd w:id="70"/>
      <w:bookmarkEnd w:id="71"/>
      <w:r w:rsidR="003C1D9F" w:rsidRPr="001C59C3">
        <w:t xml:space="preserve">The </w:t>
      </w:r>
      <w:r w:rsidR="00896414" w:rsidRPr="001C59C3">
        <w:t>p</w:t>
      </w:r>
      <w:r w:rsidR="003C1D9F" w:rsidRPr="001C59C3">
        <w:t>re-PBAC Response argued the model applie</w:t>
      </w:r>
      <w:r w:rsidR="002A4E67" w:rsidRPr="001C59C3">
        <w:t>d</w:t>
      </w:r>
      <w:r w:rsidR="003C1D9F" w:rsidRPr="001C59C3">
        <w:t xml:space="preserve"> discontinuations appropriately and that these have been additionally accounted for in the reduced uptake rates </w:t>
      </w:r>
      <w:r w:rsidR="00896414" w:rsidRPr="001C59C3">
        <w:t>of the revised financial estimates provided</w:t>
      </w:r>
      <w:r w:rsidR="003C1D9F" w:rsidRPr="001C59C3">
        <w:t>.</w:t>
      </w:r>
      <w:bookmarkEnd w:id="72"/>
    </w:p>
    <w:bookmarkEnd w:id="64"/>
    <w:p w14:paraId="26FB6670" w14:textId="130FFCE0" w:rsidR="00B505C8" w:rsidRPr="001C59C3" w:rsidRDefault="0008403F" w:rsidP="002A4E67">
      <w:pPr>
        <w:pStyle w:val="COMexecsumnumberedpara"/>
      </w:pPr>
      <w:r w:rsidRPr="001C59C3">
        <w:t xml:space="preserve">The estimated use and financial impact of difelikefalin to the PBS/RPBS over the first 6 years of listing is summarised in </w:t>
      </w:r>
      <w:r w:rsidR="009E616E" w:rsidRPr="001C59C3">
        <w:fldChar w:fldCharType="begin" w:fldLock="1"/>
      </w:r>
      <w:r w:rsidR="009E616E" w:rsidRPr="001C59C3">
        <w:instrText xml:space="preserve"> REF _Ref104805295 \h </w:instrText>
      </w:r>
      <w:r w:rsidR="00C374DC" w:rsidRPr="001C59C3">
        <w:instrText xml:space="preserve"> \* MERGEFORMAT </w:instrText>
      </w:r>
      <w:r w:rsidR="009E616E" w:rsidRPr="001C59C3">
        <w:fldChar w:fldCharType="separate"/>
      </w:r>
      <w:r w:rsidR="009E616E" w:rsidRPr="001C59C3">
        <w:t xml:space="preserve">Table </w:t>
      </w:r>
      <w:r w:rsidR="009E616E" w:rsidRPr="009D1BB6">
        <w:t>14</w:t>
      </w:r>
      <w:r w:rsidR="009E616E" w:rsidRPr="001C59C3">
        <w:fldChar w:fldCharType="end"/>
      </w:r>
      <w:r w:rsidR="0062263F" w:rsidRPr="001C59C3">
        <w:t xml:space="preserve">. </w:t>
      </w:r>
      <w:r w:rsidR="00A16B98" w:rsidRPr="001C59C3">
        <w:t xml:space="preserve">The financial estimates were corrected during the evaluation using a revised effective DPMQ of </w:t>
      </w:r>
      <w:r w:rsidR="00D014A3">
        <w:t>$</w:t>
      </w:r>
      <w:r w:rsidR="008A42F6" w:rsidRPr="00690B5F">
        <w:rPr>
          <w:color w:val="000000"/>
          <w:w w:val="15"/>
          <w:shd w:val="solid" w:color="000000" w:fill="000000"/>
          <w:fitText w:val="-20" w:id="-1032102651"/>
          <w14:textFill>
            <w14:solidFill>
              <w14:srgbClr w14:val="000000">
                <w14:alpha w14:val="100000"/>
              </w14:srgbClr>
            </w14:solidFill>
          </w14:textFill>
        </w:rPr>
        <w:t xml:space="preserve">|  </w:t>
      </w:r>
      <w:r w:rsidR="008A42F6" w:rsidRPr="00690B5F">
        <w:rPr>
          <w:color w:val="000000"/>
          <w:spacing w:val="-69"/>
          <w:w w:val="15"/>
          <w:shd w:val="solid" w:color="000000" w:fill="000000"/>
          <w:fitText w:val="-20" w:id="-1032102651"/>
          <w14:textFill>
            <w14:solidFill>
              <w14:srgbClr w14:val="000000">
                <w14:alpha w14:val="100000"/>
              </w14:srgbClr>
            </w14:solidFill>
          </w14:textFill>
        </w:rPr>
        <w:t>|</w:t>
      </w:r>
      <w:r w:rsidR="00A16B98" w:rsidRPr="001C59C3">
        <w:t xml:space="preserve"> instead of </w:t>
      </w:r>
      <w:r w:rsidR="00D014A3">
        <w:t>$</w:t>
      </w:r>
      <w:r w:rsidR="008A42F6" w:rsidRPr="00690B5F">
        <w:rPr>
          <w:color w:val="000000"/>
          <w:w w:val="15"/>
          <w:shd w:val="solid" w:color="000000" w:fill="000000"/>
          <w:fitText w:val="-20" w:id="-1032102650"/>
          <w14:textFill>
            <w14:solidFill>
              <w14:srgbClr w14:val="000000">
                <w14:alpha w14:val="100000"/>
              </w14:srgbClr>
            </w14:solidFill>
          </w14:textFill>
        </w:rPr>
        <w:t xml:space="preserve">|  </w:t>
      </w:r>
      <w:r w:rsidR="008A42F6" w:rsidRPr="00690B5F">
        <w:rPr>
          <w:color w:val="000000"/>
          <w:spacing w:val="-69"/>
          <w:w w:val="15"/>
          <w:shd w:val="solid" w:color="000000" w:fill="000000"/>
          <w:fitText w:val="-20" w:id="-1032102650"/>
          <w14:textFill>
            <w14:solidFill>
              <w14:srgbClr w14:val="000000">
                <w14:alpha w14:val="100000"/>
              </w14:srgbClr>
            </w14:solidFill>
          </w14:textFill>
        </w:rPr>
        <w:t>|</w:t>
      </w:r>
      <w:r w:rsidR="00A16B98" w:rsidRPr="001C59C3">
        <w:t xml:space="preserve"> in the resubmission. There was also an error in the continuing script estimates of the </w:t>
      </w:r>
      <w:r w:rsidR="00A16B98" w:rsidRPr="001C59C3">
        <w:lastRenderedPageBreak/>
        <w:t>resubmission that were based on 1 vial per dose of difelikefalin instead of 1.06 vials per dose. This was also corrected during the evaluation.</w:t>
      </w:r>
      <w:r w:rsidR="00AB7985" w:rsidRPr="001C59C3">
        <w:t xml:space="preserve"> </w:t>
      </w:r>
      <w:r w:rsidR="002A4E67" w:rsidRPr="001C59C3">
        <w:t>The revised financial estimates provided in the pre</w:t>
      </w:r>
      <w:r w:rsidR="00AB7985" w:rsidRPr="001C59C3">
        <w:t>-PBAC Response are included in the below table.</w:t>
      </w:r>
      <w:r w:rsidR="00AA1225" w:rsidRPr="001C59C3">
        <w:t xml:space="preserve"> The pre-PBAC Response estimates did not correct for the error in the continuing script estimates identified during the evaluation</w:t>
      </w:r>
      <w:r w:rsidR="00D63CF7" w:rsidRPr="001C59C3">
        <w:t xml:space="preserve"> and </w:t>
      </w:r>
      <w:r w:rsidR="00A366FB" w:rsidRPr="001C59C3">
        <w:t xml:space="preserve">applied a DPMQ of </w:t>
      </w:r>
      <w:r w:rsidR="00D014A3">
        <w:t>$</w:t>
      </w:r>
      <w:r w:rsidR="008A42F6" w:rsidRPr="00690B5F">
        <w:rPr>
          <w:color w:val="000000"/>
          <w:w w:val="15"/>
          <w:shd w:val="solid" w:color="000000" w:fill="000000"/>
          <w:fitText w:val="-20" w:id="-1032102649"/>
          <w14:textFill>
            <w14:solidFill>
              <w14:srgbClr w14:val="000000">
                <w14:alpha w14:val="100000"/>
              </w14:srgbClr>
            </w14:solidFill>
          </w14:textFill>
        </w:rPr>
        <w:t xml:space="preserve">|  </w:t>
      </w:r>
      <w:r w:rsidR="008A42F6" w:rsidRPr="00690B5F">
        <w:rPr>
          <w:color w:val="000000"/>
          <w:spacing w:val="-69"/>
          <w:w w:val="15"/>
          <w:shd w:val="solid" w:color="000000" w:fill="000000"/>
          <w:fitText w:val="-20" w:id="-1032102649"/>
          <w14:textFill>
            <w14:solidFill>
              <w14:srgbClr w14:val="000000">
                <w14:alpha w14:val="100000"/>
              </w14:srgbClr>
            </w14:solidFill>
          </w14:textFill>
        </w:rPr>
        <w:t>|</w:t>
      </w:r>
      <w:r w:rsidR="00A366FB" w:rsidRPr="00F04C85">
        <w:t>which is incorrect</w:t>
      </w:r>
      <w:r w:rsidR="00AA1225" w:rsidRPr="00F04C85">
        <w:t>. Th</w:t>
      </w:r>
      <w:r w:rsidR="00A366FB" w:rsidRPr="00F04C85">
        <w:t>e</w:t>
      </w:r>
      <w:r w:rsidR="00AA1225" w:rsidRPr="00F04C85">
        <w:t xml:space="preserve"> </w:t>
      </w:r>
      <w:r w:rsidR="00A366FB" w:rsidRPr="00F04C85">
        <w:t xml:space="preserve">error in the continuing scrips has been addressed and a DPMQ of </w:t>
      </w:r>
      <w:r w:rsidR="00D014A3">
        <w:t>$</w:t>
      </w:r>
      <w:r w:rsidR="008A42F6" w:rsidRPr="00690B5F">
        <w:rPr>
          <w:color w:val="000000"/>
          <w:w w:val="15"/>
          <w:shd w:val="solid" w:color="000000" w:fill="000000"/>
          <w:fitText w:val="-20" w:id="-1032102648"/>
          <w14:textFill>
            <w14:solidFill>
              <w14:srgbClr w14:val="000000">
                <w14:alpha w14:val="100000"/>
              </w14:srgbClr>
            </w14:solidFill>
          </w14:textFill>
        </w:rPr>
        <w:t xml:space="preserve">|  </w:t>
      </w:r>
      <w:r w:rsidR="008A42F6" w:rsidRPr="00690B5F">
        <w:rPr>
          <w:color w:val="000000"/>
          <w:spacing w:val="-69"/>
          <w:w w:val="15"/>
          <w:shd w:val="solid" w:color="000000" w:fill="000000"/>
          <w:fitText w:val="-20" w:id="-1032102648"/>
          <w14:textFill>
            <w14:solidFill>
              <w14:srgbClr w14:val="000000">
                <w14:alpha w14:val="100000"/>
              </w14:srgbClr>
            </w14:solidFill>
          </w14:textFill>
        </w:rPr>
        <w:t>|</w:t>
      </w:r>
      <w:r w:rsidR="00A366FB" w:rsidRPr="00F04C85">
        <w:t xml:space="preserve"> </w:t>
      </w:r>
      <w:r w:rsidR="000B0060" w:rsidRPr="00F04C85">
        <w:t xml:space="preserve">(75% public and 25% private hospital weighting) </w:t>
      </w:r>
      <w:r w:rsidR="00A366FB" w:rsidRPr="00F04C85">
        <w:t>has been</w:t>
      </w:r>
      <w:r w:rsidR="00A366FB" w:rsidRPr="001C59C3">
        <w:t xml:space="preserve"> applied </w:t>
      </w:r>
      <w:r w:rsidR="004A20AF" w:rsidRPr="001C59C3">
        <w:t>in</w:t>
      </w:r>
      <w:r w:rsidR="00A366FB" w:rsidRPr="001C59C3">
        <w:t xml:space="preserve"> the corrected pre-PBAC Response revised estimates presented in</w:t>
      </w:r>
      <w:r w:rsidR="004A20AF" w:rsidRPr="001C59C3">
        <w:t xml:space="preserve"> </w:t>
      </w:r>
      <w:r w:rsidR="004A20AF" w:rsidRPr="001C59C3">
        <w:fldChar w:fldCharType="begin" w:fldLock="1"/>
      </w:r>
      <w:r w:rsidR="004A20AF" w:rsidRPr="001C59C3">
        <w:instrText xml:space="preserve"> REF _Ref104805295 \h  \* MERGEFORMAT </w:instrText>
      </w:r>
      <w:r w:rsidR="004A20AF" w:rsidRPr="001C59C3">
        <w:fldChar w:fldCharType="separate"/>
      </w:r>
      <w:r w:rsidR="004A20AF" w:rsidRPr="001C59C3">
        <w:t xml:space="preserve">Table </w:t>
      </w:r>
      <w:r w:rsidR="004A20AF" w:rsidRPr="009D1BB6">
        <w:t>14</w:t>
      </w:r>
      <w:r w:rsidR="004A20AF" w:rsidRPr="001C59C3">
        <w:fldChar w:fldCharType="end"/>
      </w:r>
      <w:r w:rsidR="004A20AF" w:rsidRPr="001C59C3">
        <w:t xml:space="preserve">. </w:t>
      </w:r>
    </w:p>
    <w:p w14:paraId="38EC053C" w14:textId="726AE105" w:rsidR="00C25D9C" w:rsidRPr="001C59C3" w:rsidRDefault="00E16AD8" w:rsidP="00690B5F">
      <w:pPr>
        <w:pStyle w:val="COMtablefigcaption"/>
        <w:keepLines/>
      </w:pPr>
      <w:bookmarkStart w:id="73" w:name="_Ref104805295"/>
      <w:r w:rsidRPr="001C59C3">
        <w:lastRenderedPageBreak/>
        <w:t xml:space="preserve">Table </w:t>
      </w:r>
      <w:r w:rsidR="007232F8">
        <w:fldChar w:fldCharType="begin" w:fldLock="1"/>
      </w:r>
      <w:r w:rsidR="007232F8">
        <w:instrText xml:space="preserve"> SEQ Table \* ARABIC </w:instrText>
      </w:r>
      <w:r w:rsidR="007232F8">
        <w:fldChar w:fldCharType="separate"/>
      </w:r>
      <w:r w:rsidR="009E616E" w:rsidRPr="009D1BB6">
        <w:t>14</w:t>
      </w:r>
      <w:r w:rsidR="007232F8">
        <w:fldChar w:fldCharType="end"/>
      </w:r>
      <w:bookmarkEnd w:id="73"/>
      <w:r w:rsidRPr="001C59C3">
        <w:t>:</w:t>
      </w:r>
      <w:r w:rsidR="002A2F50" w:rsidRPr="001C59C3">
        <w:t xml:space="preserve">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2"/>
        <w:gridCol w:w="1102"/>
        <w:gridCol w:w="1102"/>
        <w:gridCol w:w="1102"/>
        <w:gridCol w:w="1102"/>
        <w:gridCol w:w="1102"/>
        <w:gridCol w:w="1105"/>
      </w:tblGrid>
      <w:tr w:rsidR="00385A9D" w:rsidRPr="001C59C3" w14:paraId="43A2A3A1" w14:textId="77777777" w:rsidTr="005F0B86">
        <w:trPr>
          <w:tblHeader/>
        </w:trPr>
        <w:tc>
          <w:tcPr>
            <w:tcW w:w="1332" w:type="pct"/>
            <w:shd w:val="clear" w:color="auto" w:fill="auto"/>
            <w:vAlign w:val="center"/>
          </w:tcPr>
          <w:p w14:paraId="0A4E41E1" w14:textId="77777777" w:rsidR="00385A9D" w:rsidRPr="001C59C3" w:rsidRDefault="00385A9D" w:rsidP="00690B5F">
            <w:pPr>
              <w:pStyle w:val="COMTableheadingrow"/>
              <w:keepLines/>
              <w:jc w:val="center"/>
              <w:rPr>
                <w:lang w:val="en-AU"/>
              </w:rPr>
            </w:pPr>
          </w:p>
        </w:tc>
        <w:tc>
          <w:tcPr>
            <w:tcW w:w="611" w:type="pct"/>
            <w:shd w:val="clear" w:color="auto" w:fill="auto"/>
            <w:vAlign w:val="center"/>
          </w:tcPr>
          <w:p w14:paraId="77420B6F" w14:textId="77777777" w:rsidR="00385A9D" w:rsidRPr="001C59C3" w:rsidRDefault="00385A9D" w:rsidP="00690B5F">
            <w:pPr>
              <w:pStyle w:val="COMTableheadingrow"/>
              <w:keepLines/>
              <w:jc w:val="center"/>
              <w:rPr>
                <w:lang w:val="en-AU"/>
              </w:rPr>
            </w:pPr>
            <w:r w:rsidRPr="001C59C3">
              <w:rPr>
                <w:lang w:val="en-AU"/>
              </w:rPr>
              <w:t>Year 1</w:t>
            </w:r>
          </w:p>
        </w:tc>
        <w:tc>
          <w:tcPr>
            <w:tcW w:w="611" w:type="pct"/>
            <w:shd w:val="clear" w:color="auto" w:fill="auto"/>
            <w:vAlign w:val="center"/>
          </w:tcPr>
          <w:p w14:paraId="3BBD9218" w14:textId="77777777" w:rsidR="00385A9D" w:rsidRPr="001C59C3" w:rsidRDefault="00385A9D" w:rsidP="00690B5F">
            <w:pPr>
              <w:pStyle w:val="COMTableheadingrow"/>
              <w:keepLines/>
              <w:jc w:val="center"/>
              <w:rPr>
                <w:lang w:val="en-AU"/>
              </w:rPr>
            </w:pPr>
            <w:r w:rsidRPr="001C59C3">
              <w:rPr>
                <w:lang w:val="en-AU"/>
              </w:rPr>
              <w:t>Year 2</w:t>
            </w:r>
          </w:p>
        </w:tc>
        <w:tc>
          <w:tcPr>
            <w:tcW w:w="611" w:type="pct"/>
            <w:shd w:val="clear" w:color="auto" w:fill="auto"/>
            <w:vAlign w:val="center"/>
          </w:tcPr>
          <w:p w14:paraId="729A646E" w14:textId="77777777" w:rsidR="00385A9D" w:rsidRPr="001C59C3" w:rsidRDefault="00385A9D" w:rsidP="00690B5F">
            <w:pPr>
              <w:pStyle w:val="COMTableheadingrow"/>
              <w:keepLines/>
              <w:jc w:val="center"/>
              <w:rPr>
                <w:lang w:val="en-AU"/>
              </w:rPr>
            </w:pPr>
            <w:r w:rsidRPr="001C59C3">
              <w:rPr>
                <w:lang w:val="en-AU"/>
              </w:rPr>
              <w:t>Year 3</w:t>
            </w:r>
          </w:p>
        </w:tc>
        <w:tc>
          <w:tcPr>
            <w:tcW w:w="611" w:type="pct"/>
            <w:shd w:val="clear" w:color="auto" w:fill="auto"/>
            <w:vAlign w:val="center"/>
          </w:tcPr>
          <w:p w14:paraId="280BB544" w14:textId="77777777" w:rsidR="00385A9D" w:rsidRPr="001C59C3" w:rsidRDefault="00385A9D" w:rsidP="00690B5F">
            <w:pPr>
              <w:pStyle w:val="COMTableheadingrow"/>
              <w:keepLines/>
              <w:jc w:val="center"/>
              <w:rPr>
                <w:lang w:val="en-AU"/>
              </w:rPr>
            </w:pPr>
            <w:r w:rsidRPr="001C59C3">
              <w:rPr>
                <w:lang w:val="en-AU"/>
              </w:rPr>
              <w:t>Year 4</w:t>
            </w:r>
          </w:p>
        </w:tc>
        <w:tc>
          <w:tcPr>
            <w:tcW w:w="611" w:type="pct"/>
            <w:shd w:val="clear" w:color="auto" w:fill="auto"/>
            <w:vAlign w:val="center"/>
          </w:tcPr>
          <w:p w14:paraId="6435BB5B" w14:textId="77777777" w:rsidR="00385A9D" w:rsidRPr="001C59C3" w:rsidRDefault="00385A9D" w:rsidP="00690B5F">
            <w:pPr>
              <w:pStyle w:val="COMTableheadingrow"/>
              <w:keepLines/>
              <w:jc w:val="center"/>
              <w:rPr>
                <w:lang w:val="en-AU"/>
              </w:rPr>
            </w:pPr>
            <w:r w:rsidRPr="001C59C3">
              <w:rPr>
                <w:lang w:val="en-AU"/>
              </w:rPr>
              <w:t>Year 5</w:t>
            </w:r>
          </w:p>
        </w:tc>
        <w:tc>
          <w:tcPr>
            <w:tcW w:w="613" w:type="pct"/>
          </w:tcPr>
          <w:p w14:paraId="7C618119" w14:textId="77777777" w:rsidR="00385A9D" w:rsidRPr="001C59C3" w:rsidRDefault="00385A9D" w:rsidP="00690B5F">
            <w:pPr>
              <w:pStyle w:val="COMTableheadingrow"/>
              <w:keepLines/>
              <w:jc w:val="center"/>
              <w:rPr>
                <w:lang w:val="en-AU"/>
              </w:rPr>
            </w:pPr>
            <w:r w:rsidRPr="001C59C3">
              <w:rPr>
                <w:lang w:val="en-AU"/>
              </w:rPr>
              <w:t>Year 6</w:t>
            </w:r>
          </w:p>
        </w:tc>
      </w:tr>
      <w:tr w:rsidR="00900A62" w:rsidRPr="001C59C3" w14:paraId="6391FEB3" w14:textId="77777777" w:rsidTr="00900A62">
        <w:trPr>
          <w:tblHeader/>
        </w:trPr>
        <w:tc>
          <w:tcPr>
            <w:tcW w:w="5000" w:type="pct"/>
            <w:gridSpan w:val="7"/>
            <w:shd w:val="clear" w:color="auto" w:fill="auto"/>
            <w:vAlign w:val="center"/>
          </w:tcPr>
          <w:p w14:paraId="1F282EA4" w14:textId="2B800F57" w:rsidR="00900A62" w:rsidRPr="009D1BB6" w:rsidRDefault="00900A62" w:rsidP="00690B5F">
            <w:pPr>
              <w:pStyle w:val="COMTableheadingrow"/>
              <w:keepLines/>
              <w:rPr>
                <w:lang w:val="en-AU"/>
              </w:rPr>
            </w:pPr>
            <w:r w:rsidRPr="009D1BB6">
              <w:rPr>
                <w:lang w:val="en-AU"/>
              </w:rPr>
              <w:t>Estimated eligible population</w:t>
            </w:r>
            <w:r w:rsidR="00C81DE1" w:rsidRPr="009D1BB6">
              <w:rPr>
                <w:lang w:val="en-AU"/>
              </w:rPr>
              <w:t xml:space="preserve"> </w:t>
            </w:r>
          </w:p>
        </w:tc>
      </w:tr>
      <w:tr w:rsidR="00914271" w:rsidRPr="001C59C3" w14:paraId="4B564FB5" w14:textId="77777777" w:rsidTr="005F0B86">
        <w:trPr>
          <w:tblHeader/>
        </w:trPr>
        <w:tc>
          <w:tcPr>
            <w:tcW w:w="1332" w:type="pct"/>
            <w:shd w:val="clear" w:color="auto" w:fill="auto"/>
          </w:tcPr>
          <w:p w14:paraId="2C583F34" w14:textId="7B5461D0" w:rsidR="00914271" w:rsidRPr="001C59C3" w:rsidRDefault="00914271" w:rsidP="00690B5F">
            <w:pPr>
              <w:pStyle w:val="COMTabletext"/>
              <w:keepLines/>
            </w:pPr>
            <w:r w:rsidRPr="001C59C3">
              <w:t>Eligible patients</w:t>
            </w:r>
          </w:p>
        </w:tc>
        <w:tc>
          <w:tcPr>
            <w:tcW w:w="611" w:type="pct"/>
            <w:shd w:val="clear" w:color="auto" w:fill="auto"/>
          </w:tcPr>
          <w:p w14:paraId="507D6B8E" w14:textId="776147A2" w:rsidR="00914271" w:rsidRPr="00621588" w:rsidRDefault="008A42F6" w:rsidP="00690B5F">
            <w:pPr>
              <w:pStyle w:val="COMTabletext"/>
              <w:keepLines/>
              <w:jc w:val="center"/>
              <w:rPr>
                <w:highlight w:val="darkGray"/>
              </w:rPr>
            </w:pPr>
            <w:r>
              <w:t xml:space="preserve"> </w:t>
            </w:r>
            <w:r w:rsidRPr="008A42F6">
              <w:rPr>
                <w:rFonts w:hint="eastAsia"/>
                <w:color w:val="000000"/>
                <w:w w:val="15"/>
                <w:shd w:val="solid" w:color="000000" w:fill="000000"/>
                <w:fitText w:val="70" w:id="-1032102647"/>
                <w14:textFill>
                  <w14:solidFill>
                    <w14:srgbClr w14:val="000000">
                      <w14:alpha w14:val="100000"/>
                    </w14:srgbClr>
                  </w14:solidFill>
                </w14:textFill>
              </w:rPr>
              <w:t xml:space="preserve">　</w:t>
            </w:r>
            <w:r w:rsidRPr="008A42F6">
              <w:rPr>
                <w:color w:val="000000"/>
                <w:w w:val="15"/>
                <w:shd w:val="solid" w:color="000000" w:fill="000000"/>
                <w:fitText w:val="70" w:id="-1032102647"/>
                <w14:textFill>
                  <w14:solidFill>
                    <w14:srgbClr w14:val="000000">
                      <w14:alpha w14:val="100000"/>
                    </w14:srgbClr>
                  </w14:solidFill>
                </w14:textFill>
              </w:rPr>
              <w:t>|</w:t>
            </w:r>
            <w:r w:rsidRPr="008A42F6">
              <w:rPr>
                <w:rFonts w:hint="eastAsia"/>
                <w:color w:val="000000"/>
                <w:spacing w:val="4"/>
                <w:w w:val="15"/>
                <w:shd w:val="solid" w:color="000000" w:fill="000000"/>
                <w:fitText w:val="70" w:id="-1032102647"/>
                <w14:textFill>
                  <w14:solidFill>
                    <w14:srgbClr w14:val="000000">
                      <w14:alpha w14:val="100000"/>
                    </w14:srgbClr>
                  </w14:solidFill>
                </w14:textFill>
              </w:rPr>
              <w:t xml:space="preserve">　</w:t>
            </w:r>
            <w:r w:rsidR="00B56DB3" w:rsidRPr="00621588">
              <w:rPr>
                <w:vertAlign w:val="superscript"/>
              </w:rPr>
              <w:t>1</w:t>
            </w:r>
          </w:p>
        </w:tc>
        <w:tc>
          <w:tcPr>
            <w:tcW w:w="611" w:type="pct"/>
            <w:shd w:val="clear" w:color="auto" w:fill="auto"/>
          </w:tcPr>
          <w:p w14:paraId="7694133B" w14:textId="5A25CAB0" w:rsidR="00914271" w:rsidRPr="00621588" w:rsidRDefault="008A42F6" w:rsidP="00690B5F">
            <w:pPr>
              <w:pStyle w:val="COMTabletext"/>
              <w:keepLines/>
              <w:jc w:val="center"/>
              <w:rPr>
                <w:highlight w:val="darkGray"/>
              </w:rPr>
            </w:pPr>
            <w:r>
              <w:t xml:space="preserve"> </w:t>
            </w:r>
            <w:r w:rsidRPr="008A42F6">
              <w:rPr>
                <w:rFonts w:hint="eastAsia"/>
                <w:color w:val="000000"/>
                <w:w w:val="15"/>
                <w:shd w:val="solid" w:color="000000" w:fill="000000"/>
                <w:fitText w:val="70" w:id="-1032102646"/>
                <w14:textFill>
                  <w14:solidFill>
                    <w14:srgbClr w14:val="000000">
                      <w14:alpha w14:val="100000"/>
                    </w14:srgbClr>
                  </w14:solidFill>
                </w14:textFill>
              </w:rPr>
              <w:t xml:space="preserve">　</w:t>
            </w:r>
            <w:r w:rsidRPr="008A42F6">
              <w:rPr>
                <w:color w:val="000000"/>
                <w:w w:val="15"/>
                <w:shd w:val="solid" w:color="000000" w:fill="000000"/>
                <w:fitText w:val="70" w:id="-1032102646"/>
                <w14:textFill>
                  <w14:solidFill>
                    <w14:srgbClr w14:val="000000">
                      <w14:alpha w14:val="100000"/>
                    </w14:srgbClr>
                  </w14:solidFill>
                </w14:textFill>
              </w:rPr>
              <w:t>|</w:t>
            </w:r>
            <w:r w:rsidRPr="008A42F6">
              <w:rPr>
                <w:rFonts w:hint="eastAsia"/>
                <w:color w:val="000000"/>
                <w:spacing w:val="4"/>
                <w:w w:val="15"/>
                <w:shd w:val="solid" w:color="000000" w:fill="000000"/>
                <w:fitText w:val="70" w:id="-1032102646"/>
                <w14:textFill>
                  <w14:solidFill>
                    <w14:srgbClr w14:val="000000">
                      <w14:alpha w14:val="100000"/>
                    </w14:srgbClr>
                  </w14:solidFill>
                </w14:textFill>
              </w:rPr>
              <w:t xml:space="preserve">　</w:t>
            </w:r>
            <w:r w:rsidR="00B56DB3">
              <w:rPr>
                <w:vertAlign w:val="superscript"/>
              </w:rPr>
              <w:t>2</w:t>
            </w:r>
          </w:p>
        </w:tc>
        <w:tc>
          <w:tcPr>
            <w:tcW w:w="611" w:type="pct"/>
            <w:shd w:val="clear" w:color="auto" w:fill="auto"/>
          </w:tcPr>
          <w:p w14:paraId="29B2A6CF" w14:textId="43C12D65" w:rsidR="00914271" w:rsidRPr="00621588" w:rsidRDefault="008A42F6" w:rsidP="00690B5F">
            <w:pPr>
              <w:pStyle w:val="COMTabletext"/>
              <w:keepLines/>
              <w:jc w:val="center"/>
              <w:rPr>
                <w:highlight w:val="darkGray"/>
              </w:rPr>
            </w:pPr>
            <w:r>
              <w:t xml:space="preserve"> </w:t>
            </w:r>
            <w:r w:rsidRPr="008A42F6">
              <w:rPr>
                <w:rFonts w:hint="eastAsia"/>
                <w:color w:val="000000"/>
                <w:w w:val="15"/>
                <w:shd w:val="solid" w:color="000000" w:fill="000000"/>
                <w:fitText w:val="70" w:id="-1032102645"/>
                <w14:textFill>
                  <w14:solidFill>
                    <w14:srgbClr w14:val="000000">
                      <w14:alpha w14:val="100000"/>
                    </w14:srgbClr>
                  </w14:solidFill>
                </w14:textFill>
              </w:rPr>
              <w:t xml:space="preserve">　</w:t>
            </w:r>
            <w:r w:rsidRPr="008A42F6">
              <w:rPr>
                <w:color w:val="000000"/>
                <w:w w:val="15"/>
                <w:shd w:val="solid" w:color="000000" w:fill="000000"/>
                <w:fitText w:val="70" w:id="-1032102645"/>
                <w14:textFill>
                  <w14:solidFill>
                    <w14:srgbClr w14:val="000000">
                      <w14:alpha w14:val="100000"/>
                    </w14:srgbClr>
                  </w14:solidFill>
                </w14:textFill>
              </w:rPr>
              <w:t>|</w:t>
            </w:r>
            <w:r w:rsidRPr="008A42F6">
              <w:rPr>
                <w:rFonts w:hint="eastAsia"/>
                <w:color w:val="000000"/>
                <w:spacing w:val="4"/>
                <w:w w:val="15"/>
                <w:shd w:val="solid" w:color="000000" w:fill="000000"/>
                <w:fitText w:val="70" w:id="-1032102645"/>
                <w14:textFill>
                  <w14:solidFill>
                    <w14:srgbClr w14:val="000000">
                      <w14:alpha w14:val="100000"/>
                    </w14:srgbClr>
                  </w14:solidFill>
                </w14:textFill>
              </w:rPr>
              <w:t xml:space="preserve">　</w:t>
            </w:r>
            <w:r w:rsidR="00B56DB3">
              <w:rPr>
                <w:vertAlign w:val="superscript"/>
              </w:rPr>
              <w:t>2</w:t>
            </w:r>
          </w:p>
        </w:tc>
        <w:tc>
          <w:tcPr>
            <w:tcW w:w="611" w:type="pct"/>
            <w:shd w:val="clear" w:color="auto" w:fill="auto"/>
          </w:tcPr>
          <w:p w14:paraId="45B62E16" w14:textId="297950EF" w:rsidR="00914271" w:rsidRPr="00621588" w:rsidRDefault="008A42F6" w:rsidP="00690B5F">
            <w:pPr>
              <w:pStyle w:val="COMTabletext"/>
              <w:keepLines/>
              <w:jc w:val="center"/>
              <w:rPr>
                <w:highlight w:val="darkGray"/>
              </w:rPr>
            </w:pPr>
            <w:r>
              <w:t xml:space="preserve"> </w:t>
            </w:r>
            <w:r w:rsidRPr="008A42F6">
              <w:rPr>
                <w:rFonts w:hint="eastAsia"/>
                <w:color w:val="000000"/>
                <w:w w:val="15"/>
                <w:shd w:val="solid" w:color="000000" w:fill="000000"/>
                <w:fitText w:val="70" w:id="-1032102644"/>
                <w14:textFill>
                  <w14:solidFill>
                    <w14:srgbClr w14:val="000000">
                      <w14:alpha w14:val="100000"/>
                    </w14:srgbClr>
                  </w14:solidFill>
                </w14:textFill>
              </w:rPr>
              <w:t xml:space="preserve">　</w:t>
            </w:r>
            <w:r w:rsidRPr="008A42F6">
              <w:rPr>
                <w:color w:val="000000"/>
                <w:w w:val="15"/>
                <w:shd w:val="solid" w:color="000000" w:fill="000000"/>
                <w:fitText w:val="70" w:id="-1032102644"/>
                <w14:textFill>
                  <w14:solidFill>
                    <w14:srgbClr w14:val="000000">
                      <w14:alpha w14:val="100000"/>
                    </w14:srgbClr>
                  </w14:solidFill>
                </w14:textFill>
              </w:rPr>
              <w:t>|</w:t>
            </w:r>
            <w:r w:rsidRPr="008A42F6">
              <w:rPr>
                <w:rFonts w:hint="eastAsia"/>
                <w:color w:val="000000"/>
                <w:spacing w:val="4"/>
                <w:w w:val="15"/>
                <w:shd w:val="solid" w:color="000000" w:fill="000000"/>
                <w:fitText w:val="70" w:id="-1032102644"/>
                <w14:textFill>
                  <w14:solidFill>
                    <w14:srgbClr w14:val="000000">
                      <w14:alpha w14:val="100000"/>
                    </w14:srgbClr>
                  </w14:solidFill>
                </w14:textFill>
              </w:rPr>
              <w:t xml:space="preserve">　</w:t>
            </w:r>
            <w:r w:rsidR="00B56DB3">
              <w:rPr>
                <w:vertAlign w:val="superscript"/>
              </w:rPr>
              <w:t>2</w:t>
            </w:r>
          </w:p>
        </w:tc>
        <w:tc>
          <w:tcPr>
            <w:tcW w:w="611" w:type="pct"/>
            <w:shd w:val="clear" w:color="auto" w:fill="auto"/>
          </w:tcPr>
          <w:p w14:paraId="7912E87E" w14:textId="29E78A5C" w:rsidR="00914271" w:rsidRPr="00621588" w:rsidRDefault="008A42F6" w:rsidP="00690B5F">
            <w:pPr>
              <w:pStyle w:val="COMTabletext"/>
              <w:keepLines/>
              <w:jc w:val="center"/>
              <w:rPr>
                <w:highlight w:val="darkGray"/>
              </w:rPr>
            </w:pPr>
            <w:r>
              <w:t xml:space="preserve"> </w:t>
            </w:r>
            <w:r w:rsidRPr="008A42F6">
              <w:rPr>
                <w:rFonts w:hint="eastAsia"/>
                <w:color w:val="000000"/>
                <w:w w:val="15"/>
                <w:shd w:val="solid" w:color="000000" w:fill="000000"/>
                <w:fitText w:val="70" w:id="-1032102643"/>
                <w14:textFill>
                  <w14:solidFill>
                    <w14:srgbClr w14:val="000000">
                      <w14:alpha w14:val="100000"/>
                    </w14:srgbClr>
                  </w14:solidFill>
                </w14:textFill>
              </w:rPr>
              <w:t xml:space="preserve">　</w:t>
            </w:r>
            <w:r w:rsidRPr="008A42F6">
              <w:rPr>
                <w:color w:val="000000"/>
                <w:w w:val="15"/>
                <w:shd w:val="solid" w:color="000000" w:fill="000000"/>
                <w:fitText w:val="70" w:id="-1032102643"/>
                <w14:textFill>
                  <w14:solidFill>
                    <w14:srgbClr w14:val="000000">
                      <w14:alpha w14:val="100000"/>
                    </w14:srgbClr>
                  </w14:solidFill>
                </w14:textFill>
              </w:rPr>
              <w:t>|</w:t>
            </w:r>
            <w:r w:rsidRPr="008A42F6">
              <w:rPr>
                <w:rFonts w:hint="eastAsia"/>
                <w:color w:val="000000"/>
                <w:spacing w:val="4"/>
                <w:w w:val="15"/>
                <w:shd w:val="solid" w:color="000000" w:fill="000000"/>
                <w:fitText w:val="70" w:id="-1032102643"/>
                <w14:textFill>
                  <w14:solidFill>
                    <w14:srgbClr w14:val="000000">
                      <w14:alpha w14:val="100000"/>
                    </w14:srgbClr>
                  </w14:solidFill>
                </w14:textFill>
              </w:rPr>
              <w:t xml:space="preserve">　</w:t>
            </w:r>
            <w:r w:rsidR="00B56DB3">
              <w:rPr>
                <w:vertAlign w:val="superscript"/>
              </w:rPr>
              <w:t>2</w:t>
            </w:r>
          </w:p>
        </w:tc>
        <w:tc>
          <w:tcPr>
            <w:tcW w:w="613" w:type="pct"/>
          </w:tcPr>
          <w:p w14:paraId="656E1631" w14:textId="42408A9D" w:rsidR="00914271" w:rsidRPr="00621588" w:rsidRDefault="008A42F6" w:rsidP="00690B5F">
            <w:pPr>
              <w:pStyle w:val="COMTabletext"/>
              <w:keepLines/>
              <w:jc w:val="center"/>
              <w:rPr>
                <w:highlight w:val="darkGray"/>
              </w:rPr>
            </w:pPr>
            <w:r>
              <w:t xml:space="preserve"> </w:t>
            </w:r>
            <w:r w:rsidRPr="008A42F6">
              <w:rPr>
                <w:rFonts w:hint="eastAsia"/>
                <w:color w:val="000000"/>
                <w:w w:val="18"/>
                <w:shd w:val="solid" w:color="000000" w:fill="000000"/>
                <w:fitText w:val="80" w:id="-1032102642"/>
                <w14:textFill>
                  <w14:solidFill>
                    <w14:srgbClr w14:val="000000">
                      <w14:alpha w14:val="100000"/>
                    </w14:srgbClr>
                  </w14:solidFill>
                </w14:textFill>
              </w:rPr>
              <w:t xml:space="preserve">　</w:t>
            </w:r>
            <w:r w:rsidRPr="008A42F6">
              <w:rPr>
                <w:color w:val="000000"/>
                <w:w w:val="18"/>
                <w:shd w:val="solid" w:color="000000" w:fill="000000"/>
                <w:fitText w:val="80" w:id="-1032102642"/>
                <w14:textFill>
                  <w14:solidFill>
                    <w14:srgbClr w14:val="000000">
                      <w14:alpha w14:val="100000"/>
                    </w14:srgbClr>
                  </w14:solidFill>
                </w14:textFill>
              </w:rPr>
              <w:t>|</w:t>
            </w:r>
            <w:r w:rsidRPr="008A42F6">
              <w:rPr>
                <w:rFonts w:hint="eastAsia"/>
                <w:color w:val="000000"/>
                <w:w w:val="18"/>
                <w:shd w:val="solid" w:color="000000" w:fill="000000"/>
                <w:fitText w:val="80" w:id="-1032102642"/>
                <w14:textFill>
                  <w14:solidFill>
                    <w14:srgbClr w14:val="000000">
                      <w14:alpha w14:val="100000"/>
                    </w14:srgbClr>
                  </w14:solidFill>
                </w14:textFill>
              </w:rPr>
              <w:t xml:space="preserve">　</w:t>
            </w:r>
            <w:r w:rsidR="00B56DB3">
              <w:rPr>
                <w:vertAlign w:val="superscript"/>
              </w:rPr>
              <w:t>2</w:t>
            </w:r>
          </w:p>
        </w:tc>
      </w:tr>
      <w:tr w:rsidR="00C81DE1" w:rsidRPr="001C59C3" w14:paraId="3F415001" w14:textId="77777777" w:rsidTr="00C81DE1">
        <w:trPr>
          <w:tblHeader/>
        </w:trPr>
        <w:tc>
          <w:tcPr>
            <w:tcW w:w="5000" w:type="pct"/>
            <w:gridSpan w:val="7"/>
            <w:shd w:val="clear" w:color="auto" w:fill="auto"/>
          </w:tcPr>
          <w:p w14:paraId="13585854" w14:textId="4F1005A0" w:rsidR="00C81DE1" w:rsidRPr="001C59C3" w:rsidRDefault="00C81DE1" w:rsidP="00690B5F">
            <w:pPr>
              <w:pStyle w:val="COMTabletext"/>
              <w:keepLines/>
              <w:rPr>
                <w:b/>
                <w:bCs w:val="0"/>
                <w:i/>
                <w:iCs/>
              </w:rPr>
            </w:pPr>
            <w:r w:rsidRPr="001C59C3">
              <w:rPr>
                <w:b/>
                <w:bCs w:val="0"/>
                <w:i/>
                <w:iCs/>
              </w:rPr>
              <w:t>Estimated eligible population – pre-PBAC response</w:t>
            </w:r>
          </w:p>
        </w:tc>
      </w:tr>
      <w:tr w:rsidR="00C81DE1" w:rsidRPr="001C59C3" w14:paraId="342A21A4" w14:textId="77777777" w:rsidTr="00C81DE1">
        <w:trPr>
          <w:tblHeader/>
        </w:trPr>
        <w:tc>
          <w:tcPr>
            <w:tcW w:w="1332" w:type="pct"/>
            <w:shd w:val="clear" w:color="auto" w:fill="auto"/>
          </w:tcPr>
          <w:p w14:paraId="1F29C481" w14:textId="2B159E77" w:rsidR="00C81DE1" w:rsidRPr="001C59C3" w:rsidRDefault="00C81DE1" w:rsidP="00690B5F">
            <w:pPr>
              <w:pStyle w:val="COMTabletext"/>
              <w:keepLines/>
              <w:rPr>
                <w:i/>
                <w:iCs/>
              </w:rPr>
            </w:pPr>
            <w:r w:rsidRPr="001C59C3">
              <w:rPr>
                <w:i/>
                <w:iCs/>
              </w:rPr>
              <w:t>Eligible patients</w:t>
            </w:r>
          </w:p>
        </w:tc>
        <w:tc>
          <w:tcPr>
            <w:tcW w:w="611" w:type="pct"/>
            <w:shd w:val="clear" w:color="auto" w:fill="auto"/>
          </w:tcPr>
          <w:p w14:paraId="2064542B" w14:textId="50694D75" w:rsidR="00C81DE1" w:rsidRPr="00621588" w:rsidRDefault="008A42F6" w:rsidP="00690B5F">
            <w:pPr>
              <w:pStyle w:val="COMTabletext"/>
              <w:keepLines/>
              <w:jc w:val="center"/>
              <w:rPr>
                <w:i/>
                <w:iCs/>
                <w:highlight w:val="darkGray"/>
              </w:rPr>
            </w:pPr>
            <w:r>
              <w:rPr>
                <w:i/>
                <w:iCs/>
              </w:rPr>
              <w:t xml:space="preserve"> </w:t>
            </w:r>
            <w:r w:rsidRPr="008A42F6">
              <w:rPr>
                <w:rFonts w:hint="eastAsia"/>
                <w:i/>
                <w:iCs/>
                <w:color w:val="000000"/>
                <w:w w:val="15"/>
                <w:shd w:val="solid" w:color="000000" w:fill="000000"/>
                <w:fitText w:val="70" w:id="-1032102641"/>
                <w14:textFill>
                  <w14:solidFill>
                    <w14:srgbClr w14:val="000000">
                      <w14:alpha w14:val="100000"/>
                    </w14:srgbClr>
                  </w14:solidFill>
                </w14:textFill>
              </w:rPr>
              <w:t xml:space="preserve">　</w:t>
            </w:r>
            <w:r w:rsidRPr="008A42F6">
              <w:rPr>
                <w:i/>
                <w:iCs/>
                <w:color w:val="000000"/>
                <w:w w:val="15"/>
                <w:shd w:val="solid" w:color="000000" w:fill="000000"/>
                <w:fitText w:val="70" w:id="-1032102641"/>
                <w14:textFill>
                  <w14:solidFill>
                    <w14:srgbClr w14:val="000000">
                      <w14:alpha w14:val="100000"/>
                    </w14:srgbClr>
                  </w14:solidFill>
                </w14:textFill>
              </w:rPr>
              <w:t>|</w:t>
            </w:r>
            <w:r w:rsidRPr="008A42F6">
              <w:rPr>
                <w:rFonts w:hint="eastAsia"/>
                <w:i/>
                <w:iCs/>
                <w:color w:val="000000"/>
                <w:spacing w:val="4"/>
                <w:w w:val="15"/>
                <w:shd w:val="solid" w:color="000000" w:fill="000000"/>
                <w:fitText w:val="70" w:id="-1032102641"/>
                <w14:textFill>
                  <w14:solidFill>
                    <w14:srgbClr w14:val="000000">
                      <w14:alpha w14:val="100000"/>
                    </w14:srgbClr>
                  </w14:solidFill>
                </w14:textFill>
              </w:rPr>
              <w:t xml:space="preserve">　</w:t>
            </w:r>
            <w:r w:rsidR="00B56DB3" w:rsidRPr="005B6EEE">
              <w:rPr>
                <w:vertAlign w:val="superscript"/>
              </w:rPr>
              <w:t>1</w:t>
            </w:r>
          </w:p>
        </w:tc>
        <w:tc>
          <w:tcPr>
            <w:tcW w:w="611" w:type="pct"/>
            <w:shd w:val="clear" w:color="auto" w:fill="auto"/>
          </w:tcPr>
          <w:p w14:paraId="43FDBE27" w14:textId="5564C5EC" w:rsidR="00C81DE1" w:rsidRPr="00621588" w:rsidRDefault="008A42F6" w:rsidP="00690B5F">
            <w:pPr>
              <w:pStyle w:val="COMTabletext"/>
              <w:keepLines/>
              <w:jc w:val="center"/>
              <w:rPr>
                <w:i/>
                <w:iCs/>
                <w:highlight w:val="darkGray"/>
              </w:rPr>
            </w:pPr>
            <w:r>
              <w:rPr>
                <w:i/>
                <w:iCs/>
              </w:rPr>
              <w:t xml:space="preserve"> </w:t>
            </w:r>
            <w:r w:rsidRPr="008A42F6">
              <w:rPr>
                <w:rFonts w:hint="eastAsia"/>
                <w:i/>
                <w:iCs/>
                <w:color w:val="000000"/>
                <w:w w:val="15"/>
                <w:shd w:val="solid" w:color="000000" w:fill="000000"/>
                <w:fitText w:val="70" w:id="-1032102640"/>
                <w14:textFill>
                  <w14:solidFill>
                    <w14:srgbClr w14:val="000000">
                      <w14:alpha w14:val="100000"/>
                    </w14:srgbClr>
                  </w14:solidFill>
                </w14:textFill>
              </w:rPr>
              <w:t xml:space="preserve">　</w:t>
            </w:r>
            <w:r w:rsidRPr="008A42F6">
              <w:rPr>
                <w:i/>
                <w:iCs/>
                <w:color w:val="000000"/>
                <w:w w:val="15"/>
                <w:shd w:val="solid" w:color="000000" w:fill="000000"/>
                <w:fitText w:val="70" w:id="-1032102640"/>
                <w14:textFill>
                  <w14:solidFill>
                    <w14:srgbClr w14:val="000000">
                      <w14:alpha w14:val="100000"/>
                    </w14:srgbClr>
                  </w14:solidFill>
                </w14:textFill>
              </w:rPr>
              <w:t>|</w:t>
            </w:r>
            <w:r w:rsidRPr="008A42F6">
              <w:rPr>
                <w:rFonts w:hint="eastAsia"/>
                <w:i/>
                <w:iCs/>
                <w:color w:val="000000"/>
                <w:spacing w:val="4"/>
                <w:w w:val="15"/>
                <w:shd w:val="solid" w:color="000000" w:fill="000000"/>
                <w:fitText w:val="70" w:id="-1032102640"/>
                <w14:textFill>
                  <w14:solidFill>
                    <w14:srgbClr w14:val="000000">
                      <w14:alpha w14:val="100000"/>
                    </w14:srgbClr>
                  </w14:solidFill>
                </w14:textFill>
              </w:rPr>
              <w:t xml:space="preserve">　</w:t>
            </w:r>
            <w:r w:rsidR="00B56DB3">
              <w:rPr>
                <w:vertAlign w:val="superscript"/>
              </w:rPr>
              <w:t>2</w:t>
            </w:r>
          </w:p>
        </w:tc>
        <w:tc>
          <w:tcPr>
            <w:tcW w:w="611" w:type="pct"/>
            <w:shd w:val="clear" w:color="auto" w:fill="auto"/>
          </w:tcPr>
          <w:p w14:paraId="7874B169" w14:textId="78AAC84F" w:rsidR="00C81DE1" w:rsidRPr="00621588" w:rsidRDefault="008A42F6" w:rsidP="00690B5F">
            <w:pPr>
              <w:pStyle w:val="COMTabletext"/>
              <w:keepLines/>
              <w:jc w:val="center"/>
              <w:rPr>
                <w:i/>
                <w:iCs/>
                <w:highlight w:val="darkGray"/>
              </w:rPr>
            </w:pPr>
            <w:r>
              <w:rPr>
                <w:i/>
                <w:iCs/>
              </w:rPr>
              <w:t xml:space="preserve"> </w:t>
            </w:r>
            <w:r w:rsidRPr="008A42F6">
              <w:rPr>
                <w:rFonts w:hint="eastAsia"/>
                <w:i/>
                <w:iCs/>
                <w:color w:val="000000"/>
                <w:w w:val="15"/>
                <w:shd w:val="solid" w:color="000000" w:fill="000000"/>
                <w:fitText w:val="70" w:id="-1032102656"/>
                <w14:textFill>
                  <w14:solidFill>
                    <w14:srgbClr w14:val="000000">
                      <w14:alpha w14:val="100000"/>
                    </w14:srgbClr>
                  </w14:solidFill>
                </w14:textFill>
              </w:rPr>
              <w:t xml:space="preserve">　</w:t>
            </w:r>
            <w:r w:rsidRPr="008A42F6">
              <w:rPr>
                <w:i/>
                <w:iCs/>
                <w:color w:val="000000"/>
                <w:w w:val="15"/>
                <w:shd w:val="solid" w:color="000000" w:fill="000000"/>
                <w:fitText w:val="70" w:id="-1032102656"/>
                <w14:textFill>
                  <w14:solidFill>
                    <w14:srgbClr w14:val="000000">
                      <w14:alpha w14:val="100000"/>
                    </w14:srgbClr>
                  </w14:solidFill>
                </w14:textFill>
              </w:rPr>
              <w:t>|</w:t>
            </w:r>
            <w:r w:rsidRPr="008A42F6">
              <w:rPr>
                <w:rFonts w:hint="eastAsia"/>
                <w:i/>
                <w:iCs/>
                <w:color w:val="000000"/>
                <w:spacing w:val="4"/>
                <w:w w:val="15"/>
                <w:shd w:val="solid" w:color="000000" w:fill="000000"/>
                <w:fitText w:val="70" w:id="-1032102656"/>
                <w14:textFill>
                  <w14:solidFill>
                    <w14:srgbClr w14:val="000000">
                      <w14:alpha w14:val="100000"/>
                    </w14:srgbClr>
                  </w14:solidFill>
                </w14:textFill>
              </w:rPr>
              <w:t xml:space="preserve">　</w:t>
            </w:r>
            <w:r w:rsidR="00B56DB3">
              <w:rPr>
                <w:vertAlign w:val="superscript"/>
              </w:rPr>
              <w:t>2</w:t>
            </w:r>
          </w:p>
        </w:tc>
        <w:tc>
          <w:tcPr>
            <w:tcW w:w="611" w:type="pct"/>
            <w:shd w:val="clear" w:color="auto" w:fill="auto"/>
          </w:tcPr>
          <w:p w14:paraId="2FC701C8" w14:textId="2A74A959" w:rsidR="00C81DE1" w:rsidRPr="00621588" w:rsidRDefault="008A42F6" w:rsidP="00690B5F">
            <w:pPr>
              <w:pStyle w:val="COMTabletext"/>
              <w:keepLines/>
              <w:jc w:val="center"/>
              <w:rPr>
                <w:i/>
                <w:iCs/>
                <w:highlight w:val="darkGray"/>
              </w:rPr>
            </w:pPr>
            <w:r>
              <w:rPr>
                <w:i/>
                <w:iCs/>
              </w:rPr>
              <w:t xml:space="preserve"> </w:t>
            </w:r>
            <w:r w:rsidRPr="008A42F6">
              <w:rPr>
                <w:rFonts w:hint="eastAsia"/>
                <w:i/>
                <w:iCs/>
                <w:color w:val="000000"/>
                <w:w w:val="15"/>
                <w:shd w:val="solid" w:color="000000" w:fill="000000"/>
                <w:fitText w:val="70" w:id="-1032102655"/>
                <w14:textFill>
                  <w14:solidFill>
                    <w14:srgbClr w14:val="000000">
                      <w14:alpha w14:val="100000"/>
                    </w14:srgbClr>
                  </w14:solidFill>
                </w14:textFill>
              </w:rPr>
              <w:t xml:space="preserve">　</w:t>
            </w:r>
            <w:r w:rsidRPr="008A42F6">
              <w:rPr>
                <w:i/>
                <w:iCs/>
                <w:color w:val="000000"/>
                <w:w w:val="15"/>
                <w:shd w:val="solid" w:color="000000" w:fill="000000"/>
                <w:fitText w:val="70" w:id="-1032102655"/>
                <w14:textFill>
                  <w14:solidFill>
                    <w14:srgbClr w14:val="000000">
                      <w14:alpha w14:val="100000"/>
                    </w14:srgbClr>
                  </w14:solidFill>
                </w14:textFill>
              </w:rPr>
              <w:t>|</w:t>
            </w:r>
            <w:r w:rsidRPr="008A42F6">
              <w:rPr>
                <w:rFonts w:hint="eastAsia"/>
                <w:i/>
                <w:iCs/>
                <w:color w:val="000000"/>
                <w:spacing w:val="4"/>
                <w:w w:val="15"/>
                <w:shd w:val="solid" w:color="000000" w:fill="000000"/>
                <w:fitText w:val="70" w:id="-1032102655"/>
                <w14:textFill>
                  <w14:solidFill>
                    <w14:srgbClr w14:val="000000">
                      <w14:alpha w14:val="100000"/>
                    </w14:srgbClr>
                  </w14:solidFill>
                </w14:textFill>
              </w:rPr>
              <w:t xml:space="preserve">　</w:t>
            </w:r>
            <w:r w:rsidR="00B56DB3">
              <w:rPr>
                <w:vertAlign w:val="superscript"/>
              </w:rPr>
              <w:t>2</w:t>
            </w:r>
          </w:p>
        </w:tc>
        <w:tc>
          <w:tcPr>
            <w:tcW w:w="611" w:type="pct"/>
            <w:shd w:val="clear" w:color="auto" w:fill="auto"/>
          </w:tcPr>
          <w:p w14:paraId="009C1A38" w14:textId="782BA00F" w:rsidR="00C81DE1" w:rsidRPr="00621588" w:rsidRDefault="008A42F6" w:rsidP="00690B5F">
            <w:pPr>
              <w:pStyle w:val="COMTabletext"/>
              <w:keepLines/>
              <w:jc w:val="center"/>
              <w:rPr>
                <w:i/>
                <w:iCs/>
                <w:highlight w:val="darkGray"/>
              </w:rPr>
            </w:pPr>
            <w:r>
              <w:rPr>
                <w:i/>
                <w:iCs/>
              </w:rPr>
              <w:t xml:space="preserve"> </w:t>
            </w:r>
            <w:r w:rsidRPr="008A42F6">
              <w:rPr>
                <w:rFonts w:hint="eastAsia"/>
                <w:i/>
                <w:iCs/>
                <w:color w:val="000000"/>
                <w:w w:val="15"/>
                <w:shd w:val="solid" w:color="000000" w:fill="000000"/>
                <w:fitText w:val="70" w:id="-1032102654"/>
                <w14:textFill>
                  <w14:solidFill>
                    <w14:srgbClr w14:val="000000">
                      <w14:alpha w14:val="100000"/>
                    </w14:srgbClr>
                  </w14:solidFill>
                </w14:textFill>
              </w:rPr>
              <w:t xml:space="preserve">　</w:t>
            </w:r>
            <w:r w:rsidRPr="008A42F6">
              <w:rPr>
                <w:i/>
                <w:iCs/>
                <w:color w:val="000000"/>
                <w:w w:val="15"/>
                <w:shd w:val="solid" w:color="000000" w:fill="000000"/>
                <w:fitText w:val="70" w:id="-1032102654"/>
                <w14:textFill>
                  <w14:solidFill>
                    <w14:srgbClr w14:val="000000">
                      <w14:alpha w14:val="100000"/>
                    </w14:srgbClr>
                  </w14:solidFill>
                </w14:textFill>
              </w:rPr>
              <w:t>|</w:t>
            </w:r>
            <w:r w:rsidRPr="008A42F6">
              <w:rPr>
                <w:rFonts w:hint="eastAsia"/>
                <w:i/>
                <w:iCs/>
                <w:color w:val="000000"/>
                <w:spacing w:val="4"/>
                <w:w w:val="15"/>
                <w:shd w:val="solid" w:color="000000" w:fill="000000"/>
                <w:fitText w:val="70" w:id="-1032102654"/>
                <w14:textFill>
                  <w14:solidFill>
                    <w14:srgbClr w14:val="000000">
                      <w14:alpha w14:val="100000"/>
                    </w14:srgbClr>
                  </w14:solidFill>
                </w14:textFill>
              </w:rPr>
              <w:t xml:space="preserve">　</w:t>
            </w:r>
            <w:r w:rsidR="00B56DB3">
              <w:rPr>
                <w:vertAlign w:val="superscript"/>
              </w:rPr>
              <w:t>2</w:t>
            </w:r>
          </w:p>
        </w:tc>
        <w:tc>
          <w:tcPr>
            <w:tcW w:w="613" w:type="pct"/>
          </w:tcPr>
          <w:p w14:paraId="7FA69189" w14:textId="4D75AB90" w:rsidR="00C81DE1" w:rsidRPr="00621588" w:rsidRDefault="008A42F6" w:rsidP="00690B5F">
            <w:pPr>
              <w:pStyle w:val="COMTabletext"/>
              <w:keepLines/>
              <w:jc w:val="center"/>
              <w:rPr>
                <w:i/>
                <w:iCs/>
                <w:highlight w:val="darkGray"/>
              </w:rPr>
            </w:pPr>
            <w:r>
              <w:rPr>
                <w:i/>
                <w:iCs/>
              </w:rPr>
              <w:t xml:space="preserve"> </w:t>
            </w:r>
            <w:r w:rsidRPr="008A42F6">
              <w:rPr>
                <w:rFonts w:hint="eastAsia"/>
                <w:i/>
                <w:iCs/>
                <w:color w:val="000000"/>
                <w:w w:val="18"/>
                <w:shd w:val="solid" w:color="000000" w:fill="000000"/>
                <w:fitText w:val="80" w:id="-1032102653"/>
                <w14:textFill>
                  <w14:solidFill>
                    <w14:srgbClr w14:val="000000">
                      <w14:alpha w14:val="100000"/>
                    </w14:srgbClr>
                  </w14:solidFill>
                </w14:textFill>
              </w:rPr>
              <w:t xml:space="preserve">　</w:t>
            </w:r>
            <w:r w:rsidRPr="008A42F6">
              <w:rPr>
                <w:i/>
                <w:iCs/>
                <w:color w:val="000000"/>
                <w:w w:val="18"/>
                <w:shd w:val="solid" w:color="000000" w:fill="000000"/>
                <w:fitText w:val="80" w:id="-1032102653"/>
                <w14:textFill>
                  <w14:solidFill>
                    <w14:srgbClr w14:val="000000">
                      <w14:alpha w14:val="100000"/>
                    </w14:srgbClr>
                  </w14:solidFill>
                </w14:textFill>
              </w:rPr>
              <w:t>|</w:t>
            </w:r>
            <w:r w:rsidRPr="008A42F6">
              <w:rPr>
                <w:rFonts w:hint="eastAsia"/>
                <w:i/>
                <w:iCs/>
                <w:color w:val="000000"/>
                <w:w w:val="18"/>
                <w:shd w:val="solid" w:color="000000" w:fill="000000"/>
                <w:fitText w:val="80" w:id="-1032102653"/>
                <w14:textFill>
                  <w14:solidFill>
                    <w14:srgbClr w14:val="000000">
                      <w14:alpha w14:val="100000"/>
                    </w14:srgbClr>
                  </w14:solidFill>
                </w14:textFill>
              </w:rPr>
              <w:t xml:space="preserve">　</w:t>
            </w:r>
            <w:r w:rsidR="00B56DB3">
              <w:rPr>
                <w:vertAlign w:val="superscript"/>
              </w:rPr>
              <w:t>2</w:t>
            </w:r>
          </w:p>
        </w:tc>
      </w:tr>
      <w:tr w:rsidR="00385A9D" w:rsidRPr="001C59C3" w14:paraId="3C519059" w14:textId="77777777" w:rsidTr="009C3A3A">
        <w:tc>
          <w:tcPr>
            <w:tcW w:w="5000" w:type="pct"/>
            <w:gridSpan w:val="7"/>
            <w:shd w:val="clear" w:color="auto" w:fill="auto"/>
            <w:vAlign w:val="center"/>
          </w:tcPr>
          <w:p w14:paraId="516C2197" w14:textId="77777777" w:rsidR="00385A9D" w:rsidRPr="001C59C3" w:rsidRDefault="00385A9D" w:rsidP="00690B5F">
            <w:pPr>
              <w:pStyle w:val="COMTableheadingrow"/>
              <w:keepLines/>
              <w:rPr>
                <w:bCs/>
                <w:color w:val="000000"/>
                <w:lang w:val="en-AU"/>
              </w:rPr>
            </w:pPr>
            <w:r w:rsidRPr="001C59C3">
              <w:rPr>
                <w:bCs/>
                <w:color w:val="000000"/>
                <w:lang w:val="en-AU"/>
              </w:rPr>
              <w:t>Estimated extent of use</w:t>
            </w:r>
          </w:p>
        </w:tc>
      </w:tr>
      <w:tr w:rsidR="003B495B" w:rsidRPr="001C59C3" w14:paraId="148A8EEF" w14:textId="77777777" w:rsidTr="005F0B86">
        <w:tc>
          <w:tcPr>
            <w:tcW w:w="1332" w:type="pct"/>
            <w:shd w:val="clear" w:color="auto" w:fill="auto"/>
            <w:vAlign w:val="center"/>
          </w:tcPr>
          <w:p w14:paraId="201B6ECA" w14:textId="77777777" w:rsidR="003B495B" w:rsidRPr="001C59C3" w:rsidRDefault="003B495B" w:rsidP="00690B5F">
            <w:pPr>
              <w:pStyle w:val="COMTabletext"/>
              <w:keepLines/>
              <w:rPr>
                <w:rFonts w:ascii="Times" w:hAnsi="Times"/>
              </w:rPr>
            </w:pPr>
            <w:r w:rsidRPr="001C59C3">
              <w:t>Number of patients treated</w:t>
            </w:r>
          </w:p>
        </w:tc>
        <w:tc>
          <w:tcPr>
            <w:tcW w:w="611" w:type="pct"/>
            <w:shd w:val="clear" w:color="auto" w:fill="auto"/>
          </w:tcPr>
          <w:p w14:paraId="577607A9" w14:textId="024C3F73" w:rsidR="003B495B" w:rsidRPr="00621588" w:rsidRDefault="008A42F6" w:rsidP="00690B5F">
            <w:pPr>
              <w:pStyle w:val="COMTabletext"/>
              <w:keepLines/>
              <w:jc w:val="center"/>
              <w:rPr>
                <w:color w:val="000000"/>
                <w:highlight w:val="darkGray"/>
              </w:rPr>
            </w:pPr>
            <w:r>
              <w:t xml:space="preserve"> </w:t>
            </w:r>
            <w:r w:rsidRPr="008A42F6">
              <w:rPr>
                <w:rFonts w:hint="eastAsia"/>
                <w:color w:val="000000"/>
                <w:w w:val="15"/>
                <w:shd w:val="solid" w:color="000000" w:fill="000000"/>
                <w:fitText w:val="70" w:id="-1032102652"/>
                <w14:textFill>
                  <w14:solidFill>
                    <w14:srgbClr w14:val="000000">
                      <w14:alpha w14:val="100000"/>
                    </w14:srgbClr>
                  </w14:solidFill>
                </w14:textFill>
              </w:rPr>
              <w:t xml:space="preserve">　</w:t>
            </w:r>
            <w:r w:rsidRPr="008A42F6">
              <w:rPr>
                <w:color w:val="000000"/>
                <w:w w:val="15"/>
                <w:shd w:val="solid" w:color="000000" w:fill="000000"/>
                <w:fitText w:val="70" w:id="-1032102652"/>
                <w14:textFill>
                  <w14:solidFill>
                    <w14:srgbClr w14:val="000000">
                      <w14:alpha w14:val="100000"/>
                    </w14:srgbClr>
                  </w14:solidFill>
                </w14:textFill>
              </w:rPr>
              <w:t>|</w:t>
            </w:r>
            <w:r w:rsidRPr="008A42F6">
              <w:rPr>
                <w:rFonts w:hint="eastAsia"/>
                <w:color w:val="000000"/>
                <w:spacing w:val="4"/>
                <w:w w:val="15"/>
                <w:shd w:val="solid" w:color="000000" w:fill="000000"/>
                <w:fitText w:val="70" w:id="-1032102652"/>
                <w14:textFill>
                  <w14:solidFill>
                    <w14:srgbClr w14:val="000000">
                      <w14:alpha w14:val="100000"/>
                    </w14:srgbClr>
                  </w14:solidFill>
                </w14:textFill>
              </w:rPr>
              <w:t xml:space="preserve">　</w:t>
            </w:r>
            <w:r w:rsidR="00B56DB3" w:rsidRPr="005B6EEE">
              <w:rPr>
                <w:vertAlign w:val="superscript"/>
              </w:rPr>
              <w:t>1</w:t>
            </w:r>
          </w:p>
        </w:tc>
        <w:tc>
          <w:tcPr>
            <w:tcW w:w="611" w:type="pct"/>
            <w:shd w:val="clear" w:color="auto" w:fill="auto"/>
          </w:tcPr>
          <w:p w14:paraId="6610B4C9" w14:textId="0C938C2E" w:rsidR="003B495B" w:rsidRPr="00621588" w:rsidRDefault="008A42F6" w:rsidP="00690B5F">
            <w:pPr>
              <w:pStyle w:val="COMTabletext"/>
              <w:keepLines/>
              <w:jc w:val="center"/>
              <w:rPr>
                <w:color w:val="000000"/>
                <w:highlight w:val="darkGray"/>
              </w:rPr>
            </w:pPr>
            <w:r>
              <w:t xml:space="preserve"> </w:t>
            </w:r>
            <w:r w:rsidRPr="008A42F6">
              <w:rPr>
                <w:rFonts w:hint="eastAsia"/>
                <w:color w:val="000000"/>
                <w:w w:val="15"/>
                <w:shd w:val="solid" w:color="000000" w:fill="000000"/>
                <w:fitText w:val="70" w:id="-1032102651"/>
                <w14:textFill>
                  <w14:solidFill>
                    <w14:srgbClr w14:val="000000">
                      <w14:alpha w14:val="100000"/>
                    </w14:srgbClr>
                  </w14:solidFill>
                </w14:textFill>
              </w:rPr>
              <w:t xml:space="preserve">　</w:t>
            </w:r>
            <w:r w:rsidRPr="008A42F6">
              <w:rPr>
                <w:color w:val="000000"/>
                <w:w w:val="15"/>
                <w:shd w:val="solid" w:color="000000" w:fill="000000"/>
                <w:fitText w:val="70" w:id="-1032102651"/>
                <w14:textFill>
                  <w14:solidFill>
                    <w14:srgbClr w14:val="000000">
                      <w14:alpha w14:val="100000"/>
                    </w14:srgbClr>
                  </w14:solidFill>
                </w14:textFill>
              </w:rPr>
              <w:t>|</w:t>
            </w:r>
            <w:r w:rsidRPr="008A42F6">
              <w:rPr>
                <w:rFonts w:hint="eastAsia"/>
                <w:color w:val="000000"/>
                <w:spacing w:val="4"/>
                <w:w w:val="15"/>
                <w:shd w:val="solid" w:color="000000" w:fill="000000"/>
                <w:fitText w:val="70" w:id="-1032102651"/>
                <w14:textFill>
                  <w14:solidFill>
                    <w14:srgbClr w14:val="000000">
                      <w14:alpha w14:val="100000"/>
                    </w14:srgbClr>
                  </w14:solidFill>
                </w14:textFill>
              </w:rPr>
              <w:t xml:space="preserve">　</w:t>
            </w:r>
            <w:r w:rsidR="00B56DB3" w:rsidRPr="005B6EEE">
              <w:rPr>
                <w:vertAlign w:val="superscript"/>
              </w:rPr>
              <w:t>1</w:t>
            </w:r>
          </w:p>
        </w:tc>
        <w:tc>
          <w:tcPr>
            <w:tcW w:w="611" w:type="pct"/>
            <w:shd w:val="clear" w:color="auto" w:fill="auto"/>
          </w:tcPr>
          <w:p w14:paraId="29F46D6B" w14:textId="3375A079" w:rsidR="003B495B" w:rsidRPr="00621588" w:rsidRDefault="008A42F6" w:rsidP="00690B5F">
            <w:pPr>
              <w:pStyle w:val="COMTabletext"/>
              <w:keepLines/>
              <w:jc w:val="center"/>
              <w:rPr>
                <w:color w:val="000000"/>
                <w:highlight w:val="darkGray"/>
              </w:rPr>
            </w:pPr>
            <w:r>
              <w:t xml:space="preserve"> </w:t>
            </w:r>
            <w:r w:rsidRPr="008A42F6">
              <w:rPr>
                <w:rFonts w:hint="eastAsia"/>
                <w:color w:val="000000"/>
                <w:w w:val="15"/>
                <w:shd w:val="solid" w:color="000000" w:fill="000000"/>
                <w:fitText w:val="70" w:id="-1032102650"/>
                <w14:textFill>
                  <w14:solidFill>
                    <w14:srgbClr w14:val="000000">
                      <w14:alpha w14:val="100000"/>
                    </w14:srgbClr>
                  </w14:solidFill>
                </w14:textFill>
              </w:rPr>
              <w:t xml:space="preserve">　</w:t>
            </w:r>
            <w:r w:rsidRPr="008A42F6">
              <w:rPr>
                <w:color w:val="000000"/>
                <w:w w:val="15"/>
                <w:shd w:val="solid" w:color="000000" w:fill="000000"/>
                <w:fitText w:val="70" w:id="-1032102650"/>
                <w14:textFill>
                  <w14:solidFill>
                    <w14:srgbClr w14:val="000000">
                      <w14:alpha w14:val="100000"/>
                    </w14:srgbClr>
                  </w14:solidFill>
                </w14:textFill>
              </w:rPr>
              <w:t>|</w:t>
            </w:r>
            <w:r w:rsidRPr="008A42F6">
              <w:rPr>
                <w:rFonts w:hint="eastAsia"/>
                <w:color w:val="000000"/>
                <w:spacing w:val="4"/>
                <w:w w:val="15"/>
                <w:shd w:val="solid" w:color="000000" w:fill="000000"/>
                <w:fitText w:val="70" w:id="-1032102650"/>
                <w14:textFill>
                  <w14:solidFill>
                    <w14:srgbClr w14:val="000000">
                      <w14:alpha w14:val="100000"/>
                    </w14:srgbClr>
                  </w14:solidFill>
                </w14:textFill>
              </w:rPr>
              <w:t xml:space="preserve">　</w:t>
            </w:r>
            <w:r w:rsidR="00B56DB3" w:rsidRPr="005B6EEE">
              <w:rPr>
                <w:vertAlign w:val="superscript"/>
              </w:rPr>
              <w:t>1</w:t>
            </w:r>
          </w:p>
        </w:tc>
        <w:tc>
          <w:tcPr>
            <w:tcW w:w="611" w:type="pct"/>
            <w:shd w:val="clear" w:color="auto" w:fill="auto"/>
          </w:tcPr>
          <w:p w14:paraId="21167904" w14:textId="74807B97" w:rsidR="003B495B" w:rsidRPr="00621588" w:rsidRDefault="008A42F6" w:rsidP="00690B5F">
            <w:pPr>
              <w:pStyle w:val="COMTabletext"/>
              <w:keepLines/>
              <w:jc w:val="center"/>
              <w:rPr>
                <w:color w:val="000000"/>
                <w:highlight w:val="darkGray"/>
              </w:rPr>
            </w:pPr>
            <w:r>
              <w:t xml:space="preserve"> </w:t>
            </w:r>
            <w:r w:rsidRPr="008A42F6">
              <w:rPr>
                <w:rFonts w:hint="eastAsia"/>
                <w:color w:val="000000"/>
                <w:w w:val="15"/>
                <w:shd w:val="solid" w:color="000000" w:fill="000000"/>
                <w:fitText w:val="70" w:id="-1032102649"/>
                <w14:textFill>
                  <w14:solidFill>
                    <w14:srgbClr w14:val="000000">
                      <w14:alpha w14:val="100000"/>
                    </w14:srgbClr>
                  </w14:solidFill>
                </w14:textFill>
              </w:rPr>
              <w:t xml:space="preserve">　</w:t>
            </w:r>
            <w:r w:rsidRPr="008A42F6">
              <w:rPr>
                <w:color w:val="000000"/>
                <w:w w:val="15"/>
                <w:shd w:val="solid" w:color="000000" w:fill="000000"/>
                <w:fitText w:val="70" w:id="-1032102649"/>
                <w14:textFill>
                  <w14:solidFill>
                    <w14:srgbClr w14:val="000000">
                      <w14:alpha w14:val="100000"/>
                    </w14:srgbClr>
                  </w14:solidFill>
                </w14:textFill>
              </w:rPr>
              <w:t>|</w:t>
            </w:r>
            <w:r w:rsidRPr="008A42F6">
              <w:rPr>
                <w:rFonts w:hint="eastAsia"/>
                <w:color w:val="000000"/>
                <w:spacing w:val="4"/>
                <w:w w:val="15"/>
                <w:shd w:val="solid" w:color="000000" w:fill="000000"/>
                <w:fitText w:val="70" w:id="-1032102649"/>
                <w14:textFill>
                  <w14:solidFill>
                    <w14:srgbClr w14:val="000000">
                      <w14:alpha w14:val="100000"/>
                    </w14:srgbClr>
                  </w14:solidFill>
                </w14:textFill>
              </w:rPr>
              <w:t xml:space="preserve">　</w:t>
            </w:r>
            <w:r w:rsidR="00B56DB3" w:rsidRPr="005B6EEE">
              <w:rPr>
                <w:vertAlign w:val="superscript"/>
              </w:rPr>
              <w:t>1</w:t>
            </w:r>
          </w:p>
        </w:tc>
        <w:tc>
          <w:tcPr>
            <w:tcW w:w="611" w:type="pct"/>
            <w:shd w:val="clear" w:color="auto" w:fill="auto"/>
          </w:tcPr>
          <w:p w14:paraId="762D4B71" w14:textId="103DA49A" w:rsidR="003B495B" w:rsidRPr="00621588" w:rsidRDefault="008A42F6" w:rsidP="00690B5F">
            <w:pPr>
              <w:pStyle w:val="COMTabletext"/>
              <w:keepLines/>
              <w:jc w:val="center"/>
              <w:rPr>
                <w:color w:val="000000"/>
                <w:highlight w:val="darkGray"/>
              </w:rPr>
            </w:pPr>
            <w:r>
              <w:t xml:space="preserve"> </w:t>
            </w:r>
            <w:r w:rsidRPr="008A42F6">
              <w:rPr>
                <w:rFonts w:hint="eastAsia"/>
                <w:color w:val="000000"/>
                <w:w w:val="15"/>
                <w:shd w:val="solid" w:color="000000" w:fill="000000"/>
                <w:fitText w:val="70" w:id="-1032102648"/>
                <w14:textFill>
                  <w14:solidFill>
                    <w14:srgbClr w14:val="000000">
                      <w14:alpha w14:val="100000"/>
                    </w14:srgbClr>
                  </w14:solidFill>
                </w14:textFill>
              </w:rPr>
              <w:t xml:space="preserve">　</w:t>
            </w:r>
            <w:r w:rsidRPr="008A42F6">
              <w:rPr>
                <w:color w:val="000000"/>
                <w:w w:val="15"/>
                <w:shd w:val="solid" w:color="000000" w:fill="000000"/>
                <w:fitText w:val="70" w:id="-1032102648"/>
                <w14:textFill>
                  <w14:solidFill>
                    <w14:srgbClr w14:val="000000">
                      <w14:alpha w14:val="100000"/>
                    </w14:srgbClr>
                  </w14:solidFill>
                </w14:textFill>
              </w:rPr>
              <w:t>|</w:t>
            </w:r>
            <w:r w:rsidRPr="008A42F6">
              <w:rPr>
                <w:rFonts w:hint="eastAsia"/>
                <w:color w:val="000000"/>
                <w:spacing w:val="4"/>
                <w:w w:val="15"/>
                <w:shd w:val="solid" w:color="000000" w:fill="000000"/>
                <w:fitText w:val="70" w:id="-1032102648"/>
                <w14:textFill>
                  <w14:solidFill>
                    <w14:srgbClr w14:val="000000">
                      <w14:alpha w14:val="100000"/>
                    </w14:srgbClr>
                  </w14:solidFill>
                </w14:textFill>
              </w:rPr>
              <w:t xml:space="preserve">　</w:t>
            </w:r>
            <w:r w:rsidR="00B56DB3">
              <w:rPr>
                <w:vertAlign w:val="superscript"/>
              </w:rPr>
              <w:t>2</w:t>
            </w:r>
          </w:p>
        </w:tc>
        <w:tc>
          <w:tcPr>
            <w:tcW w:w="613" w:type="pct"/>
          </w:tcPr>
          <w:p w14:paraId="42B428B5" w14:textId="1B1B6146" w:rsidR="003B495B" w:rsidRPr="00621588" w:rsidRDefault="008A42F6" w:rsidP="00690B5F">
            <w:pPr>
              <w:pStyle w:val="COMTabletext"/>
              <w:keepLines/>
              <w:jc w:val="center"/>
              <w:rPr>
                <w:color w:val="000000"/>
                <w:highlight w:val="darkGray"/>
              </w:rPr>
            </w:pPr>
            <w:r>
              <w:t xml:space="preserve"> </w:t>
            </w:r>
            <w:r w:rsidRPr="008A42F6">
              <w:rPr>
                <w:rFonts w:hint="eastAsia"/>
                <w:color w:val="000000"/>
                <w:w w:val="18"/>
                <w:shd w:val="solid" w:color="000000" w:fill="000000"/>
                <w:fitText w:val="80" w:id="-1032102647"/>
                <w14:textFill>
                  <w14:solidFill>
                    <w14:srgbClr w14:val="000000">
                      <w14:alpha w14:val="100000"/>
                    </w14:srgbClr>
                  </w14:solidFill>
                </w14:textFill>
              </w:rPr>
              <w:t xml:space="preserve">　</w:t>
            </w:r>
            <w:r w:rsidRPr="008A42F6">
              <w:rPr>
                <w:color w:val="000000"/>
                <w:w w:val="18"/>
                <w:shd w:val="solid" w:color="000000" w:fill="000000"/>
                <w:fitText w:val="80" w:id="-1032102647"/>
                <w14:textFill>
                  <w14:solidFill>
                    <w14:srgbClr w14:val="000000">
                      <w14:alpha w14:val="100000"/>
                    </w14:srgbClr>
                  </w14:solidFill>
                </w14:textFill>
              </w:rPr>
              <w:t>|</w:t>
            </w:r>
            <w:r w:rsidRPr="008A42F6">
              <w:rPr>
                <w:rFonts w:hint="eastAsia"/>
                <w:color w:val="000000"/>
                <w:w w:val="18"/>
                <w:shd w:val="solid" w:color="000000" w:fill="000000"/>
                <w:fitText w:val="80" w:id="-1032102647"/>
                <w14:textFill>
                  <w14:solidFill>
                    <w14:srgbClr w14:val="000000">
                      <w14:alpha w14:val="100000"/>
                    </w14:srgbClr>
                  </w14:solidFill>
                </w14:textFill>
              </w:rPr>
              <w:t xml:space="preserve">　</w:t>
            </w:r>
            <w:r w:rsidR="00B56DB3">
              <w:rPr>
                <w:vertAlign w:val="superscript"/>
              </w:rPr>
              <w:t>2</w:t>
            </w:r>
          </w:p>
        </w:tc>
      </w:tr>
      <w:tr w:rsidR="00C81DE1" w:rsidRPr="001C59C3" w14:paraId="21992F1E" w14:textId="77777777" w:rsidTr="00C81DE1">
        <w:tc>
          <w:tcPr>
            <w:tcW w:w="5000" w:type="pct"/>
            <w:gridSpan w:val="7"/>
            <w:shd w:val="clear" w:color="auto" w:fill="auto"/>
            <w:vAlign w:val="center"/>
          </w:tcPr>
          <w:p w14:paraId="08A79F5C" w14:textId="214CF176" w:rsidR="00C81DE1" w:rsidRPr="001C59C3" w:rsidRDefault="00C81DE1" w:rsidP="00690B5F">
            <w:pPr>
              <w:pStyle w:val="COMTabletext"/>
              <w:keepLines/>
              <w:rPr>
                <w:b/>
                <w:bCs w:val="0"/>
                <w:i/>
                <w:iCs/>
              </w:rPr>
            </w:pPr>
            <w:r w:rsidRPr="001C59C3">
              <w:rPr>
                <w:b/>
                <w:bCs w:val="0"/>
                <w:i/>
                <w:iCs/>
                <w:color w:val="000000"/>
              </w:rPr>
              <w:t>Estimated extent of use</w:t>
            </w:r>
            <w:r w:rsidRPr="001C59C3" w:rsidDel="00C81DE1">
              <w:rPr>
                <w:b/>
                <w:bCs w:val="0"/>
                <w:i/>
                <w:iCs/>
              </w:rPr>
              <w:t xml:space="preserve"> </w:t>
            </w:r>
            <w:r w:rsidRPr="001C59C3">
              <w:rPr>
                <w:b/>
                <w:bCs w:val="0"/>
                <w:i/>
                <w:iCs/>
              </w:rPr>
              <w:t xml:space="preserve">– pre-PBAC response </w:t>
            </w:r>
          </w:p>
        </w:tc>
      </w:tr>
      <w:tr w:rsidR="00C81DE1" w:rsidRPr="001C59C3" w14:paraId="03B71D59" w14:textId="77777777" w:rsidTr="005F0B86">
        <w:tc>
          <w:tcPr>
            <w:tcW w:w="1332" w:type="pct"/>
            <w:shd w:val="clear" w:color="auto" w:fill="auto"/>
            <w:vAlign w:val="center"/>
          </w:tcPr>
          <w:p w14:paraId="1F5B8FFD" w14:textId="1FDE41A0" w:rsidR="00C81DE1" w:rsidRPr="001C59C3" w:rsidRDefault="00C81DE1" w:rsidP="00690B5F">
            <w:pPr>
              <w:pStyle w:val="COMTabletext"/>
              <w:keepLines/>
              <w:rPr>
                <w:i/>
                <w:iCs/>
              </w:rPr>
            </w:pPr>
            <w:r w:rsidRPr="001C59C3">
              <w:rPr>
                <w:i/>
                <w:iCs/>
              </w:rPr>
              <w:t>Number of patients treated</w:t>
            </w:r>
          </w:p>
        </w:tc>
        <w:tc>
          <w:tcPr>
            <w:tcW w:w="611" w:type="pct"/>
            <w:shd w:val="clear" w:color="auto" w:fill="auto"/>
          </w:tcPr>
          <w:p w14:paraId="16AF95EF" w14:textId="0047DFAB" w:rsidR="00C81DE1" w:rsidRPr="00621588" w:rsidRDefault="008A42F6" w:rsidP="00690B5F">
            <w:pPr>
              <w:pStyle w:val="COMTabletext"/>
              <w:keepLines/>
              <w:jc w:val="center"/>
              <w:rPr>
                <w:i/>
                <w:iCs/>
                <w:highlight w:val="darkGray"/>
              </w:rPr>
            </w:pPr>
            <w:r>
              <w:rPr>
                <w:i/>
                <w:iCs/>
              </w:rPr>
              <w:t xml:space="preserve"> </w:t>
            </w:r>
            <w:r w:rsidRPr="008A42F6">
              <w:rPr>
                <w:rFonts w:hint="eastAsia"/>
                <w:i/>
                <w:iCs/>
                <w:color w:val="000000"/>
                <w:w w:val="15"/>
                <w:shd w:val="solid" w:color="000000" w:fill="000000"/>
                <w:fitText w:val="70" w:id="-1032102646"/>
                <w14:textFill>
                  <w14:solidFill>
                    <w14:srgbClr w14:val="000000">
                      <w14:alpha w14:val="100000"/>
                    </w14:srgbClr>
                  </w14:solidFill>
                </w14:textFill>
              </w:rPr>
              <w:t xml:space="preserve">　</w:t>
            </w:r>
            <w:r w:rsidRPr="008A42F6">
              <w:rPr>
                <w:i/>
                <w:iCs/>
                <w:color w:val="000000"/>
                <w:w w:val="15"/>
                <w:shd w:val="solid" w:color="000000" w:fill="000000"/>
                <w:fitText w:val="70" w:id="-1032102646"/>
                <w14:textFill>
                  <w14:solidFill>
                    <w14:srgbClr w14:val="000000">
                      <w14:alpha w14:val="100000"/>
                    </w14:srgbClr>
                  </w14:solidFill>
                </w14:textFill>
              </w:rPr>
              <w:t>|</w:t>
            </w:r>
            <w:r w:rsidRPr="008A42F6">
              <w:rPr>
                <w:rFonts w:hint="eastAsia"/>
                <w:i/>
                <w:iCs/>
                <w:color w:val="000000"/>
                <w:spacing w:val="4"/>
                <w:w w:val="15"/>
                <w:shd w:val="solid" w:color="000000" w:fill="000000"/>
                <w:fitText w:val="70" w:id="-1032102646"/>
                <w14:textFill>
                  <w14:solidFill>
                    <w14:srgbClr w14:val="000000">
                      <w14:alpha w14:val="100000"/>
                    </w14:srgbClr>
                  </w14:solidFill>
                </w14:textFill>
              </w:rPr>
              <w:t xml:space="preserve">　</w:t>
            </w:r>
            <w:r w:rsidR="00B56DB3" w:rsidRPr="005B6EEE">
              <w:rPr>
                <w:vertAlign w:val="superscript"/>
              </w:rPr>
              <w:t>1</w:t>
            </w:r>
          </w:p>
        </w:tc>
        <w:tc>
          <w:tcPr>
            <w:tcW w:w="611" w:type="pct"/>
            <w:shd w:val="clear" w:color="auto" w:fill="auto"/>
          </w:tcPr>
          <w:p w14:paraId="6917AE10" w14:textId="05D23776" w:rsidR="00C81DE1" w:rsidRPr="00621588" w:rsidRDefault="008A42F6" w:rsidP="00690B5F">
            <w:pPr>
              <w:pStyle w:val="COMTabletext"/>
              <w:keepLines/>
              <w:jc w:val="center"/>
              <w:rPr>
                <w:i/>
                <w:iCs/>
                <w:highlight w:val="darkGray"/>
              </w:rPr>
            </w:pPr>
            <w:r>
              <w:rPr>
                <w:i/>
                <w:iCs/>
              </w:rPr>
              <w:t xml:space="preserve"> </w:t>
            </w:r>
            <w:r w:rsidRPr="008A42F6">
              <w:rPr>
                <w:rFonts w:hint="eastAsia"/>
                <w:i/>
                <w:iCs/>
                <w:color w:val="000000"/>
                <w:w w:val="15"/>
                <w:shd w:val="solid" w:color="000000" w:fill="000000"/>
                <w:fitText w:val="70" w:id="-1032102645"/>
                <w14:textFill>
                  <w14:solidFill>
                    <w14:srgbClr w14:val="000000">
                      <w14:alpha w14:val="100000"/>
                    </w14:srgbClr>
                  </w14:solidFill>
                </w14:textFill>
              </w:rPr>
              <w:t xml:space="preserve">　</w:t>
            </w:r>
            <w:r w:rsidRPr="008A42F6">
              <w:rPr>
                <w:i/>
                <w:iCs/>
                <w:color w:val="000000"/>
                <w:w w:val="15"/>
                <w:shd w:val="solid" w:color="000000" w:fill="000000"/>
                <w:fitText w:val="70" w:id="-1032102645"/>
                <w14:textFill>
                  <w14:solidFill>
                    <w14:srgbClr w14:val="000000">
                      <w14:alpha w14:val="100000"/>
                    </w14:srgbClr>
                  </w14:solidFill>
                </w14:textFill>
              </w:rPr>
              <w:t>|</w:t>
            </w:r>
            <w:r w:rsidRPr="008A42F6">
              <w:rPr>
                <w:rFonts w:hint="eastAsia"/>
                <w:i/>
                <w:iCs/>
                <w:color w:val="000000"/>
                <w:spacing w:val="4"/>
                <w:w w:val="15"/>
                <w:shd w:val="solid" w:color="000000" w:fill="000000"/>
                <w:fitText w:val="70" w:id="-1032102645"/>
                <w14:textFill>
                  <w14:solidFill>
                    <w14:srgbClr w14:val="000000">
                      <w14:alpha w14:val="100000"/>
                    </w14:srgbClr>
                  </w14:solidFill>
                </w14:textFill>
              </w:rPr>
              <w:t xml:space="preserve">　</w:t>
            </w:r>
            <w:r w:rsidR="00B56DB3" w:rsidRPr="005B6EEE">
              <w:rPr>
                <w:vertAlign w:val="superscript"/>
              </w:rPr>
              <w:t>1</w:t>
            </w:r>
          </w:p>
        </w:tc>
        <w:tc>
          <w:tcPr>
            <w:tcW w:w="611" w:type="pct"/>
            <w:shd w:val="clear" w:color="auto" w:fill="auto"/>
          </w:tcPr>
          <w:p w14:paraId="4C7D9D83" w14:textId="0CA0D000" w:rsidR="00C81DE1" w:rsidRPr="00621588" w:rsidRDefault="008A42F6" w:rsidP="00690B5F">
            <w:pPr>
              <w:pStyle w:val="COMTabletext"/>
              <w:keepLines/>
              <w:jc w:val="center"/>
              <w:rPr>
                <w:i/>
                <w:iCs/>
                <w:highlight w:val="darkGray"/>
              </w:rPr>
            </w:pPr>
            <w:r>
              <w:rPr>
                <w:i/>
                <w:iCs/>
              </w:rPr>
              <w:t xml:space="preserve"> </w:t>
            </w:r>
            <w:r w:rsidRPr="008A42F6">
              <w:rPr>
                <w:rFonts w:hint="eastAsia"/>
                <w:i/>
                <w:iCs/>
                <w:color w:val="000000"/>
                <w:w w:val="15"/>
                <w:shd w:val="solid" w:color="000000" w:fill="000000"/>
                <w:fitText w:val="70" w:id="-1032102644"/>
                <w14:textFill>
                  <w14:solidFill>
                    <w14:srgbClr w14:val="000000">
                      <w14:alpha w14:val="100000"/>
                    </w14:srgbClr>
                  </w14:solidFill>
                </w14:textFill>
              </w:rPr>
              <w:t xml:space="preserve">　</w:t>
            </w:r>
            <w:r w:rsidRPr="008A42F6">
              <w:rPr>
                <w:i/>
                <w:iCs/>
                <w:color w:val="000000"/>
                <w:w w:val="15"/>
                <w:shd w:val="solid" w:color="000000" w:fill="000000"/>
                <w:fitText w:val="70" w:id="-1032102644"/>
                <w14:textFill>
                  <w14:solidFill>
                    <w14:srgbClr w14:val="000000">
                      <w14:alpha w14:val="100000"/>
                    </w14:srgbClr>
                  </w14:solidFill>
                </w14:textFill>
              </w:rPr>
              <w:t>|</w:t>
            </w:r>
            <w:r w:rsidRPr="008A42F6">
              <w:rPr>
                <w:rFonts w:hint="eastAsia"/>
                <w:i/>
                <w:iCs/>
                <w:color w:val="000000"/>
                <w:spacing w:val="4"/>
                <w:w w:val="15"/>
                <w:shd w:val="solid" w:color="000000" w:fill="000000"/>
                <w:fitText w:val="70" w:id="-1032102644"/>
                <w14:textFill>
                  <w14:solidFill>
                    <w14:srgbClr w14:val="000000">
                      <w14:alpha w14:val="100000"/>
                    </w14:srgbClr>
                  </w14:solidFill>
                </w14:textFill>
              </w:rPr>
              <w:t xml:space="preserve">　</w:t>
            </w:r>
            <w:r w:rsidR="00B56DB3" w:rsidRPr="005B6EEE">
              <w:rPr>
                <w:vertAlign w:val="superscript"/>
              </w:rPr>
              <w:t>1</w:t>
            </w:r>
          </w:p>
        </w:tc>
        <w:tc>
          <w:tcPr>
            <w:tcW w:w="611" w:type="pct"/>
            <w:shd w:val="clear" w:color="auto" w:fill="auto"/>
          </w:tcPr>
          <w:p w14:paraId="0A10948B" w14:textId="6FA1DBE2" w:rsidR="00C81DE1" w:rsidRPr="00621588" w:rsidRDefault="008A42F6" w:rsidP="00690B5F">
            <w:pPr>
              <w:pStyle w:val="COMTabletext"/>
              <w:keepLines/>
              <w:jc w:val="center"/>
              <w:rPr>
                <w:i/>
                <w:iCs/>
                <w:highlight w:val="darkGray"/>
              </w:rPr>
            </w:pPr>
            <w:r>
              <w:rPr>
                <w:i/>
                <w:iCs/>
              </w:rPr>
              <w:t xml:space="preserve"> </w:t>
            </w:r>
            <w:r w:rsidRPr="008A42F6">
              <w:rPr>
                <w:rFonts w:hint="eastAsia"/>
                <w:i/>
                <w:iCs/>
                <w:color w:val="000000"/>
                <w:w w:val="15"/>
                <w:shd w:val="solid" w:color="000000" w:fill="000000"/>
                <w:fitText w:val="70" w:id="-1032102643"/>
                <w14:textFill>
                  <w14:solidFill>
                    <w14:srgbClr w14:val="000000">
                      <w14:alpha w14:val="100000"/>
                    </w14:srgbClr>
                  </w14:solidFill>
                </w14:textFill>
              </w:rPr>
              <w:t xml:space="preserve">　</w:t>
            </w:r>
            <w:r w:rsidRPr="008A42F6">
              <w:rPr>
                <w:i/>
                <w:iCs/>
                <w:color w:val="000000"/>
                <w:w w:val="15"/>
                <w:shd w:val="solid" w:color="000000" w:fill="000000"/>
                <w:fitText w:val="70" w:id="-1032102643"/>
                <w14:textFill>
                  <w14:solidFill>
                    <w14:srgbClr w14:val="000000">
                      <w14:alpha w14:val="100000"/>
                    </w14:srgbClr>
                  </w14:solidFill>
                </w14:textFill>
              </w:rPr>
              <w:t>|</w:t>
            </w:r>
            <w:r w:rsidRPr="008A42F6">
              <w:rPr>
                <w:rFonts w:hint="eastAsia"/>
                <w:i/>
                <w:iCs/>
                <w:color w:val="000000"/>
                <w:spacing w:val="4"/>
                <w:w w:val="15"/>
                <w:shd w:val="solid" w:color="000000" w:fill="000000"/>
                <w:fitText w:val="70" w:id="-1032102643"/>
                <w14:textFill>
                  <w14:solidFill>
                    <w14:srgbClr w14:val="000000">
                      <w14:alpha w14:val="100000"/>
                    </w14:srgbClr>
                  </w14:solidFill>
                </w14:textFill>
              </w:rPr>
              <w:t xml:space="preserve">　</w:t>
            </w:r>
            <w:r w:rsidR="00B56DB3" w:rsidRPr="005B6EEE">
              <w:rPr>
                <w:vertAlign w:val="superscript"/>
              </w:rPr>
              <w:t>1</w:t>
            </w:r>
          </w:p>
        </w:tc>
        <w:tc>
          <w:tcPr>
            <w:tcW w:w="611" w:type="pct"/>
            <w:shd w:val="clear" w:color="auto" w:fill="auto"/>
          </w:tcPr>
          <w:p w14:paraId="391F45D4" w14:textId="56912969" w:rsidR="00C81DE1" w:rsidRPr="00621588" w:rsidRDefault="008A42F6" w:rsidP="00690B5F">
            <w:pPr>
              <w:pStyle w:val="COMTabletext"/>
              <w:keepLines/>
              <w:jc w:val="center"/>
              <w:rPr>
                <w:i/>
                <w:iCs/>
                <w:highlight w:val="darkGray"/>
              </w:rPr>
            </w:pPr>
            <w:r>
              <w:rPr>
                <w:i/>
                <w:iCs/>
              </w:rPr>
              <w:t xml:space="preserve"> </w:t>
            </w:r>
            <w:r w:rsidRPr="008A42F6">
              <w:rPr>
                <w:rFonts w:hint="eastAsia"/>
                <w:i/>
                <w:iCs/>
                <w:color w:val="000000"/>
                <w:w w:val="15"/>
                <w:shd w:val="solid" w:color="000000" w:fill="000000"/>
                <w:fitText w:val="70" w:id="-1032102642"/>
                <w14:textFill>
                  <w14:solidFill>
                    <w14:srgbClr w14:val="000000">
                      <w14:alpha w14:val="100000"/>
                    </w14:srgbClr>
                  </w14:solidFill>
                </w14:textFill>
              </w:rPr>
              <w:t xml:space="preserve">　</w:t>
            </w:r>
            <w:r w:rsidRPr="008A42F6">
              <w:rPr>
                <w:i/>
                <w:iCs/>
                <w:color w:val="000000"/>
                <w:w w:val="15"/>
                <w:shd w:val="solid" w:color="000000" w:fill="000000"/>
                <w:fitText w:val="70" w:id="-1032102642"/>
                <w14:textFill>
                  <w14:solidFill>
                    <w14:srgbClr w14:val="000000">
                      <w14:alpha w14:val="100000"/>
                    </w14:srgbClr>
                  </w14:solidFill>
                </w14:textFill>
              </w:rPr>
              <w:t>|</w:t>
            </w:r>
            <w:r w:rsidRPr="008A42F6">
              <w:rPr>
                <w:rFonts w:hint="eastAsia"/>
                <w:i/>
                <w:iCs/>
                <w:color w:val="000000"/>
                <w:spacing w:val="4"/>
                <w:w w:val="15"/>
                <w:shd w:val="solid" w:color="000000" w:fill="000000"/>
                <w:fitText w:val="70" w:id="-1032102642"/>
                <w14:textFill>
                  <w14:solidFill>
                    <w14:srgbClr w14:val="000000">
                      <w14:alpha w14:val="100000"/>
                    </w14:srgbClr>
                  </w14:solidFill>
                </w14:textFill>
              </w:rPr>
              <w:t xml:space="preserve">　</w:t>
            </w:r>
            <w:r w:rsidR="00B56DB3" w:rsidRPr="005B6EEE">
              <w:rPr>
                <w:vertAlign w:val="superscript"/>
              </w:rPr>
              <w:t>1</w:t>
            </w:r>
          </w:p>
        </w:tc>
        <w:tc>
          <w:tcPr>
            <w:tcW w:w="613" w:type="pct"/>
          </w:tcPr>
          <w:p w14:paraId="7FC6ABBB" w14:textId="03EB2BF2" w:rsidR="00C81DE1" w:rsidRPr="00621588" w:rsidRDefault="008A42F6" w:rsidP="00690B5F">
            <w:pPr>
              <w:pStyle w:val="COMTabletext"/>
              <w:keepLines/>
              <w:jc w:val="center"/>
              <w:rPr>
                <w:i/>
                <w:iCs/>
                <w:highlight w:val="darkGray"/>
              </w:rPr>
            </w:pPr>
            <w:r>
              <w:rPr>
                <w:i/>
                <w:iCs/>
              </w:rPr>
              <w:t xml:space="preserve"> </w:t>
            </w:r>
            <w:r w:rsidRPr="008A42F6">
              <w:rPr>
                <w:rFonts w:hint="eastAsia"/>
                <w:i/>
                <w:iCs/>
                <w:color w:val="000000"/>
                <w:w w:val="18"/>
                <w:shd w:val="solid" w:color="000000" w:fill="000000"/>
                <w:fitText w:val="80" w:id="-1032102641"/>
                <w14:textFill>
                  <w14:solidFill>
                    <w14:srgbClr w14:val="000000">
                      <w14:alpha w14:val="100000"/>
                    </w14:srgbClr>
                  </w14:solidFill>
                </w14:textFill>
              </w:rPr>
              <w:t xml:space="preserve">　</w:t>
            </w:r>
            <w:r w:rsidRPr="008A42F6">
              <w:rPr>
                <w:i/>
                <w:iCs/>
                <w:color w:val="000000"/>
                <w:w w:val="18"/>
                <w:shd w:val="solid" w:color="000000" w:fill="000000"/>
                <w:fitText w:val="80" w:id="-1032102641"/>
                <w14:textFill>
                  <w14:solidFill>
                    <w14:srgbClr w14:val="000000">
                      <w14:alpha w14:val="100000"/>
                    </w14:srgbClr>
                  </w14:solidFill>
                </w14:textFill>
              </w:rPr>
              <w:t>|</w:t>
            </w:r>
            <w:r w:rsidRPr="008A42F6">
              <w:rPr>
                <w:rFonts w:hint="eastAsia"/>
                <w:i/>
                <w:iCs/>
                <w:color w:val="000000"/>
                <w:w w:val="18"/>
                <w:shd w:val="solid" w:color="000000" w:fill="000000"/>
                <w:fitText w:val="80" w:id="-1032102641"/>
                <w14:textFill>
                  <w14:solidFill>
                    <w14:srgbClr w14:val="000000">
                      <w14:alpha w14:val="100000"/>
                    </w14:srgbClr>
                  </w14:solidFill>
                </w14:textFill>
              </w:rPr>
              <w:t xml:space="preserve">　</w:t>
            </w:r>
            <w:r w:rsidR="00B56DB3" w:rsidRPr="005B6EEE">
              <w:rPr>
                <w:vertAlign w:val="superscript"/>
              </w:rPr>
              <w:t>1</w:t>
            </w:r>
          </w:p>
        </w:tc>
      </w:tr>
      <w:tr w:rsidR="00D21179" w:rsidRPr="001C59C3" w14:paraId="6FE21E93" w14:textId="77777777" w:rsidTr="005F0B86">
        <w:tc>
          <w:tcPr>
            <w:tcW w:w="1332" w:type="pct"/>
            <w:shd w:val="clear" w:color="auto" w:fill="B8CCE4" w:themeFill="accent1" w:themeFillTint="66"/>
          </w:tcPr>
          <w:p w14:paraId="599F0A20" w14:textId="4ADA34FA" w:rsidR="00D21179" w:rsidRPr="001C59C3" w:rsidRDefault="00D21179" w:rsidP="00690B5F">
            <w:pPr>
              <w:pStyle w:val="COMTabletext"/>
              <w:keepLines/>
            </w:pPr>
            <w:r w:rsidRPr="001C59C3">
              <w:t xml:space="preserve">March 2023 submission </w:t>
            </w:r>
            <w:r w:rsidR="00506937" w:rsidRPr="001C59C3">
              <w:t>treated patients</w:t>
            </w:r>
            <w:r w:rsidRPr="001C59C3">
              <w:t xml:space="preserve"> (initiating and continuing from previous years)</w:t>
            </w:r>
          </w:p>
        </w:tc>
        <w:tc>
          <w:tcPr>
            <w:tcW w:w="611" w:type="pct"/>
            <w:shd w:val="clear" w:color="auto" w:fill="B8CCE4" w:themeFill="accent1" w:themeFillTint="66"/>
            <w:vAlign w:val="center"/>
          </w:tcPr>
          <w:p w14:paraId="45545CAB" w14:textId="13328385" w:rsidR="00D21179" w:rsidRPr="00621588" w:rsidRDefault="008A42F6" w:rsidP="00690B5F">
            <w:pPr>
              <w:pStyle w:val="COMTabletext"/>
              <w:keepLines/>
              <w:jc w:val="center"/>
              <w:rPr>
                <w:highlight w:val="darkGray"/>
              </w:rPr>
            </w:pPr>
            <w:r>
              <w:t xml:space="preserve"> </w:t>
            </w:r>
            <w:r w:rsidRPr="008A42F6">
              <w:rPr>
                <w:rFonts w:hint="eastAsia"/>
                <w:color w:val="000000"/>
                <w:w w:val="15"/>
                <w:shd w:val="solid" w:color="000000" w:fill="000000"/>
                <w:fitText w:val="70" w:id="-1032102640"/>
                <w14:textFill>
                  <w14:solidFill>
                    <w14:srgbClr w14:val="000000">
                      <w14:alpha w14:val="100000"/>
                    </w14:srgbClr>
                  </w14:solidFill>
                </w14:textFill>
              </w:rPr>
              <w:t xml:space="preserve">　</w:t>
            </w:r>
            <w:r w:rsidRPr="008A42F6">
              <w:rPr>
                <w:color w:val="000000"/>
                <w:w w:val="15"/>
                <w:shd w:val="solid" w:color="000000" w:fill="000000"/>
                <w:fitText w:val="70" w:id="-1032102640"/>
                <w14:textFill>
                  <w14:solidFill>
                    <w14:srgbClr w14:val="000000">
                      <w14:alpha w14:val="100000"/>
                    </w14:srgbClr>
                  </w14:solidFill>
                </w14:textFill>
              </w:rPr>
              <w:t>|</w:t>
            </w:r>
            <w:r w:rsidRPr="008A42F6">
              <w:rPr>
                <w:rFonts w:hint="eastAsia"/>
                <w:color w:val="000000"/>
                <w:spacing w:val="4"/>
                <w:w w:val="15"/>
                <w:shd w:val="solid" w:color="000000" w:fill="000000"/>
                <w:fitText w:val="70" w:id="-1032102640"/>
                <w14:textFill>
                  <w14:solidFill>
                    <w14:srgbClr w14:val="000000">
                      <w14:alpha w14:val="100000"/>
                    </w14:srgbClr>
                  </w14:solidFill>
                </w14:textFill>
              </w:rPr>
              <w:t xml:space="preserve">　</w:t>
            </w:r>
            <w:r w:rsidR="00B56DB3" w:rsidRPr="005B6EEE">
              <w:rPr>
                <w:vertAlign w:val="superscript"/>
              </w:rPr>
              <w:t>1</w:t>
            </w:r>
          </w:p>
        </w:tc>
        <w:tc>
          <w:tcPr>
            <w:tcW w:w="611" w:type="pct"/>
            <w:shd w:val="clear" w:color="auto" w:fill="B8CCE4" w:themeFill="accent1" w:themeFillTint="66"/>
            <w:vAlign w:val="center"/>
          </w:tcPr>
          <w:p w14:paraId="5073ED4D" w14:textId="7FC61DE8" w:rsidR="00D21179" w:rsidRPr="00621588" w:rsidRDefault="008A42F6" w:rsidP="00690B5F">
            <w:pPr>
              <w:pStyle w:val="COMTabletext"/>
              <w:keepLines/>
              <w:jc w:val="center"/>
              <w:rPr>
                <w:highlight w:val="darkGray"/>
              </w:rPr>
            </w:pPr>
            <w:r>
              <w:t xml:space="preserve"> </w:t>
            </w:r>
            <w:r w:rsidRPr="008A42F6">
              <w:rPr>
                <w:rFonts w:hint="eastAsia"/>
                <w:color w:val="000000"/>
                <w:w w:val="15"/>
                <w:shd w:val="solid" w:color="000000" w:fill="000000"/>
                <w:fitText w:val="70" w:id="-1032102656"/>
                <w14:textFill>
                  <w14:solidFill>
                    <w14:srgbClr w14:val="000000">
                      <w14:alpha w14:val="100000"/>
                    </w14:srgbClr>
                  </w14:solidFill>
                </w14:textFill>
              </w:rPr>
              <w:t xml:space="preserve">　</w:t>
            </w:r>
            <w:r w:rsidRPr="008A42F6">
              <w:rPr>
                <w:color w:val="000000"/>
                <w:w w:val="15"/>
                <w:shd w:val="solid" w:color="000000" w:fill="000000"/>
                <w:fitText w:val="70" w:id="-1032102656"/>
                <w14:textFill>
                  <w14:solidFill>
                    <w14:srgbClr w14:val="000000">
                      <w14:alpha w14:val="100000"/>
                    </w14:srgbClr>
                  </w14:solidFill>
                </w14:textFill>
              </w:rPr>
              <w:t>|</w:t>
            </w:r>
            <w:r w:rsidRPr="008A42F6">
              <w:rPr>
                <w:rFonts w:hint="eastAsia"/>
                <w:color w:val="000000"/>
                <w:spacing w:val="4"/>
                <w:w w:val="15"/>
                <w:shd w:val="solid" w:color="000000" w:fill="000000"/>
                <w:fitText w:val="70" w:id="-1032102656"/>
                <w14:textFill>
                  <w14:solidFill>
                    <w14:srgbClr w14:val="000000">
                      <w14:alpha w14:val="100000"/>
                    </w14:srgbClr>
                  </w14:solidFill>
                </w14:textFill>
              </w:rPr>
              <w:t xml:space="preserve">　</w:t>
            </w:r>
            <w:r w:rsidR="00B56DB3" w:rsidRPr="005B6EEE">
              <w:rPr>
                <w:vertAlign w:val="superscript"/>
              </w:rPr>
              <w:t>1</w:t>
            </w:r>
          </w:p>
        </w:tc>
        <w:tc>
          <w:tcPr>
            <w:tcW w:w="611" w:type="pct"/>
            <w:shd w:val="clear" w:color="auto" w:fill="B8CCE4" w:themeFill="accent1" w:themeFillTint="66"/>
            <w:vAlign w:val="center"/>
          </w:tcPr>
          <w:p w14:paraId="0A63935E" w14:textId="17A2817C" w:rsidR="00D21179" w:rsidRPr="00621588" w:rsidRDefault="008A42F6" w:rsidP="00690B5F">
            <w:pPr>
              <w:pStyle w:val="COMTabletext"/>
              <w:keepLines/>
              <w:jc w:val="center"/>
              <w:rPr>
                <w:highlight w:val="darkGray"/>
              </w:rPr>
            </w:pPr>
            <w:r>
              <w:t xml:space="preserve"> </w:t>
            </w:r>
            <w:r w:rsidRPr="008A42F6">
              <w:rPr>
                <w:rFonts w:hint="eastAsia"/>
                <w:color w:val="000000"/>
                <w:w w:val="15"/>
                <w:shd w:val="solid" w:color="000000" w:fill="000000"/>
                <w:fitText w:val="70" w:id="-1032102655"/>
                <w14:textFill>
                  <w14:solidFill>
                    <w14:srgbClr w14:val="000000">
                      <w14:alpha w14:val="100000"/>
                    </w14:srgbClr>
                  </w14:solidFill>
                </w14:textFill>
              </w:rPr>
              <w:t xml:space="preserve">　</w:t>
            </w:r>
            <w:r w:rsidRPr="008A42F6">
              <w:rPr>
                <w:color w:val="000000"/>
                <w:w w:val="15"/>
                <w:shd w:val="solid" w:color="000000" w:fill="000000"/>
                <w:fitText w:val="70" w:id="-1032102655"/>
                <w14:textFill>
                  <w14:solidFill>
                    <w14:srgbClr w14:val="000000">
                      <w14:alpha w14:val="100000"/>
                    </w14:srgbClr>
                  </w14:solidFill>
                </w14:textFill>
              </w:rPr>
              <w:t>|</w:t>
            </w:r>
            <w:r w:rsidRPr="008A42F6">
              <w:rPr>
                <w:rFonts w:hint="eastAsia"/>
                <w:color w:val="000000"/>
                <w:spacing w:val="4"/>
                <w:w w:val="15"/>
                <w:shd w:val="solid" w:color="000000" w:fill="000000"/>
                <w:fitText w:val="70" w:id="-1032102655"/>
                <w14:textFill>
                  <w14:solidFill>
                    <w14:srgbClr w14:val="000000">
                      <w14:alpha w14:val="100000"/>
                    </w14:srgbClr>
                  </w14:solidFill>
                </w14:textFill>
              </w:rPr>
              <w:t xml:space="preserve">　</w:t>
            </w:r>
            <w:r w:rsidR="00B56DB3" w:rsidRPr="005B6EEE">
              <w:rPr>
                <w:vertAlign w:val="superscript"/>
              </w:rPr>
              <w:t>1</w:t>
            </w:r>
          </w:p>
        </w:tc>
        <w:tc>
          <w:tcPr>
            <w:tcW w:w="611" w:type="pct"/>
            <w:shd w:val="clear" w:color="auto" w:fill="B8CCE4" w:themeFill="accent1" w:themeFillTint="66"/>
            <w:vAlign w:val="center"/>
          </w:tcPr>
          <w:p w14:paraId="2919424F" w14:textId="143C7A2D" w:rsidR="00D21179" w:rsidRPr="00621588" w:rsidRDefault="008A42F6" w:rsidP="00690B5F">
            <w:pPr>
              <w:pStyle w:val="COMTabletext"/>
              <w:keepLines/>
              <w:jc w:val="center"/>
              <w:rPr>
                <w:highlight w:val="darkGray"/>
              </w:rPr>
            </w:pPr>
            <w:r>
              <w:t xml:space="preserve"> </w:t>
            </w:r>
            <w:r w:rsidRPr="008A42F6">
              <w:rPr>
                <w:rFonts w:hint="eastAsia"/>
                <w:color w:val="000000"/>
                <w:w w:val="15"/>
                <w:shd w:val="solid" w:color="000000" w:fill="000000"/>
                <w:fitText w:val="70" w:id="-1032102654"/>
                <w14:textFill>
                  <w14:solidFill>
                    <w14:srgbClr w14:val="000000">
                      <w14:alpha w14:val="100000"/>
                    </w14:srgbClr>
                  </w14:solidFill>
                </w14:textFill>
              </w:rPr>
              <w:t xml:space="preserve">　</w:t>
            </w:r>
            <w:r w:rsidRPr="008A42F6">
              <w:rPr>
                <w:color w:val="000000"/>
                <w:w w:val="15"/>
                <w:shd w:val="solid" w:color="000000" w:fill="000000"/>
                <w:fitText w:val="70" w:id="-1032102654"/>
                <w14:textFill>
                  <w14:solidFill>
                    <w14:srgbClr w14:val="000000">
                      <w14:alpha w14:val="100000"/>
                    </w14:srgbClr>
                  </w14:solidFill>
                </w14:textFill>
              </w:rPr>
              <w:t>|</w:t>
            </w:r>
            <w:r w:rsidRPr="008A42F6">
              <w:rPr>
                <w:rFonts w:hint="eastAsia"/>
                <w:color w:val="000000"/>
                <w:spacing w:val="4"/>
                <w:w w:val="15"/>
                <w:shd w:val="solid" w:color="000000" w:fill="000000"/>
                <w:fitText w:val="70" w:id="-1032102654"/>
                <w14:textFill>
                  <w14:solidFill>
                    <w14:srgbClr w14:val="000000">
                      <w14:alpha w14:val="100000"/>
                    </w14:srgbClr>
                  </w14:solidFill>
                </w14:textFill>
              </w:rPr>
              <w:t xml:space="preserve">　</w:t>
            </w:r>
            <w:r w:rsidR="00B56DB3" w:rsidRPr="005B6EEE">
              <w:rPr>
                <w:vertAlign w:val="superscript"/>
              </w:rPr>
              <w:t>1</w:t>
            </w:r>
          </w:p>
        </w:tc>
        <w:tc>
          <w:tcPr>
            <w:tcW w:w="611" w:type="pct"/>
            <w:shd w:val="clear" w:color="auto" w:fill="B8CCE4" w:themeFill="accent1" w:themeFillTint="66"/>
            <w:vAlign w:val="center"/>
          </w:tcPr>
          <w:p w14:paraId="49119D47" w14:textId="3ED98089" w:rsidR="00D21179" w:rsidRPr="00621588" w:rsidRDefault="008A42F6" w:rsidP="00690B5F">
            <w:pPr>
              <w:pStyle w:val="COMTabletext"/>
              <w:keepLines/>
              <w:jc w:val="center"/>
              <w:rPr>
                <w:highlight w:val="darkGray"/>
              </w:rPr>
            </w:pPr>
            <w:r>
              <w:t xml:space="preserve"> </w:t>
            </w:r>
            <w:r w:rsidRPr="008A42F6">
              <w:rPr>
                <w:rFonts w:hint="eastAsia"/>
                <w:color w:val="000000"/>
                <w:w w:val="15"/>
                <w:shd w:val="solid" w:color="000000" w:fill="000000"/>
                <w:fitText w:val="70" w:id="-1032102653"/>
                <w14:textFill>
                  <w14:solidFill>
                    <w14:srgbClr w14:val="000000">
                      <w14:alpha w14:val="100000"/>
                    </w14:srgbClr>
                  </w14:solidFill>
                </w14:textFill>
              </w:rPr>
              <w:t xml:space="preserve">　</w:t>
            </w:r>
            <w:r w:rsidRPr="008A42F6">
              <w:rPr>
                <w:color w:val="000000"/>
                <w:w w:val="15"/>
                <w:shd w:val="solid" w:color="000000" w:fill="000000"/>
                <w:fitText w:val="70" w:id="-1032102653"/>
                <w14:textFill>
                  <w14:solidFill>
                    <w14:srgbClr w14:val="000000">
                      <w14:alpha w14:val="100000"/>
                    </w14:srgbClr>
                  </w14:solidFill>
                </w14:textFill>
              </w:rPr>
              <w:t>|</w:t>
            </w:r>
            <w:r w:rsidRPr="008A42F6">
              <w:rPr>
                <w:rFonts w:hint="eastAsia"/>
                <w:color w:val="000000"/>
                <w:spacing w:val="4"/>
                <w:w w:val="15"/>
                <w:shd w:val="solid" w:color="000000" w:fill="000000"/>
                <w:fitText w:val="70" w:id="-1032102653"/>
                <w14:textFill>
                  <w14:solidFill>
                    <w14:srgbClr w14:val="000000">
                      <w14:alpha w14:val="100000"/>
                    </w14:srgbClr>
                  </w14:solidFill>
                </w14:textFill>
              </w:rPr>
              <w:t xml:space="preserve">　</w:t>
            </w:r>
            <w:r w:rsidR="00B56DB3" w:rsidRPr="005B6EEE">
              <w:rPr>
                <w:vertAlign w:val="superscript"/>
              </w:rPr>
              <w:t>1</w:t>
            </w:r>
          </w:p>
        </w:tc>
        <w:tc>
          <w:tcPr>
            <w:tcW w:w="613" w:type="pct"/>
            <w:shd w:val="clear" w:color="auto" w:fill="B8CCE4" w:themeFill="accent1" w:themeFillTint="66"/>
            <w:vAlign w:val="center"/>
          </w:tcPr>
          <w:p w14:paraId="43CB78B2" w14:textId="17A00334" w:rsidR="00D21179" w:rsidRPr="00621588" w:rsidRDefault="008A42F6" w:rsidP="00690B5F">
            <w:pPr>
              <w:pStyle w:val="COMTabletext"/>
              <w:keepLines/>
              <w:jc w:val="center"/>
              <w:rPr>
                <w:highlight w:val="darkGray"/>
              </w:rPr>
            </w:pPr>
            <w:r>
              <w:t xml:space="preserve"> </w:t>
            </w:r>
            <w:r w:rsidRPr="008A42F6">
              <w:rPr>
                <w:rFonts w:hint="eastAsia"/>
                <w:color w:val="000000"/>
                <w:w w:val="18"/>
                <w:shd w:val="solid" w:color="000000" w:fill="000000"/>
                <w:fitText w:val="80" w:id="-1032102652"/>
                <w14:textFill>
                  <w14:solidFill>
                    <w14:srgbClr w14:val="000000">
                      <w14:alpha w14:val="100000"/>
                    </w14:srgbClr>
                  </w14:solidFill>
                </w14:textFill>
              </w:rPr>
              <w:t xml:space="preserve">　</w:t>
            </w:r>
            <w:r w:rsidRPr="008A42F6">
              <w:rPr>
                <w:color w:val="000000"/>
                <w:w w:val="18"/>
                <w:shd w:val="solid" w:color="000000" w:fill="000000"/>
                <w:fitText w:val="80" w:id="-1032102652"/>
                <w14:textFill>
                  <w14:solidFill>
                    <w14:srgbClr w14:val="000000">
                      <w14:alpha w14:val="100000"/>
                    </w14:srgbClr>
                  </w14:solidFill>
                </w14:textFill>
              </w:rPr>
              <w:t>|</w:t>
            </w:r>
            <w:r w:rsidRPr="008A42F6">
              <w:rPr>
                <w:rFonts w:hint="eastAsia"/>
                <w:color w:val="000000"/>
                <w:w w:val="18"/>
                <w:shd w:val="solid" w:color="000000" w:fill="000000"/>
                <w:fitText w:val="80" w:id="-1032102652"/>
                <w14:textFill>
                  <w14:solidFill>
                    <w14:srgbClr w14:val="000000">
                      <w14:alpha w14:val="100000"/>
                    </w14:srgbClr>
                  </w14:solidFill>
                </w14:textFill>
              </w:rPr>
              <w:t xml:space="preserve">　</w:t>
            </w:r>
            <w:r w:rsidR="00B56DB3" w:rsidRPr="005B6EEE">
              <w:rPr>
                <w:vertAlign w:val="superscript"/>
              </w:rPr>
              <w:t>1</w:t>
            </w:r>
          </w:p>
        </w:tc>
      </w:tr>
      <w:tr w:rsidR="00E61660" w:rsidRPr="001C59C3" w14:paraId="33B1B669" w14:textId="77777777" w:rsidTr="005F0B86">
        <w:tc>
          <w:tcPr>
            <w:tcW w:w="5000" w:type="pct"/>
            <w:gridSpan w:val="7"/>
            <w:shd w:val="clear" w:color="auto" w:fill="auto"/>
            <w:vAlign w:val="center"/>
          </w:tcPr>
          <w:p w14:paraId="789CD559" w14:textId="08B360D7" w:rsidR="00E61660" w:rsidRPr="001C59C3" w:rsidRDefault="00E61660" w:rsidP="00690B5F">
            <w:pPr>
              <w:pStyle w:val="COMTabletext"/>
              <w:keepLines/>
              <w:rPr>
                <w:b/>
                <w:bCs w:val="0"/>
              </w:rPr>
            </w:pPr>
            <w:r w:rsidRPr="001C59C3">
              <w:rPr>
                <w:b/>
                <w:bCs w:val="0"/>
              </w:rPr>
              <w:t xml:space="preserve">Number of scripts dispensed </w:t>
            </w:r>
          </w:p>
        </w:tc>
      </w:tr>
      <w:tr w:rsidR="00553EF5" w:rsidRPr="001C59C3" w14:paraId="1CEE4D09" w14:textId="77777777" w:rsidTr="005F0B86">
        <w:tc>
          <w:tcPr>
            <w:tcW w:w="1332" w:type="pct"/>
            <w:shd w:val="clear" w:color="auto" w:fill="auto"/>
            <w:vAlign w:val="center"/>
          </w:tcPr>
          <w:p w14:paraId="229A1EDF" w14:textId="49BD0B0A" w:rsidR="00553EF5" w:rsidRPr="001C59C3" w:rsidRDefault="00E61660" w:rsidP="00690B5F">
            <w:pPr>
              <w:pStyle w:val="COMTabletext"/>
              <w:keepLines/>
              <w:rPr>
                <w:rFonts w:ascii="Times" w:hAnsi="Times"/>
                <w:vertAlign w:val="superscript"/>
              </w:rPr>
            </w:pPr>
            <w:r w:rsidRPr="001C59C3">
              <w:t xml:space="preserve">Total </w:t>
            </w:r>
            <w:r w:rsidR="00553EF5" w:rsidRPr="001C59C3">
              <w:t>scripts dispensed</w:t>
            </w:r>
            <w:r w:rsidR="008E5B87" w:rsidRPr="001C59C3">
              <w:t xml:space="preserve"> </w:t>
            </w:r>
            <w:r w:rsidR="008E5B87" w:rsidRPr="001C59C3">
              <w:rPr>
                <w:vertAlign w:val="superscript"/>
              </w:rPr>
              <w:t>a</w:t>
            </w:r>
          </w:p>
        </w:tc>
        <w:tc>
          <w:tcPr>
            <w:tcW w:w="611" w:type="pct"/>
            <w:shd w:val="clear" w:color="auto" w:fill="auto"/>
          </w:tcPr>
          <w:p w14:paraId="0D9F25C2" w14:textId="4E257DA8" w:rsidR="00553EF5" w:rsidRPr="00621588" w:rsidRDefault="008A42F6" w:rsidP="00690B5F">
            <w:pPr>
              <w:pStyle w:val="COMTabletext"/>
              <w:keepLines/>
              <w:jc w:val="center"/>
              <w:rPr>
                <w:color w:val="000000"/>
                <w:highlight w:val="darkGray"/>
              </w:rPr>
            </w:pPr>
            <w:r>
              <w:t xml:space="preserve"> </w:t>
            </w:r>
            <w:r w:rsidRPr="008A42F6">
              <w:rPr>
                <w:rFonts w:hint="eastAsia"/>
                <w:color w:val="000000"/>
                <w:w w:val="15"/>
                <w:shd w:val="solid" w:color="000000" w:fill="000000"/>
                <w:fitText w:val="70" w:id="-1032102651"/>
                <w14:textFill>
                  <w14:solidFill>
                    <w14:srgbClr w14:val="000000">
                      <w14:alpha w14:val="100000"/>
                    </w14:srgbClr>
                  </w14:solidFill>
                </w14:textFill>
              </w:rPr>
              <w:t xml:space="preserve">　</w:t>
            </w:r>
            <w:r w:rsidRPr="008A42F6">
              <w:rPr>
                <w:color w:val="000000"/>
                <w:w w:val="15"/>
                <w:shd w:val="solid" w:color="000000" w:fill="000000"/>
                <w:fitText w:val="70" w:id="-1032102651"/>
                <w14:textFill>
                  <w14:solidFill>
                    <w14:srgbClr w14:val="000000">
                      <w14:alpha w14:val="100000"/>
                    </w14:srgbClr>
                  </w14:solidFill>
                </w14:textFill>
              </w:rPr>
              <w:t>|</w:t>
            </w:r>
            <w:r w:rsidRPr="008A42F6">
              <w:rPr>
                <w:rFonts w:hint="eastAsia"/>
                <w:color w:val="000000"/>
                <w:spacing w:val="4"/>
                <w:w w:val="15"/>
                <w:shd w:val="solid" w:color="000000" w:fill="000000"/>
                <w:fitText w:val="70" w:id="-1032102651"/>
                <w14:textFill>
                  <w14:solidFill>
                    <w14:srgbClr w14:val="000000">
                      <w14:alpha w14:val="100000"/>
                    </w14:srgbClr>
                  </w14:solidFill>
                </w14:textFill>
              </w:rPr>
              <w:t xml:space="preserve">　</w:t>
            </w:r>
            <w:r w:rsidR="003E793D">
              <w:rPr>
                <w:vertAlign w:val="superscript"/>
              </w:rPr>
              <w:t>4</w:t>
            </w:r>
          </w:p>
        </w:tc>
        <w:tc>
          <w:tcPr>
            <w:tcW w:w="611" w:type="pct"/>
            <w:shd w:val="clear" w:color="auto" w:fill="auto"/>
          </w:tcPr>
          <w:p w14:paraId="2D7847AA" w14:textId="4C56CADF" w:rsidR="00553EF5" w:rsidRPr="00621588" w:rsidRDefault="008A42F6" w:rsidP="00690B5F">
            <w:pPr>
              <w:pStyle w:val="COMTabletext"/>
              <w:keepLines/>
              <w:jc w:val="center"/>
              <w:rPr>
                <w:color w:val="000000"/>
                <w:highlight w:val="darkGray"/>
              </w:rPr>
            </w:pPr>
            <w:r>
              <w:t xml:space="preserve"> </w:t>
            </w:r>
            <w:r w:rsidRPr="008A42F6">
              <w:rPr>
                <w:rFonts w:hint="eastAsia"/>
                <w:color w:val="000000"/>
                <w:w w:val="15"/>
                <w:shd w:val="solid" w:color="000000" w:fill="000000"/>
                <w:fitText w:val="70" w:id="-1032102650"/>
                <w14:textFill>
                  <w14:solidFill>
                    <w14:srgbClr w14:val="000000">
                      <w14:alpha w14:val="100000"/>
                    </w14:srgbClr>
                  </w14:solidFill>
                </w14:textFill>
              </w:rPr>
              <w:t xml:space="preserve">　</w:t>
            </w:r>
            <w:r w:rsidRPr="008A42F6">
              <w:rPr>
                <w:color w:val="000000"/>
                <w:w w:val="15"/>
                <w:shd w:val="solid" w:color="000000" w:fill="000000"/>
                <w:fitText w:val="70" w:id="-1032102650"/>
                <w14:textFill>
                  <w14:solidFill>
                    <w14:srgbClr w14:val="000000">
                      <w14:alpha w14:val="100000"/>
                    </w14:srgbClr>
                  </w14:solidFill>
                </w14:textFill>
              </w:rPr>
              <w:t>|</w:t>
            </w:r>
            <w:r w:rsidRPr="008A42F6">
              <w:rPr>
                <w:rFonts w:hint="eastAsia"/>
                <w:color w:val="000000"/>
                <w:spacing w:val="4"/>
                <w:w w:val="15"/>
                <w:shd w:val="solid" w:color="000000" w:fill="000000"/>
                <w:fitText w:val="70" w:id="-1032102650"/>
                <w14:textFill>
                  <w14:solidFill>
                    <w14:srgbClr w14:val="000000">
                      <w14:alpha w14:val="100000"/>
                    </w14:srgbClr>
                  </w14:solidFill>
                </w14:textFill>
              </w:rPr>
              <w:t xml:space="preserve">　</w:t>
            </w:r>
            <w:r w:rsidR="003E793D">
              <w:rPr>
                <w:vertAlign w:val="superscript"/>
              </w:rPr>
              <w:t>4</w:t>
            </w:r>
          </w:p>
        </w:tc>
        <w:tc>
          <w:tcPr>
            <w:tcW w:w="611" w:type="pct"/>
            <w:shd w:val="clear" w:color="auto" w:fill="auto"/>
          </w:tcPr>
          <w:p w14:paraId="7A620378" w14:textId="2D2672C0" w:rsidR="00553EF5" w:rsidRPr="00621588" w:rsidRDefault="008A42F6" w:rsidP="00690B5F">
            <w:pPr>
              <w:pStyle w:val="COMTabletext"/>
              <w:keepLines/>
              <w:jc w:val="center"/>
              <w:rPr>
                <w:color w:val="000000"/>
                <w:highlight w:val="darkGray"/>
              </w:rPr>
            </w:pPr>
            <w:r>
              <w:t xml:space="preserve"> </w:t>
            </w:r>
            <w:r w:rsidRPr="008A42F6">
              <w:rPr>
                <w:rFonts w:hint="eastAsia"/>
                <w:color w:val="000000"/>
                <w:w w:val="15"/>
                <w:shd w:val="solid" w:color="000000" w:fill="000000"/>
                <w:fitText w:val="70" w:id="-1032102649"/>
                <w14:textFill>
                  <w14:solidFill>
                    <w14:srgbClr w14:val="000000">
                      <w14:alpha w14:val="100000"/>
                    </w14:srgbClr>
                  </w14:solidFill>
                </w14:textFill>
              </w:rPr>
              <w:t xml:space="preserve">　</w:t>
            </w:r>
            <w:r w:rsidRPr="008A42F6">
              <w:rPr>
                <w:color w:val="000000"/>
                <w:w w:val="15"/>
                <w:shd w:val="solid" w:color="000000" w:fill="000000"/>
                <w:fitText w:val="70" w:id="-1032102649"/>
                <w14:textFill>
                  <w14:solidFill>
                    <w14:srgbClr w14:val="000000">
                      <w14:alpha w14:val="100000"/>
                    </w14:srgbClr>
                  </w14:solidFill>
                </w14:textFill>
              </w:rPr>
              <w:t>|</w:t>
            </w:r>
            <w:r w:rsidRPr="008A42F6">
              <w:rPr>
                <w:rFonts w:hint="eastAsia"/>
                <w:color w:val="000000"/>
                <w:spacing w:val="4"/>
                <w:w w:val="15"/>
                <w:shd w:val="solid" w:color="000000" w:fill="000000"/>
                <w:fitText w:val="70" w:id="-1032102649"/>
                <w14:textFill>
                  <w14:solidFill>
                    <w14:srgbClr w14:val="000000">
                      <w14:alpha w14:val="100000"/>
                    </w14:srgbClr>
                  </w14:solidFill>
                </w14:textFill>
              </w:rPr>
              <w:t xml:space="preserve">　</w:t>
            </w:r>
            <w:r w:rsidR="003E793D">
              <w:rPr>
                <w:vertAlign w:val="superscript"/>
              </w:rPr>
              <w:t>5</w:t>
            </w:r>
          </w:p>
        </w:tc>
        <w:tc>
          <w:tcPr>
            <w:tcW w:w="611" w:type="pct"/>
            <w:shd w:val="clear" w:color="auto" w:fill="auto"/>
          </w:tcPr>
          <w:p w14:paraId="1D2C1413" w14:textId="01673253" w:rsidR="00553EF5" w:rsidRPr="00621588" w:rsidRDefault="008A42F6" w:rsidP="00690B5F">
            <w:pPr>
              <w:pStyle w:val="COMTabletext"/>
              <w:keepLines/>
              <w:jc w:val="center"/>
              <w:rPr>
                <w:color w:val="000000"/>
                <w:highlight w:val="darkGray"/>
              </w:rPr>
            </w:pPr>
            <w:r>
              <w:t xml:space="preserve"> </w:t>
            </w:r>
            <w:r w:rsidRPr="008A42F6">
              <w:rPr>
                <w:rFonts w:hint="eastAsia"/>
                <w:color w:val="000000"/>
                <w:w w:val="15"/>
                <w:shd w:val="solid" w:color="000000" w:fill="000000"/>
                <w:fitText w:val="70" w:id="-1032102648"/>
                <w14:textFill>
                  <w14:solidFill>
                    <w14:srgbClr w14:val="000000">
                      <w14:alpha w14:val="100000"/>
                    </w14:srgbClr>
                  </w14:solidFill>
                </w14:textFill>
              </w:rPr>
              <w:t xml:space="preserve">　</w:t>
            </w:r>
            <w:r w:rsidRPr="008A42F6">
              <w:rPr>
                <w:color w:val="000000"/>
                <w:w w:val="15"/>
                <w:shd w:val="solid" w:color="000000" w:fill="000000"/>
                <w:fitText w:val="70" w:id="-1032102648"/>
                <w14:textFill>
                  <w14:solidFill>
                    <w14:srgbClr w14:val="000000">
                      <w14:alpha w14:val="100000"/>
                    </w14:srgbClr>
                  </w14:solidFill>
                </w14:textFill>
              </w:rPr>
              <w:t>|</w:t>
            </w:r>
            <w:r w:rsidRPr="008A42F6">
              <w:rPr>
                <w:rFonts w:hint="eastAsia"/>
                <w:color w:val="000000"/>
                <w:spacing w:val="4"/>
                <w:w w:val="15"/>
                <w:shd w:val="solid" w:color="000000" w:fill="000000"/>
                <w:fitText w:val="70" w:id="-1032102648"/>
                <w14:textFill>
                  <w14:solidFill>
                    <w14:srgbClr w14:val="000000">
                      <w14:alpha w14:val="100000"/>
                    </w14:srgbClr>
                  </w14:solidFill>
                </w14:textFill>
              </w:rPr>
              <w:t xml:space="preserve">　</w:t>
            </w:r>
            <w:r w:rsidR="003E793D">
              <w:rPr>
                <w:vertAlign w:val="superscript"/>
              </w:rPr>
              <w:t>5</w:t>
            </w:r>
          </w:p>
        </w:tc>
        <w:tc>
          <w:tcPr>
            <w:tcW w:w="611" w:type="pct"/>
            <w:shd w:val="clear" w:color="auto" w:fill="auto"/>
          </w:tcPr>
          <w:p w14:paraId="3F0ACB95" w14:textId="26604A09" w:rsidR="00553EF5" w:rsidRPr="00621588" w:rsidRDefault="008A42F6" w:rsidP="00690B5F">
            <w:pPr>
              <w:pStyle w:val="COMTabletext"/>
              <w:keepLines/>
              <w:jc w:val="center"/>
              <w:rPr>
                <w:color w:val="000000"/>
                <w:highlight w:val="darkGray"/>
              </w:rPr>
            </w:pPr>
            <w:r>
              <w:t xml:space="preserve"> </w:t>
            </w:r>
            <w:r w:rsidRPr="008A42F6">
              <w:rPr>
                <w:rFonts w:hint="eastAsia"/>
                <w:color w:val="000000"/>
                <w:w w:val="15"/>
                <w:shd w:val="solid" w:color="000000" w:fill="000000"/>
                <w:fitText w:val="70" w:id="-1032102647"/>
                <w14:textFill>
                  <w14:solidFill>
                    <w14:srgbClr w14:val="000000">
                      <w14:alpha w14:val="100000"/>
                    </w14:srgbClr>
                  </w14:solidFill>
                </w14:textFill>
              </w:rPr>
              <w:t xml:space="preserve">　</w:t>
            </w:r>
            <w:r w:rsidRPr="008A42F6">
              <w:rPr>
                <w:color w:val="000000"/>
                <w:w w:val="15"/>
                <w:shd w:val="solid" w:color="000000" w:fill="000000"/>
                <w:fitText w:val="70" w:id="-1032102647"/>
                <w14:textFill>
                  <w14:solidFill>
                    <w14:srgbClr w14:val="000000">
                      <w14:alpha w14:val="100000"/>
                    </w14:srgbClr>
                  </w14:solidFill>
                </w14:textFill>
              </w:rPr>
              <w:t>|</w:t>
            </w:r>
            <w:r w:rsidRPr="008A42F6">
              <w:rPr>
                <w:rFonts w:hint="eastAsia"/>
                <w:color w:val="000000"/>
                <w:spacing w:val="4"/>
                <w:w w:val="15"/>
                <w:shd w:val="solid" w:color="000000" w:fill="000000"/>
                <w:fitText w:val="70" w:id="-1032102647"/>
                <w14:textFill>
                  <w14:solidFill>
                    <w14:srgbClr w14:val="000000">
                      <w14:alpha w14:val="100000"/>
                    </w14:srgbClr>
                  </w14:solidFill>
                </w14:textFill>
              </w:rPr>
              <w:t xml:space="preserve">　</w:t>
            </w:r>
            <w:r w:rsidR="003E793D">
              <w:rPr>
                <w:vertAlign w:val="superscript"/>
              </w:rPr>
              <w:t>6</w:t>
            </w:r>
          </w:p>
        </w:tc>
        <w:tc>
          <w:tcPr>
            <w:tcW w:w="613" w:type="pct"/>
          </w:tcPr>
          <w:p w14:paraId="1C30F331" w14:textId="777CB1B8" w:rsidR="00553EF5" w:rsidRPr="00621588" w:rsidRDefault="008A42F6" w:rsidP="00690B5F">
            <w:pPr>
              <w:pStyle w:val="COMTabletext"/>
              <w:keepLines/>
              <w:jc w:val="center"/>
              <w:rPr>
                <w:color w:val="000000"/>
                <w:highlight w:val="darkGray"/>
              </w:rPr>
            </w:pPr>
            <w:r>
              <w:t xml:space="preserve"> </w:t>
            </w:r>
            <w:r w:rsidRPr="008A42F6">
              <w:rPr>
                <w:rFonts w:hint="eastAsia"/>
                <w:color w:val="000000"/>
                <w:w w:val="18"/>
                <w:shd w:val="solid" w:color="000000" w:fill="000000"/>
                <w:fitText w:val="80" w:id="-1032102646"/>
                <w14:textFill>
                  <w14:solidFill>
                    <w14:srgbClr w14:val="000000">
                      <w14:alpha w14:val="100000"/>
                    </w14:srgbClr>
                  </w14:solidFill>
                </w14:textFill>
              </w:rPr>
              <w:t xml:space="preserve">　</w:t>
            </w:r>
            <w:r w:rsidRPr="008A42F6">
              <w:rPr>
                <w:color w:val="000000"/>
                <w:w w:val="18"/>
                <w:shd w:val="solid" w:color="000000" w:fill="000000"/>
                <w:fitText w:val="80" w:id="-1032102646"/>
                <w14:textFill>
                  <w14:solidFill>
                    <w14:srgbClr w14:val="000000">
                      <w14:alpha w14:val="100000"/>
                    </w14:srgbClr>
                  </w14:solidFill>
                </w14:textFill>
              </w:rPr>
              <w:t>|</w:t>
            </w:r>
            <w:r w:rsidRPr="008A42F6">
              <w:rPr>
                <w:rFonts w:hint="eastAsia"/>
                <w:color w:val="000000"/>
                <w:w w:val="18"/>
                <w:shd w:val="solid" w:color="000000" w:fill="000000"/>
                <w:fitText w:val="80" w:id="-1032102646"/>
                <w14:textFill>
                  <w14:solidFill>
                    <w14:srgbClr w14:val="000000">
                      <w14:alpha w14:val="100000"/>
                    </w14:srgbClr>
                  </w14:solidFill>
                </w14:textFill>
              </w:rPr>
              <w:t xml:space="preserve">　</w:t>
            </w:r>
            <w:r w:rsidR="003E793D">
              <w:rPr>
                <w:vertAlign w:val="superscript"/>
              </w:rPr>
              <w:t>6</w:t>
            </w:r>
          </w:p>
        </w:tc>
      </w:tr>
      <w:tr w:rsidR="008E5B87" w:rsidRPr="001C59C3" w14:paraId="24958F7B" w14:textId="77777777" w:rsidTr="005F0B86">
        <w:tc>
          <w:tcPr>
            <w:tcW w:w="1332" w:type="pct"/>
            <w:shd w:val="clear" w:color="auto" w:fill="auto"/>
            <w:vAlign w:val="center"/>
          </w:tcPr>
          <w:p w14:paraId="0C709A9F" w14:textId="7C110EF7" w:rsidR="008E5B87" w:rsidRPr="001C59C3" w:rsidRDefault="008E5B87" w:rsidP="00690B5F">
            <w:pPr>
              <w:pStyle w:val="COMTabletext"/>
              <w:keepLines/>
            </w:pPr>
            <w:r w:rsidRPr="001C59C3">
              <w:t>- Initial</w:t>
            </w:r>
          </w:p>
        </w:tc>
        <w:tc>
          <w:tcPr>
            <w:tcW w:w="611" w:type="pct"/>
            <w:shd w:val="clear" w:color="auto" w:fill="auto"/>
          </w:tcPr>
          <w:p w14:paraId="56E888D2" w14:textId="69B06BEB" w:rsidR="008E5B87" w:rsidRPr="00621588" w:rsidRDefault="008A42F6" w:rsidP="00690B5F">
            <w:pPr>
              <w:pStyle w:val="COMTabletext"/>
              <w:keepLines/>
              <w:jc w:val="center"/>
              <w:rPr>
                <w:highlight w:val="darkGray"/>
              </w:rPr>
            </w:pPr>
            <w:r>
              <w:t xml:space="preserve"> </w:t>
            </w:r>
            <w:r w:rsidRPr="008A42F6">
              <w:rPr>
                <w:rFonts w:hint="eastAsia"/>
                <w:color w:val="000000"/>
                <w:w w:val="15"/>
                <w:shd w:val="solid" w:color="000000" w:fill="000000"/>
                <w:fitText w:val="70" w:id="-1032102645"/>
                <w14:textFill>
                  <w14:solidFill>
                    <w14:srgbClr w14:val="000000">
                      <w14:alpha w14:val="100000"/>
                    </w14:srgbClr>
                  </w14:solidFill>
                </w14:textFill>
              </w:rPr>
              <w:t xml:space="preserve">　</w:t>
            </w:r>
            <w:r w:rsidRPr="008A42F6">
              <w:rPr>
                <w:color w:val="000000"/>
                <w:w w:val="15"/>
                <w:shd w:val="solid" w:color="000000" w:fill="000000"/>
                <w:fitText w:val="70" w:id="-1032102645"/>
                <w14:textFill>
                  <w14:solidFill>
                    <w14:srgbClr w14:val="000000">
                      <w14:alpha w14:val="100000"/>
                    </w14:srgbClr>
                  </w14:solidFill>
                </w14:textFill>
              </w:rPr>
              <w:t>|</w:t>
            </w:r>
            <w:r w:rsidRPr="008A42F6">
              <w:rPr>
                <w:rFonts w:hint="eastAsia"/>
                <w:color w:val="000000"/>
                <w:spacing w:val="4"/>
                <w:w w:val="15"/>
                <w:shd w:val="solid" w:color="000000" w:fill="000000"/>
                <w:fitText w:val="70" w:id="-1032102645"/>
                <w14:textFill>
                  <w14:solidFill>
                    <w14:srgbClr w14:val="000000">
                      <w14:alpha w14:val="100000"/>
                    </w14:srgbClr>
                  </w14:solidFill>
                </w14:textFill>
              </w:rPr>
              <w:t xml:space="preserve">　</w:t>
            </w:r>
            <w:r w:rsidR="00B56DB3">
              <w:rPr>
                <w:vertAlign w:val="superscript"/>
              </w:rPr>
              <w:t>2</w:t>
            </w:r>
          </w:p>
        </w:tc>
        <w:tc>
          <w:tcPr>
            <w:tcW w:w="611" w:type="pct"/>
            <w:shd w:val="clear" w:color="auto" w:fill="auto"/>
          </w:tcPr>
          <w:p w14:paraId="31D5CFEF" w14:textId="66C3C768" w:rsidR="008E5B87" w:rsidRPr="00621588" w:rsidRDefault="008A42F6" w:rsidP="00690B5F">
            <w:pPr>
              <w:pStyle w:val="COMTabletext"/>
              <w:keepLines/>
              <w:jc w:val="center"/>
              <w:rPr>
                <w:highlight w:val="darkGray"/>
              </w:rPr>
            </w:pPr>
            <w:r>
              <w:t xml:space="preserve"> </w:t>
            </w:r>
            <w:r w:rsidRPr="008A42F6">
              <w:rPr>
                <w:rFonts w:hint="eastAsia"/>
                <w:color w:val="000000"/>
                <w:w w:val="15"/>
                <w:shd w:val="solid" w:color="000000" w:fill="000000"/>
                <w:fitText w:val="70" w:id="-1032102644"/>
                <w14:textFill>
                  <w14:solidFill>
                    <w14:srgbClr w14:val="000000">
                      <w14:alpha w14:val="100000"/>
                    </w14:srgbClr>
                  </w14:solidFill>
                </w14:textFill>
              </w:rPr>
              <w:t xml:space="preserve">　</w:t>
            </w:r>
            <w:r w:rsidRPr="008A42F6">
              <w:rPr>
                <w:color w:val="000000"/>
                <w:w w:val="15"/>
                <w:shd w:val="solid" w:color="000000" w:fill="000000"/>
                <w:fitText w:val="70" w:id="-1032102644"/>
                <w14:textFill>
                  <w14:solidFill>
                    <w14:srgbClr w14:val="000000">
                      <w14:alpha w14:val="100000"/>
                    </w14:srgbClr>
                  </w14:solidFill>
                </w14:textFill>
              </w:rPr>
              <w:t>|</w:t>
            </w:r>
            <w:r w:rsidRPr="008A42F6">
              <w:rPr>
                <w:rFonts w:hint="eastAsia"/>
                <w:color w:val="000000"/>
                <w:spacing w:val="4"/>
                <w:w w:val="15"/>
                <w:shd w:val="solid" w:color="000000" w:fill="000000"/>
                <w:fitText w:val="70" w:id="-1032102644"/>
                <w14:textFill>
                  <w14:solidFill>
                    <w14:srgbClr w14:val="000000">
                      <w14:alpha w14:val="100000"/>
                    </w14:srgbClr>
                  </w14:solidFill>
                </w14:textFill>
              </w:rPr>
              <w:t xml:space="preserve">　</w:t>
            </w:r>
            <w:r w:rsidR="00B56DB3">
              <w:rPr>
                <w:vertAlign w:val="superscript"/>
              </w:rPr>
              <w:t>3</w:t>
            </w:r>
          </w:p>
        </w:tc>
        <w:tc>
          <w:tcPr>
            <w:tcW w:w="611" w:type="pct"/>
            <w:shd w:val="clear" w:color="auto" w:fill="auto"/>
          </w:tcPr>
          <w:p w14:paraId="7296D006" w14:textId="1B03F61F" w:rsidR="008E5B87" w:rsidRPr="00621588" w:rsidRDefault="008A42F6" w:rsidP="00690B5F">
            <w:pPr>
              <w:pStyle w:val="COMTabletext"/>
              <w:keepLines/>
              <w:jc w:val="center"/>
              <w:rPr>
                <w:highlight w:val="darkGray"/>
              </w:rPr>
            </w:pPr>
            <w:r>
              <w:t xml:space="preserve"> </w:t>
            </w:r>
            <w:r w:rsidRPr="008A42F6">
              <w:rPr>
                <w:rFonts w:hint="eastAsia"/>
                <w:color w:val="000000"/>
                <w:w w:val="15"/>
                <w:shd w:val="solid" w:color="000000" w:fill="000000"/>
                <w:fitText w:val="70" w:id="-1032102643"/>
                <w14:textFill>
                  <w14:solidFill>
                    <w14:srgbClr w14:val="000000">
                      <w14:alpha w14:val="100000"/>
                    </w14:srgbClr>
                  </w14:solidFill>
                </w14:textFill>
              </w:rPr>
              <w:t xml:space="preserve">　</w:t>
            </w:r>
            <w:r w:rsidRPr="008A42F6">
              <w:rPr>
                <w:color w:val="000000"/>
                <w:w w:val="15"/>
                <w:shd w:val="solid" w:color="000000" w:fill="000000"/>
                <w:fitText w:val="70" w:id="-1032102643"/>
                <w14:textFill>
                  <w14:solidFill>
                    <w14:srgbClr w14:val="000000">
                      <w14:alpha w14:val="100000"/>
                    </w14:srgbClr>
                  </w14:solidFill>
                </w14:textFill>
              </w:rPr>
              <w:t>|</w:t>
            </w:r>
            <w:r w:rsidRPr="008A42F6">
              <w:rPr>
                <w:rFonts w:hint="eastAsia"/>
                <w:color w:val="000000"/>
                <w:spacing w:val="4"/>
                <w:w w:val="15"/>
                <w:shd w:val="solid" w:color="000000" w:fill="000000"/>
                <w:fitText w:val="70" w:id="-1032102643"/>
                <w14:textFill>
                  <w14:solidFill>
                    <w14:srgbClr w14:val="000000">
                      <w14:alpha w14:val="100000"/>
                    </w14:srgbClr>
                  </w14:solidFill>
                </w14:textFill>
              </w:rPr>
              <w:t xml:space="preserve">　</w:t>
            </w:r>
            <w:r w:rsidR="00B56DB3">
              <w:rPr>
                <w:vertAlign w:val="superscript"/>
              </w:rPr>
              <w:t>3</w:t>
            </w:r>
          </w:p>
        </w:tc>
        <w:tc>
          <w:tcPr>
            <w:tcW w:w="611" w:type="pct"/>
            <w:shd w:val="clear" w:color="auto" w:fill="auto"/>
          </w:tcPr>
          <w:p w14:paraId="1EB76BF8" w14:textId="17D432CC" w:rsidR="008E5B87" w:rsidRPr="00621588" w:rsidRDefault="008A42F6" w:rsidP="00690B5F">
            <w:pPr>
              <w:pStyle w:val="COMTabletext"/>
              <w:keepLines/>
              <w:jc w:val="center"/>
              <w:rPr>
                <w:highlight w:val="darkGray"/>
              </w:rPr>
            </w:pPr>
            <w:r>
              <w:t xml:space="preserve"> </w:t>
            </w:r>
            <w:r w:rsidRPr="008A42F6">
              <w:rPr>
                <w:rFonts w:hint="eastAsia"/>
                <w:color w:val="000000"/>
                <w:w w:val="15"/>
                <w:shd w:val="solid" w:color="000000" w:fill="000000"/>
                <w:fitText w:val="70" w:id="-1032102400"/>
                <w14:textFill>
                  <w14:solidFill>
                    <w14:srgbClr w14:val="000000">
                      <w14:alpha w14:val="100000"/>
                    </w14:srgbClr>
                  </w14:solidFill>
                </w14:textFill>
              </w:rPr>
              <w:t xml:space="preserve">　</w:t>
            </w:r>
            <w:r w:rsidRPr="008A42F6">
              <w:rPr>
                <w:color w:val="000000"/>
                <w:w w:val="15"/>
                <w:shd w:val="solid" w:color="000000" w:fill="000000"/>
                <w:fitText w:val="70" w:id="-1032102400"/>
                <w14:textFill>
                  <w14:solidFill>
                    <w14:srgbClr w14:val="000000">
                      <w14:alpha w14:val="100000"/>
                    </w14:srgbClr>
                  </w14:solidFill>
                </w14:textFill>
              </w:rPr>
              <w:t>|</w:t>
            </w:r>
            <w:r w:rsidRPr="008A42F6">
              <w:rPr>
                <w:rFonts w:hint="eastAsia"/>
                <w:color w:val="000000"/>
                <w:spacing w:val="4"/>
                <w:w w:val="15"/>
                <w:shd w:val="solid" w:color="000000" w:fill="000000"/>
                <w:fitText w:val="70" w:id="-1032102400"/>
                <w14:textFill>
                  <w14:solidFill>
                    <w14:srgbClr w14:val="000000">
                      <w14:alpha w14:val="100000"/>
                    </w14:srgbClr>
                  </w14:solidFill>
                </w14:textFill>
              </w:rPr>
              <w:t xml:space="preserve">　</w:t>
            </w:r>
            <w:r w:rsidR="00B56DB3">
              <w:rPr>
                <w:vertAlign w:val="superscript"/>
              </w:rPr>
              <w:t>3</w:t>
            </w:r>
          </w:p>
        </w:tc>
        <w:tc>
          <w:tcPr>
            <w:tcW w:w="611" w:type="pct"/>
            <w:shd w:val="clear" w:color="auto" w:fill="auto"/>
          </w:tcPr>
          <w:p w14:paraId="7DB5D13F" w14:textId="379486B7" w:rsidR="008E5B87" w:rsidRPr="00621588" w:rsidRDefault="008A42F6" w:rsidP="00690B5F">
            <w:pPr>
              <w:pStyle w:val="COMTabletext"/>
              <w:keepLines/>
              <w:jc w:val="center"/>
              <w:rPr>
                <w:highlight w:val="darkGray"/>
              </w:rPr>
            </w:pPr>
            <w:r>
              <w:t xml:space="preserve"> </w:t>
            </w:r>
            <w:r w:rsidRPr="008A42F6">
              <w:rPr>
                <w:rFonts w:hint="eastAsia"/>
                <w:color w:val="000000"/>
                <w:w w:val="15"/>
                <w:shd w:val="solid" w:color="000000" w:fill="000000"/>
                <w:fitText w:val="70" w:id="-1032102399"/>
                <w14:textFill>
                  <w14:solidFill>
                    <w14:srgbClr w14:val="000000">
                      <w14:alpha w14:val="100000"/>
                    </w14:srgbClr>
                  </w14:solidFill>
                </w14:textFill>
              </w:rPr>
              <w:t xml:space="preserve">　</w:t>
            </w:r>
            <w:r w:rsidRPr="008A42F6">
              <w:rPr>
                <w:color w:val="000000"/>
                <w:w w:val="15"/>
                <w:shd w:val="solid" w:color="000000" w:fill="000000"/>
                <w:fitText w:val="70" w:id="-1032102399"/>
                <w14:textFill>
                  <w14:solidFill>
                    <w14:srgbClr w14:val="000000">
                      <w14:alpha w14:val="100000"/>
                    </w14:srgbClr>
                  </w14:solidFill>
                </w14:textFill>
              </w:rPr>
              <w:t>|</w:t>
            </w:r>
            <w:r w:rsidRPr="008A42F6">
              <w:rPr>
                <w:rFonts w:hint="eastAsia"/>
                <w:color w:val="000000"/>
                <w:spacing w:val="4"/>
                <w:w w:val="15"/>
                <w:shd w:val="solid" w:color="000000" w:fill="000000"/>
                <w:fitText w:val="70" w:id="-1032102399"/>
                <w14:textFill>
                  <w14:solidFill>
                    <w14:srgbClr w14:val="000000">
                      <w14:alpha w14:val="100000"/>
                    </w14:srgbClr>
                  </w14:solidFill>
                </w14:textFill>
              </w:rPr>
              <w:t xml:space="preserve">　</w:t>
            </w:r>
            <w:r w:rsidR="00B56DB3">
              <w:rPr>
                <w:vertAlign w:val="superscript"/>
              </w:rPr>
              <w:t>3</w:t>
            </w:r>
          </w:p>
        </w:tc>
        <w:tc>
          <w:tcPr>
            <w:tcW w:w="613" w:type="pct"/>
          </w:tcPr>
          <w:p w14:paraId="43295B04" w14:textId="1668D583" w:rsidR="008E5B87" w:rsidRPr="00621588" w:rsidRDefault="008A42F6" w:rsidP="00690B5F">
            <w:pPr>
              <w:pStyle w:val="COMTabletext"/>
              <w:keepLines/>
              <w:jc w:val="center"/>
              <w:rPr>
                <w:highlight w:val="darkGray"/>
              </w:rPr>
            </w:pPr>
            <w:r>
              <w:t xml:space="preserve"> </w:t>
            </w:r>
            <w:r w:rsidRPr="008A42F6">
              <w:rPr>
                <w:rFonts w:hint="eastAsia"/>
                <w:color w:val="000000"/>
                <w:w w:val="18"/>
                <w:shd w:val="solid" w:color="000000" w:fill="000000"/>
                <w:fitText w:val="80" w:id="-1032102398"/>
                <w14:textFill>
                  <w14:solidFill>
                    <w14:srgbClr w14:val="000000">
                      <w14:alpha w14:val="100000"/>
                    </w14:srgbClr>
                  </w14:solidFill>
                </w14:textFill>
              </w:rPr>
              <w:t xml:space="preserve">　</w:t>
            </w:r>
            <w:r w:rsidRPr="008A42F6">
              <w:rPr>
                <w:color w:val="000000"/>
                <w:w w:val="18"/>
                <w:shd w:val="solid" w:color="000000" w:fill="000000"/>
                <w:fitText w:val="80" w:id="-1032102398"/>
                <w14:textFill>
                  <w14:solidFill>
                    <w14:srgbClr w14:val="000000">
                      <w14:alpha w14:val="100000"/>
                    </w14:srgbClr>
                  </w14:solidFill>
                </w14:textFill>
              </w:rPr>
              <w:t>|</w:t>
            </w:r>
            <w:r w:rsidRPr="008A42F6">
              <w:rPr>
                <w:rFonts w:hint="eastAsia"/>
                <w:color w:val="000000"/>
                <w:w w:val="18"/>
                <w:shd w:val="solid" w:color="000000" w:fill="000000"/>
                <w:fitText w:val="80" w:id="-1032102398"/>
                <w14:textFill>
                  <w14:solidFill>
                    <w14:srgbClr w14:val="000000">
                      <w14:alpha w14:val="100000"/>
                    </w14:srgbClr>
                  </w14:solidFill>
                </w14:textFill>
              </w:rPr>
              <w:t xml:space="preserve">　</w:t>
            </w:r>
            <w:r w:rsidR="00B56DB3">
              <w:rPr>
                <w:vertAlign w:val="superscript"/>
              </w:rPr>
              <w:t>3</w:t>
            </w:r>
          </w:p>
        </w:tc>
      </w:tr>
      <w:tr w:rsidR="008E5B87" w:rsidRPr="001C59C3" w14:paraId="4D3C5B83" w14:textId="77777777" w:rsidTr="005F0B86">
        <w:tc>
          <w:tcPr>
            <w:tcW w:w="1332" w:type="pct"/>
            <w:shd w:val="clear" w:color="auto" w:fill="auto"/>
            <w:vAlign w:val="center"/>
          </w:tcPr>
          <w:p w14:paraId="12DC917E" w14:textId="24F0E801" w:rsidR="008E5B87" w:rsidRPr="001C59C3" w:rsidRDefault="008E5B87" w:rsidP="00690B5F">
            <w:pPr>
              <w:pStyle w:val="COMTabletext"/>
              <w:keepLines/>
              <w:rPr>
                <w:vertAlign w:val="superscript"/>
              </w:rPr>
            </w:pPr>
            <w:r w:rsidRPr="001C59C3">
              <w:t>- Continuing</w:t>
            </w:r>
            <w:r w:rsidR="0094757D" w:rsidRPr="001C59C3">
              <w:t xml:space="preserve"> </w:t>
            </w:r>
            <w:r w:rsidR="0094757D" w:rsidRPr="001C59C3">
              <w:rPr>
                <w:vertAlign w:val="superscript"/>
              </w:rPr>
              <w:t>a</w:t>
            </w:r>
          </w:p>
        </w:tc>
        <w:tc>
          <w:tcPr>
            <w:tcW w:w="611" w:type="pct"/>
            <w:shd w:val="clear" w:color="auto" w:fill="auto"/>
          </w:tcPr>
          <w:p w14:paraId="32C6477F" w14:textId="640AB75D" w:rsidR="008E5B87" w:rsidRPr="00621588" w:rsidRDefault="008A42F6" w:rsidP="00690B5F">
            <w:pPr>
              <w:pStyle w:val="COMTabletext"/>
              <w:keepLines/>
              <w:jc w:val="center"/>
              <w:rPr>
                <w:highlight w:val="darkGray"/>
              </w:rPr>
            </w:pPr>
            <w:r>
              <w:t xml:space="preserve"> </w:t>
            </w:r>
            <w:r w:rsidRPr="008A42F6">
              <w:rPr>
                <w:rFonts w:hint="eastAsia"/>
                <w:color w:val="000000"/>
                <w:w w:val="15"/>
                <w:shd w:val="solid" w:color="000000" w:fill="000000"/>
                <w:fitText w:val="70" w:id="-1032102397"/>
                <w14:textFill>
                  <w14:solidFill>
                    <w14:srgbClr w14:val="000000">
                      <w14:alpha w14:val="100000"/>
                    </w14:srgbClr>
                  </w14:solidFill>
                </w14:textFill>
              </w:rPr>
              <w:t xml:space="preserve">　</w:t>
            </w:r>
            <w:r w:rsidRPr="008A42F6">
              <w:rPr>
                <w:color w:val="000000"/>
                <w:w w:val="15"/>
                <w:shd w:val="solid" w:color="000000" w:fill="000000"/>
                <w:fitText w:val="70" w:id="-1032102397"/>
                <w14:textFill>
                  <w14:solidFill>
                    <w14:srgbClr w14:val="000000">
                      <w14:alpha w14:val="100000"/>
                    </w14:srgbClr>
                  </w14:solidFill>
                </w14:textFill>
              </w:rPr>
              <w:t>|</w:t>
            </w:r>
            <w:r w:rsidRPr="008A42F6">
              <w:rPr>
                <w:rFonts w:hint="eastAsia"/>
                <w:color w:val="000000"/>
                <w:spacing w:val="4"/>
                <w:w w:val="15"/>
                <w:shd w:val="solid" w:color="000000" w:fill="000000"/>
                <w:fitText w:val="70" w:id="-1032102397"/>
                <w14:textFill>
                  <w14:solidFill>
                    <w14:srgbClr w14:val="000000">
                      <w14:alpha w14:val="100000"/>
                    </w14:srgbClr>
                  </w14:solidFill>
                </w14:textFill>
              </w:rPr>
              <w:t xml:space="preserve">　</w:t>
            </w:r>
            <w:r w:rsidR="00B56DB3">
              <w:rPr>
                <w:vertAlign w:val="superscript"/>
              </w:rPr>
              <w:t>3</w:t>
            </w:r>
          </w:p>
        </w:tc>
        <w:tc>
          <w:tcPr>
            <w:tcW w:w="611" w:type="pct"/>
            <w:shd w:val="clear" w:color="auto" w:fill="auto"/>
          </w:tcPr>
          <w:p w14:paraId="7BB199DE" w14:textId="3C2B9AD3" w:rsidR="008E5B87" w:rsidRPr="00621588" w:rsidRDefault="008A42F6" w:rsidP="00690B5F">
            <w:pPr>
              <w:pStyle w:val="COMTabletext"/>
              <w:keepLines/>
              <w:jc w:val="center"/>
              <w:rPr>
                <w:highlight w:val="darkGray"/>
              </w:rPr>
            </w:pPr>
            <w:r>
              <w:t xml:space="preserve"> </w:t>
            </w:r>
            <w:r w:rsidRPr="008A42F6">
              <w:rPr>
                <w:rFonts w:hint="eastAsia"/>
                <w:color w:val="000000"/>
                <w:w w:val="15"/>
                <w:shd w:val="solid" w:color="000000" w:fill="000000"/>
                <w:fitText w:val="70" w:id="-1032102396"/>
                <w14:textFill>
                  <w14:solidFill>
                    <w14:srgbClr w14:val="000000">
                      <w14:alpha w14:val="100000"/>
                    </w14:srgbClr>
                  </w14:solidFill>
                </w14:textFill>
              </w:rPr>
              <w:t xml:space="preserve">　</w:t>
            </w:r>
            <w:r w:rsidRPr="008A42F6">
              <w:rPr>
                <w:color w:val="000000"/>
                <w:w w:val="15"/>
                <w:shd w:val="solid" w:color="000000" w:fill="000000"/>
                <w:fitText w:val="70" w:id="-1032102396"/>
                <w14:textFill>
                  <w14:solidFill>
                    <w14:srgbClr w14:val="000000">
                      <w14:alpha w14:val="100000"/>
                    </w14:srgbClr>
                  </w14:solidFill>
                </w14:textFill>
              </w:rPr>
              <w:t>|</w:t>
            </w:r>
            <w:r w:rsidRPr="008A42F6">
              <w:rPr>
                <w:rFonts w:hint="eastAsia"/>
                <w:color w:val="000000"/>
                <w:spacing w:val="4"/>
                <w:w w:val="15"/>
                <w:shd w:val="solid" w:color="000000" w:fill="000000"/>
                <w:fitText w:val="70" w:id="-1032102396"/>
                <w14:textFill>
                  <w14:solidFill>
                    <w14:srgbClr w14:val="000000">
                      <w14:alpha w14:val="100000"/>
                    </w14:srgbClr>
                  </w14:solidFill>
                </w14:textFill>
              </w:rPr>
              <w:t xml:space="preserve">　</w:t>
            </w:r>
            <w:r w:rsidR="00B56DB3">
              <w:rPr>
                <w:vertAlign w:val="superscript"/>
              </w:rPr>
              <w:t>3</w:t>
            </w:r>
          </w:p>
        </w:tc>
        <w:tc>
          <w:tcPr>
            <w:tcW w:w="611" w:type="pct"/>
            <w:shd w:val="clear" w:color="auto" w:fill="auto"/>
          </w:tcPr>
          <w:p w14:paraId="6768C578" w14:textId="3D2B9F76" w:rsidR="008E5B87" w:rsidRPr="00621588" w:rsidRDefault="008A42F6" w:rsidP="00690B5F">
            <w:pPr>
              <w:pStyle w:val="COMTabletext"/>
              <w:keepLines/>
              <w:jc w:val="center"/>
              <w:rPr>
                <w:highlight w:val="darkGray"/>
              </w:rPr>
            </w:pPr>
            <w:r>
              <w:t xml:space="preserve"> </w:t>
            </w:r>
            <w:r w:rsidRPr="008A42F6">
              <w:rPr>
                <w:rFonts w:hint="eastAsia"/>
                <w:color w:val="000000"/>
                <w:w w:val="15"/>
                <w:shd w:val="solid" w:color="000000" w:fill="000000"/>
                <w:fitText w:val="70" w:id="-1032102395"/>
                <w14:textFill>
                  <w14:solidFill>
                    <w14:srgbClr w14:val="000000">
                      <w14:alpha w14:val="100000"/>
                    </w14:srgbClr>
                  </w14:solidFill>
                </w14:textFill>
              </w:rPr>
              <w:t xml:space="preserve">　</w:t>
            </w:r>
            <w:r w:rsidRPr="008A42F6">
              <w:rPr>
                <w:color w:val="000000"/>
                <w:w w:val="15"/>
                <w:shd w:val="solid" w:color="000000" w:fill="000000"/>
                <w:fitText w:val="70" w:id="-1032102395"/>
                <w14:textFill>
                  <w14:solidFill>
                    <w14:srgbClr w14:val="000000">
                      <w14:alpha w14:val="100000"/>
                    </w14:srgbClr>
                  </w14:solidFill>
                </w14:textFill>
              </w:rPr>
              <w:t>|</w:t>
            </w:r>
            <w:r w:rsidRPr="008A42F6">
              <w:rPr>
                <w:rFonts w:hint="eastAsia"/>
                <w:color w:val="000000"/>
                <w:spacing w:val="4"/>
                <w:w w:val="15"/>
                <w:shd w:val="solid" w:color="000000" w:fill="000000"/>
                <w:fitText w:val="70" w:id="-1032102395"/>
                <w14:textFill>
                  <w14:solidFill>
                    <w14:srgbClr w14:val="000000">
                      <w14:alpha w14:val="100000"/>
                    </w14:srgbClr>
                  </w14:solidFill>
                </w14:textFill>
              </w:rPr>
              <w:t xml:space="preserve">　</w:t>
            </w:r>
            <w:r w:rsidR="003E793D">
              <w:rPr>
                <w:vertAlign w:val="superscript"/>
              </w:rPr>
              <w:t>4</w:t>
            </w:r>
          </w:p>
        </w:tc>
        <w:tc>
          <w:tcPr>
            <w:tcW w:w="611" w:type="pct"/>
            <w:shd w:val="clear" w:color="auto" w:fill="auto"/>
          </w:tcPr>
          <w:p w14:paraId="396C751F" w14:textId="78BB88BA" w:rsidR="008E5B87" w:rsidRPr="00621588" w:rsidRDefault="008A42F6" w:rsidP="00690B5F">
            <w:pPr>
              <w:pStyle w:val="COMTabletext"/>
              <w:keepLines/>
              <w:jc w:val="center"/>
              <w:rPr>
                <w:highlight w:val="darkGray"/>
              </w:rPr>
            </w:pPr>
            <w:r>
              <w:t xml:space="preserve"> </w:t>
            </w:r>
            <w:r w:rsidRPr="008A42F6">
              <w:rPr>
                <w:rFonts w:hint="eastAsia"/>
                <w:color w:val="000000"/>
                <w:w w:val="15"/>
                <w:shd w:val="solid" w:color="000000" w:fill="000000"/>
                <w:fitText w:val="70" w:id="-1032102394"/>
                <w14:textFill>
                  <w14:solidFill>
                    <w14:srgbClr w14:val="000000">
                      <w14:alpha w14:val="100000"/>
                    </w14:srgbClr>
                  </w14:solidFill>
                </w14:textFill>
              </w:rPr>
              <w:t xml:space="preserve">　</w:t>
            </w:r>
            <w:r w:rsidRPr="008A42F6">
              <w:rPr>
                <w:color w:val="000000"/>
                <w:w w:val="15"/>
                <w:shd w:val="solid" w:color="000000" w:fill="000000"/>
                <w:fitText w:val="70" w:id="-1032102394"/>
                <w14:textFill>
                  <w14:solidFill>
                    <w14:srgbClr w14:val="000000">
                      <w14:alpha w14:val="100000"/>
                    </w14:srgbClr>
                  </w14:solidFill>
                </w14:textFill>
              </w:rPr>
              <w:t>|</w:t>
            </w:r>
            <w:r w:rsidRPr="008A42F6">
              <w:rPr>
                <w:rFonts w:hint="eastAsia"/>
                <w:color w:val="000000"/>
                <w:spacing w:val="4"/>
                <w:w w:val="15"/>
                <w:shd w:val="solid" w:color="000000" w:fill="000000"/>
                <w:fitText w:val="70" w:id="-1032102394"/>
                <w14:textFill>
                  <w14:solidFill>
                    <w14:srgbClr w14:val="000000">
                      <w14:alpha w14:val="100000"/>
                    </w14:srgbClr>
                  </w14:solidFill>
                </w14:textFill>
              </w:rPr>
              <w:t xml:space="preserve">　</w:t>
            </w:r>
            <w:r w:rsidR="003E793D">
              <w:rPr>
                <w:vertAlign w:val="superscript"/>
              </w:rPr>
              <w:t>4</w:t>
            </w:r>
          </w:p>
        </w:tc>
        <w:tc>
          <w:tcPr>
            <w:tcW w:w="611" w:type="pct"/>
            <w:shd w:val="clear" w:color="auto" w:fill="auto"/>
          </w:tcPr>
          <w:p w14:paraId="10D5E8A7" w14:textId="3A93966E" w:rsidR="008E5B87" w:rsidRPr="00621588" w:rsidRDefault="008A42F6" w:rsidP="00690B5F">
            <w:pPr>
              <w:pStyle w:val="COMTabletext"/>
              <w:keepLines/>
              <w:jc w:val="center"/>
              <w:rPr>
                <w:highlight w:val="darkGray"/>
              </w:rPr>
            </w:pPr>
            <w:r>
              <w:t xml:space="preserve"> </w:t>
            </w:r>
            <w:r w:rsidRPr="008A42F6">
              <w:rPr>
                <w:rFonts w:hint="eastAsia"/>
                <w:color w:val="000000"/>
                <w:w w:val="15"/>
                <w:shd w:val="solid" w:color="000000" w:fill="000000"/>
                <w:fitText w:val="70" w:id="-1032102393"/>
                <w14:textFill>
                  <w14:solidFill>
                    <w14:srgbClr w14:val="000000">
                      <w14:alpha w14:val="100000"/>
                    </w14:srgbClr>
                  </w14:solidFill>
                </w14:textFill>
              </w:rPr>
              <w:t xml:space="preserve">　</w:t>
            </w:r>
            <w:r w:rsidRPr="008A42F6">
              <w:rPr>
                <w:color w:val="000000"/>
                <w:w w:val="15"/>
                <w:shd w:val="solid" w:color="000000" w:fill="000000"/>
                <w:fitText w:val="70" w:id="-1032102393"/>
                <w14:textFill>
                  <w14:solidFill>
                    <w14:srgbClr w14:val="000000">
                      <w14:alpha w14:val="100000"/>
                    </w14:srgbClr>
                  </w14:solidFill>
                </w14:textFill>
              </w:rPr>
              <w:t>|</w:t>
            </w:r>
            <w:r w:rsidRPr="008A42F6">
              <w:rPr>
                <w:rFonts w:hint="eastAsia"/>
                <w:color w:val="000000"/>
                <w:spacing w:val="4"/>
                <w:w w:val="15"/>
                <w:shd w:val="solid" w:color="000000" w:fill="000000"/>
                <w:fitText w:val="70" w:id="-1032102393"/>
                <w14:textFill>
                  <w14:solidFill>
                    <w14:srgbClr w14:val="000000">
                      <w14:alpha w14:val="100000"/>
                    </w14:srgbClr>
                  </w14:solidFill>
                </w14:textFill>
              </w:rPr>
              <w:t xml:space="preserve">　</w:t>
            </w:r>
            <w:r w:rsidR="003E793D">
              <w:rPr>
                <w:vertAlign w:val="superscript"/>
              </w:rPr>
              <w:t>4</w:t>
            </w:r>
          </w:p>
        </w:tc>
        <w:tc>
          <w:tcPr>
            <w:tcW w:w="613" w:type="pct"/>
          </w:tcPr>
          <w:p w14:paraId="794AFF98" w14:textId="2E06FD24" w:rsidR="008E5B87" w:rsidRPr="00621588" w:rsidRDefault="008A42F6" w:rsidP="00690B5F">
            <w:pPr>
              <w:pStyle w:val="COMTabletext"/>
              <w:keepLines/>
              <w:jc w:val="center"/>
              <w:rPr>
                <w:highlight w:val="darkGray"/>
              </w:rPr>
            </w:pPr>
            <w:r>
              <w:t xml:space="preserve"> </w:t>
            </w:r>
            <w:r w:rsidRPr="008A42F6">
              <w:rPr>
                <w:rFonts w:hint="eastAsia"/>
                <w:color w:val="000000"/>
                <w:w w:val="18"/>
                <w:shd w:val="solid" w:color="000000" w:fill="000000"/>
                <w:fitText w:val="80" w:id="-1032102392"/>
                <w14:textFill>
                  <w14:solidFill>
                    <w14:srgbClr w14:val="000000">
                      <w14:alpha w14:val="100000"/>
                    </w14:srgbClr>
                  </w14:solidFill>
                </w14:textFill>
              </w:rPr>
              <w:t xml:space="preserve">　</w:t>
            </w:r>
            <w:r w:rsidRPr="008A42F6">
              <w:rPr>
                <w:color w:val="000000"/>
                <w:w w:val="18"/>
                <w:shd w:val="solid" w:color="000000" w:fill="000000"/>
                <w:fitText w:val="80" w:id="-1032102392"/>
                <w14:textFill>
                  <w14:solidFill>
                    <w14:srgbClr w14:val="000000">
                      <w14:alpha w14:val="100000"/>
                    </w14:srgbClr>
                  </w14:solidFill>
                </w14:textFill>
              </w:rPr>
              <w:t>|</w:t>
            </w:r>
            <w:r w:rsidRPr="008A42F6">
              <w:rPr>
                <w:rFonts w:hint="eastAsia"/>
                <w:color w:val="000000"/>
                <w:w w:val="18"/>
                <w:shd w:val="solid" w:color="000000" w:fill="000000"/>
                <w:fitText w:val="80" w:id="-1032102392"/>
                <w14:textFill>
                  <w14:solidFill>
                    <w14:srgbClr w14:val="000000">
                      <w14:alpha w14:val="100000"/>
                    </w14:srgbClr>
                  </w14:solidFill>
                </w14:textFill>
              </w:rPr>
              <w:t xml:space="preserve">　</w:t>
            </w:r>
            <w:r w:rsidR="003E793D">
              <w:rPr>
                <w:vertAlign w:val="superscript"/>
              </w:rPr>
              <w:t>4</w:t>
            </w:r>
          </w:p>
        </w:tc>
      </w:tr>
      <w:tr w:rsidR="00E61660" w:rsidRPr="001C59C3" w14:paraId="1929D77D" w14:textId="77777777" w:rsidTr="005F0B86">
        <w:tc>
          <w:tcPr>
            <w:tcW w:w="5000" w:type="pct"/>
            <w:gridSpan w:val="7"/>
            <w:shd w:val="clear" w:color="auto" w:fill="auto"/>
            <w:vAlign w:val="center"/>
          </w:tcPr>
          <w:p w14:paraId="4F94C3D6" w14:textId="66408F66" w:rsidR="00E61660" w:rsidRPr="001C59C3" w:rsidRDefault="00E61660" w:rsidP="00690B5F">
            <w:pPr>
              <w:pStyle w:val="COMTabletext"/>
              <w:keepLines/>
              <w:rPr>
                <w:i/>
                <w:iCs/>
              </w:rPr>
            </w:pPr>
            <w:r w:rsidRPr="001C59C3">
              <w:rPr>
                <w:b/>
                <w:bCs w:val="0"/>
                <w:i/>
                <w:iCs/>
              </w:rPr>
              <w:t>Number of scripts dispensed – pre-PBAC response</w:t>
            </w:r>
          </w:p>
        </w:tc>
      </w:tr>
      <w:tr w:rsidR="00AA1225" w:rsidRPr="001C59C3" w14:paraId="270454C8" w14:textId="77777777" w:rsidTr="005F0B86">
        <w:tc>
          <w:tcPr>
            <w:tcW w:w="1332" w:type="pct"/>
            <w:shd w:val="clear" w:color="auto" w:fill="auto"/>
            <w:vAlign w:val="center"/>
          </w:tcPr>
          <w:p w14:paraId="5DD1E8ED" w14:textId="0AFE65F7" w:rsidR="00AA1225" w:rsidRPr="001C59C3" w:rsidRDefault="00AA1225" w:rsidP="00690B5F">
            <w:pPr>
              <w:pStyle w:val="COMTabletext"/>
              <w:keepLines/>
              <w:rPr>
                <w:i/>
                <w:iCs/>
              </w:rPr>
            </w:pPr>
            <w:r w:rsidRPr="001C59C3">
              <w:rPr>
                <w:i/>
                <w:iCs/>
              </w:rPr>
              <w:t>Total scripts dispensed</w:t>
            </w:r>
          </w:p>
        </w:tc>
        <w:tc>
          <w:tcPr>
            <w:tcW w:w="611" w:type="pct"/>
            <w:shd w:val="clear" w:color="auto" w:fill="auto"/>
          </w:tcPr>
          <w:p w14:paraId="58E1B1A0" w14:textId="65EB4579" w:rsidR="00AA1225" w:rsidRPr="00621588" w:rsidRDefault="008A42F6" w:rsidP="00690B5F">
            <w:pPr>
              <w:pStyle w:val="COMTabletext"/>
              <w:keepLines/>
              <w:jc w:val="center"/>
              <w:rPr>
                <w:i/>
                <w:iCs/>
                <w:highlight w:val="darkGray"/>
              </w:rPr>
            </w:pPr>
            <w:r>
              <w:rPr>
                <w:i/>
                <w:iCs/>
              </w:rPr>
              <w:t xml:space="preserve"> </w:t>
            </w:r>
            <w:r w:rsidRPr="008A42F6">
              <w:rPr>
                <w:rFonts w:hint="eastAsia"/>
                <w:i/>
                <w:iCs/>
                <w:color w:val="000000"/>
                <w:w w:val="15"/>
                <w:shd w:val="solid" w:color="000000" w:fill="000000"/>
                <w:fitText w:val="70" w:id="-1032102391"/>
                <w14:textFill>
                  <w14:solidFill>
                    <w14:srgbClr w14:val="000000">
                      <w14:alpha w14:val="100000"/>
                    </w14:srgbClr>
                  </w14:solidFill>
                </w14:textFill>
              </w:rPr>
              <w:t xml:space="preserve">　</w:t>
            </w:r>
            <w:r w:rsidRPr="008A42F6">
              <w:rPr>
                <w:i/>
                <w:iCs/>
                <w:color w:val="000000"/>
                <w:w w:val="15"/>
                <w:shd w:val="solid" w:color="000000" w:fill="000000"/>
                <w:fitText w:val="70" w:id="-1032102391"/>
                <w14:textFill>
                  <w14:solidFill>
                    <w14:srgbClr w14:val="000000">
                      <w14:alpha w14:val="100000"/>
                    </w14:srgbClr>
                  </w14:solidFill>
                </w14:textFill>
              </w:rPr>
              <w:t>|</w:t>
            </w:r>
            <w:r w:rsidRPr="008A42F6">
              <w:rPr>
                <w:rFonts w:hint="eastAsia"/>
                <w:i/>
                <w:iCs/>
                <w:color w:val="000000"/>
                <w:spacing w:val="4"/>
                <w:w w:val="15"/>
                <w:shd w:val="solid" w:color="000000" w:fill="000000"/>
                <w:fitText w:val="70" w:id="-1032102391"/>
                <w14:textFill>
                  <w14:solidFill>
                    <w14:srgbClr w14:val="000000">
                      <w14:alpha w14:val="100000"/>
                    </w14:srgbClr>
                  </w14:solidFill>
                </w14:textFill>
              </w:rPr>
              <w:t xml:space="preserve">　</w:t>
            </w:r>
            <w:r w:rsidR="00B56DB3">
              <w:rPr>
                <w:vertAlign w:val="superscript"/>
              </w:rPr>
              <w:t>3</w:t>
            </w:r>
          </w:p>
        </w:tc>
        <w:tc>
          <w:tcPr>
            <w:tcW w:w="611" w:type="pct"/>
            <w:shd w:val="clear" w:color="auto" w:fill="auto"/>
          </w:tcPr>
          <w:p w14:paraId="656825AF" w14:textId="1725581D" w:rsidR="00AA1225" w:rsidRPr="00621588" w:rsidRDefault="008A42F6" w:rsidP="00690B5F">
            <w:pPr>
              <w:pStyle w:val="COMTabletext"/>
              <w:keepLines/>
              <w:jc w:val="center"/>
              <w:rPr>
                <w:i/>
                <w:iCs/>
                <w:highlight w:val="darkGray"/>
              </w:rPr>
            </w:pPr>
            <w:r>
              <w:rPr>
                <w:i/>
                <w:iCs/>
              </w:rPr>
              <w:t xml:space="preserve"> </w:t>
            </w:r>
            <w:r w:rsidRPr="008A42F6">
              <w:rPr>
                <w:rFonts w:hint="eastAsia"/>
                <w:i/>
                <w:iCs/>
                <w:color w:val="000000"/>
                <w:w w:val="15"/>
                <w:shd w:val="solid" w:color="000000" w:fill="000000"/>
                <w:fitText w:val="70" w:id="-1032102390"/>
                <w14:textFill>
                  <w14:solidFill>
                    <w14:srgbClr w14:val="000000">
                      <w14:alpha w14:val="100000"/>
                    </w14:srgbClr>
                  </w14:solidFill>
                </w14:textFill>
              </w:rPr>
              <w:t xml:space="preserve">　</w:t>
            </w:r>
            <w:r w:rsidRPr="008A42F6">
              <w:rPr>
                <w:i/>
                <w:iCs/>
                <w:color w:val="000000"/>
                <w:w w:val="15"/>
                <w:shd w:val="solid" w:color="000000" w:fill="000000"/>
                <w:fitText w:val="70" w:id="-1032102390"/>
                <w14:textFill>
                  <w14:solidFill>
                    <w14:srgbClr w14:val="000000">
                      <w14:alpha w14:val="100000"/>
                    </w14:srgbClr>
                  </w14:solidFill>
                </w14:textFill>
              </w:rPr>
              <w:t>|</w:t>
            </w:r>
            <w:r w:rsidRPr="008A42F6">
              <w:rPr>
                <w:rFonts w:hint="eastAsia"/>
                <w:i/>
                <w:iCs/>
                <w:color w:val="000000"/>
                <w:spacing w:val="4"/>
                <w:w w:val="15"/>
                <w:shd w:val="solid" w:color="000000" w:fill="000000"/>
                <w:fitText w:val="70" w:id="-1032102390"/>
                <w14:textFill>
                  <w14:solidFill>
                    <w14:srgbClr w14:val="000000">
                      <w14:alpha w14:val="100000"/>
                    </w14:srgbClr>
                  </w14:solidFill>
                </w14:textFill>
              </w:rPr>
              <w:t xml:space="preserve">　</w:t>
            </w:r>
            <w:r w:rsidR="00B56DB3">
              <w:rPr>
                <w:vertAlign w:val="superscript"/>
              </w:rPr>
              <w:t>3</w:t>
            </w:r>
          </w:p>
        </w:tc>
        <w:tc>
          <w:tcPr>
            <w:tcW w:w="611" w:type="pct"/>
            <w:shd w:val="clear" w:color="auto" w:fill="auto"/>
          </w:tcPr>
          <w:p w14:paraId="677A8D41" w14:textId="34BA7394" w:rsidR="00AA1225" w:rsidRPr="00621588" w:rsidRDefault="008A42F6" w:rsidP="00690B5F">
            <w:pPr>
              <w:pStyle w:val="COMTabletext"/>
              <w:keepLines/>
              <w:jc w:val="center"/>
              <w:rPr>
                <w:i/>
                <w:iCs/>
                <w:highlight w:val="darkGray"/>
              </w:rPr>
            </w:pPr>
            <w:r>
              <w:rPr>
                <w:i/>
                <w:iCs/>
              </w:rPr>
              <w:t xml:space="preserve"> </w:t>
            </w:r>
            <w:r w:rsidRPr="008A42F6">
              <w:rPr>
                <w:rFonts w:hint="eastAsia"/>
                <w:i/>
                <w:iCs/>
                <w:color w:val="000000"/>
                <w:w w:val="15"/>
                <w:shd w:val="solid" w:color="000000" w:fill="000000"/>
                <w:fitText w:val="70" w:id="-1032102389"/>
                <w14:textFill>
                  <w14:solidFill>
                    <w14:srgbClr w14:val="000000">
                      <w14:alpha w14:val="100000"/>
                    </w14:srgbClr>
                  </w14:solidFill>
                </w14:textFill>
              </w:rPr>
              <w:t xml:space="preserve">　</w:t>
            </w:r>
            <w:r w:rsidRPr="008A42F6">
              <w:rPr>
                <w:i/>
                <w:iCs/>
                <w:color w:val="000000"/>
                <w:w w:val="15"/>
                <w:shd w:val="solid" w:color="000000" w:fill="000000"/>
                <w:fitText w:val="70" w:id="-1032102389"/>
                <w14:textFill>
                  <w14:solidFill>
                    <w14:srgbClr w14:val="000000">
                      <w14:alpha w14:val="100000"/>
                    </w14:srgbClr>
                  </w14:solidFill>
                </w14:textFill>
              </w:rPr>
              <w:t>|</w:t>
            </w:r>
            <w:r w:rsidRPr="008A42F6">
              <w:rPr>
                <w:rFonts w:hint="eastAsia"/>
                <w:i/>
                <w:iCs/>
                <w:color w:val="000000"/>
                <w:spacing w:val="4"/>
                <w:w w:val="15"/>
                <w:shd w:val="solid" w:color="000000" w:fill="000000"/>
                <w:fitText w:val="70" w:id="-1032102389"/>
                <w14:textFill>
                  <w14:solidFill>
                    <w14:srgbClr w14:val="000000">
                      <w14:alpha w14:val="100000"/>
                    </w14:srgbClr>
                  </w14:solidFill>
                </w14:textFill>
              </w:rPr>
              <w:t xml:space="preserve">　</w:t>
            </w:r>
            <w:r w:rsidR="003E793D">
              <w:rPr>
                <w:vertAlign w:val="superscript"/>
              </w:rPr>
              <w:t>4</w:t>
            </w:r>
          </w:p>
        </w:tc>
        <w:tc>
          <w:tcPr>
            <w:tcW w:w="611" w:type="pct"/>
            <w:shd w:val="clear" w:color="auto" w:fill="auto"/>
          </w:tcPr>
          <w:p w14:paraId="6389D8EB" w14:textId="095D9F57" w:rsidR="00AA1225" w:rsidRPr="00621588" w:rsidRDefault="008A42F6" w:rsidP="00690B5F">
            <w:pPr>
              <w:pStyle w:val="COMTabletext"/>
              <w:keepLines/>
              <w:jc w:val="center"/>
              <w:rPr>
                <w:i/>
                <w:iCs/>
                <w:highlight w:val="darkGray"/>
              </w:rPr>
            </w:pPr>
            <w:r>
              <w:rPr>
                <w:i/>
                <w:iCs/>
              </w:rPr>
              <w:t xml:space="preserve"> </w:t>
            </w:r>
            <w:r w:rsidRPr="008A42F6">
              <w:rPr>
                <w:rFonts w:hint="eastAsia"/>
                <w:i/>
                <w:iCs/>
                <w:color w:val="000000"/>
                <w:w w:val="15"/>
                <w:shd w:val="solid" w:color="000000" w:fill="000000"/>
                <w:fitText w:val="70" w:id="-1032102388"/>
                <w14:textFill>
                  <w14:solidFill>
                    <w14:srgbClr w14:val="000000">
                      <w14:alpha w14:val="100000"/>
                    </w14:srgbClr>
                  </w14:solidFill>
                </w14:textFill>
              </w:rPr>
              <w:t xml:space="preserve">　</w:t>
            </w:r>
            <w:r w:rsidRPr="008A42F6">
              <w:rPr>
                <w:i/>
                <w:iCs/>
                <w:color w:val="000000"/>
                <w:w w:val="15"/>
                <w:shd w:val="solid" w:color="000000" w:fill="000000"/>
                <w:fitText w:val="70" w:id="-1032102388"/>
                <w14:textFill>
                  <w14:solidFill>
                    <w14:srgbClr w14:val="000000">
                      <w14:alpha w14:val="100000"/>
                    </w14:srgbClr>
                  </w14:solidFill>
                </w14:textFill>
              </w:rPr>
              <w:t>|</w:t>
            </w:r>
            <w:r w:rsidRPr="008A42F6">
              <w:rPr>
                <w:rFonts w:hint="eastAsia"/>
                <w:i/>
                <w:iCs/>
                <w:color w:val="000000"/>
                <w:spacing w:val="4"/>
                <w:w w:val="15"/>
                <w:shd w:val="solid" w:color="000000" w:fill="000000"/>
                <w:fitText w:val="70" w:id="-1032102388"/>
                <w14:textFill>
                  <w14:solidFill>
                    <w14:srgbClr w14:val="000000">
                      <w14:alpha w14:val="100000"/>
                    </w14:srgbClr>
                  </w14:solidFill>
                </w14:textFill>
              </w:rPr>
              <w:t xml:space="preserve">　</w:t>
            </w:r>
            <w:r w:rsidR="003E793D">
              <w:rPr>
                <w:vertAlign w:val="superscript"/>
              </w:rPr>
              <w:t>4</w:t>
            </w:r>
          </w:p>
        </w:tc>
        <w:tc>
          <w:tcPr>
            <w:tcW w:w="611" w:type="pct"/>
            <w:shd w:val="clear" w:color="auto" w:fill="auto"/>
          </w:tcPr>
          <w:p w14:paraId="3A539533" w14:textId="6408EDE4" w:rsidR="00AA1225" w:rsidRPr="00621588" w:rsidRDefault="008A42F6" w:rsidP="00690B5F">
            <w:pPr>
              <w:pStyle w:val="COMTabletext"/>
              <w:keepLines/>
              <w:jc w:val="center"/>
              <w:rPr>
                <w:i/>
                <w:iCs/>
                <w:highlight w:val="darkGray"/>
              </w:rPr>
            </w:pPr>
            <w:r>
              <w:rPr>
                <w:i/>
                <w:iCs/>
              </w:rPr>
              <w:t xml:space="preserve"> </w:t>
            </w:r>
            <w:r w:rsidRPr="008A42F6">
              <w:rPr>
                <w:rFonts w:hint="eastAsia"/>
                <w:i/>
                <w:iCs/>
                <w:color w:val="000000"/>
                <w:w w:val="15"/>
                <w:shd w:val="solid" w:color="000000" w:fill="000000"/>
                <w:fitText w:val="70" w:id="-1032102387"/>
                <w14:textFill>
                  <w14:solidFill>
                    <w14:srgbClr w14:val="000000">
                      <w14:alpha w14:val="100000"/>
                    </w14:srgbClr>
                  </w14:solidFill>
                </w14:textFill>
              </w:rPr>
              <w:t xml:space="preserve">　</w:t>
            </w:r>
            <w:r w:rsidRPr="008A42F6">
              <w:rPr>
                <w:i/>
                <w:iCs/>
                <w:color w:val="000000"/>
                <w:w w:val="15"/>
                <w:shd w:val="solid" w:color="000000" w:fill="000000"/>
                <w:fitText w:val="70" w:id="-1032102387"/>
                <w14:textFill>
                  <w14:solidFill>
                    <w14:srgbClr w14:val="000000">
                      <w14:alpha w14:val="100000"/>
                    </w14:srgbClr>
                  </w14:solidFill>
                </w14:textFill>
              </w:rPr>
              <w:t>|</w:t>
            </w:r>
            <w:r w:rsidRPr="008A42F6">
              <w:rPr>
                <w:rFonts w:hint="eastAsia"/>
                <w:i/>
                <w:iCs/>
                <w:color w:val="000000"/>
                <w:spacing w:val="4"/>
                <w:w w:val="15"/>
                <w:shd w:val="solid" w:color="000000" w:fill="000000"/>
                <w:fitText w:val="70" w:id="-1032102387"/>
                <w14:textFill>
                  <w14:solidFill>
                    <w14:srgbClr w14:val="000000">
                      <w14:alpha w14:val="100000"/>
                    </w14:srgbClr>
                  </w14:solidFill>
                </w14:textFill>
              </w:rPr>
              <w:t xml:space="preserve">　</w:t>
            </w:r>
            <w:r w:rsidR="003E793D">
              <w:rPr>
                <w:vertAlign w:val="superscript"/>
              </w:rPr>
              <w:t>5</w:t>
            </w:r>
          </w:p>
        </w:tc>
        <w:tc>
          <w:tcPr>
            <w:tcW w:w="613" w:type="pct"/>
          </w:tcPr>
          <w:p w14:paraId="338F9999" w14:textId="1F74F0EE" w:rsidR="00AA1225" w:rsidRPr="00621588" w:rsidRDefault="008A42F6" w:rsidP="00690B5F">
            <w:pPr>
              <w:pStyle w:val="COMTabletext"/>
              <w:keepLines/>
              <w:jc w:val="center"/>
              <w:rPr>
                <w:i/>
                <w:iCs/>
                <w:highlight w:val="darkGray"/>
              </w:rPr>
            </w:pPr>
            <w:r>
              <w:rPr>
                <w:i/>
                <w:iCs/>
              </w:rPr>
              <w:t xml:space="preserve"> </w:t>
            </w:r>
            <w:r w:rsidRPr="008A42F6">
              <w:rPr>
                <w:rFonts w:hint="eastAsia"/>
                <w:i/>
                <w:iCs/>
                <w:color w:val="000000"/>
                <w:w w:val="18"/>
                <w:shd w:val="solid" w:color="000000" w:fill="000000"/>
                <w:fitText w:val="80" w:id="-1032102386"/>
                <w14:textFill>
                  <w14:solidFill>
                    <w14:srgbClr w14:val="000000">
                      <w14:alpha w14:val="100000"/>
                    </w14:srgbClr>
                  </w14:solidFill>
                </w14:textFill>
              </w:rPr>
              <w:t xml:space="preserve">　</w:t>
            </w:r>
            <w:r w:rsidRPr="008A42F6">
              <w:rPr>
                <w:i/>
                <w:iCs/>
                <w:color w:val="000000"/>
                <w:w w:val="18"/>
                <w:shd w:val="solid" w:color="000000" w:fill="000000"/>
                <w:fitText w:val="80" w:id="-1032102386"/>
                <w14:textFill>
                  <w14:solidFill>
                    <w14:srgbClr w14:val="000000">
                      <w14:alpha w14:val="100000"/>
                    </w14:srgbClr>
                  </w14:solidFill>
                </w14:textFill>
              </w:rPr>
              <w:t>|</w:t>
            </w:r>
            <w:r w:rsidRPr="008A42F6">
              <w:rPr>
                <w:rFonts w:hint="eastAsia"/>
                <w:i/>
                <w:iCs/>
                <w:color w:val="000000"/>
                <w:w w:val="18"/>
                <w:shd w:val="solid" w:color="000000" w:fill="000000"/>
                <w:fitText w:val="80" w:id="-1032102386"/>
                <w14:textFill>
                  <w14:solidFill>
                    <w14:srgbClr w14:val="000000">
                      <w14:alpha w14:val="100000"/>
                    </w14:srgbClr>
                  </w14:solidFill>
                </w14:textFill>
              </w:rPr>
              <w:t xml:space="preserve">　</w:t>
            </w:r>
            <w:r w:rsidR="003E793D">
              <w:rPr>
                <w:vertAlign w:val="superscript"/>
              </w:rPr>
              <w:t>5</w:t>
            </w:r>
          </w:p>
        </w:tc>
      </w:tr>
      <w:tr w:rsidR="00AA1225" w:rsidRPr="001C59C3" w14:paraId="0742C828" w14:textId="77777777" w:rsidTr="005F0B86">
        <w:tc>
          <w:tcPr>
            <w:tcW w:w="1332" w:type="pct"/>
            <w:shd w:val="clear" w:color="auto" w:fill="auto"/>
          </w:tcPr>
          <w:p w14:paraId="23FA6F08" w14:textId="7D62D484" w:rsidR="00AA1225" w:rsidRPr="001C59C3" w:rsidRDefault="00AA1225" w:rsidP="00690B5F">
            <w:pPr>
              <w:pStyle w:val="COMTabletext"/>
              <w:keepLines/>
              <w:rPr>
                <w:i/>
                <w:iCs/>
              </w:rPr>
            </w:pPr>
            <w:r w:rsidRPr="001C59C3">
              <w:rPr>
                <w:i/>
                <w:iCs/>
              </w:rPr>
              <w:t>- Initial</w:t>
            </w:r>
          </w:p>
        </w:tc>
        <w:tc>
          <w:tcPr>
            <w:tcW w:w="611" w:type="pct"/>
            <w:shd w:val="clear" w:color="auto" w:fill="auto"/>
          </w:tcPr>
          <w:p w14:paraId="59825328" w14:textId="68803B33" w:rsidR="00AA1225" w:rsidRPr="00621588" w:rsidRDefault="008A42F6" w:rsidP="00690B5F">
            <w:pPr>
              <w:pStyle w:val="COMTabletext"/>
              <w:keepLines/>
              <w:jc w:val="center"/>
              <w:rPr>
                <w:i/>
                <w:iCs/>
                <w:highlight w:val="darkGray"/>
              </w:rPr>
            </w:pPr>
            <w:r>
              <w:rPr>
                <w:i/>
                <w:iCs/>
              </w:rPr>
              <w:t xml:space="preserve"> </w:t>
            </w:r>
            <w:r w:rsidRPr="008A42F6">
              <w:rPr>
                <w:rFonts w:hint="eastAsia"/>
                <w:i/>
                <w:iCs/>
                <w:color w:val="000000"/>
                <w:w w:val="15"/>
                <w:shd w:val="solid" w:color="000000" w:fill="000000"/>
                <w:fitText w:val="70" w:id="-1032102385"/>
                <w14:textFill>
                  <w14:solidFill>
                    <w14:srgbClr w14:val="000000">
                      <w14:alpha w14:val="100000"/>
                    </w14:srgbClr>
                  </w14:solidFill>
                </w14:textFill>
              </w:rPr>
              <w:t xml:space="preserve">　</w:t>
            </w:r>
            <w:r w:rsidRPr="008A42F6">
              <w:rPr>
                <w:i/>
                <w:iCs/>
                <w:color w:val="000000"/>
                <w:w w:val="15"/>
                <w:shd w:val="solid" w:color="000000" w:fill="000000"/>
                <w:fitText w:val="70" w:id="-1032102385"/>
                <w14:textFill>
                  <w14:solidFill>
                    <w14:srgbClr w14:val="000000">
                      <w14:alpha w14:val="100000"/>
                    </w14:srgbClr>
                  </w14:solidFill>
                </w14:textFill>
              </w:rPr>
              <w:t>|</w:t>
            </w:r>
            <w:r w:rsidRPr="008A42F6">
              <w:rPr>
                <w:rFonts w:hint="eastAsia"/>
                <w:i/>
                <w:iCs/>
                <w:color w:val="000000"/>
                <w:spacing w:val="4"/>
                <w:w w:val="15"/>
                <w:shd w:val="solid" w:color="000000" w:fill="000000"/>
                <w:fitText w:val="70" w:id="-1032102385"/>
                <w14:textFill>
                  <w14:solidFill>
                    <w14:srgbClr w14:val="000000">
                      <w14:alpha w14:val="100000"/>
                    </w14:srgbClr>
                  </w14:solidFill>
                </w14:textFill>
              </w:rPr>
              <w:t xml:space="preserve">　</w:t>
            </w:r>
            <w:r w:rsidR="00B56DB3">
              <w:rPr>
                <w:vertAlign w:val="superscript"/>
              </w:rPr>
              <w:t>1</w:t>
            </w:r>
          </w:p>
        </w:tc>
        <w:tc>
          <w:tcPr>
            <w:tcW w:w="611" w:type="pct"/>
            <w:shd w:val="clear" w:color="auto" w:fill="auto"/>
          </w:tcPr>
          <w:p w14:paraId="77BD09C8" w14:textId="085A64E9" w:rsidR="00AA1225" w:rsidRPr="00621588" w:rsidRDefault="008A42F6" w:rsidP="00690B5F">
            <w:pPr>
              <w:pStyle w:val="COMTabletext"/>
              <w:keepLines/>
              <w:jc w:val="center"/>
              <w:rPr>
                <w:i/>
                <w:iCs/>
                <w:highlight w:val="darkGray"/>
              </w:rPr>
            </w:pPr>
            <w:r>
              <w:rPr>
                <w:i/>
                <w:iCs/>
              </w:rPr>
              <w:t xml:space="preserve"> </w:t>
            </w:r>
            <w:r w:rsidRPr="008A42F6">
              <w:rPr>
                <w:rFonts w:hint="eastAsia"/>
                <w:i/>
                <w:iCs/>
                <w:color w:val="000000"/>
                <w:w w:val="15"/>
                <w:shd w:val="solid" w:color="000000" w:fill="000000"/>
                <w:fitText w:val="70" w:id="-1032102384"/>
                <w14:textFill>
                  <w14:solidFill>
                    <w14:srgbClr w14:val="000000">
                      <w14:alpha w14:val="100000"/>
                    </w14:srgbClr>
                  </w14:solidFill>
                </w14:textFill>
              </w:rPr>
              <w:t xml:space="preserve">　</w:t>
            </w:r>
            <w:r w:rsidRPr="008A42F6">
              <w:rPr>
                <w:i/>
                <w:iCs/>
                <w:color w:val="000000"/>
                <w:w w:val="15"/>
                <w:shd w:val="solid" w:color="000000" w:fill="000000"/>
                <w:fitText w:val="70" w:id="-1032102384"/>
                <w14:textFill>
                  <w14:solidFill>
                    <w14:srgbClr w14:val="000000">
                      <w14:alpha w14:val="100000"/>
                    </w14:srgbClr>
                  </w14:solidFill>
                </w14:textFill>
              </w:rPr>
              <w:t>|</w:t>
            </w:r>
            <w:r w:rsidRPr="008A42F6">
              <w:rPr>
                <w:rFonts w:hint="eastAsia"/>
                <w:i/>
                <w:iCs/>
                <w:color w:val="000000"/>
                <w:spacing w:val="4"/>
                <w:w w:val="15"/>
                <w:shd w:val="solid" w:color="000000" w:fill="000000"/>
                <w:fitText w:val="70" w:id="-1032102384"/>
                <w14:textFill>
                  <w14:solidFill>
                    <w14:srgbClr w14:val="000000">
                      <w14:alpha w14:val="100000"/>
                    </w14:srgbClr>
                  </w14:solidFill>
                </w14:textFill>
              </w:rPr>
              <w:t xml:space="preserve">　</w:t>
            </w:r>
            <w:r w:rsidR="00B56DB3">
              <w:rPr>
                <w:vertAlign w:val="superscript"/>
              </w:rPr>
              <w:t>2</w:t>
            </w:r>
          </w:p>
        </w:tc>
        <w:tc>
          <w:tcPr>
            <w:tcW w:w="611" w:type="pct"/>
            <w:shd w:val="clear" w:color="auto" w:fill="auto"/>
          </w:tcPr>
          <w:p w14:paraId="2A2D3F35" w14:textId="2A99969E" w:rsidR="00AA1225" w:rsidRPr="00621588" w:rsidRDefault="008A42F6" w:rsidP="00690B5F">
            <w:pPr>
              <w:pStyle w:val="COMTabletext"/>
              <w:keepLines/>
              <w:jc w:val="center"/>
              <w:rPr>
                <w:i/>
                <w:iCs/>
                <w:highlight w:val="darkGray"/>
              </w:rPr>
            </w:pPr>
            <w:r>
              <w:rPr>
                <w:i/>
                <w:iCs/>
              </w:rPr>
              <w:t xml:space="preserve"> </w:t>
            </w:r>
            <w:r w:rsidRPr="008A42F6">
              <w:rPr>
                <w:rFonts w:hint="eastAsia"/>
                <w:i/>
                <w:iCs/>
                <w:color w:val="000000"/>
                <w:w w:val="15"/>
                <w:shd w:val="solid" w:color="000000" w:fill="000000"/>
                <w:fitText w:val="70" w:id="-1032102400"/>
                <w14:textFill>
                  <w14:solidFill>
                    <w14:srgbClr w14:val="000000">
                      <w14:alpha w14:val="100000"/>
                    </w14:srgbClr>
                  </w14:solidFill>
                </w14:textFill>
              </w:rPr>
              <w:t xml:space="preserve">　</w:t>
            </w:r>
            <w:r w:rsidRPr="008A42F6">
              <w:rPr>
                <w:i/>
                <w:iCs/>
                <w:color w:val="000000"/>
                <w:w w:val="15"/>
                <w:shd w:val="solid" w:color="000000" w:fill="000000"/>
                <w:fitText w:val="70" w:id="-1032102400"/>
                <w14:textFill>
                  <w14:solidFill>
                    <w14:srgbClr w14:val="000000">
                      <w14:alpha w14:val="100000"/>
                    </w14:srgbClr>
                  </w14:solidFill>
                </w14:textFill>
              </w:rPr>
              <w:t>|</w:t>
            </w:r>
            <w:r w:rsidRPr="008A42F6">
              <w:rPr>
                <w:rFonts w:hint="eastAsia"/>
                <w:i/>
                <w:iCs/>
                <w:color w:val="000000"/>
                <w:spacing w:val="4"/>
                <w:w w:val="15"/>
                <w:shd w:val="solid" w:color="000000" w:fill="000000"/>
                <w:fitText w:val="70" w:id="-1032102400"/>
                <w14:textFill>
                  <w14:solidFill>
                    <w14:srgbClr w14:val="000000">
                      <w14:alpha w14:val="100000"/>
                    </w14:srgbClr>
                  </w14:solidFill>
                </w14:textFill>
              </w:rPr>
              <w:t xml:space="preserve">　</w:t>
            </w:r>
            <w:r w:rsidR="00B56DB3">
              <w:rPr>
                <w:vertAlign w:val="superscript"/>
              </w:rPr>
              <w:t>2</w:t>
            </w:r>
          </w:p>
        </w:tc>
        <w:tc>
          <w:tcPr>
            <w:tcW w:w="611" w:type="pct"/>
            <w:shd w:val="clear" w:color="auto" w:fill="auto"/>
          </w:tcPr>
          <w:p w14:paraId="24DEB058" w14:textId="58EA5A75" w:rsidR="00AA1225" w:rsidRPr="00621588" w:rsidRDefault="008A42F6" w:rsidP="00690B5F">
            <w:pPr>
              <w:pStyle w:val="COMTabletext"/>
              <w:keepLines/>
              <w:jc w:val="center"/>
              <w:rPr>
                <w:i/>
                <w:iCs/>
                <w:highlight w:val="darkGray"/>
              </w:rPr>
            </w:pPr>
            <w:r>
              <w:rPr>
                <w:i/>
                <w:iCs/>
              </w:rPr>
              <w:t xml:space="preserve"> </w:t>
            </w:r>
            <w:r w:rsidRPr="008A42F6">
              <w:rPr>
                <w:rFonts w:hint="eastAsia"/>
                <w:i/>
                <w:iCs/>
                <w:color w:val="000000"/>
                <w:w w:val="15"/>
                <w:shd w:val="solid" w:color="000000" w:fill="000000"/>
                <w:fitText w:val="70" w:id="-1032102399"/>
                <w14:textFill>
                  <w14:solidFill>
                    <w14:srgbClr w14:val="000000">
                      <w14:alpha w14:val="100000"/>
                    </w14:srgbClr>
                  </w14:solidFill>
                </w14:textFill>
              </w:rPr>
              <w:t xml:space="preserve">　</w:t>
            </w:r>
            <w:r w:rsidRPr="008A42F6">
              <w:rPr>
                <w:i/>
                <w:iCs/>
                <w:color w:val="000000"/>
                <w:w w:val="15"/>
                <w:shd w:val="solid" w:color="000000" w:fill="000000"/>
                <w:fitText w:val="70" w:id="-1032102399"/>
                <w14:textFill>
                  <w14:solidFill>
                    <w14:srgbClr w14:val="000000">
                      <w14:alpha w14:val="100000"/>
                    </w14:srgbClr>
                  </w14:solidFill>
                </w14:textFill>
              </w:rPr>
              <w:t>|</w:t>
            </w:r>
            <w:r w:rsidRPr="008A42F6">
              <w:rPr>
                <w:rFonts w:hint="eastAsia"/>
                <w:i/>
                <w:iCs/>
                <w:color w:val="000000"/>
                <w:spacing w:val="4"/>
                <w:w w:val="15"/>
                <w:shd w:val="solid" w:color="000000" w:fill="000000"/>
                <w:fitText w:val="70" w:id="-1032102399"/>
                <w14:textFill>
                  <w14:solidFill>
                    <w14:srgbClr w14:val="000000">
                      <w14:alpha w14:val="100000"/>
                    </w14:srgbClr>
                  </w14:solidFill>
                </w14:textFill>
              </w:rPr>
              <w:t xml:space="preserve">　</w:t>
            </w:r>
            <w:r w:rsidR="00B56DB3">
              <w:rPr>
                <w:vertAlign w:val="superscript"/>
              </w:rPr>
              <w:t>3</w:t>
            </w:r>
          </w:p>
        </w:tc>
        <w:tc>
          <w:tcPr>
            <w:tcW w:w="611" w:type="pct"/>
            <w:shd w:val="clear" w:color="auto" w:fill="auto"/>
          </w:tcPr>
          <w:p w14:paraId="0E1FDC84" w14:textId="27CFCF62" w:rsidR="00AA1225" w:rsidRPr="00621588" w:rsidRDefault="008A42F6" w:rsidP="00690B5F">
            <w:pPr>
              <w:pStyle w:val="COMTabletext"/>
              <w:keepLines/>
              <w:jc w:val="center"/>
              <w:rPr>
                <w:i/>
                <w:iCs/>
                <w:highlight w:val="darkGray"/>
              </w:rPr>
            </w:pPr>
            <w:r>
              <w:rPr>
                <w:i/>
                <w:iCs/>
              </w:rPr>
              <w:t xml:space="preserve"> </w:t>
            </w:r>
            <w:r w:rsidRPr="008A42F6">
              <w:rPr>
                <w:rFonts w:hint="eastAsia"/>
                <w:i/>
                <w:iCs/>
                <w:color w:val="000000"/>
                <w:w w:val="15"/>
                <w:shd w:val="solid" w:color="000000" w:fill="000000"/>
                <w:fitText w:val="70" w:id="-1032102398"/>
                <w14:textFill>
                  <w14:solidFill>
                    <w14:srgbClr w14:val="000000">
                      <w14:alpha w14:val="100000"/>
                    </w14:srgbClr>
                  </w14:solidFill>
                </w14:textFill>
              </w:rPr>
              <w:t xml:space="preserve">　</w:t>
            </w:r>
            <w:r w:rsidRPr="008A42F6">
              <w:rPr>
                <w:i/>
                <w:iCs/>
                <w:color w:val="000000"/>
                <w:w w:val="15"/>
                <w:shd w:val="solid" w:color="000000" w:fill="000000"/>
                <w:fitText w:val="70" w:id="-1032102398"/>
                <w14:textFill>
                  <w14:solidFill>
                    <w14:srgbClr w14:val="000000">
                      <w14:alpha w14:val="100000"/>
                    </w14:srgbClr>
                  </w14:solidFill>
                </w14:textFill>
              </w:rPr>
              <w:t>|</w:t>
            </w:r>
            <w:r w:rsidRPr="008A42F6">
              <w:rPr>
                <w:rFonts w:hint="eastAsia"/>
                <w:i/>
                <w:iCs/>
                <w:color w:val="000000"/>
                <w:spacing w:val="4"/>
                <w:w w:val="15"/>
                <w:shd w:val="solid" w:color="000000" w:fill="000000"/>
                <w:fitText w:val="70" w:id="-1032102398"/>
                <w14:textFill>
                  <w14:solidFill>
                    <w14:srgbClr w14:val="000000">
                      <w14:alpha w14:val="100000"/>
                    </w14:srgbClr>
                  </w14:solidFill>
                </w14:textFill>
              </w:rPr>
              <w:t xml:space="preserve">　</w:t>
            </w:r>
            <w:r w:rsidR="00B56DB3">
              <w:rPr>
                <w:vertAlign w:val="superscript"/>
              </w:rPr>
              <w:t>3</w:t>
            </w:r>
          </w:p>
        </w:tc>
        <w:tc>
          <w:tcPr>
            <w:tcW w:w="613" w:type="pct"/>
          </w:tcPr>
          <w:p w14:paraId="775B5E6F" w14:textId="5A843247" w:rsidR="00AA1225" w:rsidRPr="00621588" w:rsidRDefault="008A42F6" w:rsidP="00690B5F">
            <w:pPr>
              <w:pStyle w:val="COMTabletext"/>
              <w:keepLines/>
              <w:jc w:val="center"/>
              <w:rPr>
                <w:i/>
                <w:iCs/>
                <w:highlight w:val="darkGray"/>
              </w:rPr>
            </w:pPr>
            <w:r>
              <w:rPr>
                <w:i/>
                <w:iCs/>
              </w:rPr>
              <w:t xml:space="preserve"> </w:t>
            </w:r>
            <w:r w:rsidRPr="008A42F6">
              <w:rPr>
                <w:rFonts w:hint="eastAsia"/>
                <w:i/>
                <w:iCs/>
                <w:color w:val="000000"/>
                <w:w w:val="18"/>
                <w:shd w:val="solid" w:color="000000" w:fill="000000"/>
                <w:fitText w:val="80" w:id="-1032102397"/>
                <w14:textFill>
                  <w14:solidFill>
                    <w14:srgbClr w14:val="000000">
                      <w14:alpha w14:val="100000"/>
                    </w14:srgbClr>
                  </w14:solidFill>
                </w14:textFill>
              </w:rPr>
              <w:t xml:space="preserve">　</w:t>
            </w:r>
            <w:r w:rsidRPr="008A42F6">
              <w:rPr>
                <w:i/>
                <w:iCs/>
                <w:color w:val="000000"/>
                <w:w w:val="18"/>
                <w:shd w:val="solid" w:color="000000" w:fill="000000"/>
                <w:fitText w:val="80" w:id="-1032102397"/>
                <w14:textFill>
                  <w14:solidFill>
                    <w14:srgbClr w14:val="000000">
                      <w14:alpha w14:val="100000"/>
                    </w14:srgbClr>
                  </w14:solidFill>
                </w14:textFill>
              </w:rPr>
              <w:t>|</w:t>
            </w:r>
            <w:r w:rsidRPr="008A42F6">
              <w:rPr>
                <w:rFonts w:hint="eastAsia"/>
                <w:i/>
                <w:iCs/>
                <w:color w:val="000000"/>
                <w:w w:val="18"/>
                <w:shd w:val="solid" w:color="000000" w:fill="000000"/>
                <w:fitText w:val="80" w:id="-1032102397"/>
                <w14:textFill>
                  <w14:solidFill>
                    <w14:srgbClr w14:val="000000">
                      <w14:alpha w14:val="100000"/>
                    </w14:srgbClr>
                  </w14:solidFill>
                </w14:textFill>
              </w:rPr>
              <w:t xml:space="preserve">　</w:t>
            </w:r>
            <w:r w:rsidR="00B56DB3">
              <w:rPr>
                <w:vertAlign w:val="superscript"/>
              </w:rPr>
              <w:t>3</w:t>
            </w:r>
          </w:p>
        </w:tc>
      </w:tr>
      <w:tr w:rsidR="00AA1225" w:rsidRPr="001C59C3" w14:paraId="57AFC257" w14:textId="77777777" w:rsidTr="005F0B86">
        <w:tc>
          <w:tcPr>
            <w:tcW w:w="1332" w:type="pct"/>
            <w:shd w:val="clear" w:color="auto" w:fill="auto"/>
          </w:tcPr>
          <w:p w14:paraId="2DCE0600" w14:textId="6F3A0DD2" w:rsidR="00AA1225" w:rsidRPr="001C59C3" w:rsidRDefault="00AA1225" w:rsidP="00690B5F">
            <w:pPr>
              <w:pStyle w:val="COMTabletext"/>
              <w:keepLines/>
              <w:rPr>
                <w:i/>
                <w:iCs/>
                <w:vertAlign w:val="superscript"/>
              </w:rPr>
            </w:pPr>
            <w:r w:rsidRPr="001C59C3">
              <w:rPr>
                <w:i/>
                <w:iCs/>
              </w:rPr>
              <w:t>- Continuing</w:t>
            </w:r>
            <w:r w:rsidR="004A20AF" w:rsidRPr="001C59C3">
              <w:rPr>
                <w:i/>
                <w:iCs/>
              </w:rPr>
              <w:t xml:space="preserve"> </w:t>
            </w:r>
            <w:r w:rsidR="004A20AF" w:rsidRPr="001C59C3">
              <w:rPr>
                <w:i/>
                <w:iCs/>
                <w:vertAlign w:val="superscript"/>
              </w:rPr>
              <w:t>b</w:t>
            </w:r>
          </w:p>
        </w:tc>
        <w:tc>
          <w:tcPr>
            <w:tcW w:w="611" w:type="pct"/>
            <w:shd w:val="clear" w:color="auto" w:fill="auto"/>
          </w:tcPr>
          <w:p w14:paraId="53C90AC3" w14:textId="32E6E684" w:rsidR="00AA1225" w:rsidRPr="00621588" w:rsidRDefault="008A42F6" w:rsidP="00690B5F">
            <w:pPr>
              <w:pStyle w:val="COMTabletext"/>
              <w:keepLines/>
              <w:jc w:val="center"/>
              <w:rPr>
                <w:i/>
                <w:iCs/>
                <w:highlight w:val="darkGray"/>
              </w:rPr>
            </w:pPr>
            <w:r>
              <w:rPr>
                <w:i/>
                <w:iCs/>
              </w:rPr>
              <w:t xml:space="preserve"> </w:t>
            </w:r>
            <w:r w:rsidRPr="008A42F6">
              <w:rPr>
                <w:rFonts w:hint="eastAsia"/>
                <w:i/>
                <w:iCs/>
                <w:color w:val="000000"/>
                <w:w w:val="15"/>
                <w:shd w:val="solid" w:color="000000" w:fill="000000"/>
                <w:fitText w:val="70" w:id="-1032102396"/>
                <w14:textFill>
                  <w14:solidFill>
                    <w14:srgbClr w14:val="000000">
                      <w14:alpha w14:val="100000"/>
                    </w14:srgbClr>
                  </w14:solidFill>
                </w14:textFill>
              </w:rPr>
              <w:t xml:space="preserve">　</w:t>
            </w:r>
            <w:r w:rsidRPr="008A42F6">
              <w:rPr>
                <w:i/>
                <w:iCs/>
                <w:color w:val="000000"/>
                <w:w w:val="15"/>
                <w:shd w:val="solid" w:color="000000" w:fill="000000"/>
                <w:fitText w:val="70" w:id="-1032102396"/>
                <w14:textFill>
                  <w14:solidFill>
                    <w14:srgbClr w14:val="000000">
                      <w14:alpha w14:val="100000"/>
                    </w14:srgbClr>
                  </w14:solidFill>
                </w14:textFill>
              </w:rPr>
              <w:t>|</w:t>
            </w:r>
            <w:r w:rsidRPr="008A42F6">
              <w:rPr>
                <w:rFonts w:hint="eastAsia"/>
                <w:i/>
                <w:iCs/>
                <w:color w:val="000000"/>
                <w:spacing w:val="4"/>
                <w:w w:val="15"/>
                <w:shd w:val="solid" w:color="000000" w:fill="000000"/>
                <w:fitText w:val="70" w:id="-1032102396"/>
                <w14:textFill>
                  <w14:solidFill>
                    <w14:srgbClr w14:val="000000">
                      <w14:alpha w14:val="100000"/>
                    </w14:srgbClr>
                  </w14:solidFill>
                </w14:textFill>
              </w:rPr>
              <w:t xml:space="preserve">　</w:t>
            </w:r>
            <w:r w:rsidR="00B56DB3">
              <w:rPr>
                <w:vertAlign w:val="superscript"/>
              </w:rPr>
              <w:t>2</w:t>
            </w:r>
          </w:p>
        </w:tc>
        <w:tc>
          <w:tcPr>
            <w:tcW w:w="611" w:type="pct"/>
            <w:shd w:val="clear" w:color="auto" w:fill="auto"/>
          </w:tcPr>
          <w:p w14:paraId="62AEAFBB" w14:textId="77B1380C" w:rsidR="00AA1225" w:rsidRPr="00621588" w:rsidRDefault="008A42F6" w:rsidP="00690B5F">
            <w:pPr>
              <w:pStyle w:val="COMTabletext"/>
              <w:keepLines/>
              <w:jc w:val="center"/>
              <w:rPr>
                <w:i/>
                <w:iCs/>
                <w:highlight w:val="darkGray"/>
              </w:rPr>
            </w:pPr>
            <w:r>
              <w:rPr>
                <w:i/>
                <w:iCs/>
              </w:rPr>
              <w:t xml:space="preserve"> </w:t>
            </w:r>
            <w:r w:rsidRPr="008A42F6">
              <w:rPr>
                <w:rFonts w:hint="eastAsia"/>
                <w:i/>
                <w:iCs/>
                <w:color w:val="000000"/>
                <w:w w:val="15"/>
                <w:shd w:val="solid" w:color="000000" w:fill="000000"/>
                <w:fitText w:val="70" w:id="-1032102395"/>
                <w14:textFill>
                  <w14:solidFill>
                    <w14:srgbClr w14:val="000000">
                      <w14:alpha w14:val="100000"/>
                    </w14:srgbClr>
                  </w14:solidFill>
                </w14:textFill>
              </w:rPr>
              <w:t xml:space="preserve">　</w:t>
            </w:r>
            <w:r w:rsidRPr="008A42F6">
              <w:rPr>
                <w:i/>
                <w:iCs/>
                <w:color w:val="000000"/>
                <w:w w:val="15"/>
                <w:shd w:val="solid" w:color="000000" w:fill="000000"/>
                <w:fitText w:val="70" w:id="-1032102395"/>
                <w14:textFill>
                  <w14:solidFill>
                    <w14:srgbClr w14:val="000000">
                      <w14:alpha w14:val="100000"/>
                    </w14:srgbClr>
                  </w14:solidFill>
                </w14:textFill>
              </w:rPr>
              <w:t>|</w:t>
            </w:r>
            <w:r w:rsidRPr="008A42F6">
              <w:rPr>
                <w:rFonts w:hint="eastAsia"/>
                <w:i/>
                <w:iCs/>
                <w:color w:val="000000"/>
                <w:spacing w:val="4"/>
                <w:w w:val="15"/>
                <w:shd w:val="solid" w:color="000000" w:fill="000000"/>
                <w:fitText w:val="70" w:id="-1032102395"/>
                <w14:textFill>
                  <w14:solidFill>
                    <w14:srgbClr w14:val="000000">
                      <w14:alpha w14:val="100000"/>
                    </w14:srgbClr>
                  </w14:solidFill>
                </w14:textFill>
              </w:rPr>
              <w:t xml:space="preserve">　</w:t>
            </w:r>
            <w:r w:rsidR="00B56DB3">
              <w:rPr>
                <w:vertAlign w:val="superscript"/>
              </w:rPr>
              <w:t>3</w:t>
            </w:r>
          </w:p>
        </w:tc>
        <w:tc>
          <w:tcPr>
            <w:tcW w:w="611" w:type="pct"/>
            <w:shd w:val="clear" w:color="auto" w:fill="auto"/>
          </w:tcPr>
          <w:p w14:paraId="6298916B" w14:textId="5BD11249" w:rsidR="00AA1225" w:rsidRPr="00621588" w:rsidRDefault="008A42F6" w:rsidP="00690B5F">
            <w:pPr>
              <w:pStyle w:val="COMTabletext"/>
              <w:keepLines/>
              <w:jc w:val="center"/>
              <w:rPr>
                <w:i/>
                <w:iCs/>
                <w:highlight w:val="darkGray"/>
              </w:rPr>
            </w:pPr>
            <w:r>
              <w:rPr>
                <w:i/>
                <w:iCs/>
              </w:rPr>
              <w:t xml:space="preserve"> </w:t>
            </w:r>
            <w:r w:rsidRPr="008A42F6">
              <w:rPr>
                <w:rFonts w:hint="eastAsia"/>
                <w:i/>
                <w:iCs/>
                <w:color w:val="000000"/>
                <w:w w:val="15"/>
                <w:shd w:val="solid" w:color="000000" w:fill="000000"/>
                <w:fitText w:val="70" w:id="-1032102394"/>
                <w14:textFill>
                  <w14:solidFill>
                    <w14:srgbClr w14:val="000000">
                      <w14:alpha w14:val="100000"/>
                    </w14:srgbClr>
                  </w14:solidFill>
                </w14:textFill>
              </w:rPr>
              <w:t xml:space="preserve">　</w:t>
            </w:r>
            <w:r w:rsidRPr="008A42F6">
              <w:rPr>
                <w:i/>
                <w:iCs/>
                <w:color w:val="000000"/>
                <w:w w:val="15"/>
                <w:shd w:val="solid" w:color="000000" w:fill="000000"/>
                <w:fitText w:val="70" w:id="-1032102394"/>
                <w14:textFill>
                  <w14:solidFill>
                    <w14:srgbClr w14:val="000000">
                      <w14:alpha w14:val="100000"/>
                    </w14:srgbClr>
                  </w14:solidFill>
                </w14:textFill>
              </w:rPr>
              <w:t>|</w:t>
            </w:r>
            <w:r w:rsidRPr="008A42F6">
              <w:rPr>
                <w:rFonts w:hint="eastAsia"/>
                <w:i/>
                <w:iCs/>
                <w:color w:val="000000"/>
                <w:spacing w:val="4"/>
                <w:w w:val="15"/>
                <w:shd w:val="solid" w:color="000000" w:fill="000000"/>
                <w:fitText w:val="70" w:id="-1032102394"/>
                <w14:textFill>
                  <w14:solidFill>
                    <w14:srgbClr w14:val="000000">
                      <w14:alpha w14:val="100000"/>
                    </w14:srgbClr>
                  </w14:solidFill>
                </w14:textFill>
              </w:rPr>
              <w:t xml:space="preserve">　</w:t>
            </w:r>
            <w:r w:rsidR="00B56DB3">
              <w:rPr>
                <w:vertAlign w:val="superscript"/>
              </w:rPr>
              <w:t>3</w:t>
            </w:r>
          </w:p>
        </w:tc>
        <w:tc>
          <w:tcPr>
            <w:tcW w:w="611" w:type="pct"/>
            <w:shd w:val="clear" w:color="auto" w:fill="auto"/>
          </w:tcPr>
          <w:p w14:paraId="120F92B6" w14:textId="4C205A68" w:rsidR="00AA1225" w:rsidRPr="00621588" w:rsidRDefault="008A42F6" w:rsidP="00690B5F">
            <w:pPr>
              <w:pStyle w:val="COMTabletext"/>
              <w:keepLines/>
              <w:jc w:val="center"/>
              <w:rPr>
                <w:i/>
                <w:iCs/>
                <w:highlight w:val="darkGray"/>
              </w:rPr>
            </w:pPr>
            <w:r>
              <w:rPr>
                <w:i/>
                <w:iCs/>
              </w:rPr>
              <w:t xml:space="preserve"> </w:t>
            </w:r>
            <w:r w:rsidRPr="008A42F6">
              <w:rPr>
                <w:rFonts w:hint="eastAsia"/>
                <w:i/>
                <w:iCs/>
                <w:color w:val="000000"/>
                <w:w w:val="15"/>
                <w:shd w:val="solid" w:color="000000" w:fill="000000"/>
                <w:fitText w:val="70" w:id="-1032102393"/>
                <w14:textFill>
                  <w14:solidFill>
                    <w14:srgbClr w14:val="000000">
                      <w14:alpha w14:val="100000"/>
                    </w14:srgbClr>
                  </w14:solidFill>
                </w14:textFill>
              </w:rPr>
              <w:t xml:space="preserve">　</w:t>
            </w:r>
            <w:r w:rsidRPr="008A42F6">
              <w:rPr>
                <w:i/>
                <w:iCs/>
                <w:color w:val="000000"/>
                <w:w w:val="15"/>
                <w:shd w:val="solid" w:color="000000" w:fill="000000"/>
                <w:fitText w:val="70" w:id="-1032102393"/>
                <w14:textFill>
                  <w14:solidFill>
                    <w14:srgbClr w14:val="000000">
                      <w14:alpha w14:val="100000"/>
                    </w14:srgbClr>
                  </w14:solidFill>
                </w14:textFill>
              </w:rPr>
              <w:t>|</w:t>
            </w:r>
            <w:r w:rsidRPr="008A42F6">
              <w:rPr>
                <w:rFonts w:hint="eastAsia"/>
                <w:i/>
                <w:iCs/>
                <w:color w:val="000000"/>
                <w:spacing w:val="4"/>
                <w:w w:val="15"/>
                <w:shd w:val="solid" w:color="000000" w:fill="000000"/>
                <w:fitText w:val="70" w:id="-1032102393"/>
                <w14:textFill>
                  <w14:solidFill>
                    <w14:srgbClr w14:val="000000">
                      <w14:alpha w14:val="100000"/>
                    </w14:srgbClr>
                  </w14:solidFill>
                </w14:textFill>
              </w:rPr>
              <w:t xml:space="preserve">　</w:t>
            </w:r>
            <w:r w:rsidR="00B56DB3">
              <w:rPr>
                <w:vertAlign w:val="superscript"/>
              </w:rPr>
              <w:t>3</w:t>
            </w:r>
          </w:p>
        </w:tc>
        <w:tc>
          <w:tcPr>
            <w:tcW w:w="611" w:type="pct"/>
            <w:shd w:val="clear" w:color="auto" w:fill="auto"/>
          </w:tcPr>
          <w:p w14:paraId="7A7C059D" w14:textId="17F5B4BA" w:rsidR="00AA1225" w:rsidRPr="00621588" w:rsidRDefault="008A42F6" w:rsidP="00690B5F">
            <w:pPr>
              <w:pStyle w:val="COMTabletext"/>
              <w:keepLines/>
              <w:jc w:val="center"/>
              <w:rPr>
                <w:i/>
                <w:iCs/>
                <w:highlight w:val="darkGray"/>
              </w:rPr>
            </w:pPr>
            <w:r>
              <w:rPr>
                <w:i/>
                <w:iCs/>
              </w:rPr>
              <w:t xml:space="preserve"> </w:t>
            </w:r>
            <w:r w:rsidRPr="008A42F6">
              <w:rPr>
                <w:rFonts w:hint="eastAsia"/>
                <w:i/>
                <w:iCs/>
                <w:color w:val="000000"/>
                <w:w w:val="15"/>
                <w:shd w:val="solid" w:color="000000" w:fill="000000"/>
                <w:fitText w:val="70" w:id="-1032102392"/>
                <w14:textFill>
                  <w14:solidFill>
                    <w14:srgbClr w14:val="000000">
                      <w14:alpha w14:val="100000"/>
                    </w14:srgbClr>
                  </w14:solidFill>
                </w14:textFill>
              </w:rPr>
              <w:t xml:space="preserve">　</w:t>
            </w:r>
            <w:r w:rsidRPr="008A42F6">
              <w:rPr>
                <w:i/>
                <w:iCs/>
                <w:color w:val="000000"/>
                <w:w w:val="15"/>
                <w:shd w:val="solid" w:color="000000" w:fill="000000"/>
                <w:fitText w:val="70" w:id="-1032102392"/>
                <w14:textFill>
                  <w14:solidFill>
                    <w14:srgbClr w14:val="000000">
                      <w14:alpha w14:val="100000"/>
                    </w14:srgbClr>
                  </w14:solidFill>
                </w14:textFill>
              </w:rPr>
              <w:t>|</w:t>
            </w:r>
            <w:r w:rsidRPr="008A42F6">
              <w:rPr>
                <w:rFonts w:hint="eastAsia"/>
                <w:i/>
                <w:iCs/>
                <w:color w:val="000000"/>
                <w:spacing w:val="4"/>
                <w:w w:val="15"/>
                <w:shd w:val="solid" w:color="000000" w:fill="000000"/>
                <w:fitText w:val="70" w:id="-1032102392"/>
                <w14:textFill>
                  <w14:solidFill>
                    <w14:srgbClr w14:val="000000">
                      <w14:alpha w14:val="100000"/>
                    </w14:srgbClr>
                  </w14:solidFill>
                </w14:textFill>
              </w:rPr>
              <w:t xml:space="preserve">　</w:t>
            </w:r>
            <w:r w:rsidR="003E793D">
              <w:rPr>
                <w:vertAlign w:val="superscript"/>
              </w:rPr>
              <w:t>4</w:t>
            </w:r>
          </w:p>
        </w:tc>
        <w:tc>
          <w:tcPr>
            <w:tcW w:w="613" w:type="pct"/>
          </w:tcPr>
          <w:p w14:paraId="02F04C67" w14:textId="43BA6937" w:rsidR="00AA1225" w:rsidRPr="00621588" w:rsidRDefault="008A42F6" w:rsidP="00690B5F">
            <w:pPr>
              <w:pStyle w:val="COMTabletext"/>
              <w:keepLines/>
              <w:jc w:val="center"/>
              <w:rPr>
                <w:i/>
                <w:iCs/>
                <w:highlight w:val="darkGray"/>
              </w:rPr>
            </w:pPr>
            <w:r>
              <w:rPr>
                <w:i/>
                <w:iCs/>
              </w:rPr>
              <w:t xml:space="preserve"> </w:t>
            </w:r>
            <w:r w:rsidRPr="008A42F6">
              <w:rPr>
                <w:rFonts w:hint="eastAsia"/>
                <w:i/>
                <w:iCs/>
                <w:color w:val="000000"/>
                <w:w w:val="18"/>
                <w:shd w:val="solid" w:color="000000" w:fill="000000"/>
                <w:fitText w:val="80" w:id="-1032102391"/>
                <w14:textFill>
                  <w14:solidFill>
                    <w14:srgbClr w14:val="000000">
                      <w14:alpha w14:val="100000"/>
                    </w14:srgbClr>
                  </w14:solidFill>
                </w14:textFill>
              </w:rPr>
              <w:t xml:space="preserve">　</w:t>
            </w:r>
            <w:r w:rsidRPr="008A42F6">
              <w:rPr>
                <w:i/>
                <w:iCs/>
                <w:color w:val="000000"/>
                <w:w w:val="18"/>
                <w:shd w:val="solid" w:color="000000" w:fill="000000"/>
                <w:fitText w:val="80" w:id="-1032102391"/>
                <w14:textFill>
                  <w14:solidFill>
                    <w14:srgbClr w14:val="000000">
                      <w14:alpha w14:val="100000"/>
                    </w14:srgbClr>
                  </w14:solidFill>
                </w14:textFill>
              </w:rPr>
              <w:t>|</w:t>
            </w:r>
            <w:r w:rsidRPr="008A42F6">
              <w:rPr>
                <w:rFonts w:hint="eastAsia"/>
                <w:i/>
                <w:iCs/>
                <w:color w:val="000000"/>
                <w:w w:val="18"/>
                <w:shd w:val="solid" w:color="000000" w:fill="000000"/>
                <w:fitText w:val="80" w:id="-1032102391"/>
                <w14:textFill>
                  <w14:solidFill>
                    <w14:srgbClr w14:val="000000">
                      <w14:alpha w14:val="100000"/>
                    </w14:srgbClr>
                  </w14:solidFill>
                </w14:textFill>
              </w:rPr>
              <w:t xml:space="preserve">　</w:t>
            </w:r>
            <w:r w:rsidR="003E793D">
              <w:rPr>
                <w:vertAlign w:val="superscript"/>
              </w:rPr>
              <w:t>4</w:t>
            </w:r>
          </w:p>
        </w:tc>
      </w:tr>
      <w:tr w:rsidR="00D13434" w:rsidRPr="001C59C3" w14:paraId="5AB798FA" w14:textId="77777777" w:rsidTr="005F0B86">
        <w:tc>
          <w:tcPr>
            <w:tcW w:w="1332" w:type="pct"/>
            <w:shd w:val="clear" w:color="auto" w:fill="B8CCE4" w:themeFill="accent1" w:themeFillTint="66"/>
          </w:tcPr>
          <w:p w14:paraId="08C14FBA" w14:textId="38BC9966" w:rsidR="00D13434" w:rsidRPr="001C59C3" w:rsidRDefault="00D13434" w:rsidP="00690B5F">
            <w:pPr>
              <w:pStyle w:val="COMTabletext"/>
              <w:keepLines/>
            </w:pPr>
            <w:r w:rsidRPr="001C59C3">
              <w:t>March 2023 submission total scripts</w:t>
            </w:r>
          </w:p>
        </w:tc>
        <w:tc>
          <w:tcPr>
            <w:tcW w:w="611" w:type="pct"/>
            <w:shd w:val="clear" w:color="auto" w:fill="B8CCE4" w:themeFill="accent1" w:themeFillTint="66"/>
            <w:vAlign w:val="center"/>
          </w:tcPr>
          <w:p w14:paraId="7B1C3795" w14:textId="58B4A005" w:rsidR="00D13434" w:rsidRPr="00621588" w:rsidRDefault="008A42F6" w:rsidP="00690B5F">
            <w:pPr>
              <w:pStyle w:val="COMTabletext"/>
              <w:keepLines/>
              <w:jc w:val="center"/>
              <w:rPr>
                <w:i/>
                <w:iCs/>
                <w:highlight w:val="darkGray"/>
              </w:rPr>
            </w:pPr>
            <w:r>
              <w:t xml:space="preserve"> </w:t>
            </w:r>
            <w:r w:rsidRPr="008A42F6">
              <w:rPr>
                <w:rFonts w:hint="eastAsia"/>
                <w:color w:val="000000"/>
                <w:w w:val="15"/>
                <w:shd w:val="solid" w:color="000000" w:fill="000000"/>
                <w:fitText w:val="70" w:id="-1032102390"/>
                <w14:textFill>
                  <w14:solidFill>
                    <w14:srgbClr w14:val="000000">
                      <w14:alpha w14:val="100000"/>
                    </w14:srgbClr>
                  </w14:solidFill>
                </w14:textFill>
              </w:rPr>
              <w:t xml:space="preserve">　</w:t>
            </w:r>
            <w:r w:rsidRPr="008A42F6">
              <w:rPr>
                <w:color w:val="000000"/>
                <w:w w:val="15"/>
                <w:shd w:val="solid" w:color="000000" w:fill="000000"/>
                <w:fitText w:val="70" w:id="-1032102390"/>
                <w14:textFill>
                  <w14:solidFill>
                    <w14:srgbClr w14:val="000000">
                      <w14:alpha w14:val="100000"/>
                    </w14:srgbClr>
                  </w14:solidFill>
                </w14:textFill>
              </w:rPr>
              <w:t>|</w:t>
            </w:r>
            <w:r w:rsidRPr="008A42F6">
              <w:rPr>
                <w:rFonts w:hint="eastAsia"/>
                <w:color w:val="000000"/>
                <w:spacing w:val="4"/>
                <w:w w:val="15"/>
                <w:shd w:val="solid" w:color="000000" w:fill="000000"/>
                <w:fitText w:val="70" w:id="-1032102390"/>
                <w14:textFill>
                  <w14:solidFill>
                    <w14:srgbClr w14:val="000000">
                      <w14:alpha w14:val="100000"/>
                    </w14:srgbClr>
                  </w14:solidFill>
                </w14:textFill>
              </w:rPr>
              <w:t xml:space="preserve">　</w:t>
            </w:r>
            <w:r w:rsidR="003E793D">
              <w:rPr>
                <w:vertAlign w:val="superscript"/>
              </w:rPr>
              <w:t>4</w:t>
            </w:r>
          </w:p>
        </w:tc>
        <w:tc>
          <w:tcPr>
            <w:tcW w:w="611" w:type="pct"/>
            <w:shd w:val="clear" w:color="auto" w:fill="B8CCE4" w:themeFill="accent1" w:themeFillTint="66"/>
            <w:vAlign w:val="center"/>
          </w:tcPr>
          <w:p w14:paraId="048D44FF" w14:textId="3C84D39F" w:rsidR="00D13434" w:rsidRPr="00621588" w:rsidRDefault="008A42F6" w:rsidP="00690B5F">
            <w:pPr>
              <w:pStyle w:val="COMTabletext"/>
              <w:keepLines/>
              <w:jc w:val="center"/>
              <w:rPr>
                <w:i/>
                <w:iCs/>
                <w:highlight w:val="darkGray"/>
              </w:rPr>
            </w:pPr>
            <w:r>
              <w:t xml:space="preserve"> </w:t>
            </w:r>
            <w:r w:rsidRPr="008A42F6">
              <w:rPr>
                <w:rFonts w:hint="eastAsia"/>
                <w:color w:val="000000"/>
                <w:w w:val="15"/>
                <w:shd w:val="solid" w:color="000000" w:fill="000000"/>
                <w:fitText w:val="70" w:id="-1032102389"/>
                <w14:textFill>
                  <w14:solidFill>
                    <w14:srgbClr w14:val="000000">
                      <w14:alpha w14:val="100000"/>
                    </w14:srgbClr>
                  </w14:solidFill>
                </w14:textFill>
              </w:rPr>
              <w:t xml:space="preserve">　</w:t>
            </w:r>
            <w:r w:rsidRPr="008A42F6">
              <w:rPr>
                <w:color w:val="000000"/>
                <w:w w:val="15"/>
                <w:shd w:val="solid" w:color="000000" w:fill="000000"/>
                <w:fitText w:val="70" w:id="-1032102389"/>
                <w14:textFill>
                  <w14:solidFill>
                    <w14:srgbClr w14:val="000000">
                      <w14:alpha w14:val="100000"/>
                    </w14:srgbClr>
                  </w14:solidFill>
                </w14:textFill>
              </w:rPr>
              <w:t>|</w:t>
            </w:r>
            <w:r w:rsidRPr="008A42F6">
              <w:rPr>
                <w:rFonts w:hint="eastAsia"/>
                <w:color w:val="000000"/>
                <w:spacing w:val="4"/>
                <w:w w:val="15"/>
                <w:shd w:val="solid" w:color="000000" w:fill="000000"/>
                <w:fitText w:val="70" w:id="-1032102389"/>
                <w14:textFill>
                  <w14:solidFill>
                    <w14:srgbClr w14:val="000000">
                      <w14:alpha w14:val="100000"/>
                    </w14:srgbClr>
                  </w14:solidFill>
                </w14:textFill>
              </w:rPr>
              <w:t xml:space="preserve">　</w:t>
            </w:r>
            <w:r w:rsidR="003E793D">
              <w:rPr>
                <w:vertAlign w:val="superscript"/>
              </w:rPr>
              <w:t>4</w:t>
            </w:r>
          </w:p>
        </w:tc>
        <w:tc>
          <w:tcPr>
            <w:tcW w:w="611" w:type="pct"/>
            <w:shd w:val="clear" w:color="auto" w:fill="B8CCE4" w:themeFill="accent1" w:themeFillTint="66"/>
            <w:vAlign w:val="center"/>
          </w:tcPr>
          <w:p w14:paraId="3A9C9379" w14:textId="4F2A60F8" w:rsidR="00D13434" w:rsidRPr="00621588" w:rsidRDefault="008A42F6" w:rsidP="00690B5F">
            <w:pPr>
              <w:pStyle w:val="COMTabletext"/>
              <w:keepLines/>
              <w:jc w:val="center"/>
              <w:rPr>
                <w:i/>
                <w:iCs/>
                <w:highlight w:val="darkGray"/>
              </w:rPr>
            </w:pPr>
            <w:r>
              <w:t xml:space="preserve"> </w:t>
            </w:r>
            <w:r w:rsidRPr="008A42F6">
              <w:rPr>
                <w:rFonts w:hint="eastAsia"/>
                <w:color w:val="000000"/>
                <w:w w:val="15"/>
                <w:shd w:val="solid" w:color="000000" w:fill="000000"/>
                <w:fitText w:val="70" w:id="-1032102388"/>
                <w14:textFill>
                  <w14:solidFill>
                    <w14:srgbClr w14:val="000000">
                      <w14:alpha w14:val="100000"/>
                    </w14:srgbClr>
                  </w14:solidFill>
                </w14:textFill>
              </w:rPr>
              <w:t xml:space="preserve">　</w:t>
            </w:r>
            <w:r w:rsidRPr="008A42F6">
              <w:rPr>
                <w:color w:val="000000"/>
                <w:w w:val="15"/>
                <w:shd w:val="solid" w:color="000000" w:fill="000000"/>
                <w:fitText w:val="70" w:id="-1032102388"/>
                <w14:textFill>
                  <w14:solidFill>
                    <w14:srgbClr w14:val="000000">
                      <w14:alpha w14:val="100000"/>
                    </w14:srgbClr>
                  </w14:solidFill>
                </w14:textFill>
              </w:rPr>
              <w:t>|</w:t>
            </w:r>
            <w:r w:rsidRPr="008A42F6">
              <w:rPr>
                <w:rFonts w:hint="eastAsia"/>
                <w:color w:val="000000"/>
                <w:spacing w:val="4"/>
                <w:w w:val="15"/>
                <w:shd w:val="solid" w:color="000000" w:fill="000000"/>
                <w:fitText w:val="70" w:id="-1032102388"/>
                <w14:textFill>
                  <w14:solidFill>
                    <w14:srgbClr w14:val="000000">
                      <w14:alpha w14:val="100000"/>
                    </w14:srgbClr>
                  </w14:solidFill>
                </w14:textFill>
              </w:rPr>
              <w:t xml:space="preserve">　</w:t>
            </w:r>
            <w:r w:rsidR="00B56DB3">
              <w:rPr>
                <w:vertAlign w:val="superscript"/>
              </w:rPr>
              <w:t>3</w:t>
            </w:r>
          </w:p>
        </w:tc>
        <w:tc>
          <w:tcPr>
            <w:tcW w:w="611" w:type="pct"/>
            <w:shd w:val="clear" w:color="auto" w:fill="B8CCE4" w:themeFill="accent1" w:themeFillTint="66"/>
            <w:vAlign w:val="center"/>
          </w:tcPr>
          <w:p w14:paraId="23D26293" w14:textId="6C021F5D" w:rsidR="00D13434" w:rsidRPr="00621588" w:rsidRDefault="008A42F6" w:rsidP="00690B5F">
            <w:pPr>
              <w:pStyle w:val="COMTabletext"/>
              <w:keepLines/>
              <w:jc w:val="center"/>
              <w:rPr>
                <w:i/>
                <w:iCs/>
                <w:highlight w:val="darkGray"/>
              </w:rPr>
            </w:pPr>
            <w:r>
              <w:t xml:space="preserve"> </w:t>
            </w:r>
            <w:r w:rsidRPr="008A42F6">
              <w:rPr>
                <w:rFonts w:hint="eastAsia"/>
                <w:color w:val="000000"/>
                <w:w w:val="15"/>
                <w:shd w:val="solid" w:color="000000" w:fill="000000"/>
                <w:fitText w:val="70" w:id="-1032102387"/>
                <w14:textFill>
                  <w14:solidFill>
                    <w14:srgbClr w14:val="000000">
                      <w14:alpha w14:val="100000"/>
                    </w14:srgbClr>
                  </w14:solidFill>
                </w14:textFill>
              </w:rPr>
              <w:t xml:space="preserve">　</w:t>
            </w:r>
            <w:r w:rsidRPr="008A42F6">
              <w:rPr>
                <w:color w:val="000000"/>
                <w:w w:val="15"/>
                <w:shd w:val="solid" w:color="000000" w:fill="000000"/>
                <w:fitText w:val="70" w:id="-1032102387"/>
                <w14:textFill>
                  <w14:solidFill>
                    <w14:srgbClr w14:val="000000">
                      <w14:alpha w14:val="100000"/>
                    </w14:srgbClr>
                  </w14:solidFill>
                </w14:textFill>
              </w:rPr>
              <w:t>|</w:t>
            </w:r>
            <w:r w:rsidRPr="008A42F6">
              <w:rPr>
                <w:rFonts w:hint="eastAsia"/>
                <w:color w:val="000000"/>
                <w:spacing w:val="4"/>
                <w:w w:val="15"/>
                <w:shd w:val="solid" w:color="000000" w:fill="000000"/>
                <w:fitText w:val="70" w:id="-1032102387"/>
                <w14:textFill>
                  <w14:solidFill>
                    <w14:srgbClr w14:val="000000">
                      <w14:alpha w14:val="100000"/>
                    </w14:srgbClr>
                  </w14:solidFill>
                </w14:textFill>
              </w:rPr>
              <w:t xml:space="preserve">　</w:t>
            </w:r>
            <w:r w:rsidR="00B56DB3">
              <w:rPr>
                <w:vertAlign w:val="superscript"/>
              </w:rPr>
              <w:t>3</w:t>
            </w:r>
          </w:p>
        </w:tc>
        <w:tc>
          <w:tcPr>
            <w:tcW w:w="611" w:type="pct"/>
            <w:shd w:val="clear" w:color="auto" w:fill="B8CCE4" w:themeFill="accent1" w:themeFillTint="66"/>
            <w:vAlign w:val="center"/>
          </w:tcPr>
          <w:p w14:paraId="591C5E2B" w14:textId="701FAF5D" w:rsidR="00D13434" w:rsidRPr="00621588" w:rsidRDefault="008A42F6" w:rsidP="00690B5F">
            <w:pPr>
              <w:pStyle w:val="COMTabletext"/>
              <w:keepLines/>
              <w:jc w:val="center"/>
              <w:rPr>
                <w:i/>
                <w:iCs/>
                <w:highlight w:val="darkGray"/>
              </w:rPr>
            </w:pPr>
            <w:r>
              <w:t xml:space="preserve"> </w:t>
            </w:r>
            <w:r w:rsidRPr="008A42F6">
              <w:rPr>
                <w:rFonts w:hint="eastAsia"/>
                <w:color w:val="000000"/>
                <w:w w:val="15"/>
                <w:shd w:val="solid" w:color="000000" w:fill="000000"/>
                <w:fitText w:val="70" w:id="-1032102386"/>
                <w14:textFill>
                  <w14:solidFill>
                    <w14:srgbClr w14:val="000000">
                      <w14:alpha w14:val="100000"/>
                    </w14:srgbClr>
                  </w14:solidFill>
                </w14:textFill>
              </w:rPr>
              <w:t xml:space="preserve">　</w:t>
            </w:r>
            <w:r w:rsidRPr="008A42F6">
              <w:rPr>
                <w:color w:val="000000"/>
                <w:w w:val="15"/>
                <w:shd w:val="solid" w:color="000000" w:fill="000000"/>
                <w:fitText w:val="70" w:id="-1032102386"/>
                <w14:textFill>
                  <w14:solidFill>
                    <w14:srgbClr w14:val="000000">
                      <w14:alpha w14:val="100000"/>
                    </w14:srgbClr>
                  </w14:solidFill>
                </w14:textFill>
              </w:rPr>
              <w:t>|</w:t>
            </w:r>
            <w:r w:rsidRPr="008A42F6">
              <w:rPr>
                <w:rFonts w:hint="eastAsia"/>
                <w:color w:val="000000"/>
                <w:spacing w:val="4"/>
                <w:w w:val="15"/>
                <w:shd w:val="solid" w:color="000000" w:fill="000000"/>
                <w:fitText w:val="70" w:id="-1032102386"/>
                <w14:textFill>
                  <w14:solidFill>
                    <w14:srgbClr w14:val="000000">
                      <w14:alpha w14:val="100000"/>
                    </w14:srgbClr>
                  </w14:solidFill>
                </w14:textFill>
              </w:rPr>
              <w:t xml:space="preserve">　</w:t>
            </w:r>
            <w:r w:rsidR="00B56DB3">
              <w:rPr>
                <w:vertAlign w:val="superscript"/>
              </w:rPr>
              <w:t>3</w:t>
            </w:r>
          </w:p>
        </w:tc>
        <w:tc>
          <w:tcPr>
            <w:tcW w:w="613" w:type="pct"/>
            <w:shd w:val="clear" w:color="auto" w:fill="B8CCE4" w:themeFill="accent1" w:themeFillTint="66"/>
            <w:vAlign w:val="center"/>
          </w:tcPr>
          <w:p w14:paraId="30557D60" w14:textId="42DCE3B6" w:rsidR="00D13434" w:rsidRPr="00621588" w:rsidRDefault="008A42F6" w:rsidP="00690B5F">
            <w:pPr>
              <w:pStyle w:val="COMTabletext"/>
              <w:keepLines/>
              <w:jc w:val="center"/>
              <w:rPr>
                <w:i/>
                <w:iCs/>
                <w:highlight w:val="darkGray"/>
              </w:rPr>
            </w:pPr>
            <w:r>
              <w:t xml:space="preserve"> </w:t>
            </w:r>
            <w:r w:rsidRPr="008A42F6">
              <w:rPr>
                <w:rFonts w:hint="eastAsia"/>
                <w:color w:val="000000"/>
                <w:w w:val="18"/>
                <w:shd w:val="solid" w:color="000000" w:fill="000000"/>
                <w:fitText w:val="80" w:id="-1032102385"/>
                <w14:textFill>
                  <w14:solidFill>
                    <w14:srgbClr w14:val="000000">
                      <w14:alpha w14:val="100000"/>
                    </w14:srgbClr>
                  </w14:solidFill>
                </w14:textFill>
              </w:rPr>
              <w:t xml:space="preserve">　</w:t>
            </w:r>
            <w:r w:rsidRPr="008A42F6">
              <w:rPr>
                <w:color w:val="000000"/>
                <w:w w:val="18"/>
                <w:shd w:val="solid" w:color="000000" w:fill="000000"/>
                <w:fitText w:val="80" w:id="-1032102385"/>
                <w14:textFill>
                  <w14:solidFill>
                    <w14:srgbClr w14:val="000000">
                      <w14:alpha w14:val="100000"/>
                    </w14:srgbClr>
                  </w14:solidFill>
                </w14:textFill>
              </w:rPr>
              <w:t>|</w:t>
            </w:r>
            <w:r w:rsidRPr="008A42F6">
              <w:rPr>
                <w:rFonts w:hint="eastAsia"/>
                <w:color w:val="000000"/>
                <w:w w:val="18"/>
                <w:shd w:val="solid" w:color="000000" w:fill="000000"/>
                <w:fitText w:val="80" w:id="-1032102385"/>
                <w14:textFill>
                  <w14:solidFill>
                    <w14:srgbClr w14:val="000000">
                      <w14:alpha w14:val="100000"/>
                    </w14:srgbClr>
                  </w14:solidFill>
                </w14:textFill>
              </w:rPr>
              <w:t xml:space="preserve">　</w:t>
            </w:r>
            <w:r w:rsidR="00B56DB3">
              <w:rPr>
                <w:vertAlign w:val="superscript"/>
              </w:rPr>
              <w:t>3</w:t>
            </w:r>
          </w:p>
        </w:tc>
      </w:tr>
      <w:tr w:rsidR="00385A9D" w:rsidRPr="001C59C3" w14:paraId="1E699D47" w14:textId="77777777" w:rsidTr="009C3A3A">
        <w:tc>
          <w:tcPr>
            <w:tcW w:w="5000" w:type="pct"/>
            <w:gridSpan w:val="7"/>
            <w:shd w:val="clear" w:color="auto" w:fill="auto"/>
            <w:vAlign w:val="center"/>
          </w:tcPr>
          <w:p w14:paraId="7D0E0884" w14:textId="38868005" w:rsidR="00385A9D" w:rsidRPr="001C59C3" w:rsidRDefault="00385A9D" w:rsidP="00690B5F">
            <w:pPr>
              <w:pStyle w:val="COMTableheadingrow"/>
              <w:keepLines/>
              <w:rPr>
                <w:lang w:val="en-AU"/>
              </w:rPr>
            </w:pPr>
            <w:r w:rsidRPr="001C59C3">
              <w:rPr>
                <w:lang w:val="en-AU"/>
              </w:rPr>
              <w:t xml:space="preserve">Estimated financial implications of </w:t>
            </w:r>
            <w:r w:rsidR="009F3776" w:rsidRPr="001C59C3">
              <w:rPr>
                <w:lang w:val="en-AU"/>
              </w:rPr>
              <w:t>difelikefalin</w:t>
            </w:r>
          </w:p>
        </w:tc>
      </w:tr>
      <w:tr w:rsidR="009F3776" w:rsidRPr="001C59C3" w14:paraId="4B4ACF1A" w14:textId="77777777" w:rsidTr="005F0B86">
        <w:tc>
          <w:tcPr>
            <w:tcW w:w="1332" w:type="pct"/>
            <w:shd w:val="clear" w:color="auto" w:fill="auto"/>
            <w:vAlign w:val="center"/>
          </w:tcPr>
          <w:p w14:paraId="467993BD" w14:textId="4C669258" w:rsidR="009F3776" w:rsidRPr="001C59C3" w:rsidRDefault="009F3776" w:rsidP="00690B5F">
            <w:pPr>
              <w:pStyle w:val="COMTabletext"/>
              <w:keepLines/>
              <w:rPr>
                <w:sz w:val="19"/>
                <w:szCs w:val="19"/>
                <w:vertAlign w:val="superscript"/>
              </w:rPr>
            </w:pPr>
            <w:r w:rsidRPr="001C59C3">
              <w:t xml:space="preserve">Cost to PBS/RPBS less </w:t>
            </w:r>
            <w:r w:rsidR="00CE44D0" w:rsidRPr="001C59C3">
              <w:t>co-payments</w:t>
            </w:r>
            <w:r w:rsidR="005C6078" w:rsidRPr="001C59C3">
              <w:t xml:space="preserve"> </w:t>
            </w:r>
            <w:r w:rsidR="005C6078" w:rsidRPr="001C59C3">
              <w:rPr>
                <w:vertAlign w:val="superscript"/>
              </w:rPr>
              <w:t xml:space="preserve">a, </w:t>
            </w:r>
            <w:r w:rsidR="00591DCA" w:rsidRPr="001C59C3">
              <w:rPr>
                <w:vertAlign w:val="superscript"/>
              </w:rPr>
              <w:t>c</w:t>
            </w:r>
          </w:p>
        </w:tc>
        <w:tc>
          <w:tcPr>
            <w:tcW w:w="611" w:type="pct"/>
            <w:shd w:val="clear" w:color="auto" w:fill="auto"/>
            <w:vAlign w:val="center"/>
          </w:tcPr>
          <w:p w14:paraId="4125A2B6" w14:textId="09144146" w:rsidR="009F3776" w:rsidRPr="00621588" w:rsidRDefault="008A42F6" w:rsidP="00690B5F">
            <w:pPr>
              <w:pStyle w:val="COMTabletext"/>
              <w:keepLines/>
              <w:jc w:val="center"/>
              <w:rPr>
                <w:highlight w:val="darkGray"/>
              </w:rPr>
            </w:pPr>
            <w:r>
              <w:t xml:space="preserve"> </w:t>
            </w:r>
            <w:r w:rsidRPr="008A42F6">
              <w:rPr>
                <w:rFonts w:hint="eastAsia"/>
                <w:color w:val="000000"/>
                <w:w w:val="15"/>
                <w:shd w:val="solid" w:color="000000" w:fill="000000"/>
                <w:fitText w:val="70" w:id="-1032102384"/>
                <w14:textFill>
                  <w14:solidFill>
                    <w14:srgbClr w14:val="000000">
                      <w14:alpha w14:val="100000"/>
                    </w14:srgbClr>
                  </w14:solidFill>
                </w14:textFill>
              </w:rPr>
              <w:t xml:space="preserve">　</w:t>
            </w:r>
            <w:r w:rsidRPr="008A42F6">
              <w:rPr>
                <w:color w:val="000000"/>
                <w:w w:val="15"/>
                <w:shd w:val="solid" w:color="000000" w:fill="000000"/>
                <w:fitText w:val="70" w:id="-1032102384"/>
                <w14:textFill>
                  <w14:solidFill>
                    <w14:srgbClr w14:val="000000">
                      <w14:alpha w14:val="100000"/>
                    </w14:srgbClr>
                  </w14:solidFill>
                </w14:textFill>
              </w:rPr>
              <w:t>|</w:t>
            </w:r>
            <w:r w:rsidRPr="008A42F6">
              <w:rPr>
                <w:rFonts w:hint="eastAsia"/>
                <w:color w:val="000000"/>
                <w:spacing w:val="4"/>
                <w:w w:val="15"/>
                <w:shd w:val="solid" w:color="000000" w:fill="000000"/>
                <w:fitText w:val="70" w:id="-1032102384"/>
                <w14:textFill>
                  <w14:solidFill>
                    <w14:srgbClr w14:val="000000">
                      <w14:alpha w14:val="100000"/>
                    </w14:srgbClr>
                  </w14:solidFill>
                </w14:textFill>
              </w:rPr>
              <w:t xml:space="preserve">　</w:t>
            </w:r>
            <w:r w:rsidR="003E793D">
              <w:rPr>
                <w:vertAlign w:val="superscript"/>
              </w:rPr>
              <w:t>7</w:t>
            </w:r>
          </w:p>
        </w:tc>
        <w:tc>
          <w:tcPr>
            <w:tcW w:w="611" w:type="pct"/>
            <w:shd w:val="clear" w:color="auto" w:fill="auto"/>
            <w:vAlign w:val="center"/>
          </w:tcPr>
          <w:p w14:paraId="5BDFECEB" w14:textId="445738C9" w:rsidR="009F3776" w:rsidRPr="00621588" w:rsidRDefault="008A42F6" w:rsidP="00690B5F">
            <w:pPr>
              <w:pStyle w:val="COMTabletext"/>
              <w:keepLines/>
              <w:jc w:val="center"/>
              <w:rPr>
                <w:highlight w:val="darkGray"/>
              </w:rPr>
            </w:pPr>
            <w:r>
              <w:t xml:space="preserve"> </w:t>
            </w:r>
            <w:r w:rsidRPr="008A42F6">
              <w:rPr>
                <w:rFonts w:hint="eastAsia"/>
                <w:color w:val="000000"/>
                <w:w w:val="15"/>
                <w:shd w:val="solid" w:color="000000" w:fill="000000"/>
                <w:fitText w:val="70" w:id="-1032102400"/>
                <w14:textFill>
                  <w14:solidFill>
                    <w14:srgbClr w14:val="000000">
                      <w14:alpha w14:val="100000"/>
                    </w14:srgbClr>
                  </w14:solidFill>
                </w14:textFill>
              </w:rPr>
              <w:t xml:space="preserve">　</w:t>
            </w:r>
            <w:r w:rsidRPr="008A42F6">
              <w:rPr>
                <w:color w:val="000000"/>
                <w:w w:val="15"/>
                <w:shd w:val="solid" w:color="000000" w:fill="000000"/>
                <w:fitText w:val="70" w:id="-1032102400"/>
                <w14:textFill>
                  <w14:solidFill>
                    <w14:srgbClr w14:val="000000">
                      <w14:alpha w14:val="100000"/>
                    </w14:srgbClr>
                  </w14:solidFill>
                </w14:textFill>
              </w:rPr>
              <w:t>|</w:t>
            </w:r>
            <w:r w:rsidRPr="008A42F6">
              <w:rPr>
                <w:rFonts w:hint="eastAsia"/>
                <w:color w:val="000000"/>
                <w:spacing w:val="4"/>
                <w:w w:val="15"/>
                <w:shd w:val="solid" w:color="000000" w:fill="000000"/>
                <w:fitText w:val="70" w:id="-1032102400"/>
                <w14:textFill>
                  <w14:solidFill>
                    <w14:srgbClr w14:val="000000">
                      <w14:alpha w14:val="100000"/>
                    </w14:srgbClr>
                  </w14:solidFill>
                </w14:textFill>
              </w:rPr>
              <w:t xml:space="preserve">　</w:t>
            </w:r>
            <w:r w:rsidR="003E793D">
              <w:rPr>
                <w:vertAlign w:val="superscript"/>
              </w:rPr>
              <w:t>7</w:t>
            </w:r>
          </w:p>
        </w:tc>
        <w:tc>
          <w:tcPr>
            <w:tcW w:w="611" w:type="pct"/>
            <w:shd w:val="clear" w:color="auto" w:fill="auto"/>
            <w:vAlign w:val="center"/>
          </w:tcPr>
          <w:p w14:paraId="3890D42E" w14:textId="67CF9F25" w:rsidR="009F3776" w:rsidRPr="00621588" w:rsidRDefault="008A42F6" w:rsidP="00690B5F">
            <w:pPr>
              <w:pStyle w:val="COMTabletext"/>
              <w:keepLines/>
              <w:jc w:val="center"/>
              <w:rPr>
                <w:highlight w:val="darkGray"/>
              </w:rPr>
            </w:pPr>
            <w:r>
              <w:t xml:space="preserve"> </w:t>
            </w:r>
            <w:r w:rsidRPr="008A42F6">
              <w:rPr>
                <w:rFonts w:hint="eastAsia"/>
                <w:color w:val="000000"/>
                <w:w w:val="15"/>
                <w:shd w:val="solid" w:color="000000" w:fill="000000"/>
                <w:fitText w:val="70" w:id="-1032102399"/>
                <w14:textFill>
                  <w14:solidFill>
                    <w14:srgbClr w14:val="000000">
                      <w14:alpha w14:val="100000"/>
                    </w14:srgbClr>
                  </w14:solidFill>
                </w14:textFill>
              </w:rPr>
              <w:t xml:space="preserve">　</w:t>
            </w:r>
            <w:r w:rsidRPr="008A42F6">
              <w:rPr>
                <w:color w:val="000000"/>
                <w:w w:val="15"/>
                <w:shd w:val="solid" w:color="000000" w:fill="000000"/>
                <w:fitText w:val="70" w:id="-1032102399"/>
                <w14:textFill>
                  <w14:solidFill>
                    <w14:srgbClr w14:val="000000">
                      <w14:alpha w14:val="100000"/>
                    </w14:srgbClr>
                  </w14:solidFill>
                </w14:textFill>
              </w:rPr>
              <w:t>|</w:t>
            </w:r>
            <w:r w:rsidRPr="008A42F6">
              <w:rPr>
                <w:rFonts w:hint="eastAsia"/>
                <w:color w:val="000000"/>
                <w:spacing w:val="4"/>
                <w:w w:val="15"/>
                <w:shd w:val="solid" w:color="000000" w:fill="000000"/>
                <w:fitText w:val="70" w:id="-1032102399"/>
                <w14:textFill>
                  <w14:solidFill>
                    <w14:srgbClr w14:val="000000">
                      <w14:alpha w14:val="100000"/>
                    </w14:srgbClr>
                  </w14:solidFill>
                </w14:textFill>
              </w:rPr>
              <w:t xml:space="preserve">　</w:t>
            </w:r>
            <w:r w:rsidR="003E793D">
              <w:rPr>
                <w:vertAlign w:val="superscript"/>
              </w:rPr>
              <w:t>7</w:t>
            </w:r>
          </w:p>
        </w:tc>
        <w:tc>
          <w:tcPr>
            <w:tcW w:w="611" w:type="pct"/>
            <w:shd w:val="clear" w:color="auto" w:fill="auto"/>
            <w:vAlign w:val="center"/>
          </w:tcPr>
          <w:p w14:paraId="2728B643" w14:textId="4154A3EE" w:rsidR="009F3776" w:rsidRPr="00621588" w:rsidRDefault="008A42F6" w:rsidP="00690B5F">
            <w:pPr>
              <w:pStyle w:val="COMTabletext"/>
              <w:keepLines/>
              <w:jc w:val="center"/>
              <w:rPr>
                <w:highlight w:val="darkGray"/>
              </w:rPr>
            </w:pPr>
            <w:r>
              <w:t xml:space="preserve"> </w:t>
            </w:r>
            <w:r w:rsidRPr="008A42F6">
              <w:rPr>
                <w:rFonts w:hint="eastAsia"/>
                <w:color w:val="000000"/>
                <w:w w:val="15"/>
                <w:shd w:val="solid" w:color="000000" w:fill="000000"/>
                <w:fitText w:val="70" w:id="-1032102398"/>
                <w14:textFill>
                  <w14:solidFill>
                    <w14:srgbClr w14:val="000000">
                      <w14:alpha w14:val="100000"/>
                    </w14:srgbClr>
                  </w14:solidFill>
                </w14:textFill>
              </w:rPr>
              <w:t xml:space="preserve">　</w:t>
            </w:r>
            <w:r w:rsidRPr="008A42F6">
              <w:rPr>
                <w:color w:val="000000"/>
                <w:w w:val="15"/>
                <w:shd w:val="solid" w:color="000000" w:fill="000000"/>
                <w:fitText w:val="70" w:id="-1032102398"/>
                <w14:textFill>
                  <w14:solidFill>
                    <w14:srgbClr w14:val="000000">
                      <w14:alpha w14:val="100000"/>
                    </w14:srgbClr>
                  </w14:solidFill>
                </w14:textFill>
              </w:rPr>
              <w:t>|</w:t>
            </w:r>
            <w:r w:rsidRPr="008A42F6">
              <w:rPr>
                <w:rFonts w:hint="eastAsia"/>
                <w:color w:val="000000"/>
                <w:spacing w:val="4"/>
                <w:w w:val="15"/>
                <w:shd w:val="solid" w:color="000000" w:fill="000000"/>
                <w:fitText w:val="70" w:id="-1032102398"/>
                <w14:textFill>
                  <w14:solidFill>
                    <w14:srgbClr w14:val="000000">
                      <w14:alpha w14:val="100000"/>
                    </w14:srgbClr>
                  </w14:solidFill>
                </w14:textFill>
              </w:rPr>
              <w:t xml:space="preserve">　</w:t>
            </w:r>
            <w:r w:rsidR="003E793D">
              <w:rPr>
                <w:vertAlign w:val="superscript"/>
              </w:rPr>
              <w:t>8</w:t>
            </w:r>
          </w:p>
        </w:tc>
        <w:tc>
          <w:tcPr>
            <w:tcW w:w="611" w:type="pct"/>
            <w:shd w:val="clear" w:color="auto" w:fill="auto"/>
            <w:vAlign w:val="center"/>
          </w:tcPr>
          <w:p w14:paraId="5FE5021A" w14:textId="75AD56F2" w:rsidR="009F3776" w:rsidRPr="00621588" w:rsidRDefault="008A42F6" w:rsidP="00690B5F">
            <w:pPr>
              <w:pStyle w:val="COMTabletext"/>
              <w:keepLines/>
              <w:jc w:val="center"/>
              <w:rPr>
                <w:highlight w:val="darkGray"/>
              </w:rPr>
            </w:pPr>
            <w:r>
              <w:t xml:space="preserve"> </w:t>
            </w:r>
            <w:r w:rsidRPr="008A42F6">
              <w:rPr>
                <w:rFonts w:hint="eastAsia"/>
                <w:color w:val="000000"/>
                <w:w w:val="15"/>
                <w:shd w:val="solid" w:color="000000" w:fill="000000"/>
                <w:fitText w:val="70" w:id="-1032102397"/>
                <w14:textFill>
                  <w14:solidFill>
                    <w14:srgbClr w14:val="000000">
                      <w14:alpha w14:val="100000"/>
                    </w14:srgbClr>
                  </w14:solidFill>
                </w14:textFill>
              </w:rPr>
              <w:t xml:space="preserve">　</w:t>
            </w:r>
            <w:r w:rsidRPr="008A42F6">
              <w:rPr>
                <w:color w:val="000000"/>
                <w:w w:val="15"/>
                <w:shd w:val="solid" w:color="000000" w:fill="000000"/>
                <w:fitText w:val="70" w:id="-1032102397"/>
                <w14:textFill>
                  <w14:solidFill>
                    <w14:srgbClr w14:val="000000">
                      <w14:alpha w14:val="100000"/>
                    </w14:srgbClr>
                  </w14:solidFill>
                </w14:textFill>
              </w:rPr>
              <w:t>|</w:t>
            </w:r>
            <w:r w:rsidRPr="008A42F6">
              <w:rPr>
                <w:rFonts w:hint="eastAsia"/>
                <w:color w:val="000000"/>
                <w:spacing w:val="4"/>
                <w:w w:val="15"/>
                <w:shd w:val="solid" w:color="000000" w:fill="000000"/>
                <w:fitText w:val="70" w:id="-1032102397"/>
                <w14:textFill>
                  <w14:solidFill>
                    <w14:srgbClr w14:val="000000">
                      <w14:alpha w14:val="100000"/>
                    </w14:srgbClr>
                  </w14:solidFill>
                </w14:textFill>
              </w:rPr>
              <w:t xml:space="preserve">　</w:t>
            </w:r>
            <w:r w:rsidR="003E793D">
              <w:rPr>
                <w:vertAlign w:val="superscript"/>
              </w:rPr>
              <w:t>8</w:t>
            </w:r>
          </w:p>
        </w:tc>
        <w:tc>
          <w:tcPr>
            <w:tcW w:w="613" w:type="pct"/>
            <w:vAlign w:val="center"/>
          </w:tcPr>
          <w:p w14:paraId="6F8E9082" w14:textId="40DE8A32" w:rsidR="009F3776" w:rsidRPr="00621588" w:rsidRDefault="008A42F6" w:rsidP="00690B5F">
            <w:pPr>
              <w:pStyle w:val="COMTabletext"/>
              <w:keepLines/>
              <w:jc w:val="center"/>
              <w:rPr>
                <w:highlight w:val="darkGray"/>
              </w:rPr>
            </w:pPr>
            <w:r>
              <w:t xml:space="preserve"> </w:t>
            </w:r>
            <w:r w:rsidRPr="008A42F6">
              <w:rPr>
                <w:rFonts w:hint="eastAsia"/>
                <w:color w:val="000000"/>
                <w:w w:val="18"/>
                <w:shd w:val="solid" w:color="000000" w:fill="000000"/>
                <w:fitText w:val="80" w:id="-1032102396"/>
                <w14:textFill>
                  <w14:solidFill>
                    <w14:srgbClr w14:val="000000">
                      <w14:alpha w14:val="100000"/>
                    </w14:srgbClr>
                  </w14:solidFill>
                </w14:textFill>
              </w:rPr>
              <w:t xml:space="preserve">　</w:t>
            </w:r>
            <w:r w:rsidRPr="008A42F6">
              <w:rPr>
                <w:color w:val="000000"/>
                <w:w w:val="18"/>
                <w:shd w:val="solid" w:color="000000" w:fill="000000"/>
                <w:fitText w:val="80" w:id="-1032102396"/>
                <w14:textFill>
                  <w14:solidFill>
                    <w14:srgbClr w14:val="000000">
                      <w14:alpha w14:val="100000"/>
                    </w14:srgbClr>
                  </w14:solidFill>
                </w14:textFill>
              </w:rPr>
              <w:t>|</w:t>
            </w:r>
            <w:r w:rsidRPr="008A42F6">
              <w:rPr>
                <w:rFonts w:hint="eastAsia"/>
                <w:color w:val="000000"/>
                <w:w w:val="18"/>
                <w:shd w:val="solid" w:color="000000" w:fill="000000"/>
                <w:fitText w:val="80" w:id="-1032102396"/>
                <w14:textFill>
                  <w14:solidFill>
                    <w14:srgbClr w14:val="000000">
                      <w14:alpha w14:val="100000"/>
                    </w14:srgbClr>
                  </w14:solidFill>
                </w14:textFill>
              </w:rPr>
              <w:t xml:space="preserve">　</w:t>
            </w:r>
            <w:r w:rsidR="003E793D">
              <w:rPr>
                <w:vertAlign w:val="superscript"/>
              </w:rPr>
              <w:t>8</w:t>
            </w:r>
          </w:p>
        </w:tc>
      </w:tr>
      <w:tr w:rsidR="00AA1225" w:rsidRPr="001C59C3" w14:paraId="50F09DBE" w14:textId="77777777" w:rsidTr="00AA1225">
        <w:tc>
          <w:tcPr>
            <w:tcW w:w="5000" w:type="pct"/>
            <w:gridSpan w:val="7"/>
            <w:shd w:val="clear" w:color="auto" w:fill="auto"/>
            <w:vAlign w:val="center"/>
          </w:tcPr>
          <w:p w14:paraId="6D898CEF" w14:textId="0E0ACE45" w:rsidR="00AA1225" w:rsidRPr="001C59C3" w:rsidRDefault="00AA1225" w:rsidP="00690B5F">
            <w:pPr>
              <w:pStyle w:val="COMTabletext"/>
              <w:keepLines/>
              <w:rPr>
                <w:b/>
                <w:bCs w:val="0"/>
                <w:i/>
                <w:iCs/>
              </w:rPr>
            </w:pPr>
            <w:r w:rsidRPr="001C59C3">
              <w:rPr>
                <w:b/>
                <w:bCs w:val="0"/>
                <w:i/>
                <w:iCs/>
              </w:rPr>
              <w:t>Estimated financial implications of difelikefalin – pre-PBAC response</w:t>
            </w:r>
          </w:p>
        </w:tc>
      </w:tr>
      <w:tr w:rsidR="00A366FB" w:rsidRPr="001C59C3" w14:paraId="7F7AC864" w14:textId="77777777" w:rsidTr="0059209A">
        <w:tc>
          <w:tcPr>
            <w:tcW w:w="1332" w:type="pct"/>
            <w:shd w:val="clear" w:color="auto" w:fill="auto"/>
            <w:vAlign w:val="center"/>
          </w:tcPr>
          <w:p w14:paraId="306F872C" w14:textId="4609CDB2" w:rsidR="00A366FB" w:rsidRPr="001C59C3" w:rsidRDefault="00A366FB" w:rsidP="00690B5F">
            <w:pPr>
              <w:pStyle w:val="COMTabletext"/>
              <w:keepLines/>
              <w:rPr>
                <w:i/>
                <w:iCs/>
              </w:rPr>
            </w:pPr>
            <w:r w:rsidRPr="001C59C3">
              <w:rPr>
                <w:bCs w:val="0"/>
                <w:i/>
                <w:iCs/>
              </w:rPr>
              <w:t xml:space="preserve">Cost to PBS/RPBS less </w:t>
            </w:r>
            <w:r w:rsidR="00CE44D0" w:rsidRPr="001C59C3">
              <w:rPr>
                <w:bCs w:val="0"/>
                <w:i/>
                <w:iCs/>
              </w:rPr>
              <w:t>co-payments</w:t>
            </w:r>
            <w:r w:rsidRPr="001C59C3">
              <w:rPr>
                <w:i/>
                <w:iCs/>
              </w:rPr>
              <w:t xml:space="preserve"> </w:t>
            </w:r>
            <w:r w:rsidR="004C11CB" w:rsidRPr="001C59C3">
              <w:rPr>
                <w:i/>
                <w:iCs/>
                <w:vertAlign w:val="superscript"/>
              </w:rPr>
              <w:t>b, d</w:t>
            </w:r>
            <w:r w:rsidR="004C11CB" w:rsidRPr="001C59C3">
              <w:rPr>
                <w:i/>
                <w:iCs/>
              </w:rPr>
              <w:t xml:space="preserve"> </w:t>
            </w:r>
          </w:p>
        </w:tc>
        <w:tc>
          <w:tcPr>
            <w:tcW w:w="611" w:type="pct"/>
            <w:shd w:val="clear" w:color="auto" w:fill="auto"/>
            <w:vAlign w:val="center"/>
          </w:tcPr>
          <w:p w14:paraId="41A177CE" w14:textId="041BB5E1" w:rsidR="00A366FB" w:rsidRPr="00621588" w:rsidRDefault="008A42F6" w:rsidP="00690B5F">
            <w:pPr>
              <w:pStyle w:val="COMTabletext"/>
              <w:keepLines/>
              <w:jc w:val="center"/>
              <w:rPr>
                <w:i/>
                <w:iCs/>
                <w:highlight w:val="darkGray"/>
              </w:rPr>
            </w:pPr>
            <w:r>
              <w:rPr>
                <w:i/>
                <w:iCs/>
              </w:rPr>
              <w:t xml:space="preserve"> </w:t>
            </w:r>
            <w:r w:rsidRPr="008A42F6">
              <w:rPr>
                <w:rFonts w:hint="eastAsia"/>
                <w:i/>
                <w:iCs/>
                <w:color w:val="000000"/>
                <w:w w:val="15"/>
                <w:shd w:val="solid" w:color="000000" w:fill="000000"/>
                <w:fitText w:val="70" w:id="-1032102395"/>
                <w14:textFill>
                  <w14:solidFill>
                    <w14:srgbClr w14:val="000000">
                      <w14:alpha w14:val="100000"/>
                    </w14:srgbClr>
                  </w14:solidFill>
                </w14:textFill>
              </w:rPr>
              <w:t xml:space="preserve">　</w:t>
            </w:r>
            <w:r w:rsidRPr="008A42F6">
              <w:rPr>
                <w:i/>
                <w:iCs/>
                <w:color w:val="000000"/>
                <w:w w:val="15"/>
                <w:shd w:val="solid" w:color="000000" w:fill="000000"/>
                <w:fitText w:val="70" w:id="-1032102395"/>
                <w14:textFill>
                  <w14:solidFill>
                    <w14:srgbClr w14:val="000000">
                      <w14:alpha w14:val="100000"/>
                    </w14:srgbClr>
                  </w14:solidFill>
                </w14:textFill>
              </w:rPr>
              <w:t>|</w:t>
            </w:r>
            <w:r w:rsidRPr="008A42F6">
              <w:rPr>
                <w:rFonts w:hint="eastAsia"/>
                <w:i/>
                <w:iCs/>
                <w:color w:val="000000"/>
                <w:spacing w:val="4"/>
                <w:w w:val="15"/>
                <w:shd w:val="solid" w:color="000000" w:fill="000000"/>
                <w:fitText w:val="70" w:id="-1032102395"/>
                <w14:textFill>
                  <w14:solidFill>
                    <w14:srgbClr w14:val="000000">
                      <w14:alpha w14:val="100000"/>
                    </w14:srgbClr>
                  </w14:solidFill>
                </w14:textFill>
              </w:rPr>
              <w:t xml:space="preserve">　</w:t>
            </w:r>
            <w:r w:rsidR="003E793D">
              <w:rPr>
                <w:vertAlign w:val="superscript"/>
              </w:rPr>
              <w:t>7</w:t>
            </w:r>
          </w:p>
        </w:tc>
        <w:tc>
          <w:tcPr>
            <w:tcW w:w="611" w:type="pct"/>
            <w:shd w:val="clear" w:color="auto" w:fill="auto"/>
            <w:vAlign w:val="center"/>
          </w:tcPr>
          <w:p w14:paraId="6A7DE4FD" w14:textId="046A65B2" w:rsidR="00A366FB" w:rsidRPr="00621588" w:rsidRDefault="008A42F6" w:rsidP="00690B5F">
            <w:pPr>
              <w:pStyle w:val="COMTabletext"/>
              <w:keepLines/>
              <w:jc w:val="center"/>
              <w:rPr>
                <w:i/>
                <w:iCs/>
                <w:highlight w:val="darkGray"/>
              </w:rPr>
            </w:pPr>
            <w:r>
              <w:rPr>
                <w:i/>
                <w:iCs/>
              </w:rPr>
              <w:t xml:space="preserve"> </w:t>
            </w:r>
            <w:r w:rsidRPr="008A42F6">
              <w:rPr>
                <w:rFonts w:hint="eastAsia"/>
                <w:i/>
                <w:iCs/>
                <w:color w:val="000000"/>
                <w:w w:val="15"/>
                <w:shd w:val="solid" w:color="000000" w:fill="000000"/>
                <w:fitText w:val="70" w:id="-1032102394"/>
                <w14:textFill>
                  <w14:solidFill>
                    <w14:srgbClr w14:val="000000">
                      <w14:alpha w14:val="100000"/>
                    </w14:srgbClr>
                  </w14:solidFill>
                </w14:textFill>
              </w:rPr>
              <w:t xml:space="preserve">　</w:t>
            </w:r>
            <w:r w:rsidRPr="008A42F6">
              <w:rPr>
                <w:i/>
                <w:iCs/>
                <w:color w:val="000000"/>
                <w:w w:val="15"/>
                <w:shd w:val="solid" w:color="000000" w:fill="000000"/>
                <w:fitText w:val="70" w:id="-1032102394"/>
                <w14:textFill>
                  <w14:solidFill>
                    <w14:srgbClr w14:val="000000">
                      <w14:alpha w14:val="100000"/>
                    </w14:srgbClr>
                  </w14:solidFill>
                </w14:textFill>
              </w:rPr>
              <w:t>|</w:t>
            </w:r>
            <w:r w:rsidRPr="008A42F6">
              <w:rPr>
                <w:rFonts w:hint="eastAsia"/>
                <w:i/>
                <w:iCs/>
                <w:color w:val="000000"/>
                <w:spacing w:val="4"/>
                <w:w w:val="15"/>
                <w:shd w:val="solid" w:color="000000" w:fill="000000"/>
                <w:fitText w:val="70" w:id="-1032102394"/>
                <w14:textFill>
                  <w14:solidFill>
                    <w14:srgbClr w14:val="000000">
                      <w14:alpha w14:val="100000"/>
                    </w14:srgbClr>
                  </w14:solidFill>
                </w14:textFill>
              </w:rPr>
              <w:t xml:space="preserve">　</w:t>
            </w:r>
            <w:r w:rsidR="003E793D">
              <w:rPr>
                <w:vertAlign w:val="superscript"/>
              </w:rPr>
              <w:t>7</w:t>
            </w:r>
          </w:p>
        </w:tc>
        <w:tc>
          <w:tcPr>
            <w:tcW w:w="611" w:type="pct"/>
            <w:shd w:val="clear" w:color="auto" w:fill="auto"/>
            <w:vAlign w:val="center"/>
          </w:tcPr>
          <w:p w14:paraId="7AC69EDD" w14:textId="024D234B" w:rsidR="00A366FB" w:rsidRPr="00621588" w:rsidRDefault="008A42F6" w:rsidP="00690B5F">
            <w:pPr>
              <w:pStyle w:val="COMTabletext"/>
              <w:keepLines/>
              <w:jc w:val="center"/>
              <w:rPr>
                <w:i/>
                <w:iCs/>
                <w:highlight w:val="darkGray"/>
              </w:rPr>
            </w:pPr>
            <w:r>
              <w:rPr>
                <w:i/>
                <w:iCs/>
              </w:rPr>
              <w:t xml:space="preserve"> </w:t>
            </w:r>
            <w:r w:rsidRPr="008A42F6">
              <w:rPr>
                <w:rFonts w:hint="eastAsia"/>
                <w:i/>
                <w:iCs/>
                <w:color w:val="000000"/>
                <w:w w:val="15"/>
                <w:shd w:val="solid" w:color="000000" w:fill="000000"/>
                <w:fitText w:val="70" w:id="-1032102393"/>
                <w14:textFill>
                  <w14:solidFill>
                    <w14:srgbClr w14:val="000000">
                      <w14:alpha w14:val="100000"/>
                    </w14:srgbClr>
                  </w14:solidFill>
                </w14:textFill>
              </w:rPr>
              <w:t xml:space="preserve">　</w:t>
            </w:r>
            <w:r w:rsidRPr="008A42F6">
              <w:rPr>
                <w:i/>
                <w:iCs/>
                <w:color w:val="000000"/>
                <w:w w:val="15"/>
                <w:shd w:val="solid" w:color="000000" w:fill="000000"/>
                <w:fitText w:val="70" w:id="-1032102393"/>
                <w14:textFill>
                  <w14:solidFill>
                    <w14:srgbClr w14:val="000000">
                      <w14:alpha w14:val="100000"/>
                    </w14:srgbClr>
                  </w14:solidFill>
                </w14:textFill>
              </w:rPr>
              <w:t>|</w:t>
            </w:r>
            <w:r w:rsidRPr="008A42F6">
              <w:rPr>
                <w:rFonts w:hint="eastAsia"/>
                <w:i/>
                <w:iCs/>
                <w:color w:val="000000"/>
                <w:spacing w:val="4"/>
                <w:w w:val="15"/>
                <w:shd w:val="solid" w:color="000000" w:fill="000000"/>
                <w:fitText w:val="70" w:id="-1032102393"/>
                <w14:textFill>
                  <w14:solidFill>
                    <w14:srgbClr w14:val="000000">
                      <w14:alpha w14:val="100000"/>
                    </w14:srgbClr>
                  </w14:solidFill>
                </w14:textFill>
              </w:rPr>
              <w:t xml:space="preserve">　</w:t>
            </w:r>
            <w:r w:rsidR="003E793D">
              <w:rPr>
                <w:vertAlign w:val="superscript"/>
              </w:rPr>
              <w:t>7</w:t>
            </w:r>
          </w:p>
        </w:tc>
        <w:tc>
          <w:tcPr>
            <w:tcW w:w="611" w:type="pct"/>
            <w:shd w:val="clear" w:color="auto" w:fill="auto"/>
            <w:vAlign w:val="center"/>
          </w:tcPr>
          <w:p w14:paraId="30C98623" w14:textId="357207C8" w:rsidR="00A366FB" w:rsidRPr="00621588" w:rsidRDefault="008A42F6" w:rsidP="00690B5F">
            <w:pPr>
              <w:pStyle w:val="COMTabletext"/>
              <w:keepLines/>
              <w:jc w:val="center"/>
              <w:rPr>
                <w:i/>
                <w:iCs/>
                <w:highlight w:val="darkGray"/>
              </w:rPr>
            </w:pPr>
            <w:r>
              <w:rPr>
                <w:i/>
                <w:iCs/>
              </w:rPr>
              <w:t xml:space="preserve"> </w:t>
            </w:r>
            <w:r w:rsidRPr="008A42F6">
              <w:rPr>
                <w:rFonts w:hint="eastAsia"/>
                <w:i/>
                <w:iCs/>
                <w:color w:val="000000"/>
                <w:w w:val="15"/>
                <w:shd w:val="solid" w:color="000000" w:fill="000000"/>
                <w:fitText w:val="70" w:id="-1032102392"/>
                <w14:textFill>
                  <w14:solidFill>
                    <w14:srgbClr w14:val="000000">
                      <w14:alpha w14:val="100000"/>
                    </w14:srgbClr>
                  </w14:solidFill>
                </w14:textFill>
              </w:rPr>
              <w:t xml:space="preserve">　</w:t>
            </w:r>
            <w:r w:rsidRPr="008A42F6">
              <w:rPr>
                <w:i/>
                <w:iCs/>
                <w:color w:val="000000"/>
                <w:w w:val="15"/>
                <w:shd w:val="solid" w:color="000000" w:fill="000000"/>
                <w:fitText w:val="70" w:id="-1032102392"/>
                <w14:textFill>
                  <w14:solidFill>
                    <w14:srgbClr w14:val="000000">
                      <w14:alpha w14:val="100000"/>
                    </w14:srgbClr>
                  </w14:solidFill>
                </w14:textFill>
              </w:rPr>
              <w:t>|</w:t>
            </w:r>
            <w:r w:rsidRPr="008A42F6">
              <w:rPr>
                <w:rFonts w:hint="eastAsia"/>
                <w:i/>
                <w:iCs/>
                <w:color w:val="000000"/>
                <w:spacing w:val="4"/>
                <w:w w:val="15"/>
                <w:shd w:val="solid" w:color="000000" w:fill="000000"/>
                <w:fitText w:val="70" w:id="-1032102392"/>
                <w14:textFill>
                  <w14:solidFill>
                    <w14:srgbClr w14:val="000000">
                      <w14:alpha w14:val="100000"/>
                    </w14:srgbClr>
                  </w14:solidFill>
                </w14:textFill>
              </w:rPr>
              <w:t xml:space="preserve">　</w:t>
            </w:r>
            <w:r w:rsidR="003E793D">
              <w:rPr>
                <w:vertAlign w:val="superscript"/>
              </w:rPr>
              <w:t>7</w:t>
            </w:r>
          </w:p>
        </w:tc>
        <w:tc>
          <w:tcPr>
            <w:tcW w:w="611" w:type="pct"/>
            <w:shd w:val="clear" w:color="auto" w:fill="auto"/>
            <w:vAlign w:val="center"/>
          </w:tcPr>
          <w:p w14:paraId="3E2BBE50" w14:textId="58BBCD2C" w:rsidR="00A366FB" w:rsidRPr="00621588" w:rsidRDefault="008A42F6" w:rsidP="00690B5F">
            <w:pPr>
              <w:pStyle w:val="COMTabletext"/>
              <w:keepLines/>
              <w:jc w:val="center"/>
              <w:rPr>
                <w:i/>
                <w:iCs/>
                <w:highlight w:val="darkGray"/>
              </w:rPr>
            </w:pPr>
            <w:r>
              <w:rPr>
                <w:i/>
                <w:iCs/>
              </w:rPr>
              <w:t xml:space="preserve"> </w:t>
            </w:r>
            <w:r w:rsidRPr="008A42F6">
              <w:rPr>
                <w:rFonts w:hint="eastAsia"/>
                <w:i/>
                <w:iCs/>
                <w:color w:val="000000"/>
                <w:w w:val="15"/>
                <w:shd w:val="solid" w:color="000000" w:fill="000000"/>
                <w:fitText w:val="70" w:id="-1032102391"/>
                <w14:textFill>
                  <w14:solidFill>
                    <w14:srgbClr w14:val="000000">
                      <w14:alpha w14:val="100000"/>
                    </w14:srgbClr>
                  </w14:solidFill>
                </w14:textFill>
              </w:rPr>
              <w:t xml:space="preserve">　</w:t>
            </w:r>
            <w:r w:rsidRPr="008A42F6">
              <w:rPr>
                <w:i/>
                <w:iCs/>
                <w:color w:val="000000"/>
                <w:w w:val="15"/>
                <w:shd w:val="solid" w:color="000000" w:fill="000000"/>
                <w:fitText w:val="70" w:id="-1032102391"/>
                <w14:textFill>
                  <w14:solidFill>
                    <w14:srgbClr w14:val="000000">
                      <w14:alpha w14:val="100000"/>
                    </w14:srgbClr>
                  </w14:solidFill>
                </w14:textFill>
              </w:rPr>
              <w:t>|</w:t>
            </w:r>
            <w:r w:rsidRPr="008A42F6">
              <w:rPr>
                <w:rFonts w:hint="eastAsia"/>
                <w:i/>
                <w:iCs/>
                <w:color w:val="000000"/>
                <w:spacing w:val="4"/>
                <w:w w:val="15"/>
                <w:shd w:val="solid" w:color="000000" w:fill="000000"/>
                <w:fitText w:val="70" w:id="-1032102391"/>
                <w14:textFill>
                  <w14:solidFill>
                    <w14:srgbClr w14:val="000000">
                      <w14:alpha w14:val="100000"/>
                    </w14:srgbClr>
                  </w14:solidFill>
                </w14:textFill>
              </w:rPr>
              <w:t xml:space="preserve">　</w:t>
            </w:r>
            <w:r w:rsidR="003E793D">
              <w:rPr>
                <w:vertAlign w:val="superscript"/>
              </w:rPr>
              <w:t>7</w:t>
            </w:r>
          </w:p>
        </w:tc>
        <w:tc>
          <w:tcPr>
            <w:tcW w:w="613" w:type="pct"/>
            <w:vAlign w:val="center"/>
          </w:tcPr>
          <w:p w14:paraId="2F30D57C" w14:textId="391D33DE" w:rsidR="00A366FB" w:rsidRPr="00621588" w:rsidRDefault="008A42F6" w:rsidP="00690B5F">
            <w:pPr>
              <w:pStyle w:val="COMTabletext"/>
              <w:keepLines/>
              <w:jc w:val="center"/>
              <w:rPr>
                <w:i/>
                <w:iCs/>
                <w:highlight w:val="darkGray"/>
              </w:rPr>
            </w:pPr>
            <w:r>
              <w:rPr>
                <w:i/>
                <w:iCs/>
              </w:rPr>
              <w:t xml:space="preserve"> </w:t>
            </w:r>
            <w:r w:rsidRPr="008A42F6">
              <w:rPr>
                <w:rFonts w:hint="eastAsia"/>
                <w:i/>
                <w:iCs/>
                <w:color w:val="000000"/>
                <w:w w:val="18"/>
                <w:shd w:val="solid" w:color="000000" w:fill="000000"/>
                <w:fitText w:val="80" w:id="-1032102390"/>
                <w14:textFill>
                  <w14:solidFill>
                    <w14:srgbClr w14:val="000000">
                      <w14:alpha w14:val="100000"/>
                    </w14:srgbClr>
                  </w14:solidFill>
                </w14:textFill>
              </w:rPr>
              <w:t xml:space="preserve">　</w:t>
            </w:r>
            <w:r w:rsidRPr="008A42F6">
              <w:rPr>
                <w:i/>
                <w:iCs/>
                <w:color w:val="000000"/>
                <w:w w:val="18"/>
                <w:shd w:val="solid" w:color="000000" w:fill="000000"/>
                <w:fitText w:val="80" w:id="-1032102390"/>
                <w14:textFill>
                  <w14:solidFill>
                    <w14:srgbClr w14:val="000000">
                      <w14:alpha w14:val="100000"/>
                    </w14:srgbClr>
                  </w14:solidFill>
                </w14:textFill>
              </w:rPr>
              <w:t>|</w:t>
            </w:r>
            <w:r w:rsidRPr="008A42F6">
              <w:rPr>
                <w:rFonts w:hint="eastAsia"/>
                <w:i/>
                <w:iCs/>
                <w:color w:val="000000"/>
                <w:w w:val="18"/>
                <w:shd w:val="solid" w:color="000000" w:fill="000000"/>
                <w:fitText w:val="80" w:id="-1032102390"/>
                <w14:textFill>
                  <w14:solidFill>
                    <w14:srgbClr w14:val="000000">
                      <w14:alpha w14:val="100000"/>
                    </w14:srgbClr>
                  </w14:solidFill>
                </w14:textFill>
              </w:rPr>
              <w:t xml:space="preserve">　</w:t>
            </w:r>
            <w:r w:rsidR="003E793D">
              <w:rPr>
                <w:vertAlign w:val="superscript"/>
              </w:rPr>
              <w:t>7</w:t>
            </w:r>
          </w:p>
        </w:tc>
      </w:tr>
      <w:tr w:rsidR="000902D9" w:rsidRPr="001C59C3" w14:paraId="6A99A43D" w14:textId="77777777" w:rsidTr="007925DF">
        <w:tc>
          <w:tcPr>
            <w:tcW w:w="5000" w:type="pct"/>
            <w:gridSpan w:val="7"/>
            <w:shd w:val="clear" w:color="auto" w:fill="B8CCE4" w:themeFill="accent1" w:themeFillTint="66"/>
            <w:vAlign w:val="center"/>
          </w:tcPr>
          <w:p w14:paraId="3DC5DC1A" w14:textId="18570507" w:rsidR="000902D9" w:rsidRPr="001C59C3" w:rsidRDefault="009F3776" w:rsidP="00690B5F">
            <w:pPr>
              <w:pStyle w:val="COMTableheadingrow"/>
              <w:keepLines/>
              <w:rPr>
                <w:lang w:val="en-AU"/>
              </w:rPr>
            </w:pPr>
            <w:r w:rsidRPr="001C59C3">
              <w:rPr>
                <w:lang w:val="en-AU"/>
              </w:rPr>
              <w:t>March 2023 submission</w:t>
            </w:r>
          </w:p>
        </w:tc>
      </w:tr>
      <w:tr w:rsidR="0034452E" w:rsidRPr="001C59C3" w14:paraId="746CCDBE" w14:textId="77777777" w:rsidTr="005F0B86">
        <w:tc>
          <w:tcPr>
            <w:tcW w:w="1332" w:type="pct"/>
            <w:shd w:val="clear" w:color="auto" w:fill="B8CCE4" w:themeFill="accent1" w:themeFillTint="66"/>
            <w:vAlign w:val="center"/>
          </w:tcPr>
          <w:p w14:paraId="03B4C2BB" w14:textId="15BEDC5C" w:rsidR="0034452E" w:rsidRPr="001C59C3" w:rsidRDefault="0034452E" w:rsidP="00690B5F">
            <w:pPr>
              <w:pStyle w:val="COMTabletext"/>
              <w:keepLines/>
              <w:rPr>
                <w:sz w:val="19"/>
                <w:szCs w:val="19"/>
              </w:rPr>
            </w:pPr>
            <w:r w:rsidRPr="001C59C3">
              <w:t>Net cost to PBS/RPBS</w:t>
            </w:r>
          </w:p>
        </w:tc>
        <w:tc>
          <w:tcPr>
            <w:tcW w:w="611" w:type="pct"/>
            <w:shd w:val="clear" w:color="auto" w:fill="B8CCE4" w:themeFill="accent1" w:themeFillTint="66"/>
          </w:tcPr>
          <w:p w14:paraId="489F2BC4" w14:textId="273AD75C" w:rsidR="0034452E" w:rsidRPr="00621588" w:rsidRDefault="008A42F6" w:rsidP="00690B5F">
            <w:pPr>
              <w:pStyle w:val="COMTabletext"/>
              <w:keepLines/>
              <w:jc w:val="center"/>
              <w:rPr>
                <w:highlight w:val="darkGray"/>
              </w:rPr>
            </w:pPr>
            <w:r>
              <w:t xml:space="preserve"> </w:t>
            </w:r>
            <w:r w:rsidRPr="008A42F6">
              <w:rPr>
                <w:rFonts w:hint="eastAsia"/>
                <w:color w:val="000000"/>
                <w:w w:val="15"/>
                <w:shd w:val="solid" w:color="000000" w:fill="000000"/>
                <w:fitText w:val="70" w:id="-1032102389"/>
                <w14:textFill>
                  <w14:solidFill>
                    <w14:srgbClr w14:val="000000">
                      <w14:alpha w14:val="100000"/>
                    </w14:srgbClr>
                  </w14:solidFill>
                </w14:textFill>
              </w:rPr>
              <w:t xml:space="preserve">　</w:t>
            </w:r>
            <w:r w:rsidRPr="008A42F6">
              <w:rPr>
                <w:color w:val="000000"/>
                <w:w w:val="15"/>
                <w:shd w:val="solid" w:color="000000" w:fill="000000"/>
                <w:fitText w:val="70" w:id="-1032102389"/>
                <w14:textFill>
                  <w14:solidFill>
                    <w14:srgbClr w14:val="000000">
                      <w14:alpha w14:val="100000"/>
                    </w14:srgbClr>
                  </w14:solidFill>
                </w14:textFill>
              </w:rPr>
              <w:t>|</w:t>
            </w:r>
            <w:r w:rsidRPr="008A42F6">
              <w:rPr>
                <w:rFonts w:hint="eastAsia"/>
                <w:color w:val="000000"/>
                <w:spacing w:val="4"/>
                <w:w w:val="15"/>
                <w:shd w:val="solid" w:color="000000" w:fill="000000"/>
                <w:fitText w:val="70" w:id="-1032102389"/>
                <w14:textFill>
                  <w14:solidFill>
                    <w14:srgbClr w14:val="000000">
                      <w14:alpha w14:val="100000"/>
                    </w14:srgbClr>
                  </w14:solidFill>
                </w14:textFill>
              </w:rPr>
              <w:t xml:space="preserve">　</w:t>
            </w:r>
            <w:r w:rsidR="003E793D">
              <w:rPr>
                <w:vertAlign w:val="superscript"/>
              </w:rPr>
              <w:t>7</w:t>
            </w:r>
          </w:p>
        </w:tc>
        <w:tc>
          <w:tcPr>
            <w:tcW w:w="611" w:type="pct"/>
            <w:shd w:val="clear" w:color="auto" w:fill="B8CCE4" w:themeFill="accent1" w:themeFillTint="66"/>
          </w:tcPr>
          <w:p w14:paraId="1D5EE203" w14:textId="33EC1246" w:rsidR="0034452E" w:rsidRPr="00621588" w:rsidRDefault="008A42F6" w:rsidP="00690B5F">
            <w:pPr>
              <w:pStyle w:val="COMTabletext"/>
              <w:keepLines/>
              <w:jc w:val="center"/>
              <w:rPr>
                <w:highlight w:val="darkGray"/>
              </w:rPr>
            </w:pPr>
            <w:r>
              <w:t xml:space="preserve"> </w:t>
            </w:r>
            <w:r w:rsidRPr="008A42F6">
              <w:rPr>
                <w:rFonts w:hint="eastAsia"/>
                <w:color w:val="000000"/>
                <w:w w:val="15"/>
                <w:shd w:val="solid" w:color="000000" w:fill="000000"/>
                <w:fitText w:val="70" w:id="-1032102388"/>
                <w14:textFill>
                  <w14:solidFill>
                    <w14:srgbClr w14:val="000000">
                      <w14:alpha w14:val="100000"/>
                    </w14:srgbClr>
                  </w14:solidFill>
                </w14:textFill>
              </w:rPr>
              <w:t xml:space="preserve">　</w:t>
            </w:r>
            <w:r w:rsidRPr="008A42F6">
              <w:rPr>
                <w:color w:val="000000"/>
                <w:w w:val="15"/>
                <w:shd w:val="solid" w:color="000000" w:fill="000000"/>
                <w:fitText w:val="70" w:id="-1032102388"/>
                <w14:textFill>
                  <w14:solidFill>
                    <w14:srgbClr w14:val="000000">
                      <w14:alpha w14:val="100000"/>
                    </w14:srgbClr>
                  </w14:solidFill>
                </w14:textFill>
              </w:rPr>
              <w:t>|</w:t>
            </w:r>
            <w:r w:rsidRPr="008A42F6">
              <w:rPr>
                <w:rFonts w:hint="eastAsia"/>
                <w:color w:val="000000"/>
                <w:spacing w:val="4"/>
                <w:w w:val="15"/>
                <w:shd w:val="solid" w:color="000000" w:fill="000000"/>
                <w:fitText w:val="70" w:id="-1032102388"/>
                <w14:textFill>
                  <w14:solidFill>
                    <w14:srgbClr w14:val="000000">
                      <w14:alpha w14:val="100000"/>
                    </w14:srgbClr>
                  </w14:solidFill>
                </w14:textFill>
              </w:rPr>
              <w:t xml:space="preserve">　</w:t>
            </w:r>
            <w:r w:rsidR="003E793D">
              <w:rPr>
                <w:vertAlign w:val="superscript"/>
              </w:rPr>
              <w:t>7</w:t>
            </w:r>
          </w:p>
        </w:tc>
        <w:tc>
          <w:tcPr>
            <w:tcW w:w="611" w:type="pct"/>
            <w:shd w:val="clear" w:color="auto" w:fill="B8CCE4" w:themeFill="accent1" w:themeFillTint="66"/>
          </w:tcPr>
          <w:p w14:paraId="5C113E77" w14:textId="109FEEED" w:rsidR="0034452E" w:rsidRPr="00621588" w:rsidRDefault="008A42F6" w:rsidP="00690B5F">
            <w:pPr>
              <w:pStyle w:val="COMTabletext"/>
              <w:keepLines/>
              <w:jc w:val="center"/>
              <w:rPr>
                <w:highlight w:val="darkGray"/>
              </w:rPr>
            </w:pPr>
            <w:r>
              <w:t xml:space="preserve"> </w:t>
            </w:r>
            <w:r w:rsidRPr="008A42F6">
              <w:rPr>
                <w:rFonts w:hint="eastAsia"/>
                <w:color w:val="000000"/>
                <w:w w:val="15"/>
                <w:shd w:val="solid" w:color="000000" w:fill="000000"/>
                <w:fitText w:val="70" w:id="-1032102387"/>
                <w14:textFill>
                  <w14:solidFill>
                    <w14:srgbClr w14:val="000000">
                      <w14:alpha w14:val="100000"/>
                    </w14:srgbClr>
                  </w14:solidFill>
                </w14:textFill>
              </w:rPr>
              <w:t xml:space="preserve">　</w:t>
            </w:r>
            <w:r w:rsidRPr="008A42F6">
              <w:rPr>
                <w:color w:val="000000"/>
                <w:w w:val="15"/>
                <w:shd w:val="solid" w:color="000000" w:fill="000000"/>
                <w:fitText w:val="70" w:id="-1032102387"/>
                <w14:textFill>
                  <w14:solidFill>
                    <w14:srgbClr w14:val="000000">
                      <w14:alpha w14:val="100000"/>
                    </w14:srgbClr>
                  </w14:solidFill>
                </w14:textFill>
              </w:rPr>
              <w:t>|</w:t>
            </w:r>
            <w:r w:rsidRPr="008A42F6">
              <w:rPr>
                <w:rFonts w:hint="eastAsia"/>
                <w:color w:val="000000"/>
                <w:spacing w:val="4"/>
                <w:w w:val="15"/>
                <w:shd w:val="solid" w:color="000000" w:fill="000000"/>
                <w:fitText w:val="70" w:id="-1032102387"/>
                <w14:textFill>
                  <w14:solidFill>
                    <w14:srgbClr w14:val="000000">
                      <w14:alpha w14:val="100000"/>
                    </w14:srgbClr>
                  </w14:solidFill>
                </w14:textFill>
              </w:rPr>
              <w:t xml:space="preserve">　</w:t>
            </w:r>
            <w:r w:rsidR="003E793D">
              <w:rPr>
                <w:vertAlign w:val="superscript"/>
              </w:rPr>
              <w:t>7</w:t>
            </w:r>
          </w:p>
        </w:tc>
        <w:tc>
          <w:tcPr>
            <w:tcW w:w="611" w:type="pct"/>
            <w:shd w:val="clear" w:color="auto" w:fill="B8CCE4" w:themeFill="accent1" w:themeFillTint="66"/>
          </w:tcPr>
          <w:p w14:paraId="1C964FF9" w14:textId="781A01EE" w:rsidR="0034452E" w:rsidRPr="00621588" w:rsidRDefault="008A42F6" w:rsidP="00690B5F">
            <w:pPr>
              <w:pStyle w:val="COMTabletext"/>
              <w:keepLines/>
              <w:jc w:val="center"/>
              <w:rPr>
                <w:highlight w:val="darkGray"/>
              </w:rPr>
            </w:pPr>
            <w:r>
              <w:t xml:space="preserve"> </w:t>
            </w:r>
            <w:r w:rsidRPr="008A42F6">
              <w:rPr>
                <w:rFonts w:hint="eastAsia"/>
                <w:color w:val="000000"/>
                <w:w w:val="15"/>
                <w:shd w:val="solid" w:color="000000" w:fill="000000"/>
                <w:fitText w:val="70" w:id="-1032102386"/>
                <w14:textFill>
                  <w14:solidFill>
                    <w14:srgbClr w14:val="000000">
                      <w14:alpha w14:val="100000"/>
                    </w14:srgbClr>
                  </w14:solidFill>
                </w14:textFill>
              </w:rPr>
              <w:t xml:space="preserve">　</w:t>
            </w:r>
            <w:r w:rsidRPr="008A42F6">
              <w:rPr>
                <w:color w:val="000000"/>
                <w:w w:val="15"/>
                <w:shd w:val="solid" w:color="000000" w:fill="000000"/>
                <w:fitText w:val="70" w:id="-1032102386"/>
                <w14:textFill>
                  <w14:solidFill>
                    <w14:srgbClr w14:val="000000">
                      <w14:alpha w14:val="100000"/>
                    </w14:srgbClr>
                  </w14:solidFill>
                </w14:textFill>
              </w:rPr>
              <w:t>|</w:t>
            </w:r>
            <w:r w:rsidRPr="008A42F6">
              <w:rPr>
                <w:rFonts w:hint="eastAsia"/>
                <w:color w:val="000000"/>
                <w:spacing w:val="4"/>
                <w:w w:val="15"/>
                <w:shd w:val="solid" w:color="000000" w:fill="000000"/>
                <w:fitText w:val="70" w:id="-1032102386"/>
                <w14:textFill>
                  <w14:solidFill>
                    <w14:srgbClr w14:val="000000">
                      <w14:alpha w14:val="100000"/>
                    </w14:srgbClr>
                  </w14:solidFill>
                </w14:textFill>
              </w:rPr>
              <w:t xml:space="preserve">　</w:t>
            </w:r>
            <w:r w:rsidR="003E793D">
              <w:rPr>
                <w:vertAlign w:val="superscript"/>
              </w:rPr>
              <w:t>7</w:t>
            </w:r>
          </w:p>
        </w:tc>
        <w:tc>
          <w:tcPr>
            <w:tcW w:w="611" w:type="pct"/>
            <w:shd w:val="clear" w:color="auto" w:fill="B8CCE4" w:themeFill="accent1" w:themeFillTint="66"/>
          </w:tcPr>
          <w:p w14:paraId="4D86B6C8" w14:textId="2379DA2A" w:rsidR="0034452E" w:rsidRPr="00621588" w:rsidRDefault="008A42F6" w:rsidP="00690B5F">
            <w:pPr>
              <w:pStyle w:val="COMTabletext"/>
              <w:keepLines/>
              <w:jc w:val="center"/>
              <w:rPr>
                <w:highlight w:val="darkGray"/>
              </w:rPr>
            </w:pPr>
            <w:r>
              <w:t xml:space="preserve"> </w:t>
            </w:r>
            <w:r w:rsidRPr="008A42F6">
              <w:rPr>
                <w:rFonts w:hint="eastAsia"/>
                <w:color w:val="000000"/>
                <w:w w:val="15"/>
                <w:shd w:val="solid" w:color="000000" w:fill="000000"/>
                <w:fitText w:val="70" w:id="-1032102385"/>
                <w14:textFill>
                  <w14:solidFill>
                    <w14:srgbClr w14:val="000000">
                      <w14:alpha w14:val="100000"/>
                    </w14:srgbClr>
                  </w14:solidFill>
                </w14:textFill>
              </w:rPr>
              <w:t xml:space="preserve">　</w:t>
            </w:r>
            <w:r w:rsidRPr="008A42F6">
              <w:rPr>
                <w:color w:val="000000"/>
                <w:w w:val="15"/>
                <w:shd w:val="solid" w:color="000000" w:fill="000000"/>
                <w:fitText w:val="70" w:id="-1032102385"/>
                <w14:textFill>
                  <w14:solidFill>
                    <w14:srgbClr w14:val="000000">
                      <w14:alpha w14:val="100000"/>
                    </w14:srgbClr>
                  </w14:solidFill>
                </w14:textFill>
              </w:rPr>
              <w:t>|</w:t>
            </w:r>
            <w:r w:rsidRPr="008A42F6">
              <w:rPr>
                <w:rFonts w:hint="eastAsia"/>
                <w:color w:val="000000"/>
                <w:spacing w:val="4"/>
                <w:w w:val="15"/>
                <w:shd w:val="solid" w:color="000000" w:fill="000000"/>
                <w:fitText w:val="70" w:id="-1032102385"/>
                <w14:textFill>
                  <w14:solidFill>
                    <w14:srgbClr w14:val="000000">
                      <w14:alpha w14:val="100000"/>
                    </w14:srgbClr>
                  </w14:solidFill>
                </w14:textFill>
              </w:rPr>
              <w:t xml:space="preserve">　</w:t>
            </w:r>
            <w:r w:rsidR="003E793D">
              <w:rPr>
                <w:vertAlign w:val="superscript"/>
              </w:rPr>
              <w:t>7</w:t>
            </w:r>
          </w:p>
        </w:tc>
        <w:tc>
          <w:tcPr>
            <w:tcW w:w="613" w:type="pct"/>
            <w:shd w:val="clear" w:color="auto" w:fill="B8CCE4" w:themeFill="accent1" w:themeFillTint="66"/>
          </w:tcPr>
          <w:p w14:paraId="441F00C1" w14:textId="719B8CB9" w:rsidR="0034452E" w:rsidRPr="00621588" w:rsidRDefault="008A42F6" w:rsidP="00690B5F">
            <w:pPr>
              <w:pStyle w:val="COMTabletext"/>
              <w:keepLines/>
              <w:jc w:val="center"/>
              <w:rPr>
                <w:highlight w:val="darkGray"/>
              </w:rPr>
            </w:pPr>
            <w:r>
              <w:t xml:space="preserve"> </w:t>
            </w:r>
            <w:r w:rsidRPr="008A42F6">
              <w:rPr>
                <w:rFonts w:hint="eastAsia"/>
                <w:color w:val="000000"/>
                <w:w w:val="18"/>
                <w:shd w:val="solid" w:color="000000" w:fill="000000"/>
                <w:fitText w:val="80" w:id="-1032102384"/>
                <w14:textFill>
                  <w14:solidFill>
                    <w14:srgbClr w14:val="000000">
                      <w14:alpha w14:val="100000"/>
                    </w14:srgbClr>
                  </w14:solidFill>
                </w14:textFill>
              </w:rPr>
              <w:t xml:space="preserve">　</w:t>
            </w:r>
            <w:r w:rsidRPr="008A42F6">
              <w:rPr>
                <w:color w:val="000000"/>
                <w:w w:val="18"/>
                <w:shd w:val="solid" w:color="000000" w:fill="000000"/>
                <w:fitText w:val="80" w:id="-1032102384"/>
                <w14:textFill>
                  <w14:solidFill>
                    <w14:srgbClr w14:val="000000">
                      <w14:alpha w14:val="100000"/>
                    </w14:srgbClr>
                  </w14:solidFill>
                </w14:textFill>
              </w:rPr>
              <w:t>|</w:t>
            </w:r>
            <w:r w:rsidRPr="008A42F6">
              <w:rPr>
                <w:rFonts w:hint="eastAsia"/>
                <w:color w:val="000000"/>
                <w:w w:val="18"/>
                <w:shd w:val="solid" w:color="000000" w:fill="000000"/>
                <w:fitText w:val="80" w:id="-1032102384"/>
                <w14:textFill>
                  <w14:solidFill>
                    <w14:srgbClr w14:val="000000">
                      <w14:alpha w14:val="100000"/>
                    </w14:srgbClr>
                  </w14:solidFill>
                </w14:textFill>
              </w:rPr>
              <w:t xml:space="preserve">　</w:t>
            </w:r>
            <w:r w:rsidR="003E793D">
              <w:rPr>
                <w:vertAlign w:val="superscript"/>
              </w:rPr>
              <w:t>7</w:t>
            </w:r>
          </w:p>
        </w:tc>
      </w:tr>
    </w:tbl>
    <w:p w14:paraId="484CF5B6" w14:textId="450D403C" w:rsidR="00620C25" w:rsidRPr="001C59C3" w:rsidRDefault="00620C25" w:rsidP="00690B5F">
      <w:pPr>
        <w:pStyle w:val="COMTablefooter"/>
        <w:keepNext/>
        <w:keepLines/>
        <w:rPr>
          <w:rStyle w:val="COMtablefigcaptionChar"/>
        </w:rPr>
      </w:pPr>
      <w:r w:rsidRPr="001C59C3">
        <w:t xml:space="preserve">Source: </w:t>
      </w:r>
      <w:r w:rsidR="004E71CB" w:rsidRPr="001C59C3">
        <w:t>Section 4.2-4.4, pp227-235</w:t>
      </w:r>
      <w:r w:rsidR="00D60A9A" w:rsidRPr="001C59C3">
        <w:t>,</w:t>
      </w:r>
      <w:r w:rsidR="004E71CB" w:rsidRPr="001C59C3">
        <w:t xml:space="preserve"> the ‘A12 – DFK_Section4model_July2023’ Excel workbook of the resubmission</w:t>
      </w:r>
      <w:r w:rsidR="003476C7" w:rsidRPr="001C59C3">
        <w:t>, Table 1 of the pre-PBAC response</w:t>
      </w:r>
      <w:r w:rsidR="00D60A9A" w:rsidRPr="001C59C3">
        <w:t xml:space="preserve"> and the ATTACHMENT 3 – A12 – DFK Revised section 4 model from the p</w:t>
      </w:r>
      <w:r w:rsidR="00AB7985" w:rsidRPr="001C59C3">
        <w:t>re-PBAC Response.</w:t>
      </w:r>
    </w:p>
    <w:p w14:paraId="65E99FBE" w14:textId="68F94BDD" w:rsidR="00E466F3" w:rsidRPr="001C59C3" w:rsidRDefault="00E466F3" w:rsidP="00690B5F">
      <w:pPr>
        <w:pStyle w:val="COMTablefooter"/>
        <w:keepNext/>
        <w:keepLines/>
      </w:pPr>
      <w:r w:rsidRPr="001C59C3">
        <w:rPr>
          <w:vertAlign w:val="superscript"/>
        </w:rPr>
        <w:t>a</w:t>
      </w:r>
      <w:r w:rsidR="005C6078" w:rsidRPr="001C59C3">
        <w:rPr>
          <w:vertAlign w:val="superscript"/>
        </w:rPr>
        <w:t xml:space="preserve"> </w:t>
      </w:r>
      <w:r w:rsidR="005C6078" w:rsidRPr="001C59C3">
        <w:t>Calculated during the evaluation using corrected continuing script estimates based on 1.06 vials per dose</w:t>
      </w:r>
    </w:p>
    <w:p w14:paraId="72EB6638" w14:textId="32D56956" w:rsidR="004A20AF" w:rsidRPr="001C59C3" w:rsidRDefault="00745D3B" w:rsidP="00690B5F">
      <w:pPr>
        <w:pStyle w:val="COMTablefooter"/>
        <w:keepNext/>
        <w:keepLines/>
      </w:pPr>
      <w:r w:rsidRPr="001C59C3">
        <w:rPr>
          <w:vertAlign w:val="superscript"/>
        </w:rPr>
        <w:t>b</w:t>
      </w:r>
      <w:r w:rsidRPr="001C59C3">
        <w:t xml:space="preserve"> </w:t>
      </w:r>
      <w:r w:rsidR="004A20AF" w:rsidRPr="001C59C3">
        <w:t>Calculated during the preparation of the PBAC minutes using corrected continuing script estimates based on 1.06 vials per dose</w:t>
      </w:r>
    </w:p>
    <w:p w14:paraId="1D44EBFE" w14:textId="405D26F7" w:rsidR="00745D3B" w:rsidRPr="001C59C3" w:rsidRDefault="004A20AF" w:rsidP="00690B5F">
      <w:pPr>
        <w:pStyle w:val="COMTablefooter"/>
        <w:keepNext/>
        <w:keepLines/>
      </w:pPr>
      <w:r w:rsidRPr="001C59C3">
        <w:rPr>
          <w:vertAlign w:val="superscript"/>
        </w:rPr>
        <w:t>c</w:t>
      </w:r>
      <w:r w:rsidRPr="001C59C3">
        <w:t xml:space="preserve"> </w:t>
      </w:r>
      <w:r w:rsidR="00745D3B" w:rsidRPr="001C59C3">
        <w:t>Calculated during the evaluation using a revised effective DPMQ for difelikefalin</w:t>
      </w:r>
    </w:p>
    <w:p w14:paraId="50ACA6B3" w14:textId="1684B001" w:rsidR="004C11CB" w:rsidRDefault="004C11CB" w:rsidP="00690B5F">
      <w:pPr>
        <w:pStyle w:val="COMTablefooter"/>
        <w:keepNext/>
        <w:keepLines/>
        <w:spacing w:after="0"/>
      </w:pPr>
      <w:r w:rsidRPr="001C59C3">
        <w:rPr>
          <w:vertAlign w:val="superscript"/>
        </w:rPr>
        <w:t>d</w:t>
      </w:r>
      <w:r w:rsidRPr="001C59C3">
        <w:t xml:space="preserve"> Calculated during the preparation of the PBAC minutes using a revised effective DPMQ for difelikefalin. </w:t>
      </w:r>
    </w:p>
    <w:p w14:paraId="4C5E306D" w14:textId="77777777" w:rsidR="00B56DB3" w:rsidRPr="009A6D58" w:rsidRDefault="00B56DB3" w:rsidP="00690B5F">
      <w:pPr>
        <w:keepNext/>
        <w:keepLines/>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54749732" w14:textId="37337B65" w:rsidR="00B56DB3" w:rsidRPr="009A6D58" w:rsidRDefault="00B56DB3" w:rsidP="00690B5F">
      <w:pPr>
        <w:keepNext/>
        <w:keepLines/>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B56DB3">
        <w:rPr>
          <w:rFonts w:ascii="Arial Narrow" w:hAnsi="Arial Narrow"/>
          <w:i/>
          <w:sz w:val="18"/>
          <w:szCs w:val="18"/>
        </w:rPr>
        <w:t>500 to &lt; 5,000</w:t>
      </w:r>
    </w:p>
    <w:p w14:paraId="17D94297" w14:textId="2CEF6A57" w:rsidR="00B56DB3" w:rsidRPr="009A6D58" w:rsidRDefault="00B56DB3" w:rsidP="00690B5F">
      <w:pPr>
        <w:keepNext/>
        <w:keepLines/>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B56DB3">
        <w:rPr>
          <w:rFonts w:ascii="Arial Narrow" w:hAnsi="Arial Narrow"/>
          <w:i/>
          <w:sz w:val="18"/>
          <w:szCs w:val="18"/>
        </w:rPr>
        <w:t>5,000 to &lt; 10,000</w:t>
      </w:r>
    </w:p>
    <w:p w14:paraId="04DC6424" w14:textId="0C8C292E" w:rsidR="00B56DB3" w:rsidRDefault="00B56DB3" w:rsidP="00690B5F">
      <w:pPr>
        <w:keepNext/>
        <w:keepLines/>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B56DB3">
        <w:rPr>
          <w:rFonts w:ascii="Arial Narrow" w:hAnsi="Arial Narrow"/>
          <w:i/>
          <w:sz w:val="18"/>
          <w:szCs w:val="18"/>
        </w:rPr>
        <w:t>10,000 to &lt; 20,000</w:t>
      </w:r>
    </w:p>
    <w:p w14:paraId="15FA5EEB" w14:textId="701C8CD0" w:rsidR="00B56DB3" w:rsidRDefault="00B56DB3" w:rsidP="00690B5F">
      <w:pPr>
        <w:keepNext/>
        <w:keepLines/>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B56DB3">
        <w:rPr>
          <w:rFonts w:ascii="Arial Narrow" w:hAnsi="Arial Narrow"/>
          <w:i/>
          <w:sz w:val="18"/>
          <w:szCs w:val="18"/>
        </w:rPr>
        <w:t>20,000 to &lt; 30,000</w:t>
      </w:r>
    </w:p>
    <w:p w14:paraId="41182CCC" w14:textId="0DE40EDC" w:rsidR="00B56DB3" w:rsidRDefault="00B56DB3" w:rsidP="00690B5F">
      <w:pPr>
        <w:keepNext/>
        <w:keepLines/>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003E793D" w:rsidRPr="003E793D">
        <w:rPr>
          <w:rFonts w:ascii="Arial Narrow" w:hAnsi="Arial Narrow"/>
          <w:i/>
          <w:sz w:val="18"/>
          <w:szCs w:val="18"/>
        </w:rPr>
        <w:t>30,000 to &lt; 40,000</w:t>
      </w:r>
    </w:p>
    <w:p w14:paraId="3F660B80" w14:textId="77777777" w:rsidR="003E793D" w:rsidRDefault="00B56DB3" w:rsidP="00690B5F">
      <w:pPr>
        <w:keepNext/>
        <w:keepLines/>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003E793D" w:rsidRPr="003E793D">
        <w:rPr>
          <w:rFonts w:ascii="Arial Narrow" w:hAnsi="Arial Narrow"/>
          <w:i/>
          <w:sz w:val="18"/>
          <w:szCs w:val="18"/>
        </w:rPr>
        <w:t>40,000 to &lt; 50,000</w:t>
      </w:r>
    </w:p>
    <w:p w14:paraId="1A3196AB" w14:textId="35146ED3" w:rsidR="003E793D" w:rsidRPr="00621588" w:rsidRDefault="003E793D" w:rsidP="00690B5F">
      <w:pPr>
        <w:keepNext/>
        <w:keepLines/>
        <w:rPr>
          <w:rFonts w:ascii="Arial Narrow" w:hAnsi="Arial Narrow"/>
          <w:i/>
          <w:sz w:val="18"/>
          <w:szCs w:val="18"/>
        </w:rPr>
      </w:pPr>
      <w:r w:rsidRPr="00621588">
        <w:rPr>
          <w:rFonts w:ascii="Arial Narrow" w:hAnsi="Arial Narrow"/>
          <w:i/>
          <w:sz w:val="18"/>
          <w:szCs w:val="18"/>
          <w:vertAlign w:val="superscript"/>
        </w:rPr>
        <w:t>7</w:t>
      </w:r>
      <w:r>
        <w:rPr>
          <w:rFonts w:ascii="Arial Narrow" w:hAnsi="Arial Narrow"/>
          <w:i/>
          <w:sz w:val="18"/>
          <w:szCs w:val="18"/>
        </w:rPr>
        <w:t xml:space="preserve"> </w:t>
      </w:r>
      <w:r w:rsidRPr="00621588">
        <w:rPr>
          <w:rFonts w:ascii="Arial Narrow" w:hAnsi="Arial Narrow"/>
          <w:i/>
          <w:sz w:val="18"/>
          <w:szCs w:val="18"/>
        </w:rPr>
        <w:t>$0 to &lt; $10 million</w:t>
      </w:r>
    </w:p>
    <w:p w14:paraId="54BCBDE3" w14:textId="321BBFDD" w:rsidR="003E793D" w:rsidRPr="00621588" w:rsidRDefault="003E793D" w:rsidP="00690B5F">
      <w:pPr>
        <w:spacing w:after="120"/>
        <w:rPr>
          <w:rFonts w:ascii="Arial Narrow" w:hAnsi="Arial Narrow"/>
          <w:i/>
          <w:sz w:val="18"/>
          <w:szCs w:val="18"/>
        </w:rPr>
      </w:pPr>
      <w:r w:rsidRPr="00621588">
        <w:rPr>
          <w:rFonts w:ascii="Arial Narrow" w:hAnsi="Arial Narrow"/>
          <w:i/>
          <w:sz w:val="18"/>
          <w:szCs w:val="18"/>
          <w:vertAlign w:val="superscript"/>
        </w:rPr>
        <w:t xml:space="preserve">8 </w:t>
      </w:r>
      <w:r w:rsidRPr="003E793D">
        <w:rPr>
          <w:rFonts w:ascii="Arial Narrow" w:hAnsi="Arial Narrow"/>
          <w:i/>
          <w:sz w:val="18"/>
          <w:szCs w:val="18"/>
        </w:rPr>
        <w:t>$10 million to &lt; $20 million</w:t>
      </w:r>
    </w:p>
    <w:p w14:paraId="75586731" w14:textId="736933F6" w:rsidR="000902D9" w:rsidRPr="001C59C3" w:rsidRDefault="00B4644F" w:rsidP="004F15B1">
      <w:pPr>
        <w:pStyle w:val="COMexecsumnumberedpara"/>
      </w:pPr>
      <w:r w:rsidRPr="001C59C3">
        <w:t>The estimated net cost to the PBS/RPBS for difelikefalin</w:t>
      </w:r>
      <w:r w:rsidR="00AB7985" w:rsidRPr="001C59C3">
        <w:t xml:space="preserve"> in the resubmission</w:t>
      </w:r>
      <w:r w:rsidRPr="001C59C3">
        <w:t xml:space="preserve"> was </w:t>
      </w:r>
      <w:r w:rsidR="00277223" w:rsidRPr="00277223">
        <w:t>$0</w:t>
      </w:r>
      <w:r w:rsidR="00690B5F">
        <w:t> </w:t>
      </w:r>
      <w:r w:rsidR="00277223" w:rsidRPr="00277223">
        <w:t>to &lt; $10 million</w:t>
      </w:r>
      <w:r w:rsidR="00277223">
        <w:t xml:space="preserve"> </w:t>
      </w:r>
      <w:r w:rsidRPr="001C59C3">
        <w:t xml:space="preserve">in Year 1, increasing to </w:t>
      </w:r>
      <w:r w:rsidR="00277223" w:rsidRPr="00277223">
        <w:t>$10 million to &lt; $20 million</w:t>
      </w:r>
      <w:r w:rsidR="00277223" w:rsidRPr="00277223" w:rsidDel="00277223">
        <w:t xml:space="preserve"> </w:t>
      </w:r>
      <w:r w:rsidR="00277223">
        <w:t xml:space="preserve"> </w:t>
      </w:r>
      <w:r w:rsidRPr="001C59C3">
        <w:t xml:space="preserve">in Year 6, a total of </w:t>
      </w:r>
      <w:r w:rsidR="00277223" w:rsidRPr="00277223">
        <w:t>$60 million to &lt; $70 million</w:t>
      </w:r>
      <w:r w:rsidR="00277223">
        <w:t xml:space="preserve"> </w:t>
      </w:r>
      <w:r w:rsidRPr="001C59C3">
        <w:t xml:space="preserve">over 6 years </w:t>
      </w:r>
      <w:r w:rsidR="00277223" w:rsidRPr="00277223">
        <w:t>$</w:t>
      </w:r>
      <w:r w:rsidR="00277223">
        <w:t>7</w:t>
      </w:r>
      <w:r w:rsidR="00277223" w:rsidRPr="00277223">
        <w:t>0 million to &lt; $</w:t>
      </w:r>
      <w:r w:rsidR="00277223">
        <w:t>8</w:t>
      </w:r>
      <w:r w:rsidR="00277223" w:rsidRPr="00277223">
        <w:t>0 million</w:t>
      </w:r>
      <w:r w:rsidRPr="001C59C3">
        <w:t xml:space="preserve"> in the resubmission’s base case</w:t>
      </w:r>
      <w:r w:rsidR="00914271" w:rsidRPr="001C59C3">
        <w:t xml:space="preserve"> prior to </w:t>
      </w:r>
      <w:r w:rsidR="00DF3229" w:rsidRPr="001C59C3">
        <w:t xml:space="preserve">the </w:t>
      </w:r>
      <w:r w:rsidR="00914271" w:rsidRPr="001C59C3">
        <w:t>corrections made during the evaluation</w:t>
      </w:r>
      <w:r w:rsidR="00B8299A" w:rsidRPr="001C59C3">
        <w:t xml:space="preserve"> and </w:t>
      </w:r>
      <w:r w:rsidR="00277223" w:rsidRPr="00277223">
        <w:t>$60</w:t>
      </w:r>
      <w:r w:rsidR="00690B5F">
        <w:t> </w:t>
      </w:r>
      <w:r w:rsidR="00277223" w:rsidRPr="00277223">
        <w:t>million to &lt; $70 million</w:t>
      </w:r>
      <w:r w:rsidR="00B8299A" w:rsidRPr="001C59C3">
        <w:t xml:space="preserve"> in the March 2023 submission</w:t>
      </w:r>
      <w:r w:rsidRPr="001C59C3">
        <w:t xml:space="preserve">). There were substantial differences between the current resubmission and previous submission in terms of the size of the eligible population, treated patients and script estimates. This led to </w:t>
      </w:r>
      <w:r w:rsidRPr="001C59C3">
        <w:lastRenderedPageBreak/>
        <w:t>contrasting trends over time with the</w:t>
      </w:r>
      <w:r w:rsidR="00FC0ED0" w:rsidRPr="001C59C3">
        <w:t xml:space="preserve"> initial</w:t>
      </w:r>
      <w:r w:rsidRPr="001C59C3">
        <w:t xml:space="preserve"> submission estimating greater utilisation at the start that decreased over time while the current resubmission estimated continuous growth in utilisation over time.</w:t>
      </w:r>
      <w:r w:rsidR="00AB7985" w:rsidRPr="001C59C3">
        <w:t xml:space="preserve"> </w:t>
      </w:r>
      <w:r w:rsidR="004A20AF" w:rsidRPr="001C59C3">
        <w:t>The corrected pre-PBAC Response revised estimates resulted in an estimated net cost to the PBS/RPBS for difelikefalin of</w:t>
      </w:r>
      <w:r w:rsidR="00AB7985" w:rsidRPr="001C59C3">
        <w:t xml:space="preserve"> </w:t>
      </w:r>
      <w:r w:rsidR="00277223" w:rsidRPr="00277223">
        <w:t>$0</w:t>
      </w:r>
      <w:r w:rsidR="00690B5F">
        <w:t> </w:t>
      </w:r>
      <w:r w:rsidR="00277223" w:rsidRPr="00277223">
        <w:t>to &lt; $10 million</w:t>
      </w:r>
      <w:r w:rsidR="00AB7985" w:rsidRPr="001C59C3">
        <w:t xml:space="preserve"> in Year 1, increasing to </w:t>
      </w:r>
      <w:r w:rsidR="00277223" w:rsidRPr="00277223">
        <w:t>$0 to &lt; $10 million</w:t>
      </w:r>
      <w:r w:rsidR="00AB7985" w:rsidRPr="001C59C3">
        <w:t xml:space="preserve"> in Year 6, with a total net cost of </w:t>
      </w:r>
      <w:r w:rsidR="00277223" w:rsidRPr="00277223">
        <w:t>$30 million to &lt; $40 million</w:t>
      </w:r>
      <w:r w:rsidR="00277223">
        <w:t xml:space="preserve"> </w:t>
      </w:r>
      <w:r w:rsidR="00AB7985" w:rsidRPr="001C59C3">
        <w:t xml:space="preserve">over 6 years. </w:t>
      </w:r>
    </w:p>
    <w:p w14:paraId="1B691C63" w14:textId="468B5EEA" w:rsidR="006A016F" w:rsidRPr="001C59C3" w:rsidRDefault="00611A6B" w:rsidP="004F15B1">
      <w:pPr>
        <w:pStyle w:val="COMexecsumnumberedpara"/>
      </w:pPr>
      <w:r w:rsidRPr="001C59C3">
        <w:t xml:space="preserve">The resubmission provided an analysis for the requested grandfathering provision in the budget impact model. </w:t>
      </w:r>
      <w:r w:rsidR="00B4644F" w:rsidRPr="001C59C3">
        <w:t>The resubmission estimated 0.35% of the prevalent haemodialysis population would meet the proposed restriction. The</w:t>
      </w:r>
      <w:r w:rsidR="00B8711A">
        <w:t xml:space="preserve"> grandfathered patients</w:t>
      </w:r>
      <w:r w:rsidR="00B4644F" w:rsidRPr="001C59C3">
        <w:t xml:space="preserve"> were </w:t>
      </w:r>
      <w:r w:rsidR="00B8711A">
        <w:t xml:space="preserve">not added separately but assumed to be </w:t>
      </w:r>
      <w:r w:rsidR="00B4644F" w:rsidRPr="001C59C3">
        <w:t>included in the prevalence estimates of the budget impact analysis.</w:t>
      </w:r>
    </w:p>
    <w:p w14:paraId="2238DEE9" w14:textId="2CAFEA44" w:rsidR="00576972" w:rsidRPr="001C59C3" w:rsidRDefault="00576972" w:rsidP="00606FBA">
      <w:pPr>
        <w:pStyle w:val="COMH2-non-numbered"/>
      </w:pPr>
      <w:bookmarkStart w:id="74" w:name="_Toc22897648"/>
      <w:bookmarkStart w:id="75" w:name="_Toc144890476"/>
      <w:r w:rsidRPr="001C59C3">
        <w:t>Quality Use of Medicines</w:t>
      </w:r>
      <w:bookmarkEnd w:id="74"/>
      <w:bookmarkEnd w:id="75"/>
    </w:p>
    <w:p w14:paraId="38BD0AEF" w14:textId="44EFACEA" w:rsidR="00576972" w:rsidRPr="001C59C3" w:rsidRDefault="006B3A82" w:rsidP="004F15B1">
      <w:pPr>
        <w:pStyle w:val="COMexecsumnumberedpara"/>
      </w:pPr>
      <w:r w:rsidRPr="001C59C3">
        <w:t>Quality use of medicines was not addressed in the resubmission. The DUSC previously considered the following issues (difelikefalin DUSC advice, March 2023 PBAC meeting):</w:t>
      </w:r>
    </w:p>
    <w:p w14:paraId="7B1E516B" w14:textId="77777777" w:rsidR="006B3A82" w:rsidRPr="001C59C3" w:rsidRDefault="006B3A82" w:rsidP="00690B5F">
      <w:pPr>
        <w:pStyle w:val="COMexecsummbulletlist"/>
        <w:ind w:hanging="357"/>
      </w:pPr>
      <w:r w:rsidRPr="001C59C3">
        <w:t>Falls risk may be greater for at-home patients who have less supervision and for this group of patients who may have an increased cumulative risk of falls given concomitant medicines and comorbidities.</w:t>
      </w:r>
    </w:p>
    <w:p w14:paraId="7C5A5F25" w14:textId="77777777" w:rsidR="006B3A82" w:rsidRPr="001C59C3" w:rsidRDefault="006B3A82" w:rsidP="00690B5F">
      <w:pPr>
        <w:pStyle w:val="COMexecsummbulletlist"/>
        <w:ind w:hanging="357"/>
      </w:pPr>
      <w:r w:rsidRPr="001C59C3">
        <w:t>Access for Indigenous patients in remote areas was not addressed.</w:t>
      </w:r>
    </w:p>
    <w:p w14:paraId="2C892E2D" w14:textId="77777777" w:rsidR="006B3A82" w:rsidRPr="001C59C3" w:rsidRDefault="006B3A82" w:rsidP="00690B5F">
      <w:pPr>
        <w:pStyle w:val="COMexecsummbulletlist"/>
        <w:ind w:hanging="357"/>
      </w:pPr>
      <w:r w:rsidRPr="001C59C3">
        <w:t>At-home dialysis patients would have to be highly trained.</w:t>
      </w:r>
    </w:p>
    <w:p w14:paraId="00446FF2" w14:textId="02C0AACD" w:rsidR="006B3A82" w:rsidRPr="001C59C3" w:rsidRDefault="006B3A82" w:rsidP="00690B5F">
      <w:pPr>
        <w:pStyle w:val="COMexecsummbulletlist"/>
      </w:pPr>
      <w:r w:rsidRPr="001C59C3">
        <w:t>The presence of an itch may be a sign that the dialysis is not optimised.</w:t>
      </w:r>
    </w:p>
    <w:p w14:paraId="6015A395" w14:textId="5AEF5072" w:rsidR="00576972" w:rsidRPr="001C59C3" w:rsidRDefault="00576972" w:rsidP="00606FBA">
      <w:pPr>
        <w:pStyle w:val="COMH2-non-numbered"/>
      </w:pPr>
      <w:bookmarkStart w:id="76" w:name="_Toc22897649"/>
      <w:bookmarkStart w:id="77" w:name="_Toc144890477"/>
      <w:r w:rsidRPr="001C59C3">
        <w:t>Financial Management – Risk Sharing Arrangements</w:t>
      </w:r>
      <w:bookmarkEnd w:id="76"/>
      <w:bookmarkEnd w:id="77"/>
    </w:p>
    <w:p w14:paraId="0848F705" w14:textId="3A5D065E" w:rsidR="009A713F" w:rsidRPr="001C59C3" w:rsidRDefault="009A713F" w:rsidP="00E835CB">
      <w:pPr>
        <w:pStyle w:val="COMexecsumnumberedpara"/>
      </w:pPr>
      <w:r w:rsidRPr="001C59C3">
        <w:t xml:space="preserve">The resubmission proposed a </w:t>
      </w:r>
      <w:r w:rsidR="00CE44D0">
        <w:t>R</w:t>
      </w:r>
      <w:r w:rsidR="00CE44D0" w:rsidRPr="001C59C3">
        <w:t xml:space="preserve">isk </w:t>
      </w:r>
      <w:r w:rsidR="00CE44D0">
        <w:t>S</w:t>
      </w:r>
      <w:r w:rsidR="00CE44D0" w:rsidRPr="001C59C3">
        <w:t xml:space="preserve">haring </w:t>
      </w:r>
      <w:r w:rsidR="00CE44D0">
        <w:t>A</w:t>
      </w:r>
      <w:r w:rsidR="00CE44D0" w:rsidRPr="001C59C3">
        <w:t xml:space="preserve">rrangement </w:t>
      </w:r>
      <w:r w:rsidRPr="001C59C3">
        <w:t xml:space="preserve">based on PBS/RPBS expenditure estimated in the budget impact analysis. The resubmission proposed a </w:t>
      </w:r>
      <w:r w:rsidR="008A42F6">
        <w:t xml:space="preserve"> </w:t>
      </w:r>
      <w:r w:rsidR="008A42F6" w:rsidRPr="00690B5F">
        <w:rPr>
          <w:color w:val="000000"/>
          <w:w w:val="15"/>
          <w:shd w:val="solid" w:color="000000" w:fill="000000"/>
          <w:fitText w:val="-20" w:id="-1032102400"/>
          <w14:textFill>
            <w14:solidFill>
              <w14:srgbClr w14:val="000000">
                <w14:alpha w14:val="100000"/>
              </w14:srgbClr>
            </w14:solidFill>
          </w14:textFill>
        </w:rPr>
        <w:t xml:space="preserve">|  </w:t>
      </w:r>
      <w:r w:rsidR="008A42F6" w:rsidRPr="00690B5F">
        <w:rPr>
          <w:color w:val="000000"/>
          <w:spacing w:val="-69"/>
          <w:w w:val="15"/>
          <w:shd w:val="solid" w:color="000000" w:fill="000000"/>
          <w:fitText w:val="-20" w:id="-1032102400"/>
          <w14:textFill>
            <w14:solidFill>
              <w14:srgbClr w14:val="000000">
                <w14:alpha w14:val="100000"/>
              </w14:srgbClr>
            </w14:solidFill>
          </w14:textFill>
        </w:rPr>
        <w:t>|</w:t>
      </w:r>
      <w:r w:rsidRPr="001C59C3">
        <w:t>% rebate for expenditure exceeding the predicted estimates</w:t>
      </w:r>
      <w:r w:rsidR="00611A6B" w:rsidRPr="001C59C3">
        <w:t>,</w:t>
      </w:r>
      <w:r w:rsidRPr="001C59C3">
        <w:t xml:space="preserve"> based on a multivariate sensitivity analysis of the economic model that was intended to estimate the cost-effectiveness of difelikefalin for the treatment of mild pruritus. The analysis was not informative as there were no changes to the baseline distribution of pruritus severity or transition probabilities, which were based on patients with moderate to severe pruritus only. </w:t>
      </w:r>
      <w:r w:rsidR="00B671A8" w:rsidRPr="001C59C3">
        <w:t xml:space="preserve">The ESC </w:t>
      </w:r>
      <w:r w:rsidR="00B671A8" w:rsidRPr="007F1693">
        <w:t>considered a</w:t>
      </w:r>
      <w:r w:rsidRPr="007F1693">
        <w:t xml:space="preserve"> </w:t>
      </w:r>
      <w:r w:rsidR="008A42F6">
        <w:t xml:space="preserve"> </w:t>
      </w:r>
      <w:r w:rsidR="008A42F6" w:rsidRPr="00690B5F">
        <w:rPr>
          <w:color w:val="000000"/>
          <w:w w:val="15"/>
          <w:shd w:val="solid" w:color="000000" w:fill="000000"/>
          <w:fitText w:val="-20" w:id="-1032102399"/>
          <w14:textFill>
            <w14:solidFill>
              <w14:srgbClr w14:val="000000">
                <w14:alpha w14:val="100000"/>
              </w14:srgbClr>
            </w14:solidFill>
          </w14:textFill>
        </w:rPr>
        <w:t xml:space="preserve">|  </w:t>
      </w:r>
      <w:r w:rsidR="008A42F6" w:rsidRPr="00690B5F">
        <w:rPr>
          <w:color w:val="000000"/>
          <w:spacing w:val="-69"/>
          <w:w w:val="15"/>
          <w:shd w:val="solid" w:color="000000" w:fill="000000"/>
          <w:fitText w:val="-20" w:id="-1032102399"/>
          <w14:textFill>
            <w14:solidFill>
              <w14:srgbClr w14:val="000000">
                <w14:alpha w14:val="100000"/>
              </w14:srgbClr>
            </w14:solidFill>
          </w14:textFill>
        </w:rPr>
        <w:t>|</w:t>
      </w:r>
      <w:r w:rsidRPr="007F1693">
        <w:t>%</w:t>
      </w:r>
      <w:r w:rsidRPr="001C59C3">
        <w:t xml:space="preserve"> rebate </w:t>
      </w:r>
      <w:r w:rsidR="00B671A8" w:rsidRPr="001C59C3">
        <w:t>would</w:t>
      </w:r>
      <w:r w:rsidRPr="001C59C3">
        <w:t xml:space="preserve"> be more appropriate given the lack of data for the use of difelikefalin in patients with mild pruritus.</w:t>
      </w:r>
      <w:r w:rsidR="003C1D9F" w:rsidRPr="001C59C3">
        <w:t xml:space="preserve"> The </w:t>
      </w:r>
      <w:r w:rsidR="00DB1A72" w:rsidRPr="001C59C3">
        <w:t>p</w:t>
      </w:r>
      <w:r w:rsidR="003C1D9F" w:rsidRPr="001C59C3">
        <w:t xml:space="preserve">re-PBAC Response accepted the ESC view and stated a </w:t>
      </w:r>
      <w:r w:rsidR="008A42F6">
        <w:t xml:space="preserve"> </w:t>
      </w:r>
      <w:r w:rsidR="008A42F6" w:rsidRPr="00690B5F">
        <w:rPr>
          <w:color w:val="000000"/>
          <w:w w:val="15"/>
          <w:shd w:val="solid" w:color="000000" w:fill="000000"/>
          <w:fitText w:val="-20" w:id="-1032102398"/>
          <w14:textFill>
            <w14:solidFill>
              <w14:srgbClr w14:val="000000">
                <w14:alpha w14:val="100000"/>
              </w14:srgbClr>
            </w14:solidFill>
          </w14:textFill>
        </w:rPr>
        <w:t xml:space="preserve">|  </w:t>
      </w:r>
      <w:r w:rsidR="008A42F6" w:rsidRPr="00690B5F">
        <w:rPr>
          <w:color w:val="000000"/>
          <w:spacing w:val="-69"/>
          <w:w w:val="15"/>
          <w:shd w:val="solid" w:color="000000" w:fill="000000"/>
          <w:fitText w:val="-20" w:id="-1032102398"/>
          <w14:textFill>
            <w14:solidFill>
              <w14:srgbClr w14:val="000000">
                <w14:alpha w14:val="100000"/>
              </w14:srgbClr>
            </w14:solidFill>
          </w14:textFill>
        </w:rPr>
        <w:t>|</w:t>
      </w:r>
      <w:r w:rsidR="003C1D9F" w:rsidRPr="001C59C3">
        <w:t xml:space="preserve">% rebate would be acceptable for a </w:t>
      </w:r>
      <w:r w:rsidR="00CE44D0">
        <w:t>R</w:t>
      </w:r>
      <w:r w:rsidR="00CE44D0" w:rsidRPr="001C59C3">
        <w:t xml:space="preserve">isk </w:t>
      </w:r>
      <w:r w:rsidR="00CE44D0">
        <w:t>S</w:t>
      </w:r>
      <w:r w:rsidR="00CE44D0" w:rsidRPr="001C59C3">
        <w:t xml:space="preserve">haring </w:t>
      </w:r>
      <w:r w:rsidR="00CE44D0">
        <w:t>A</w:t>
      </w:r>
      <w:r w:rsidR="00CE44D0" w:rsidRPr="001C59C3">
        <w:t>rrangement</w:t>
      </w:r>
      <w:r w:rsidR="003C1D9F" w:rsidRPr="001C59C3">
        <w:t xml:space="preserve">. </w:t>
      </w:r>
    </w:p>
    <w:p w14:paraId="5485B7EC" w14:textId="1775D64A" w:rsidR="00051C7F" w:rsidRPr="001C59C3" w:rsidRDefault="00051C7F" w:rsidP="00197D73">
      <w:pPr>
        <w:ind w:firstLine="709"/>
        <w:rPr>
          <w:rFonts w:asciiTheme="minorHAnsi" w:hAnsiTheme="minorHAnsi"/>
          <w:i/>
        </w:rPr>
      </w:pPr>
      <w:r w:rsidRPr="001C59C3">
        <w:rPr>
          <w:rFonts w:asciiTheme="minorHAnsi" w:hAnsiTheme="minorHAnsi"/>
          <w:i/>
        </w:rPr>
        <w:t>For more detail on PBAC’s view, see section 7 PBAC outcome.</w:t>
      </w:r>
    </w:p>
    <w:p w14:paraId="31877B15" w14:textId="77777777" w:rsidR="00324330" w:rsidRPr="001C59C3" w:rsidRDefault="00324330" w:rsidP="00324330">
      <w:pPr>
        <w:pStyle w:val="2-SectionHeading"/>
        <w:numPr>
          <w:ilvl w:val="0"/>
          <w:numId w:val="1"/>
        </w:numPr>
        <w:outlineLvl w:val="0"/>
      </w:pPr>
      <w:bookmarkStart w:id="78" w:name="_Hlk76381249"/>
      <w:bookmarkStart w:id="79" w:name="_Hlk76377955"/>
      <w:r w:rsidRPr="001C59C3">
        <w:t>PBAC Outcome</w:t>
      </w:r>
    </w:p>
    <w:p w14:paraId="04967613" w14:textId="77461101" w:rsidR="00324330" w:rsidRPr="00B8711A" w:rsidRDefault="00324330" w:rsidP="00324330">
      <w:pPr>
        <w:widowControl w:val="0"/>
        <w:numPr>
          <w:ilvl w:val="1"/>
          <w:numId w:val="1"/>
        </w:numPr>
        <w:spacing w:after="120"/>
        <w:rPr>
          <w:rFonts w:asciiTheme="minorHAnsi" w:hAnsiTheme="minorHAnsi"/>
          <w:snapToGrid w:val="0"/>
        </w:rPr>
      </w:pPr>
      <w:r w:rsidRPr="00B8711A">
        <w:rPr>
          <w:rFonts w:asciiTheme="minorHAnsi" w:hAnsiTheme="minorHAnsi"/>
          <w:snapToGrid w:val="0"/>
        </w:rPr>
        <w:t>The PBAC recommended the</w:t>
      </w:r>
      <w:r w:rsidR="00513184" w:rsidRPr="00B8711A">
        <w:rPr>
          <w:rFonts w:asciiTheme="minorHAnsi" w:hAnsiTheme="minorHAnsi"/>
          <w:snapToGrid w:val="0"/>
        </w:rPr>
        <w:t xml:space="preserve"> Authority Required (</w:t>
      </w:r>
      <w:r w:rsidR="008D659F" w:rsidRPr="00B8711A">
        <w:rPr>
          <w:rFonts w:asciiTheme="minorHAnsi" w:hAnsiTheme="minorHAnsi"/>
          <w:snapToGrid w:val="0"/>
        </w:rPr>
        <w:t>T</w:t>
      </w:r>
      <w:r w:rsidR="00513184" w:rsidRPr="00B8711A">
        <w:rPr>
          <w:rFonts w:asciiTheme="minorHAnsi" w:hAnsiTheme="minorHAnsi"/>
          <w:snapToGrid w:val="0"/>
        </w:rPr>
        <w:t>elephone/</w:t>
      </w:r>
      <w:r w:rsidR="008D659F" w:rsidRPr="00B8711A">
        <w:rPr>
          <w:rFonts w:asciiTheme="minorHAnsi" w:hAnsiTheme="minorHAnsi"/>
          <w:snapToGrid w:val="0"/>
        </w:rPr>
        <w:t>Online</w:t>
      </w:r>
      <w:r w:rsidR="00513184" w:rsidRPr="00B8711A">
        <w:rPr>
          <w:rFonts w:asciiTheme="minorHAnsi" w:hAnsiTheme="minorHAnsi"/>
          <w:snapToGrid w:val="0"/>
        </w:rPr>
        <w:t>)</w:t>
      </w:r>
      <w:r w:rsidRPr="00B8711A">
        <w:rPr>
          <w:rFonts w:asciiTheme="minorHAnsi" w:hAnsiTheme="minorHAnsi"/>
          <w:snapToGrid w:val="0"/>
        </w:rPr>
        <w:t xml:space="preserve"> listing of </w:t>
      </w:r>
      <w:r w:rsidR="00513184" w:rsidRPr="00B8711A">
        <w:rPr>
          <w:rFonts w:asciiTheme="minorHAnsi" w:hAnsiTheme="minorHAnsi"/>
          <w:snapToGrid w:val="0"/>
        </w:rPr>
        <w:t xml:space="preserve">difelikefalin for the treatment of moderate to severe pruritus associated with chronic </w:t>
      </w:r>
      <w:r w:rsidR="00513184" w:rsidRPr="00B8711A">
        <w:rPr>
          <w:rFonts w:asciiTheme="minorHAnsi" w:hAnsiTheme="minorHAnsi"/>
          <w:snapToGrid w:val="0"/>
        </w:rPr>
        <w:lastRenderedPageBreak/>
        <w:t>kidney disease</w:t>
      </w:r>
      <w:r w:rsidR="00D7508D" w:rsidRPr="00B8711A">
        <w:rPr>
          <w:rFonts w:asciiTheme="minorHAnsi" w:hAnsiTheme="minorHAnsi"/>
          <w:snapToGrid w:val="0"/>
        </w:rPr>
        <w:t xml:space="preserve"> (CKD)</w:t>
      </w:r>
      <w:r w:rsidR="00513184" w:rsidRPr="00B8711A">
        <w:rPr>
          <w:rFonts w:asciiTheme="minorHAnsi" w:hAnsiTheme="minorHAnsi"/>
          <w:snapToGrid w:val="0"/>
        </w:rPr>
        <w:t xml:space="preserve"> in patients who are undergoing haemodialysis</w:t>
      </w:r>
      <w:r w:rsidR="008D659F" w:rsidRPr="00B8711A">
        <w:rPr>
          <w:rFonts w:asciiTheme="minorHAnsi" w:hAnsiTheme="minorHAnsi"/>
          <w:snapToGrid w:val="0"/>
        </w:rPr>
        <w:t>, on the basis that it should be available only under special arrangements under Section 100 (Highly Specialised Drugs Program)</w:t>
      </w:r>
      <w:r w:rsidR="00513184" w:rsidRPr="00B8711A">
        <w:rPr>
          <w:rFonts w:asciiTheme="minorHAnsi" w:hAnsiTheme="minorHAnsi"/>
          <w:snapToGrid w:val="0"/>
        </w:rPr>
        <w:t xml:space="preserve">. </w:t>
      </w:r>
      <w:r w:rsidR="008D659F" w:rsidRPr="00B8711A">
        <w:rPr>
          <w:rFonts w:asciiTheme="minorHAnsi" w:hAnsiTheme="minorHAnsi"/>
          <w:snapToGrid w:val="0"/>
        </w:rPr>
        <w:t>T</w:t>
      </w:r>
      <w:r w:rsidR="00513184" w:rsidRPr="00B8711A">
        <w:rPr>
          <w:rFonts w:asciiTheme="minorHAnsi" w:hAnsiTheme="minorHAnsi"/>
          <w:snapToGrid w:val="0"/>
        </w:rPr>
        <w:t xml:space="preserve">he PBAC </w:t>
      </w:r>
      <w:r w:rsidR="003626DB" w:rsidRPr="00B8711A">
        <w:rPr>
          <w:rFonts w:asciiTheme="minorHAnsi" w:hAnsiTheme="minorHAnsi"/>
          <w:snapToGrid w:val="0"/>
        </w:rPr>
        <w:t>wa</w:t>
      </w:r>
      <w:r w:rsidR="00513184" w:rsidRPr="00B8711A">
        <w:rPr>
          <w:rFonts w:asciiTheme="minorHAnsi" w:hAnsiTheme="minorHAnsi"/>
          <w:snapToGrid w:val="0"/>
        </w:rPr>
        <w:t xml:space="preserve">s satisfied that difelikefalin provides, for some patients, a significant improvement in efficacy over best supportive care for the management of </w:t>
      </w:r>
      <w:r w:rsidR="008D659F" w:rsidRPr="00B8711A">
        <w:rPr>
          <w:rFonts w:asciiTheme="minorHAnsi" w:hAnsiTheme="minorHAnsi"/>
          <w:snapToGrid w:val="0"/>
        </w:rPr>
        <w:t xml:space="preserve">moderate to severe </w:t>
      </w:r>
      <w:r w:rsidR="00513184" w:rsidRPr="00B8711A">
        <w:rPr>
          <w:rFonts w:asciiTheme="minorHAnsi" w:hAnsiTheme="minorHAnsi"/>
          <w:snapToGrid w:val="0"/>
        </w:rPr>
        <w:t>pruritus in the requested population.</w:t>
      </w:r>
      <w:r w:rsidR="00D7508D" w:rsidRPr="00B8711A">
        <w:rPr>
          <w:rFonts w:asciiTheme="minorHAnsi" w:hAnsiTheme="minorHAnsi"/>
          <w:snapToGrid w:val="0"/>
        </w:rPr>
        <w:t xml:space="preserve"> </w:t>
      </w:r>
      <w:bookmarkStart w:id="80" w:name="_Hlk150713234"/>
      <w:r w:rsidR="008D659F" w:rsidRPr="00B8711A">
        <w:rPr>
          <w:rFonts w:asciiTheme="minorHAnsi" w:hAnsiTheme="minorHAnsi"/>
          <w:snapToGrid w:val="0"/>
        </w:rPr>
        <w:t>The PBAC’s recommendation</w:t>
      </w:r>
      <w:r w:rsidR="00E73D71" w:rsidRPr="00B8711A">
        <w:rPr>
          <w:rFonts w:asciiTheme="minorHAnsi" w:hAnsiTheme="minorHAnsi"/>
          <w:snapToGrid w:val="0"/>
        </w:rPr>
        <w:t xml:space="preserve"> for listing was based on, among other matters, its assessment that the cost-effectiveness of difelikefalin would be acceptable at the price proposed in the pre-PBAC response. </w:t>
      </w:r>
      <w:bookmarkEnd w:id="80"/>
    </w:p>
    <w:p w14:paraId="09F47A1F" w14:textId="4716937F" w:rsidR="00D7508D" w:rsidRPr="00B8711A" w:rsidRDefault="00865A58" w:rsidP="00324330">
      <w:pPr>
        <w:widowControl w:val="0"/>
        <w:numPr>
          <w:ilvl w:val="1"/>
          <w:numId w:val="1"/>
        </w:numPr>
        <w:spacing w:after="120"/>
        <w:rPr>
          <w:rFonts w:asciiTheme="minorHAnsi" w:hAnsiTheme="minorHAnsi"/>
          <w:snapToGrid w:val="0"/>
        </w:rPr>
      </w:pPr>
      <w:r w:rsidRPr="00B8711A">
        <w:rPr>
          <w:rFonts w:asciiTheme="minorHAnsi" w:hAnsiTheme="minorHAnsi"/>
          <w:snapToGrid w:val="0"/>
        </w:rPr>
        <w:t>The PBAC noted the consumer comments discussed the severe impact of the condition on quality of life</w:t>
      </w:r>
      <w:r w:rsidR="00EF32BB" w:rsidRPr="00B8711A">
        <w:rPr>
          <w:rFonts w:asciiTheme="minorHAnsi" w:hAnsiTheme="minorHAnsi"/>
          <w:snapToGrid w:val="0"/>
        </w:rPr>
        <w:t xml:space="preserve"> and</w:t>
      </w:r>
      <w:r w:rsidRPr="00B8711A">
        <w:rPr>
          <w:rFonts w:asciiTheme="minorHAnsi" w:hAnsiTheme="minorHAnsi"/>
          <w:snapToGrid w:val="0"/>
        </w:rPr>
        <w:t xml:space="preserve"> the current lack of effective treatment options</w:t>
      </w:r>
      <w:r w:rsidR="00EF32BB" w:rsidRPr="00B8711A">
        <w:rPr>
          <w:rFonts w:asciiTheme="minorHAnsi" w:hAnsiTheme="minorHAnsi"/>
          <w:snapToGrid w:val="0"/>
        </w:rPr>
        <w:t>. The PBAC noted</w:t>
      </w:r>
      <w:r w:rsidRPr="00B8711A">
        <w:rPr>
          <w:rFonts w:asciiTheme="minorHAnsi" w:hAnsiTheme="minorHAnsi"/>
          <w:snapToGrid w:val="0"/>
        </w:rPr>
        <w:t xml:space="preserve"> that </w:t>
      </w:r>
      <w:r w:rsidR="00E73D71" w:rsidRPr="00B8711A">
        <w:rPr>
          <w:rFonts w:asciiTheme="minorHAnsi" w:hAnsiTheme="minorHAnsi"/>
          <w:snapToGrid w:val="0"/>
        </w:rPr>
        <w:t>health care professionals</w:t>
      </w:r>
      <w:r w:rsidRPr="00B8711A">
        <w:rPr>
          <w:rFonts w:asciiTheme="minorHAnsi" w:hAnsiTheme="minorHAnsi"/>
          <w:snapToGrid w:val="0"/>
        </w:rPr>
        <w:t xml:space="preserve"> described the effectiveness of difelikefalin </w:t>
      </w:r>
      <w:r w:rsidR="00EF32BB" w:rsidRPr="00B8711A">
        <w:rPr>
          <w:rFonts w:asciiTheme="minorHAnsi" w:hAnsiTheme="minorHAnsi"/>
          <w:snapToGrid w:val="0"/>
        </w:rPr>
        <w:t xml:space="preserve">in reducing </w:t>
      </w:r>
      <w:r w:rsidR="00EF32BB" w:rsidRPr="001C59C3">
        <w:rPr>
          <w:rFonts w:asciiTheme="minorHAnsi" w:hAnsiTheme="minorHAnsi"/>
          <w:bCs/>
          <w:snapToGrid w:val="0"/>
        </w:rPr>
        <w:t xml:space="preserve">CKD-associated pruritis symptoms </w:t>
      </w:r>
      <w:r w:rsidRPr="00B8711A">
        <w:rPr>
          <w:rFonts w:asciiTheme="minorHAnsi" w:hAnsiTheme="minorHAnsi"/>
          <w:snapToGrid w:val="0"/>
        </w:rPr>
        <w:t xml:space="preserve">observed in patients accessing it though special access programs. </w:t>
      </w:r>
      <w:r w:rsidR="00D7508D" w:rsidRPr="00B8711A">
        <w:rPr>
          <w:rFonts w:asciiTheme="minorHAnsi" w:hAnsiTheme="minorHAnsi"/>
          <w:snapToGrid w:val="0"/>
        </w:rPr>
        <w:t xml:space="preserve">The </w:t>
      </w:r>
      <w:r w:rsidRPr="00B8711A">
        <w:rPr>
          <w:rFonts w:asciiTheme="minorHAnsi" w:hAnsiTheme="minorHAnsi"/>
          <w:snapToGrid w:val="0"/>
        </w:rPr>
        <w:t>Committee noted the consumer comments for the resubmission concurred with those for the March 2023 submission, with the severe impact of the condition being a consistent theme. The PBAC</w:t>
      </w:r>
      <w:r w:rsidR="00D7508D" w:rsidRPr="00B8711A">
        <w:rPr>
          <w:rFonts w:asciiTheme="minorHAnsi" w:hAnsiTheme="minorHAnsi"/>
          <w:snapToGrid w:val="0"/>
        </w:rPr>
        <w:t xml:space="preserve"> reaffirmed its March 2023 </w:t>
      </w:r>
      <w:r w:rsidR="00E73D71" w:rsidRPr="00B8711A">
        <w:rPr>
          <w:rFonts w:asciiTheme="minorHAnsi" w:hAnsiTheme="minorHAnsi"/>
          <w:snapToGrid w:val="0"/>
        </w:rPr>
        <w:t xml:space="preserve">advice </w:t>
      </w:r>
      <w:r w:rsidR="00D7508D" w:rsidRPr="00B8711A">
        <w:rPr>
          <w:rFonts w:asciiTheme="minorHAnsi" w:hAnsiTheme="minorHAnsi"/>
          <w:snapToGrid w:val="0"/>
        </w:rPr>
        <w:t>that there was a clinical need for effective treatments options for moderate to severe pruritus</w:t>
      </w:r>
      <w:r w:rsidR="00E73D71" w:rsidRPr="00B8711A">
        <w:rPr>
          <w:rFonts w:asciiTheme="minorHAnsi" w:hAnsiTheme="minorHAnsi"/>
          <w:snapToGrid w:val="0"/>
        </w:rPr>
        <w:t xml:space="preserve"> (para 7.2, </w:t>
      </w:r>
      <w:r w:rsidR="00E73D71" w:rsidRPr="001C59C3">
        <w:t>difelikefalin PSD, March 2023 PBAC meeting)</w:t>
      </w:r>
      <w:r w:rsidR="00E73D71" w:rsidRPr="00B8711A">
        <w:rPr>
          <w:rFonts w:asciiTheme="minorHAnsi" w:hAnsiTheme="minorHAnsi"/>
          <w:snapToGrid w:val="0"/>
        </w:rPr>
        <w:t>.</w:t>
      </w:r>
      <w:r w:rsidR="00D7508D" w:rsidRPr="00B8711A">
        <w:rPr>
          <w:rFonts w:asciiTheme="minorHAnsi" w:hAnsiTheme="minorHAnsi"/>
          <w:snapToGrid w:val="0"/>
        </w:rPr>
        <w:t xml:space="preserve"> </w:t>
      </w:r>
      <w:r w:rsidR="00710716" w:rsidRPr="00B8711A">
        <w:rPr>
          <w:rFonts w:asciiTheme="minorHAnsi" w:hAnsiTheme="minorHAnsi"/>
          <w:snapToGrid w:val="0"/>
        </w:rPr>
        <w:t>The Committee accepted the proposed clinical place of difelikefalin, for patients with moderate to severe symptoms, was reasonable and consistent with the available clinical evidence.</w:t>
      </w:r>
    </w:p>
    <w:p w14:paraId="401BD1F4" w14:textId="7CF6CC1C" w:rsidR="00710716" w:rsidRPr="00B8711A" w:rsidRDefault="00710716" w:rsidP="00710716">
      <w:pPr>
        <w:widowControl w:val="0"/>
        <w:numPr>
          <w:ilvl w:val="1"/>
          <w:numId w:val="1"/>
        </w:numPr>
        <w:spacing w:after="120"/>
        <w:rPr>
          <w:rFonts w:asciiTheme="minorHAnsi" w:hAnsiTheme="minorHAnsi"/>
          <w:snapToGrid w:val="0"/>
        </w:rPr>
      </w:pPr>
      <w:r w:rsidRPr="00B8711A">
        <w:rPr>
          <w:rFonts w:asciiTheme="minorHAnsi" w:hAnsiTheme="minorHAnsi"/>
          <w:snapToGrid w:val="0"/>
        </w:rPr>
        <w:t xml:space="preserve">The PBAC </w:t>
      </w:r>
      <w:r w:rsidR="006B4E6A" w:rsidRPr="00B8711A">
        <w:rPr>
          <w:rFonts w:asciiTheme="minorHAnsi" w:hAnsiTheme="minorHAnsi"/>
          <w:snapToGrid w:val="0"/>
        </w:rPr>
        <w:t>noted that, consistent with its March 2023 advice,</w:t>
      </w:r>
      <w:r w:rsidRPr="00B8711A">
        <w:rPr>
          <w:rFonts w:asciiTheme="minorHAnsi" w:hAnsiTheme="minorHAnsi"/>
          <w:snapToGrid w:val="0"/>
        </w:rPr>
        <w:t xml:space="preserve"> the requested restriction include</w:t>
      </w:r>
      <w:r w:rsidR="00EF32BB" w:rsidRPr="00B8711A">
        <w:rPr>
          <w:rFonts w:asciiTheme="minorHAnsi" w:hAnsiTheme="minorHAnsi"/>
          <w:snapToGrid w:val="0"/>
        </w:rPr>
        <w:t>d</w:t>
      </w:r>
      <w:r w:rsidRPr="00B8711A">
        <w:rPr>
          <w:rFonts w:asciiTheme="minorHAnsi" w:hAnsiTheme="minorHAnsi"/>
          <w:snapToGrid w:val="0"/>
        </w:rPr>
        <w:t xml:space="preserve"> the 24-hour Worst Itching Intensity Numerical Rating Scale (WI-NRS) scale</w:t>
      </w:r>
      <w:r w:rsidR="00EF32BB" w:rsidRPr="00B8711A">
        <w:rPr>
          <w:rFonts w:asciiTheme="minorHAnsi" w:hAnsiTheme="minorHAnsi"/>
          <w:snapToGrid w:val="0"/>
        </w:rPr>
        <w:t xml:space="preserve"> and allowed </w:t>
      </w:r>
      <w:r w:rsidRPr="00B8711A">
        <w:rPr>
          <w:rFonts w:asciiTheme="minorHAnsi" w:hAnsiTheme="minorHAnsi"/>
          <w:snapToGrid w:val="0"/>
        </w:rPr>
        <w:t xml:space="preserve">use in patients receiving dialysis in the home. </w:t>
      </w:r>
      <w:r w:rsidR="00A361E0" w:rsidRPr="00B8711A">
        <w:rPr>
          <w:rFonts w:asciiTheme="minorHAnsi" w:hAnsiTheme="minorHAnsi"/>
          <w:snapToGrid w:val="0"/>
        </w:rPr>
        <w:t xml:space="preserve">The PBAC noted a Complex Authority Required (CAR) listing would allow difelikefalin to be dispensed by a S90 Community Pharmacy as well as a Public/Private Hospital Pharmacy and advised that this was appropriate. The PBAC agreed with the ESC regarding the addition of a Prescribing Instruction that allows for flexibility on the quantity of vials required for individual patients (see paragraph </w:t>
      </w:r>
      <w:r w:rsidR="00A361E0" w:rsidRPr="00B8711A">
        <w:rPr>
          <w:rFonts w:asciiTheme="minorHAnsi" w:hAnsiTheme="minorHAnsi"/>
          <w:snapToGrid w:val="0"/>
        </w:rPr>
        <w:fldChar w:fldCharType="begin" w:fldLock="1"/>
      </w:r>
      <w:r w:rsidR="00A361E0" w:rsidRPr="00B8711A">
        <w:rPr>
          <w:rFonts w:asciiTheme="minorHAnsi" w:hAnsiTheme="minorHAnsi"/>
          <w:snapToGrid w:val="0"/>
        </w:rPr>
        <w:instrText xml:space="preserve"> REF _Ref150509483 \r \h </w:instrText>
      </w:r>
      <w:r w:rsidR="00A361E0" w:rsidRPr="00B8711A">
        <w:rPr>
          <w:rFonts w:asciiTheme="minorHAnsi" w:hAnsiTheme="minorHAnsi"/>
          <w:snapToGrid w:val="0"/>
        </w:rPr>
      </w:r>
      <w:r w:rsidR="00A361E0" w:rsidRPr="00B8711A">
        <w:rPr>
          <w:rFonts w:asciiTheme="minorHAnsi" w:hAnsiTheme="minorHAnsi"/>
          <w:snapToGrid w:val="0"/>
        </w:rPr>
        <w:fldChar w:fldCharType="separate"/>
      </w:r>
      <w:r w:rsidR="00A361E0" w:rsidRPr="00B8711A">
        <w:rPr>
          <w:rFonts w:asciiTheme="minorHAnsi" w:hAnsiTheme="minorHAnsi"/>
          <w:snapToGrid w:val="0"/>
        </w:rPr>
        <w:t>3.5</w:t>
      </w:r>
      <w:r w:rsidR="00A361E0" w:rsidRPr="00B8711A">
        <w:rPr>
          <w:rFonts w:asciiTheme="minorHAnsi" w:hAnsiTheme="minorHAnsi"/>
          <w:snapToGrid w:val="0"/>
        </w:rPr>
        <w:fldChar w:fldCharType="end"/>
      </w:r>
      <w:r w:rsidR="00A361E0" w:rsidRPr="00B8711A">
        <w:rPr>
          <w:rFonts w:asciiTheme="minorHAnsi" w:hAnsiTheme="minorHAnsi"/>
          <w:snapToGrid w:val="0"/>
        </w:rPr>
        <w:t xml:space="preserve">). </w:t>
      </w:r>
      <w:r w:rsidRPr="00B8711A">
        <w:rPr>
          <w:rFonts w:asciiTheme="minorHAnsi" w:hAnsiTheme="minorHAnsi"/>
          <w:snapToGrid w:val="0"/>
        </w:rPr>
        <w:t>The PBAC also considered prescribing</w:t>
      </w:r>
      <w:r w:rsidR="00812961" w:rsidRPr="00B8711A">
        <w:rPr>
          <w:rFonts w:asciiTheme="minorHAnsi" w:hAnsiTheme="minorHAnsi"/>
          <w:snapToGrid w:val="0"/>
        </w:rPr>
        <w:t xml:space="preserve"> of initial treatment</w:t>
      </w:r>
      <w:r w:rsidRPr="00B8711A">
        <w:rPr>
          <w:rFonts w:asciiTheme="minorHAnsi" w:hAnsiTheme="minorHAnsi"/>
          <w:snapToGrid w:val="0"/>
        </w:rPr>
        <w:t xml:space="preserve"> should be limited to nephrologists only and considered the proposed term ‘renal physician’ would be adequately captured under the term ‘nephrologist’ in the restriction.</w:t>
      </w:r>
      <w:r w:rsidR="00CD091A" w:rsidRPr="00B8711A">
        <w:rPr>
          <w:rFonts w:asciiTheme="minorHAnsi" w:hAnsiTheme="minorHAnsi"/>
          <w:snapToGrid w:val="0"/>
        </w:rPr>
        <w:t xml:space="preserve"> However, </w:t>
      </w:r>
      <w:r w:rsidR="006E2AA5" w:rsidRPr="00B8711A">
        <w:rPr>
          <w:rFonts w:asciiTheme="minorHAnsi" w:hAnsiTheme="minorHAnsi"/>
          <w:snapToGrid w:val="0"/>
        </w:rPr>
        <w:t xml:space="preserve">continuing treatment can be </w:t>
      </w:r>
      <w:r w:rsidR="00CD091A" w:rsidRPr="00B8711A">
        <w:rPr>
          <w:rFonts w:asciiTheme="minorHAnsi" w:hAnsiTheme="minorHAnsi"/>
          <w:snapToGrid w:val="0"/>
        </w:rPr>
        <w:t>prescrib</w:t>
      </w:r>
      <w:r w:rsidR="006E2AA5" w:rsidRPr="00B8711A">
        <w:rPr>
          <w:rFonts w:asciiTheme="minorHAnsi" w:hAnsiTheme="minorHAnsi"/>
          <w:snapToGrid w:val="0"/>
        </w:rPr>
        <w:t>ed</w:t>
      </w:r>
      <w:r w:rsidR="00CD091A" w:rsidRPr="00B8711A">
        <w:rPr>
          <w:rFonts w:asciiTheme="minorHAnsi" w:hAnsiTheme="minorHAnsi"/>
          <w:snapToGrid w:val="0"/>
        </w:rPr>
        <w:t xml:space="preserve"> by</w:t>
      </w:r>
      <w:r w:rsidR="006E2AA5" w:rsidRPr="00B8711A">
        <w:rPr>
          <w:rFonts w:asciiTheme="minorHAnsi" w:hAnsiTheme="minorHAnsi"/>
          <w:snapToGrid w:val="0"/>
        </w:rPr>
        <w:t xml:space="preserve"> a</w:t>
      </w:r>
      <w:r w:rsidR="00CD091A" w:rsidRPr="00B8711A">
        <w:rPr>
          <w:rFonts w:asciiTheme="minorHAnsi" w:hAnsiTheme="minorHAnsi"/>
          <w:snapToGrid w:val="0"/>
        </w:rPr>
        <w:t xml:space="preserve"> nephrologist </w:t>
      </w:r>
      <w:r w:rsidR="006E2AA5" w:rsidRPr="00B8711A">
        <w:rPr>
          <w:rFonts w:asciiTheme="minorHAnsi" w:hAnsiTheme="minorHAnsi"/>
          <w:snapToGrid w:val="0"/>
        </w:rPr>
        <w:t>or by a medical practitioner in consultation with a nephrologist.</w:t>
      </w:r>
      <w:r w:rsidR="006B3F56" w:rsidRPr="00B8711A">
        <w:rPr>
          <w:rFonts w:asciiTheme="minorHAnsi" w:hAnsiTheme="minorHAnsi"/>
          <w:snapToGrid w:val="0"/>
        </w:rPr>
        <w:t xml:space="preserve"> The PBAC considered the inclusion of a grandfather restriction was appropriate. </w:t>
      </w:r>
    </w:p>
    <w:p w14:paraId="4B6B8272" w14:textId="1CA6B259" w:rsidR="00710716" w:rsidRPr="00B8711A" w:rsidRDefault="00710716" w:rsidP="00710716">
      <w:pPr>
        <w:widowControl w:val="0"/>
        <w:numPr>
          <w:ilvl w:val="1"/>
          <w:numId w:val="1"/>
        </w:numPr>
        <w:spacing w:after="120"/>
        <w:rPr>
          <w:rFonts w:asciiTheme="minorHAnsi" w:hAnsiTheme="minorHAnsi"/>
          <w:snapToGrid w:val="0"/>
        </w:rPr>
      </w:pPr>
      <w:r w:rsidRPr="00B8711A">
        <w:rPr>
          <w:rFonts w:asciiTheme="minorHAnsi" w:hAnsiTheme="minorHAnsi"/>
          <w:snapToGrid w:val="0"/>
        </w:rPr>
        <w:t xml:space="preserve">The PBAC reaffirmed its previously expressed view that the proposed comparator of </w:t>
      </w:r>
      <w:r w:rsidR="004851BA" w:rsidRPr="00B8711A">
        <w:rPr>
          <w:rFonts w:asciiTheme="minorHAnsi" w:hAnsiTheme="minorHAnsi"/>
          <w:snapToGrid w:val="0"/>
        </w:rPr>
        <w:t>best supportive care</w:t>
      </w:r>
      <w:r w:rsidRPr="00B8711A">
        <w:rPr>
          <w:rFonts w:asciiTheme="minorHAnsi" w:hAnsiTheme="minorHAnsi"/>
          <w:snapToGrid w:val="0"/>
        </w:rPr>
        <w:t xml:space="preserve"> was reasonable</w:t>
      </w:r>
      <w:r w:rsidR="007A49B3" w:rsidRPr="00B8711A">
        <w:rPr>
          <w:rFonts w:asciiTheme="minorHAnsi" w:hAnsiTheme="minorHAnsi"/>
          <w:snapToGrid w:val="0"/>
        </w:rPr>
        <w:t xml:space="preserve"> (see paragraph </w:t>
      </w:r>
      <w:r w:rsidR="007A49B3" w:rsidRPr="00B8711A">
        <w:rPr>
          <w:rFonts w:asciiTheme="minorHAnsi" w:hAnsiTheme="minorHAnsi"/>
          <w:snapToGrid w:val="0"/>
        </w:rPr>
        <w:fldChar w:fldCharType="begin" w:fldLock="1"/>
      </w:r>
      <w:r w:rsidR="007A49B3" w:rsidRPr="00B8711A">
        <w:rPr>
          <w:rFonts w:asciiTheme="minorHAnsi" w:hAnsiTheme="minorHAnsi"/>
          <w:snapToGrid w:val="0"/>
        </w:rPr>
        <w:instrText xml:space="preserve"> REF _Ref150510944 \r \h </w:instrText>
      </w:r>
      <w:r w:rsidR="007A49B3" w:rsidRPr="00B8711A">
        <w:rPr>
          <w:rFonts w:asciiTheme="minorHAnsi" w:hAnsiTheme="minorHAnsi"/>
          <w:snapToGrid w:val="0"/>
        </w:rPr>
      </w:r>
      <w:r w:rsidR="007A49B3" w:rsidRPr="00B8711A">
        <w:rPr>
          <w:rFonts w:asciiTheme="minorHAnsi" w:hAnsiTheme="minorHAnsi"/>
          <w:snapToGrid w:val="0"/>
        </w:rPr>
        <w:fldChar w:fldCharType="separate"/>
      </w:r>
      <w:r w:rsidR="007A49B3" w:rsidRPr="00B8711A">
        <w:rPr>
          <w:rFonts w:asciiTheme="minorHAnsi" w:hAnsiTheme="minorHAnsi"/>
          <w:snapToGrid w:val="0"/>
        </w:rPr>
        <w:t>5.1</w:t>
      </w:r>
      <w:r w:rsidR="007A49B3" w:rsidRPr="00B8711A">
        <w:rPr>
          <w:rFonts w:asciiTheme="minorHAnsi" w:hAnsiTheme="minorHAnsi"/>
          <w:snapToGrid w:val="0"/>
        </w:rPr>
        <w:fldChar w:fldCharType="end"/>
      </w:r>
      <w:r w:rsidR="007A49B3" w:rsidRPr="00B8711A">
        <w:rPr>
          <w:rFonts w:asciiTheme="minorHAnsi" w:hAnsiTheme="minorHAnsi"/>
          <w:snapToGrid w:val="0"/>
        </w:rPr>
        <w:t>)</w:t>
      </w:r>
      <w:r w:rsidRPr="00B8711A">
        <w:rPr>
          <w:rFonts w:asciiTheme="minorHAnsi" w:hAnsiTheme="minorHAnsi"/>
          <w:snapToGrid w:val="0"/>
        </w:rPr>
        <w:t>.</w:t>
      </w:r>
    </w:p>
    <w:p w14:paraId="2A43BCE1" w14:textId="50E24D7F" w:rsidR="00324330" w:rsidRPr="001C59C3" w:rsidRDefault="00D7508D" w:rsidP="00C97B45">
      <w:pPr>
        <w:pStyle w:val="COMexecsumnumberedpara"/>
      </w:pPr>
      <w:r w:rsidRPr="00B8711A">
        <w:t>The PBAC noted the key clinical evidence in the resubmission was unchanged</w:t>
      </w:r>
      <w:r w:rsidR="00710716" w:rsidRPr="00B8711A">
        <w:t>, with the comparative effectiveness claim based on the results of the KALM-1 and KALM-2 studies</w:t>
      </w:r>
      <w:r w:rsidR="00F92199" w:rsidRPr="00B8711A">
        <w:t xml:space="preserve">. The PBAC recalled that, </w:t>
      </w:r>
      <w:r w:rsidR="00710716" w:rsidRPr="00B8711A">
        <w:t>for the pooled population</w:t>
      </w:r>
      <w:r w:rsidR="00F92199" w:rsidRPr="00B8711A">
        <w:t>,</w:t>
      </w:r>
      <w:r w:rsidR="00710716" w:rsidRPr="00B8711A">
        <w:t xml:space="preserve"> a</w:t>
      </w:r>
      <w:r w:rsidR="00F92199" w:rsidRPr="00B8711A">
        <w:t xml:space="preserve"> statistically significantly greater proportion of patients treated with difelikefalin achieved a ≥3-point improvement in WI-NRS score at Week 12 from baseline compared to those receiving </w:t>
      </w:r>
      <w:r w:rsidR="004851BA" w:rsidRPr="00B8711A">
        <w:t xml:space="preserve">best supportive care </w:t>
      </w:r>
      <w:r w:rsidR="00710716" w:rsidRPr="00B8711A">
        <w:t xml:space="preserve">(OR 1.93, 95% CI 1.44, 2.57). </w:t>
      </w:r>
      <w:r w:rsidR="00D12D96" w:rsidRPr="00B8711A">
        <w:t>T</w:t>
      </w:r>
      <w:r w:rsidR="00710716" w:rsidRPr="00B8711A">
        <w:t>he PBAC</w:t>
      </w:r>
      <w:r w:rsidRPr="00B8711A">
        <w:t xml:space="preserve"> reaffirmed its </w:t>
      </w:r>
      <w:r w:rsidR="00D12D96" w:rsidRPr="00B8711A">
        <w:t>March 2023 advice</w:t>
      </w:r>
      <w:r w:rsidRPr="00B8711A">
        <w:t xml:space="preserve"> that the claim</w:t>
      </w:r>
      <w:r w:rsidR="00D12D96" w:rsidRPr="00B8711A">
        <w:t xml:space="preserve"> of superior comparative effectiveness compared to best supportive care was likely to be reasonable</w:t>
      </w:r>
      <w:r w:rsidR="001E75AC" w:rsidRPr="00B8711A">
        <w:t xml:space="preserve"> </w:t>
      </w:r>
      <w:bookmarkStart w:id="81" w:name="_Hlk150513538"/>
      <w:r w:rsidR="001E75AC" w:rsidRPr="00B8711A">
        <w:t xml:space="preserve">(see paragraph </w:t>
      </w:r>
      <w:r w:rsidR="001E75AC" w:rsidRPr="00B8711A">
        <w:fldChar w:fldCharType="begin" w:fldLock="1"/>
      </w:r>
      <w:r w:rsidR="001E75AC" w:rsidRPr="00B8711A">
        <w:instrText xml:space="preserve"> REF _Ref150513487 \r \h </w:instrText>
      </w:r>
      <w:r w:rsidR="001E75AC" w:rsidRPr="00B8711A">
        <w:fldChar w:fldCharType="separate"/>
      </w:r>
      <w:r w:rsidR="001E75AC" w:rsidRPr="00B8711A">
        <w:t>6.50</w:t>
      </w:r>
      <w:r w:rsidR="001E75AC" w:rsidRPr="00B8711A">
        <w:fldChar w:fldCharType="end"/>
      </w:r>
      <w:r w:rsidR="001E75AC" w:rsidRPr="00B8711A">
        <w:t>)</w:t>
      </w:r>
      <w:r w:rsidRPr="00B8711A">
        <w:t xml:space="preserve">. </w:t>
      </w:r>
      <w:bookmarkEnd w:id="81"/>
    </w:p>
    <w:p w14:paraId="525FF84E" w14:textId="18D5A8CA" w:rsidR="00AD0AB2" w:rsidRPr="00B8711A" w:rsidRDefault="00AD0AB2" w:rsidP="00324330">
      <w:pPr>
        <w:widowControl w:val="0"/>
        <w:numPr>
          <w:ilvl w:val="1"/>
          <w:numId w:val="1"/>
        </w:numPr>
        <w:spacing w:after="120"/>
        <w:rPr>
          <w:rFonts w:asciiTheme="minorHAnsi" w:hAnsiTheme="minorHAnsi"/>
          <w:snapToGrid w:val="0"/>
        </w:rPr>
      </w:pPr>
      <w:r w:rsidRPr="00B8711A">
        <w:rPr>
          <w:rFonts w:asciiTheme="minorHAnsi" w:hAnsiTheme="minorHAnsi"/>
          <w:snapToGrid w:val="0"/>
        </w:rPr>
        <w:lastRenderedPageBreak/>
        <w:t xml:space="preserve">The PBAC noted no new safety data </w:t>
      </w:r>
      <w:r w:rsidR="005B730F" w:rsidRPr="00B8711A">
        <w:rPr>
          <w:rFonts w:asciiTheme="minorHAnsi" w:hAnsiTheme="minorHAnsi"/>
          <w:snapToGrid w:val="0"/>
        </w:rPr>
        <w:t xml:space="preserve">were </w:t>
      </w:r>
      <w:r w:rsidRPr="00B8711A">
        <w:rPr>
          <w:rFonts w:asciiTheme="minorHAnsi" w:hAnsiTheme="minorHAnsi"/>
          <w:snapToGrid w:val="0"/>
        </w:rPr>
        <w:t xml:space="preserve">available and that the trial evidence indicated difelikefalin </w:t>
      </w:r>
      <w:r w:rsidR="005B730F" w:rsidRPr="00B8711A">
        <w:rPr>
          <w:rFonts w:asciiTheme="minorHAnsi" w:hAnsiTheme="minorHAnsi"/>
          <w:snapToGrid w:val="0"/>
        </w:rPr>
        <w:t xml:space="preserve">was </w:t>
      </w:r>
      <w:r w:rsidRPr="00B8711A">
        <w:rPr>
          <w:rFonts w:asciiTheme="minorHAnsi" w:hAnsiTheme="minorHAnsi"/>
          <w:snapToGrid w:val="0"/>
        </w:rPr>
        <w:t xml:space="preserve">associated with increased </w:t>
      </w:r>
      <w:r w:rsidR="00DF1778" w:rsidRPr="00B8711A">
        <w:rPr>
          <w:rFonts w:asciiTheme="minorHAnsi" w:hAnsiTheme="minorHAnsi"/>
          <w:snapToGrid w:val="0"/>
        </w:rPr>
        <w:t>occurrence</w:t>
      </w:r>
      <w:r w:rsidRPr="00B8711A">
        <w:rPr>
          <w:rFonts w:asciiTheme="minorHAnsi" w:hAnsiTheme="minorHAnsi"/>
          <w:snapToGrid w:val="0"/>
        </w:rPr>
        <w:t xml:space="preserve"> of gastrointestinal adverse events, falls/gait disturbances, </w:t>
      </w:r>
      <w:r w:rsidR="00DF1778" w:rsidRPr="00B8711A">
        <w:rPr>
          <w:rFonts w:asciiTheme="minorHAnsi" w:hAnsiTheme="minorHAnsi"/>
          <w:snapToGrid w:val="0"/>
        </w:rPr>
        <w:t>dizziness,</w:t>
      </w:r>
      <w:r w:rsidRPr="00B8711A">
        <w:rPr>
          <w:rFonts w:asciiTheme="minorHAnsi" w:hAnsiTheme="minorHAnsi"/>
          <w:snapToGrid w:val="0"/>
        </w:rPr>
        <w:t xml:space="preserve"> and somnolence. Overall, the Committee reaffirmed its previous view that the claim of inferior comparative safety to </w:t>
      </w:r>
      <w:r w:rsidR="004851BA" w:rsidRPr="00B8711A">
        <w:rPr>
          <w:rFonts w:asciiTheme="minorHAnsi" w:hAnsiTheme="minorHAnsi"/>
          <w:snapToGrid w:val="0"/>
        </w:rPr>
        <w:t>best supportive care</w:t>
      </w:r>
      <w:r w:rsidRPr="00B8711A">
        <w:rPr>
          <w:rFonts w:asciiTheme="minorHAnsi" w:hAnsiTheme="minorHAnsi"/>
          <w:snapToGrid w:val="0"/>
        </w:rPr>
        <w:t xml:space="preserve"> was reasonable</w:t>
      </w:r>
      <w:r w:rsidR="001E75AC" w:rsidRPr="00B8711A">
        <w:rPr>
          <w:rFonts w:asciiTheme="minorHAnsi" w:hAnsiTheme="minorHAnsi"/>
          <w:snapToGrid w:val="0"/>
        </w:rPr>
        <w:t xml:space="preserve"> </w:t>
      </w:r>
      <w:r w:rsidR="001E75AC" w:rsidRPr="00B8711A">
        <w:t xml:space="preserve">(see paragraph </w:t>
      </w:r>
      <w:r w:rsidR="001E75AC" w:rsidRPr="00B8711A">
        <w:fldChar w:fldCharType="begin" w:fldLock="1"/>
      </w:r>
      <w:r w:rsidR="001E75AC" w:rsidRPr="00B8711A">
        <w:instrText xml:space="preserve"> REF _Ref150513487 \r \h </w:instrText>
      </w:r>
      <w:r w:rsidR="001E75AC" w:rsidRPr="00B8711A">
        <w:fldChar w:fldCharType="separate"/>
      </w:r>
      <w:r w:rsidR="001E75AC" w:rsidRPr="00B8711A">
        <w:t>6.50</w:t>
      </w:r>
      <w:r w:rsidR="001E75AC" w:rsidRPr="00B8711A">
        <w:fldChar w:fldCharType="end"/>
      </w:r>
      <w:r w:rsidR="001E75AC" w:rsidRPr="00B8711A">
        <w:t>)</w:t>
      </w:r>
      <w:r w:rsidRPr="00B8711A">
        <w:rPr>
          <w:rFonts w:asciiTheme="minorHAnsi" w:hAnsiTheme="minorHAnsi"/>
          <w:snapToGrid w:val="0"/>
        </w:rPr>
        <w:t>.</w:t>
      </w:r>
    </w:p>
    <w:p w14:paraId="38C7FB05" w14:textId="61A1B444" w:rsidR="00887E3B" w:rsidRPr="00B8711A" w:rsidRDefault="00AD0AB2" w:rsidP="00324330">
      <w:pPr>
        <w:widowControl w:val="0"/>
        <w:numPr>
          <w:ilvl w:val="1"/>
          <w:numId w:val="1"/>
        </w:numPr>
        <w:spacing w:after="120"/>
        <w:rPr>
          <w:rFonts w:asciiTheme="minorHAnsi" w:hAnsiTheme="minorHAnsi"/>
          <w:snapToGrid w:val="0"/>
        </w:rPr>
      </w:pPr>
      <w:r w:rsidRPr="00B8711A">
        <w:rPr>
          <w:rFonts w:asciiTheme="minorHAnsi" w:hAnsiTheme="minorHAnsi"/>
          <w:snapToGrid w:val="0"/>
        </w:rPr>
        <w:t xml:space="preserve">The PBAC </w:t>
      </w:r>
      <w:r w:rsidR="00707339" w:rsidRPr="00B8711A">
        <w:rPr>
          <w:rFonts w:asciiTheme="minorHAnsi" w:hAnsiTheme="minorHAnsi"/>
          <w:snapToGrid w:val="0"/>
        </w:rPr>
        <w:t xml:space="preserve">recalled that in March 2023 it had considered the structure of the economic model as overall likely to be reasonable, however key inputs were optimistic and favoured difelikefalin (see paragraph </w:t>
      </w:r>
      <w:r w:rsidR="00707339" w:rsidRPr="00B8711A">
        <w:rPr>
          <w:rFonts w:asciiTheme="minorHAnsi" w:hAnsiTheme="minorHAnsi"/>
          <w:snapToGrid w:val="0"/>
        </w:rPr>
        <w:fldChar w:fldCharType="begin" w:fldLock="1"/>
      </w:r>
      <w:r w:rsidR="00707339" w:rsidRPr="00B8711A">
        <w:rPr>
          <w:rFonts w:asciiTheme="minorHAnsi" w:hAnsiTheme="minorHAnsi"/>
          <w:snapToGrid w:val="0"/>
        </w:rPr>
        <w:instrText xml:space="preserve"> REF _Ref150514094 \r \h </w:instrText>
      </w:r>
      <w:r w:rsidR="00707339" w:rsidRPr="00B8711A">
        <w:rPr>
          <w:rFonts w:asciiTheme="minorHAnsi" w:hAnsiTheme="minorHAnsi"/>
          <w:snapToGrid w:val="0"/>
        </w:rPr>
      </w:r>
      <w:r w:rsidR="00707339" w:rsidRPr="00B8711A">
        <w:rPr>
          <w:rFonts w:asciiTheme="minorHAnsi" w:hAnsiTheme="minorHAnsi"/>
          <w:snapToGrid w:val="0"/>
        </w:rPr>
        <w:fldChar w:fldCharType="separate"/>
      </w:r>
      <w:r w:rsidR="00707339" w:rsidRPr="00B8711A">
        <w:rPr>
          <w:rFonts w:asciiTheme="minorHAnsi" w:hAnsiTheme="minorHAnsi"/>
          <w:snapToGrid w:val="0"/>
        </w:rPr>
        <w:t>6.56</w:t>
      </w:r>
      <w:r w:rsidR="00707339" w:rsidRPr="00B8711A">
        <w:rPr>
          <w:rFonts w:asciiTheme="minorHAnsi" w:hAnsiTheme="minorHAnsi"/>
          <w:snapToGrid w:val="0"/>
        </w:rPr>
        <w:fldChar w:fldCharType="end"/>
      </w:r>
      <w:r w:rsidR="00707339" w:rsidRPr="00B8711A">
        <w:rPr>
          <w:rFonts w:asciiTheme="minorHAnsi" w:hAnsiTheme="minorHAnsi"/>
          <w:snapToGrid w:val="0"/>
        </w:rPr>
        <w:t xml:space="preserve">). The PBAC noted the resubmission made </w:t>
      </w:r>
      <w:r w:rsidR="00CE44D0">
        <w:rPr>
          <w:rFonts w:asciiTheme="minorHAnsi" w:hAnsiTheme="minorHAnsi"/>
          <w:snapToGrid w:val="0"/>
        </w:rPr>
        <w:t xml:space="preserve">multiple </w:t>
      </w:r>
      <w:r w:rsidR="00707339" w:rsidRPr="00B8711A">
        <w:rPr>
          <w:rFonts w:asciiTheme="minorHAnsi" w:hAnsiTheme="minorHAnsi"/>
          <w:snapToGrid w:val="0"/>
        </w:rPr>
        <w:t>changes to the model in an attempt to address the concerns raised in March</w:t>
      </w:r>
      <w:r w:rsidR="00690B5F">
        <w:rPr>
          <w:rFonts w:asciiTheme="minorHAnsi" w:hAnsiTheme="minorHAnsi"/>
          <w:snapToGrid w:val="0"/>
        </w:rPr>
        <w:t> </w:t>
      </w:r>
      <w:r w:rsidR="00707339" w:rsidRPr="00B8711A">
        <w:rPr>
          <w:rFonts w:asciiTheme="minorHAnsi" w:hAnsiTheme="minorHAnsi"/>
          <w:snapToGrid w:val="0"/>
        </w:rPr>
        <w:t xml:space="preserve">2023 (see paragraph </w:t>
      </w:r>
      <w:r w:rsidR="00707339" w:rsidRPr="00B8711A">
        <w:rPr>
          <w:rFonts w:asciiTheme="minorHAnsi" w:hAnsiTheme="minorHAnsi"/>
          <w:snapToGrid w:val="0"/>
        </w:rPr>
        <w:fldChar w:fldCharType="begin" w:fldLock="1"/>
      </w:r>
      <w:r w:rsidR="00707339" w:rsidRPr="00B8711A">
        <w:rPr>
          <w:rFonts w:asciiTheme="minorHAnsi" w:hAnsiTheme="minorHAnsi"/>
          <w:snapToGrid w:val="0"/>
        </w:rPr>
        <w:instrText xml:space="preserve"> REF _Ref150514476 \r \h </w:instrText>
      </w:r>
      <w:r w:rsidR="00707339" w:rsidRPr="00B8711A">
        <w:rPr>
          <w:rFonts w:asciiTheme="minorHAnsi" w:hAnsiTheme="minorHAnsi"/>
          <w:snapToGrid w:val="0"/>
        </w:rPr>
      </w:r>
      <w:r w:rsidR="00707339" w:rsidRPr="00B8711A">
        <w:rPr>
          <w:rFonts w:asciiTheme="minorHAnsi" w:hAnsiTheme="minorHAnsi"/>
          <w:snapToGrid w:val="0"/>
        </w:rPr>
        <w:fldChar w:fldCharType="separate"/>
      </w:r>
      <w:r w:rsidR="00707339" w:rsidRPr="00B8711A">
        <w:rPr>
          <w:rFonts w:asciiTheme="minorHAnsi" w:hAnsiTheme="minorHAnsi"/>
          <w:snapToGrid w:val="0"/>
        </w:rPr>
        <w:t>6.57</w:t>
      </w:r>
      <w:r w:rsidR="00707339" w:rsidRPr="00B8711A">
        <w:rPr>
          <w:rFonts w:asciiTheme="minorHAnsi" w:hAnsiTheme="minorHAnsi"/>
          <w:snapToGrid w:val="0"/>
        </w:rPr>
        <w:fldChar w:fldCharType="end"/>
      </w:r>
      <w:r w:rsidR="00707339" w:rsidRPr="00B8711A">
        <w:rPr>
          <w:rFonts w:asciiTheme="minorHAnsi" w:hAnsiTheme="minorHAnsi"/>
          <w:snapToGrid w:val="0"/>
        </w:rPr>
        <w:t xml:space="preserve">). </w:t>
      </w:r>
      <w:r w:rsidR="00C1728A" w:rsidRPr="00B8711A">
        <w:rPr>
          <w:rFonts w:asciiTheme="minorHAnsi" w:hAnsiTheme="minorHAnsi"/>
          <w:snapToGrid w:val="0"/>
        </w:rPr>
        <w:t xml:space="preserve">The PBAC </w:t>
      </w:r>
      <w:r w:rsidR="001E75AC" w:rsidRPr="00B8711A">
        <w:rPr>
          <w:rFonts w:asciiTheme="minorHAnsi" w:hAnsiTheme="minorHAnsi"/>
          <w:snapToGrid w:val="0"/>
        </w:rPr>
        <w:t>acknowledged</w:t>
      </w:r>
      <w:r w:rsidRPr="00B8711A">
        <w:rPr>
          <w:rFonts w:asciiTheme="minorHAnsi" w:hAnsiTheme="minorHAnsi"/>
          <w:snapToGrid w:val="0"/>
        </w:rPr>
        <w:t xml:space="preserve"> </w:t>
      </w:r>
      <w:r w:rsidR="001E75AC" w:rsidRPr="00B8711A">
        <w:rPr>
          <w:rFonts w:asciiTheme="minorHAnsi" w:hAnsiTheme="minorHAnsi"/>
          <w:snapToGrid w:val="0"/>
        </w:rPr>
        <w:t>the</w:t>
      </w:r>
      <w:r w:rsidRPr="00B8711A">
        <w:rPr>
          <w:rFonts w:asciiTheme="minorHAnsi" w:hAnsiTheme="minorHAnsi"/>
          <w:snapToGrid w:val="0"/>
        </w:rPr>
        <w:t xml:space="preserve"> </w:t>
      </w:r>
      <w:r w:rsidR="00C1728A" w:rsidRPr="00B8711A">
        <w:rPr>
          <w:rFonts w:asciiTheme="minorHAnsi" w:hAnsiTheme="minorHAnsi"/>
          <w:snapToGrid w:val="0"/>
        </w:rPr>
        <w:t xml:space="preserve">ESC advice </w:t>
      </w:r>
      <w:r w:rsidRPr="00B8711A">
        <w:rPr>
          <w:rFonts w:asciiTheme="minorHAnsi" w:hAnsiTheme="minorHAnsi"/>
          <w:snapToGrid w:val="0"/>
        </w:rPr>
        <w:t xml:space="preserve">that while some changes to the economic model in the resubmission </w:t>
      </w:r>
      <w:r w:rsidR="004B73E7" w:rsidRPr="00B8711A">
        <w:rPr>
          <w:rFonts w:asciiTheme="minorHAnsi" w:hAnsiTheme="minorHAnsi"/>
          <w:snapToGrid w:val="0"/>
        </w:rPr>
        <w:t>were</w:t>
      </w:r>
      <w:r w:rsidRPr="00B8711A">
        <w:rPr>
          <w:rFonts w:asciiTheme="minorHAnsi" w:hAnsiTheme="minorHAnsi"/>
          <w:snapToGrid w:val="0"/>
        </w:rPr>
        <w:t xml:space="preserve"> appropriate, other components of the model likely favoured difelikefalin</w:t>
      </w:r>
      <w:r w:rsidR="00C1728A" w:rsidRPr="00B8711A">
        <w:rPr>
          <w:rFonts w:asciiTheme="minorHAnsi" w:hAnsiTheme="minorHAnsi"/>
          <w:snapToGrid w:val="0"/>
        </w:rPr>
        <w:t xml:space="preserve"> (see paragraph </w:t>
      </w:r>
      <w:r w:rsidR="00C1728A" w:rsidRPr="00B8711A">
        <w:rPr>
          <w:rFonts w:asciiTheme="minorHAnsi" w:hAnsiTheme="minorHAnsi"/>
          <w:snapToGrid w:val="0"/>
        </w:rPr>
        <w:fldChar w:fldCharType="begin" w:fldLock="1"/>
      </w:r>
      <w:r w:rsidR="00C1728A" w:rsidRPr="00B8711A">
        <w:rPr>
          <w:rFonts w:asciiTheme="minorHAnsi" w:hAnsiTheme="minorHAnsi"/>
          <w:snapToGrid w:val="0"/>
        </w:rPr>
        <w:instrText xml:space="preserve"> REF _Ref150514870 \r \h </w:instrText>
      </w:r>
      <w:r w:rsidR="00C1728A" w:rsidRPr="00B8711A">
        <w:rPr>
          <w:rFonts w:asciiTheme="minorHAnsi" w:hAnsiTheme="minorHAnsi"/>
          <w:snapToGrid w:val="0"/>
        </w:rPr>
      </w:r>
      <w:r w:rsidR="00C1728A" w:rsidRPr="00B8711A">
        <w:rPr>
          <w:rFonts w:asciiTheme="minorHAnsi" w:hAnsiTheme="minorHAnsi"/>
          <w:snapToGrid w:val="0"/>
        </w:rPr>
        <w:fldChar w:fldCharType="separate"/>
      </w:r>
      <w:r w:rsidR="00C1728A" w:rsidRPr="00B8711A">
        <w:rPr>
          <w:rFonts w:asciiTheme="minorHAnsi" w:hAnsiTheme="minorHAnsi"/>
          <w:snapToGrid w:val="0"/>
        </w:rPr>
        <w:t>6.79</w:t>
      </w:r>
      <w:r w:rsidR="00C1728A" w:rsidRPr="00B8711A">
        <w:rPr>
          <w:rFonts w:asciiTheme="minorHAnsi" w:hAnsiTheme="minorHAnsi"/>
          <w:snapToGrid w:val="0"/>
        </w:rPr>
        <w:fldChar w:fldCharType="end"/>
      </w:r>
      <w:r w:rsidR="00C1728A" w:rsidRPr="00B8711A">
        <w:rPr>
          <w:rFonts w:asciiTheme="minorHAnsi" w:hAnsiTheme="minorHAnsi"/>
          <w:snapToGrid w:val="0"/>
        </w:rPr>
        <w:t>)</w:t>
      </w:r>
      <w:r w:rsidRPr="00B8711A">
        <w:rPr>
          <w:rFonts w:asciiTheme="minorHAnsi" w:hAnsiTheme="minorHAnsi"/>
          <w:snapToGrid w:val="0"/>
        </w:rPr>
        <w:t xml:space="preserve">. </w:t>
      </w:r>
      <w:r w:rsidR="00887E3B" w:rsidRPr="00B8711A">
        <w:rPr>
          <w:rFonts w:asciiTheme="minorHAnsi" w:hAnsiTheme="minorHAnsi"/>
          <w:snapToGrid w:val="0"/>
        </w:rPr>
        <w:t>T</w:t>
      </w:r>
      <w:r w:rsidR="00DF1778" w:rsidRPr="00B8711A">
        <w:rPr>
          <w:rFonts w:asciiTheme="minorHAnsi" w:hAnsiTheme="minorHAnsi"/>
          <w:snapToGrid w:val="0"/>
        </w:rPr>
        <w:t xml:space="preserve">he PBAC noted the </w:t>
      </w:r>
      <w:r w:rsidR="001E75AC" w:rsidRPr="00B8711A">
        <w:rPr>
          <w:rFonts w:asciiTheme="minorHAnsi" w:hAnsiTheme="minorHAnsi"/>
          <w:snapToGrid w:val="0"/>
        </w:rPr>
        <w:t>p</w:t>
      </w:r>
      <w:r w:rsidR="00DF1778" w:rsidRPr="00B8711A">
        <w:rPr>
          <w:rFonts w:asciiTheme="minorHAnsi" w:hAnsiTheme="minorHAnsi"/>
          <w:snapToGrid w:val="0"/>
        </w:rPr>
        <w:t xml:space="preserve">re-PBAC Response </w:t>
      </w:r>
      <w:r w:rsidR="00887E3B" w:rsidRPr="00B8711A">
        <w:rPr>
          <w:rFonts w:asciiTheme="minorHAnsi" w:hAnsiTheme="minorHAnsi"/>
          <w:snapToGrid w:val="0"/>
        </w:rPr>
        <w:t xml:space="preserve">subsequently offered </w:t>
      </w:r>
      <w:r w:rsidR="00887E3B" w:rsidRPr="00BD7028">
        <w:rPr>
          <w:rFonts w:asciiTheme="minorHAnsi" w:hAnsiTheme="minorHAnsi"/>
          <w:snapToGrid w:val="0"/>
        </w:rPr>
        <w:t>a</w:t>
      </w:r>
      <w:r w:rsidR="00690B5F">
        <w:rPr>
          <w:rFonts w:asciiTheme="minorHAnsi" w:hAnsiTheme="minorHAnsi"/>
          <w:snapToGrid w:val="0"/>
        </w:rPr>
        <w:t xml:space="preserve"> </w:t>
      </w:r>
      <w:r w:rsidR="008A42F6" w:rsidRPr="00690B5F">
        <w:rPr>
          <w:color w:val="000000"/>
          <w:w w:val="15"/>
          <w:shd w:val="solid" w:color="000000" w:fill="000000"/>
          <w:fitText w:val="-20" w:id="-1032102397"/>
          <w14:textFill>
            <w14:solidFill>
              <w14:srgbClr w14:val="000000">
                <w14:alpha w14:val="100000"/>
              </w14:srgbClr>
            </w14:solidFill>
          </w14:textFill>
        </w:rPr>
        <w:t xml:space="preserve">|  </w:t>
      </w:r>
      <w:r w:rsidR="008A42F6" w:rsidRPr="00690B5F">
        <w:rPr>
          <w:color w:val="000000"/>
          <w:spacing w:val="-69"/>
          <w:w w:val="15"/>
          <w:shd w:val="solid" w:color="000000" w:fill="000000"/>
          <w:fitText w:val="-20" w:id="-1032102397"/>
          <w14:textFill>
            <w14:solidFill>
              <w14:srgbClr w14:val="000000">
                <w14:alpha w14:val="100000"/>
              </w14:srgbClr>
            </w14:solidFill>
          </w14:textFill>
        </w:rPr>
        <w:t>|</w:t>
      </w:r>
      <w:r w:rsidR="00887E3B" w:rsidRPr="00BD7028">
        <w:t>%</w:t>
      </w:r>
      <w:r w:rsidR="00887E3B" w:rsidRPr="001C59C3">
        <w:t xml:space="preserve"> price reduction (see paragraph </w:t>
      </w:r>
      <w:r w:rsidR="00887E3B" w:rsidRPr="001C59C3">
        <w:fldChar w:fldCharType="begin" w:fldLock="1"/>
      </w:r>
      <w:r w:rsidR="00887E3B" w:rsidRPr="001C59C3">
        <w:instrText xml:space="preserve"> REF _Ref150429347 \r \h </w:instrText>
      </w:r>
      <w:r w:rsidR="00887E3B" w:rsidRPr="001C59C3">
        <w:fldChar w:fldCharType="separate"/>
      </w:r>
      <w:r w:rsidR="00887E3B" w:rsidRPr="001C59C3">
        <w:t>3.2</w:t>
      </w:r>
      <w:r w:rsidR="00887E3B" w:rsidRPr="001C59C3">
        <w:fldChar w:fldCharType="end"/>
      </w:r>
      <w:r w:rsidR="00887E3B" w:rsidRPr="001C59C3">
        <w:t xml:space="preserve">) to mitigate any remaining uncertainties regarding the economic model. The PBAC noted the pre-PBAC Response price reduction decreased the resubmission ICER per QALY gained from </w:t>
      </w:r>
      <w:r w:rsidR="00277223" w:rsidRPr="00277223">
        <w:t>$45,000 to &lt; $55,000</w:t>
      </w:r>
      <w:r w:rsidR="00887E3B" w:rsidRPr="001C59C3">
        <w:t xml:space="preserve"> to </w:t>
      </w:r>
      <w:r w:rsidR="00277223" w:rsidRPr="00277223">
        <w:t>$35,000 to &lt;</w:t>
      </w:r>
      <w:r w:rsidR="00690B5F">
        <w:t> </w:t>
      </w:r>
      <w:r w:rsidR="00277223" w:rsidRPr="00277223">
        <w:t>$45,000</w:t>
      </w:r>
      <w:r w:rsidR="00277223">
        <w:t xml:space="preserve">. </w:t>
      </w:r>
      <w:r w:rsidR="00887E3B" w:rsidRPr="00B8711A">
        <w:rPr>
          <w:rFonts w:asciiTheme="minorHAnsi" w:hAnsiTheme="minorHAnsi"/>
          <w:snapToGrid w:val="0"/>
        </w:rPr>
        <w:t xml:space="preserve">The </w:t>
      </w:r>
      <w:r w:rsidR="00DF1778" w:rsidRPr="00B8711A">
        <w:rPr>
          <w:rFonts w:asciiTheme="minorHAnsi" w:hAnsiTheme="minorHAnsi"/>
          <w:snapToGrid w:val="0"/>
        </w:rPr>
        <w:t xml:space="preserve">PBAC accepted the </w:t>
      </w:r>
      <w:r w:rsidR="004B73E7" w:rsidRPr="00B8711A">
        <w:rPr>
          <w:rFonts w:asciiTheme="minorHAnsi" w:hAnsiTheme="minorHAnsi"/>
          <w:snapToGrid w:val="0"/>
        </w:rPr>
        <w:t xml:space="preserve">economic </w:t>
      </w:r>
      <w:r w:rsidR="00DF1778" w:rsidRPr="00B8711A">
        <w:rPr>
          <w:rFonts w:asciiTheme="minorHAnsi" w:hAnsiTheme="minorHAnsi"/>
          <w:snapToGrid w:val="0"/>
        </w:rPr>
        <w:t>model was structurally reliable for decision-making</w:t>
      </w:r>
      <w:r w:rsidR="00887E3B" w:rsidRPr="00B8711A">
        <w:rPr>
          <w:rFonts w:asciiTheme="minorHAnsi" w:hAnsiTheme="minorHAnsi"/>
          <w:snapToGrid w:val="0"/>
        </w:rPr>
        <w:t xml:space="preserve"> and </w:t>
      </w:r>
      <w:r w:rsidR="004B73E7" w:rsidRPr="00B8711A">
        <w:rPr>
          <w:rFonts w:asciiTheme="minorHAnsi" w:hAnsiTheme="minorHAnsi"/>
          <w:snapToGrid w:val="0"/>
        </w:rPr>
        <w:t xml:space="preserve">advised that, </w:t>
      </w:r>
      <w:r w:rsidR="00DF1778" w:rsidRPr="00B8711A">
        <w:rPr>
          <w:rFonts w:asciiTheme="minorHAnsi" w:hAnsiTheme="minorHAnsi"/>
          <w:snapToGrid w:val="0"/>
        </w:rPr>
        <w:t>with the</w:t>
      </w:r>
      <w:r w:rsidR="004B73E7" w:rsidRPr="00B8711A">
        <w:rPr>
          <w:rFonts w:asciiTheme="minorHAnsi" w:hAnsiTheme="minorHAnsi"/>
          <w:snapToGrid w:val="0"/>
        </w:rPr>
        <w:t xml:space="preserve"> </w:t>
      </w:r>
      <w:r w:rsidR="001E75AC" w:rsidRPr="00B8711A">
        <w:rPr>
          <w:rFonts w:asciiTheme="minorHAnsi" w:hAnsiTheme="minorHAnsi"/>
          <w:snapToGrid w:val="0"/>
        </w:rPr>
        <w:t xml:space="preserve">pre-PBAC </w:t>
      </w:r>
      <w:r w:rsidR="007643CB" w:rsidRPr="00B8711A">
        <w:rPr>
          <w:rFonts w:asciiTheme="minorHAnsi" w:hAnsiTheme="minorHAnsi"/>
          <w:snapToGrid w:val="0"/>
        </w:rPr>
        <w:t xml:space="preserve">Response </w:t>
      </w:r>
      <w:r w:rsidR="00DF1778" w:rsidRPr="00B8711A">
        <w:rPr>
          <w:rFonts w:asciiTheme="minorHAnsi" w:hAnsiTheme="minorHAnsi"/>
          <w:snapToGrid w:val="0"/>
        </w:rPr>
        <w:t>price offer</w:t>
      </w:r>
      <w:r w:rsidR="004B73E7" w:rsidRPr="00B8711A">
        <w:rPr>
          <w:rFonts w:asciiTheme="minorHAnsi" w:hAnsiTheme="minorHAnsi"/>
          <w:snapToGrid w:val="0"/>
        </w:rPr>
        <w:t>,</w:t>
      </w:r>
      <w:r w:rsidR="00DF1778" w:rsidRPr="00B8711A">
        <w:rPr>
          <w:rFonts w:asciiTheme="minorHAnsi" w:hAnsiTheme="minorHAnsi"/>
          <w:snapToGrid w:val="0"/>
        </w:rPr>
        <w:t xml:space="preserve"> the listing was acceptably cost effective</w:t>
      </w:r>
      <w:r w:rsidR="004B73E7" w:rsidRPr="00B8711A">
        <w:rPr>
          <w:rFonts w:asciiTheme="minorHAnsi" w:hAnsiTheme="minorHAnsi"/>
          <w:snapToGrid w:val="0"/>
        </w:rPr>
        <w:t xml:space="preserve"> in this population with a clinical need for effective treatment options</w:t>
      </w:r>
      <w:r w:rsidR="00DF1778" w:rsidRPr="00B8711A">
        <w:rPr>
          <w:rFonts w:asciiTheme="minorHAnsi" w:hAnsiTheme="minorHAnsi"/>
          <w:snapToGrid w:val="0"/>
        </w:rPr>
        <w:t>.</w:t>
      </w:r>
      <w:r w:rsidR="00887E3B" w:rsidRPr="00B8711A">
        <w:rPr>
          <w:rFonts w:asciiTheme="minorHAnsi" w:hAnsiTheme="minorHAnsi"/>
          <w:snapToGrid w:val="0"/>
        </w:rPr>
        <w:t xml:space="preserve"> </w:t>
      </w:r>
    </w:p>
    <w:p w14:paraId="46C3B6DE" w14:textId="7F633B08" w:rsidR="00973627" w:rsidRPr="00B8711A" w:rsidRDefault="00D9790C" w:rsidP="00324330">
      <w:pPr>
        <w:widowControl w:val="0"/>
        <w:numPr>
          <w:ilvl w:val="1"/>
          <w:numId w:val="1"/>
        </w:numPr>
        <w:spacing w:after="120"/>
        <w:rPr>
          <w:rFonts w:asciiTheme="minorHAnsi" w:hAnsiTheme="minorHAnsi"/>
          <w:bCs/>
          <w:snapToGrid w:val="0"/>
        </w:rPr>
      </w:pPr>
      <w:r w:rsidRPr="00B8711A">
        <w:rPr>
          <w:rFonts w:asciiTheme="minorHAnsi" w:hAnsiTheme="minorHAnsi"/>
          <w:snapToGrid w:val="0"/>
        </w:rPr>
        <w:t xml:space="preserve">The PBAC noted the concerns raised by the ESC that the </w:t>
      </w:r>
      <w:r w:rsidR="00D02006" w:rsidRPr="001C59C3">
        <w:t>size of the eligible population,</w:t>
      </w:r>
      <w:r w:rsidR="00D02006" w:rsidRPr="001C59C3">
        <w:rPr>
          <w:i/>
          <w:iCs/>
        </w:rPr>
        <w:t xml:space="preserve"> </w:t>
      </w:r>
      <w:r w:rsidR="00D02006" w:rsidRPr="001C59C3">
        <w:t xml:space="preserve">subsequent treated patient and script estimates were highly uncertain and substantially overestimated due to the lack of adjustments to </w:t>
      </w:r>
      <w:r w:rsidR="00D02006" w:rsidRPr="001C59C3">
        <w:rPr>
          <w:rFonts w:cs="Calibri"/>
        </w:rPr>
        <w:t xml:space="preserve">key input assumptions to account for the change to a simple prevalence based approach in the resubmission (see paragraphs </w:t>
      </w:r>
      <w:r w:rsidR="00D02006" w:rsidRPr="001C59C3">
        <w:rPr>
          <w:rFonts w:cs="Calibri"/>
        </w:rPr>
        <w:fldChar w:fldCharType="begin" w:fldLock="1"/>
      </w:r>
      <w:r w:rsidR="00D02006" w:rsidRPr="001C59C3">
        <w:rPr>
          <w:rFonts w:cs="Calibri"/>
        </w:rPr>
        <w:instrText xml:space="preserve"> REF _Ref148013738 \r \h </w:instrText>
      </w:r>
      <w:r w:rsidR="00D02006" w:rsidRPr="001C59C3">
        <w:rPr>
          <w:rFonts w:cs="Calibri"/>
        </w:rPr>
      </w:r>
      <w:r w:rsidR="00D02006" w:rsidRPr="001C59C3">
        <w:rPr>
          <w:rFonts w:cs="Calibri"/>
        </w:rPr>
        <w:fldChar w:fldCharType="separate"/>
      </w:r>
      <w:r w:rsidR="007B2C28" w:rsidRPr="001C59C3">
        <w:rPr>
          <w:rFonts w:cs="Calibri"/>
        </w:rPr>
        <w:t>6.83</w:t>
      </w:r>
      <w:r w:rsidR="00D02006" w:rsidRPr="001C59C3">
        <w:rPr>
          <w:rFonts w:cs="Calibri"/>
        </w:rPr>
        <w:fldChar w:fldCharType="end"/>
      </w:r>
      <w:r w:rsidR="00D02006" w:rsidRPr="001C59C3">
        <w:rPr>
          <w:rFonts w:cs="Calibri"/>
        </w:rPr>
        <w:t xml:space="preserve"> to </w:t>
      </w:r>
      <w:bookmarkStart w:id="82" w:name="_Hlk150517610"/>
      <w:r w:rsidR="00D02006" w:rsidRPr="001C59C3">
        <w:rPr>
          <w:rFonts w:cs="Calibri"/>
        </w:rPr>
        <w:fldChar w:fldCharType="begin" w:fldLock="1"/>
      </w:r>
      <w:r w:rsidR="00D02006" w:rsidRPr="001C59C3">
        <w:rPr>
          <w:rFonts w:cs="Calibri"/>
        </w:rPr>
        <w:instrText xml:space="preserve"> REF _Ref150517449 \r \h </w:instrText>
      </w:r>
      <w:r w:rsidR="00D02006" w:rsidRPr="001C59C3">
        <w:rPr>
          <w:rFonts w:cs="Calibri"/>
        </w:rPr>
      </w:r>
      <w:r w:rsidR="00D02006" w:rsidRPr="001C59C3">
        <w:rPr>
          <w:rFonts w:cs="Calibri"/>
        </w:rPr>
        <w:fldChar w:fldCharType="separate"/>
      </w:r>
      <w:r w:rsidR="007B2C28" w:rsidRPr="001C59C3">
        <w:rPr>
          <w:rFonts w:cs="Calibri"/>
        </w:rPr>
        <w:t>6.85</w:t>
      </w:r>
      <w:r w:rsidR="00D02006" w:rsidRPr="001C59C3">
        <w:rPr>
          <w:rFonts w:cs="Calibri"/>
        </w:rPr>
        <w:fldChar w:fldCharType="end"/>
      </w:r>
      <w:r w:rsidR="00D02006" w:rsidRPr="001C59C3">
        <w:rPr>
          <w:rFonts w:cs="Calibri"/>
        </w:rPr>
        <w:t xml:space="preserve">). </w:t>
      </w:r>
      <w:bookmarkEnd w:id="82"/>
      <w:r w:rsidRPr="00B8711A">
        <w:rPr>
          <w:rFonts w:asciiTheme="minorHAnsi" w:hAnsiTheme="minorHAnsi"/>
          <w:snapToGrid w:val="0"/>
        </w:rPr>
        <w:t xml:space="preserve">The PBAC </w:t>
      </w:r>
      <w:r w:rsidR="00D02006" w:rsidRPr="00B8711A">
        <w:rPr>
          <w:rFonts w:asciiTheme="minorHAnsi" w:hAnsiTheme="minorHAnsi"/>
          <w:snapToGrid w:val="0"/>
        </w:rPr>
        <w:t xml:space="preserve">acknowledged </w:t>
      </w:r>
      <w:r w:rsidRPr="00B8711A">
        <w:rPr>
          <w:rFonts w:asciiTheme="minorHAnsi" w:hAnsiTheme="minorHAnsi"/>
          <w:snapToGrid w:val="0"/>
        </w:rPr>
        <w:t xml:space="preserve">the </w:t>
      </w:r>
      <w:r w:rsidR="00D02006" w:rsidRPr="00B8711A">
        <w:rPr>
          <w:rFonts w:asciiTheme="minorHAnsi" w:hAnsiTheme="minorHAnsi"/>
          <w:snapToGrid w:val="0"/>
        </w:rPr>
        <w:t>p</w:t>
      </w:r>
      <w:r w:rsidRPr="00B8711A">
        <w:rPr>
          <w:rFonts w:asciiTheme="minorHAnsi" w:hAnsiTheme="minorHAnsi"/>
          <w:snapToGrid w:val="0"/>
        </w:rPr>
        <w:t xml:space="preserve">re-PBAC Response </w:t>
      </w:r>
      <w:r w:rsidR="00D02006" w:rsidRPr="00B8711A">
        <w:rPr>
          <w:rFonts w:asciiTheme="minorHAnsi" w:hAnsiTheme="minorHAnsi"/>
          <w:snapToGrid w:val="0"/>
        </w:rPr>
        <w:t>responded to the concerns raised by providing</w:t>
      </w:r>
      <w:r w:rsidRPr="00B8711A">
        <w:rPr>
          <w:rFonts w:asciiTheme="minorHAnsi" w:hAnsiTheme="minorHAnsi"/>
          <w:snapToGrid w:val="0"/>
        </w:rPr>
        <w:t xml:space="preserve"> </w:t>
      </w:r>
      <w:r w:rsidR="00D02006" w:rsidRPr="00B8711A">
        <w:rPr>
          <w:rFonts w:asciiTheme="minorHAnsi" w:hAnsiTheme="minorHAnsi"/>
          <w:snapToGrid w:val="0"/>
        </w:rPr>
        <w:t>revised financial</w:t>
      </w:r>
      <w:r w:rsidRPr="00B8711A">
        <w:rPr>
          <w:rFonts w:asciiTheme="minorHAnsi" w:hAnsiTheme="minorHAnsi"/>
          <w:snapToGrid w:val="0"/>
        </w:rPr>
        <w:t xml:space="preserve"> estimates with lower uptake rates</w:t>
      </w:r>
      <w:r w:rsidR="00973627" w:rsidRPr="00B8711A">
        <w:rPr>
          <w:rFonts w:asciiTheme="minorHAnsi" w:hAnsiTheme="minorHAnsi"/>
          <w:snapToGrid w:val="0"/>
        </w:rPr>
        <w:t xml:space="preserve"> (see paragraph </w:t>
      </w:r>
      <w:r w:rsidR="00973627" w:rsidRPr="00B8711A">
        <w:rPr>
          <w:rFonts w:asciiTheme="minorHAnsi" w:hAnsiTheme="minorHAnsi"/>
          <w:snapToGrid w:val="0"/>
        </w:rPr>
        <w:fldChar w:fldCharType="begin" w:fldLock="1"/>
      </w:r>
      <w:r w:rsidR="00973627" w:rsidRPr="00B8711A">
        <w:rPr>
          <w:rFonts w:asciiTheme="minorHAnsi" w:hAnsiTheme="minorHAnsi"/>
          <w:snapToGrid w:val="0"/>
        </w:rPr>
        <w:instrText xml:space="preserve"> REF _Ref150517655 \r \h </w:instrText>
      </w:r>
      <w:r w:rsidR="00973627" w:rsidRPr="00B8711A">
        <w:rPr>
          <w:rFonts w:asciiTheme="minorHAnsi" w:hAnsiTheme="minorHAnsi"/>
          <w:snapToGrid w:val="0"/>
        </w:rPr>
      </w:r>
      <w:r w:rsidR="00973627" w:rsidRPr="00B8711A">
        <w:rPr>
          <w:rFonts w:asciiTheme="minorHAnsi" w:hAnsiTheme="minorHAnsi"/>
          <w:snapToGrid w:val="0"/>
        </w:rPr>
        <w:fldChar w:fldCharType="separate"/>
      </w:r>
      <w:r w:rsidR="00E3004D" w:rsidRPr="00B8711A">
        <w:rPr>
          <w:rFonts w:asciiTheme="minorHAnsi" w:hAnsiTheme="minorHAnsi"/>
          <w:snapToGrid w:val="0"/>
        </w:rPr>
        <w:t>6.84</w:t>
      </w:r>
      <w:r w:rsidR="00973627" w:rsidRPr="00B8711A">
        <w:rPr>
          <w:rFonts w:asciiTheme="minorHAnsi" w:hAnsiTheme="minorHAnsi"/>
          <w:snapToGrid w:val="0"/>
        </w:rPr>
        <w:fldChar w:fldCharType="end"/>
      </w:r>
      <w:r w:rsidR="00973627" w:rsidRPr="00B8711A">
        <w:rPr>
          <w:rFonts w:asciiTheme="minorHAnsi" w:hAnsiTheme="minorHAnsi"/>
          <w:snapToGrid w:val="0"/>
        </w:rPr>
        <w:t xml:space="preserve">) and </w:t>
      </w:r>
      <w:r w:rsidRPr="00B8711A">
        <w:rPr>
          <w:rFonts w:asciiTheme="minorHAnsi" w:hAnsiTheme="minorHAnsi"/>
          <w:snapToGrid w:val="0"/>
        </w:rPr>
        <w:t>remov</w:t>
      </w:r>
      <w:r w:rsidR="00973627" w:rsidRPr="00B8711A">
        <w:rPr>
          <w:rFonts w:asciiTheme="minorHAnsi" w:hAnsiTheme="minorHAnsi"/>
          <w:snapToGrid w:val="0"/>
        </w:rPr>
        <w:t>al of</w:t>
      </w:r>
      <w:r w:rsidRPr="00B8711A">
        <w:rPr>
          <w:rFonts w:asciiTheme="minorHAnsi" w:hAnsiTheme="minorHAnsi"/>
          <w:snapToGrid w:val="0"/>
        </w:rPr>
        <w:t xml:space="preserve"> the </w:t>
      </w:r>
      <w:r w:rsidR="00B47B3A" w:rsidRPr="00B8711A">
        <w:rPr>
          <w:rFonts w:asciiTheme="minorHAnsi" w:hAnsiTheme="minorHAnsi"/>
          <w:snapToGrid w:val="0"/>
        </w:rPr>
        <w:t>diagnosis</w:t>
      </w:r>
      <w:r w:rsidRPr="00B8711A">
        <w:rPr>
          <w:rFonts w:asciiTheme="minorHAnsi" w:hAnsiTheme="minorHAnsi"/>
          <w:snapToGrid w:val="0"/>
        </w:rPr>
        <w:t xml:space="preserve"> rate modifier</w:t>
      </w:r>
      <w:r w:rsidR="00973627" w:rsidRPr="00B8711A">
        <w:rPr>
          <w:rFonts w:asciiTheme="minorHAnsi" w:hAnsiTheme="minorHAnsi"/>
          <w:snapToGrid w:val="0"/>
        </w:rPr>
        <w:t xml:space="preserve"> as had been requested by ESC (see paragraph </w:t>
      </w:r>
      <w:r w:rsidR="00973627" w:rsidRPr="001C59C3">
        <w:rPr>
          <w:rFonts w:cs="Calibri"/>
        </w:rPr>
        <w:fldChar w:fldCharType="begin" w:fldLock="1"/>
      </w:r>
      <w:r w:rsidR="00973627" w:rsidRPr="001C59C3">
        <w:rPr>
          <w:rFonts w:cs="Calibri"/>
        </w:rPr>
        <w:instrText xml:space="preserve"> REF _Ref150517449 \r \h </w:instrText>
      </w:r>
      <w:r w:rsidR="00973627" w:rsidRPr="001C59C3">
        <w:rPr>
          <w:rFonts w:cs="Calibri"/>
        </w:rPr>
      </w:r>
      <w:r w:rsidR="00973627" w:rsidRPr="001C59C3">
        <w:rPr>
          <w:rFonts w:cs="Calibri"/>
        </w:rPr>
        <w:fldChar w:fldCharType="separate"/>
      </w:r>
      <w:r w:rsidR="007B2C28" w:rsidRPr="001C59C3">
        <w:rPr>
          <w:rFonts w:cs="Calibri"/>
        </w:rPr>
        <w:t>6.85</w:t>
      </w:r>
      <w:r w:rsidR="00973627" w:rsidRPr="001C59C3">
        <w:rPr>
          <w:rFonts w:cs="Calibri"/>
        </w:rPr>
        <w:fldChar w:fldCharType="end"/>
      </w:r>
      <w:r w:rsidR="00973627" w:rsidRPr="001C59C3">
        <w:rPr>
          <w:rFonts w:cs="Calibri"/>
        </w:rPr>
        <w:t>)</w:t>
      </w:r>
      <w:r w:rsidRPr="00B8711A">
        <w:rPr>
          <w:rFonts w:asciiTheme="minorHAnsi" w:hAnsiTheme="minorHAnsi"/>
          <w:snapToGrid w:val="0"/>
        </w:rPr>
        <w:t xml:space="preserve">. </w:t>
      </w:r>
      <w:r w:rsidR="00DB1A72" w:rsidRPr="00B8711A">
        <w:rPr>
          <w:rFonts w:asciiTheme="minorHAnsi" w:hAnsiTheme="minorHAnsi"/>
          <w:snapToGrid w:val="0"/>
        </w:rPr>
        <w:t xml:space="preserve">The PBAC also accepted the pre-PBAC response argument that discontinuations have been applied appropriately and are accounted for in the revised estimates (see paragraph </w:t>
      </w:r>
      <w:r w:rsidR="00DB1A72" w:rsidRPr="00B8711A">
        <w:rPr>
          <w:rFonts w:asciiTheme="minorHAnsi" w:hAnsiTheme="minorHAnsi"/>
          <w:snapToGrid w:val="0"/>
        </w:rPr>
        <w:fldChar w:fldCharType="begin" w:fldLock="1"/>
      </w:r>
      <w:r w:rsidR="00DB1A72" w:rsidRPr="00B8711A">
        <w:rPr>
          <w:rFonts w:asciiTheme="minorHAnsi" w:hAnsiTheme="minorHAnsi"/>
          <w:snapToGrid w:val="0"/>
        </w:rPr>
        <w:instrText xml:space="preserve"> REF _Ref150770395 \r \h </w:instrText>
      </w:r>
      <w:r w:rsidR="00DB1A72" w:rsidRPr="00B8711A">
        <w:rPr>
          <w:rFonts w:asciiTheme="minorHAnsi" w:hAnsiTheme="minorHAnsi"/>
          <w:snapToGrid w:val="0"/>
        </w:rPr>
      </w:r>
      <w:r w:rsidR="00DB1A72" w:rsidRPr="00B8711A">
        <w:rPr>
          <w:rFonts w:asciiTheme="minorHAnsi" w:hAnsiTheme="minorHAnsi"/>
          <w:snapToGrid w:val="0"/>
        </w:rPr>
        <w:fldChar w:fldCharType="separate"/>
      </w:r>
      <w:r w:rsidR="007B2C28" w:rsidRPr="00B8711A">
        <w:rPr>
          <w:rFonts w:asciiTheme="minorHAnsi" w:hAnsiTheme="minorHAnsi"/>
          <w:snapToGrid w:val="0"/>
        </w:rPr>
        <w:t>6.86</w:t>
      </w:r>
      <w:r w:rsidR="00DB1A72" w:rsidRPr="00B8711A">
        <w:rPr>
          <w:rFonts w:asciiTheme="minorHAnsi" w:hAnsiTheme="minorHAnsi"/>
          <w:snapToGrid w:val="0"/>
        </w:rPr>
        <w:fldChar w:fldCharType="end"/>
      </w:r>
      <w:r w:rsidR="00DB1A72" w:rsidRPr="00B8711A">
        <w:rPr>
          <w:rFonts w:asciiTheme="minorHAnsi" w:hAnsiTheme="minorHAnsi"/>
          <w:snapToGrid w:val="0"/>
        </w:rPr>
        <w:t xml:space="preserve">). </w:t>
      </w:r>
      <w:r w:rsidR="00EB59CE" w:rsidRPr="001C59C3">
        <w:t>The PB</w:t>
      </w:r>
      <w:r w:rsidR="007B2C28" w:rsidRPr="001C59C3">
        <w:t>AC noted</w:t>
      </w:r>
      <w:r w:rsidR="00EB59CE" w:rsidRPr="001C59C3">
        <w:t xml:space="preserve"> that grandfathered patients are accounted for in the prevalence estimates of the budget impact analysis. </w:t>
      </w:r>
      <w:r w:rsidRPr="00B8711A">
        <w:rPr>
          <w:rFonts w:asciiTheme="minorHAnsi" w:hAnsiTheme="minorHAnsi"/>
          <w:snapToGrid w:val="0"/>
        </w:rPr>
        <w:t xml:space="preserve">The PBAC noted </w:t>
      </w:r>
      <w:r w:rsidR="00973627" w:rsidRPr="00B8711A">
        <w:rPr>
          <w:rFonts w:asciiTheme="minorHAnsi" w:hAnsiTheme="minorHAnsi"/>
          <w:snapToGrid w:val="0"/>
        </w:rPr>
        <w:t xml:space="preserve">that, including the pre-PBAC response price reduction and once corrected for an error in the continuing script estimates, </w:t>
      </w:r>
      <w:r w:rsidRPr="00B8711A">
        <w:rPr>
          <w:rFonts w:asciiTheme="minorHAnsi" w:hAnsiTheme="minorHAnsi"/>
          <w:snapToGrid w:val="0"/>
        </w:rPr>
        <w:t>the</w:t>
      </w:r>
      <w:r w:rsidR="00973627" w:rsidRPr="00B8711A">
        <w:rPr>
          <w:rFonts w:asciiTheme="minorHAnsi" w:hAnsiTheme="minorHAnsi"/>
          <w:snapToGrid w:val="0"/>
        </w:rPr>
        <w:t xml:space="preserve"> revised estimates </w:t>
      </w:r>
      <w:r w:rsidRPr="00B8711A">
        <w:rPr>
          <w:rFonts w:asciiTheme="minorHAnsi" w:hAnsiTheme="minorHAnsi"/>
          <w:snapToGrid w:val="0"/>
        </w:rPr>
        <w:t xml:space="preserve">reduced the total number of scripts from </w:t>
      </w:r>
      <w:r w:rsidR="00277223" w:rsidRPr="00277223">
        <w:rPr>
          <w:rFonts w:asciiTheme="minorHAnsi" w:hAnsiTheme="minorHAnsi"/>
          <w:snapToGrid w:val="0"/>
        </w:rPr>
        <w:t>40,000 to &lt; 50,000</w:t>
      </w:r>
      <w:r w:rsidR="00277223">
        <w:rPr>
          <w:rFonts w:asciiTheme="minorHAnsi" w:hAnsiTheme="minorHAnsi"/>
          <w:snapToGrid w:val="0"/>
        </w:rPr>
        <w:t xml:space="preserve"> </w:t>
      </w:r>
      <w:r w:rsidRPr="00B8711A">
        <w:rPr>
          <w:rFonts w:asciiTheme="minorHAnsi" w:hAnsiTheme="minorHAnsi"/>
          <w:snapToGrid w:val="0"/>
        </w:rPr>
        <w:t xml:space="preserve">to </w:t>
      </w:r>
      <w:r w:rsidR="00277223" w:rsidRPr="00277223">
        <w:rPr>
          <w:rFonts w:asciiTheme="minorHAnsi" w:hAnsiTheme="minorHAnsi"/>
          <w:snapToGrid w:val="0"/>
        </w:rPr>
        <w:t>30,000 to &lt; 40,000</w:t>
      </w:r>
      <w:r w:rsidR="00277223">
        <w:rPr>
          <w:rFonts w:asciiTheme="minorHAnsi" w:hAnsiTheme="minorHAnsi"/>
          <w:snapToGrid w:val="0"/>
        </w:rPr>
        <w:t xml:space="preserve"> </w:t>
      </w:r>
      <w:r w:rsidRPr="00B8711A">
        <w:rPr>
          <w:rFonts w:asciiTheme="minorHAnsi" w:hAnsiTheme="minorHAnsi"/>
          <w:snapToGrid w:val="0"/>
        </w:rPr>
        <w:t xml:space="preserve">in year 6 and </w:t>
      </w:r>
      <w:r w:rsidR="00973627" w:rsidRPr="00B8711A">
        <w:rPr>
          <w:rFonts w:asciiTheme="minorHAnsi" w:hAnsiTheme="minorHAnsi"/>
          <w:snapToGrid w:val="0"/>
        </w:rPr>
        <w:t xml:space="preserve">the </w:t>
      </w:r>
      <w:r w:rsidRPr="00B8711A">
        <w:rPr>
          <w:rFonts w:asciiTheme="minorHAnsi" w:hAnsiTheme="minorHAnsi"/>
          <w:snapToGrid w:val="0"/>
        </w:rPr>
        <w:t xml:space="preserve">net predicted cost to the PBS/RPBS over 6 years from </w:t>
      </w:r>
      <w:r w:rsidR="00277223" w:rsidRPr="00277223">
        <w:rPr>
          <w:rFonts w:asciiTheme="minorHAnsi" w:hAnsiTheme="minorHAnsi"/>
          <w:snapToGrid w:val="0"/>
        </w:rPr>
        <w:t>$60 million to &lt; $70 million</w:t>
      </w:r>
      <w:r w:rsidRPr="00B8711A">
        <w:rPr>
          <w:rFonts w:asciiTheme="minorHAnsi" w:hAnsiTheme="minorHAnsi"/>
          <w:snapToGrid w:val="0"/>
        </w:rPr>
        <w:t xml:space="preserve"> to </w:t>
      </w:r>
      <w:r w:rsidR="00277223" w:rsidRPr="00277223">
        <w:rPr>
          <w:rFonts w:asciiTheme="minorHAnsi" w:hAnsiTheme="minorHAnsi"/>
          <w:snapToGrid w:val="0"/>
        </w:rPr>
        <w:t>$30 million to &lt; $40 million</w:t>
      </w:r>
      <w:r w:rsidR="00973627" w:rsidRPr="00B8711A">
        <w:rPr>
          <w:rFonts w:asciiTheme="minorHAnsi" w:hAnsiTheme="minorHAnsi"/>
          <w:snapToGrid w:val="0"/>
        </w:rPr>
        <w:t xml:space="preserve">. The PBAC </w:t>
      </w:r>
      <w:r w:rsidRPr="00B8711A">
        <w:rPr>
          <w:rFonts w:asciiTheme="minorHAnsi" w:hAnsiTheme="minorHAnsi"/>
          <w:snapToGrid w:val="0"/>
        </w:rPr>
        <w:t xml:space="preserve">considered </w:t>
      </w:r>
      <w:r w:rsidR="00E835CB" w:rsidRPr="00B8711A">
        <w:rPr>
          <w:rFonts w:asciiTheme="minorHAnsi" w:hAnsiTheme="minorHAnsi"/>
          <w:snapToGrid w:val="0"/>
        </w:rPr>
        <w:t xml:space="preserve">it was reasonable to accept </w:t>
      </w:r>
      <w:r w:rsidRPr="00B8711A">
        <w:rPr>
          <w:rFonts w:asciiTheme="minorHAnsi" w:hAnsiTheme="minorHAnsi"/>
          <w:snapToGrid w:val="0"/>
        </w:rPr>
        <w:t xml:space="preserve">the </w:t>
      </w:r>
      <w:r w:rsidR="00583E3C" w:rsidRPr="00B8711A">
        <w:rPr>
          <w:rFonts w:asciiTheme="minorHAnsi" w:hAnsiTheme="minorHAnsi"/>
          <w:snapToGrid w:val="0"/>
        </w:rPr>
        <w:t>revised</w:t>
      </w:r>
      <w:r w:rsidR="00E835CB" w:rsidRPr="00B8711A">
        <w:rPr>
          <w:rFonts w:asciiTheme="minorHAnsi" w:hAnsiTheme="minorHAnsi"/>
          <w:snapToGrid w:val="0"/>
        </w:rPr>
        <w:t xml:space="preserve"> </w:t>
      </w:r>
      <w:r w:rsidR="00973627" w:rsidRPr="00B8711A">
        <w:rPr>
          <w:rFonts w:asciiTheme="minorHAnsi" w:hAnsiTheme="minorHAnsi"/>
          <w:snapToGrid w:val="0"/>
        </w:rPr>
        <w:t xml:space="preserve">financial </w:t>
      </w:r>
      <w:r w:rsidRPr="00B8711A">
        <w:rPr>
          <w:rFonts w:asciiTheme="minorHAnsi" w:hAnsiTheme="minorHAnsi"/>
          <w:snapToGrid w:val="0"/>
        </w:rPr>
        <w:t xml:space="preserve">estimates </w:t>
      </w:r>
      <w:r w:rsidR="00973627" w:rsidRPr="00B8711A">
        <w:rPr>
          <w:rFonts w:asciiTheme="minorHAnsi" w:hAnsiTheme="minorHAnsi"/>
          <w:snapToGrid w:val="0"/>
        </w:rPr>
        <w:t xml:space="preserve">presented in the pre-PBAC response </w:t>
      </w:r>
      <w:r w:rsidR="00E835CB" w:rsidRPr="00B8711A">
        <w:rPr>
          <w:rFonts w:asciiTheme="minorHAnsi" w:hAnsiTheme="minorHAnsi"/>
          <w:snapToGrid w:val="0"/>
        </w:rPr>
        <w:t xml:space="preserve">(see </w:t>
      </w:r>
      <w:r w:rsidR="00E835CB" w:rsidRPr="00B8711A">
        <w:rPr>
          <w:rFonts w:asciiTheme="minorHAnsi" w:hAnsiTheme="minorHAnsi"/>
          <w:snapToGrid w:val="0"/>
        </w:rPr>
        <w:fldChar w:fldCharType="begin" w:fldLock="1"/>
      </w:r>
      <w:r w:rsidR="00E835CB" w:rsidRPr="00B8711A">
        <w:rPr>
          <w:rFonts w:asciiTheme="minorHAnsi" w:hAnsiTheme="minorHAnsi"/>
          <w:snapToGrid w:val="0"/>
        </w:rPr>
        <w:instrText xml:space="preserve"> REF _Ref104805295 \h </w:instrText>
      </w:r>
      <w:r w:rsidR="00E835CB" w:rsidRPr="00B8711A">
        <w:rPr>
          <w:rFonts w:asciiTheme="minorHAnsi" w:hAnsiTheme="minorHAnsi"/>
          <w:snapToGrid w:val="0"/>
        </w:rPr>
      </w:r>
      <w:r w:rsidR="00E835CB" w:rsidRPr="00B8711A">
        <w:rPr>
          <w:rFonts w:asciiTheme="minorHAnsi" w:hAnsiTheme="minorHAnsi"/>
          <w:snapToGrid w:val="0"/>
        </w:rPr>
        <w:fldChar w:fldCharType="separate"/>
      </w:r>
      <w:r w:rsidR="00E835CB" w:rsidRPr="001C59C3">
        <w:t xml:space="preserve">Table </w:t>
      </w:r>
      <w:r w:rsidR="00E835CB" w:rsidRPr="00B8711A">
        <w:t>14</w:t>
      </w:r>
      <w:r w:rsidR="00E835CB" w:rsidRPr="00B8711A">
        <w:rPr>
          <w:rFonts w:asciiTheme="minorHAnsi" w:hAnsiTheme="minorHAnsi"/>
          <w:snapToGrid w:val="0"/>
        </w:rPr>
        <w:fldChar w:fldCharType="end"/>
      </w:r>
      <w:r w:rsidR="00E835CB" w:rsidRPr="00B8711A">
        <w:rPr>
          <w:rFonts w:asciiTheme="minorHAnsi" w:hAnsiTheme="minorHAnsi"/>
          <w:snapToGrid w:val="0"/>
        </w:rPr>
        <w:t>) as an appropriate basis for a risk sharing arrangement</w:t>
      </w:r>
      <w:r w:rsidRPr="00B8711A">
        <w:rPr>
          <w:rFonts w:asciiTheme="minorHAnsi" w:hAnsiTheme="minorHAnsi"/>
          <w:snapToGrid w:val="0"/>
        </w:rPr>
        <w:t xml:space="preserve">. </w:t>
      </w:r>
    </w:p>
    <w:p w14:paraId="6E24369B" w14:textId="357D7E49" w:rsidR="00D9790C" w:rsidRPr="00B8711A" w:rsidRDefault="00E835CB" w:rsidP="00324330">
      <w:pPr>
        <w:widowControl w:val="0"/>
        <w:numPr>
          <w:ilvl w:val="1"/>
          <w:numId w:val="1"/>
        </w:numPr>
        <w:spacing w:after="120"/>
        <w:rPr>
          <w:rFonts w:asciiTheme="minorHAnsi" w:hAnsiTheme="minorHAnsi"/>
          <w:bCs/>
          <w:snapToGrid w:val="0"/>
        </w:rPr>
      </w:pPr>
      <w:r w:rsidRPr="00B8711A">
        <w:rPr>
          <w:rFonts w:asciiTheme="minorHAnsi" w:hAnsiTheme="minorHAnsi"/>
          <w:snapToGrid w:val="0"/>
        </w:rPr>
        <w:t xml:space="preserve">The PBAC reiterated its March 2023 advice that a </w:t>
      </w:r>
      <w:r w:rsidR="00B20785">
        <w:rPr>
          <w:rFonts w:asciiTheme="minorHAnsi" w:hAnsiTheme="minorHAnsi"/>
          <w:snapToGrid w:val="0"/>
        </w:rPr>
        <w:t>R</w:t>
      </w:r>
      <w:r w:rsidR="00B20785" w:rsidRPr="00B8711A">
        <w:rPr>
          <w:rFonts w:asciiTheme="minorHAnsi" w:hAnsiTheme="minorHAnsi"/>
          <w:snapToGrid w:val="0"/>
        </w:rPr>
        <w:t xml:space="preserve">isk </w:t>
      </w:r>
      <w:r w:rsidR="00B20785">
        <w:rPr>
          <w:rFonts w:asciiTheme="minorHAnsi" w:hAnsiTheme="minorHAnsi"/>
          <w:snapToGrid w:val="0"/>
        </w:rPr>
        <w:t>S</w:t>
      </w:r>
      <w:r w:rsidR="00B20785" w:rsidRPr="00B8711A">
        <w:rPr>
          <w:rFonts w:asciiTheme="minorHAnsi" w:hAnsiTheme="minorHAnsi"/>
          <w:snapToGrid w:val="0"/>
        </w:rPr>
        <w:t xml:space="preserve">haring </w:t>
      </w:r>
      <w:r w:rsidR="00B20785">
        <w:rPr>
          <w:rFonts w:asciiTheme="minorHAnsi" w:hAnsiTheme="minorHAnsi"/>
          <w:snapToGrid w:val="0"/>
        </w:rPr>
        <w:t>A</w:t>
      </w:r>
      <w:r w:rsidR="00B20785" w:rsidRPr="00B8711A">
        <w:rPr>
          <w:rFonts w:asciiTheme="minorHAnsi" w:hAnsiTheme="minorHAnsi"/>
          <w:snapToGrid w:val="0"/>
        </w:rPr>
        <w:t xml:space="preserve">rrangement </w:t>
      </w:r>
      <w:r w:rsidRPr="00B8711A">
        <w:rPr>
          <w:rFonts w:asciiTheme="minorHAnsi" w:hAnsiTheme="minorHAnsi"/>
          <w:snapToGrid w:val="0"/>
        </w:rPr>
        <w:t xml:space="preserve">would be required to address any residual uncertainty with the potential for use outside the proposed restriction, including in patients with mild pruritis (see </w:t>
      </w:r>
      <w:r w:rsidR="00583E3C" w:rsidRPr="00B8711A">
        <w:rPr>
          <w:rFonts w:asciiTheme="minorHAnsi" w:hAnsiTheme="minorHAnsi"/>
          <w:snapToGrid w:val="0"/>
        </w:rPr>
        <w:fldChar w:fldCharType="begin" w:fldLock="1"/>
      </w:r>
      <w:r w:rsidR="00583E3C" w:rsidRPr="00B8711A">
        <w:rPr>
          <w:rFonts w:asciiTheme="minorHAnsi" w:hAnsiTheme="minorHAnsi"/>
          <w:snapToGrid w:val="0"/>
        </w:rPr>
        <w:instrText xml:space="preserve"> REF _Ref124147399 \h </w:instrText>
      </w:r>
      <w:r w:rsidR="00583E3C" w:rsidRPr="00B8711A">
        <w:rPr>
          <w:rFonts w:asciiTheme="minorHAnsi" w:hAnsiTheme="minorHAnsi"/>
          <w:snapToGrid w:val="0"/>
        </w:rPr>
      </w:r>
      <w:r w:rsidR="00583E3C" w:rsidRPr="00B8711A">
        <w:rPr>
          <w:rFonts w:asciiTheme="minorHAnsi" w:hAnsiTheme="minorHAnsi"/>
          <w:snapToGrid w:val="0"/>
        </w:rPr>
        <w:fldChar w:fldCharType="separate"/>
      </w:r>
      <w:r w:rsidR="00583E3C" w:rsidRPr="001C59C3">
        <w:t xml:space="preserve">Table </w:t>
      </w:r>
      <w:r w:rsidR="00583E3C" w:rsidRPr="00B8711A">
        <w:t>2</w:t>
      </w:r>
      <w:r w:rsidR="00583E3C" w:rsidRPr="00B8711A">
        <w:rPr>
          <w:rFonts w:asciiTheme="minorHAnsi" w:hAnsiTheme="minorHAnsi"/>
          <w:snapToGrid w:val="0"/>
        </w:rPr>
        <w:fldChar w:fldCharType="end"/>
      </w:r>
      <w:r w:rsidR="00583E3C" w:rsidRPr="00B8711A">
        <w:rPr>
          <w:rFonts w:asciiTheme="minorHAnsi" w:hAnsiTheme="minorHAnsi"/>
          <w:snapToGrid w:val="0"/>
        </w:rPr>
        <w:t xml:space="preserve">). The PBAC </w:t>
      </w:r>
      <w:r w:rsidR="006B3F56" w:rsidRPr="00B8711A">
        <w:rPr>
          <w:rFonts w:asciiTheme="minorHAnsi" w:hAnsiTheme="minorHAnsi"/>
          <w:snapToGrid w:val="0"/>
        </w:rPr>
        <w:t xml:space="preserve">noted </w:t>
      </w:r>
      <w:r w:rsidR="006B3F56" w:rsidRPr="00050245">
        <w:rPr>
          <w:rFonts w:asciiTheme="minorHAnsi" w:hAnsiTheme="minorHAnsi"/>
          <w:snapToGrid w:val="0"/>
        </w:rPr>
        <w:t xml:space="preserve">the </w:t>
      </w:r>
      <w:r w:rsidR="008A42F6">
        <w:t xml:space="preserve"> </w:t>
      </w:r>
      <w:r w:rsidR="008A42F6" w:rsidRPr="00690B5F">
        <w:rPr>
          <w:color w:val="000000"/>
          <w:w w:val="15"/>
          <w:shd w:val="solid" w:color="000000" w:fill="000000"/>
          <w:fitText w:val="-20" w:id="-1032102396"/>
          <w14:textFill>
            <w14:solidFill>
              <w14:srgbClr w14:val="000000">
                <w14:alpha w14:val="100000"/>
              </w14:srgbClr>
            </w14:solidFill>
          </w14:textFill>
        </w:rPr>
        <w:t xml:space="preserve">|  </w:t>
      </w:r>
      <w:r w:rsidR="008A42F6" w:rsidRPr="00690B5F">
        <w:rPr>
          <w:color w:val="000000"/>
          <w:spacing w:val="-69"/>
          <w:w w:val="15"/>
          <w:shd w:val="solid" w:color="000000" w:fill="000000"/>
          <w:fitText w:val="-20" w:id="-1032102396"/>
          <w14:textFill>
            <w14:solidFill>
              <w14:srgbClr w14:val="000000">
                <w14:alpha w14:val="100000"/>
              </w14:srgbClr>
            </w14:solidFill>
          </w14:textFill>
        </w:rPr>
        <w:t>|</w:t>
      </w:r>
      <w:r w:rsidR="00583E3C" w:rsidRPr="00050245">
        <w:t>% rebate</w:t>
      </w:r>
      <w:r w:rsidR="00583E3C" w:rsidRPr="001C59C3">
        <w:t xml:space="preserve"> </w:t>
      </w:r>
      <w:r w:rsidR="006B3F56" w:rsidRPr="001C59C3">
        <w:t xml:space="preserve">for expenditure exceeding the predicted estimates offered in the </w:t>
      </w:r>
      <w:r w:rsidR="006B3F56" w:rsidRPr="001C59C3">
        <w:lastRenderedPageBreak/>
        <w:t>pre-PBAC response and considered it appropriate.</w:t>
      </w:r>
    </w:p>
    <w:p w14:paraId="2A1392CA" w14:textId="639129C4" w:rsidR="002C0915" w:rsidRPr="00B8711A" w:rsidRDefault="002C0915" w:rsidP="00324330">
      <w:pPr>
        <w:widowControl w:val="0"/>
        <w:numPr>
          <w:ilvl w:val="1"/>
          <w:numId w:val="1"/>
        </w:numPr>
        <w:spacing w:after="120"/>
        <w:rPr>
          <w:rFonts w:asciiTheme="minorHAnsi" w:hAnsiTheme="minorHAnsi"/>
          <w:bCs/>
          <w:snapToGrid w:val="0"/>
        </w:rPr>
      </w:pPr>
      <w:r w:rsidRPr="00B8711A">
        <w:rPr>
          <w:rFonts w:asciiTheme="minorHAnsi" w:hAnsiTheme="minorHAnsi"/>
          <w:snapToGrid w:val="0"/>
        </w:rPr>
        <w:t>The PBAC advised that difelikefalin should not be treated as interchangeable with any other drugs.</w:t>
      </w:r>
    </w:p>
    <w:p w14:paraId="49A30484" w14:textId="3297F38D" w:rsidR="00324330" w:rsidRPr="00B8711A" w:rsidRDefault="00324330" w:rsidP="00324330">
      <w:pPr>
        <w:widowControl w:val="0"/>
        <w:numPr>
          <w:ilvl w:val="1"/>
          <w:numId w:val="1"/>
        </w:numPr>
        <w:spacing w:after="120"/>
        <w:rPr>
          <w:rFonts w:asciiTheme="minorHAnsi" w:hAnsiTheme="minorHAnsi"/>
          <w:bCs/>
          <w:snapToGrid w:val="0"/>
        </w:rPr>
      </w:pPr>
      <w:r w:rsidRPr="00B8711A">
        <w:rPr>
          <w:rFonts w:asciiTheme="minorHAnsi" w:hAnsiTheme="minorHAnsi"/>
          <w:bCs/>
          <w:snapToGrid w:val="0"/>
        </w:rPr>
        <w:t xml:space="preserve">The PBAC advised that </w:t>
      </w:r>
      <w:r w:rsidR="00DF1778" w:rsidRPr="00B8711A">
        <w:rPr>
          <w:rFonts w:asciiTheme="minorHAnsi" w:hAnsiTheme="minorHAnsi"/>
          <w:bCs/>
          <w:snapToGrid w:val="0"/>
        </w:rPr>
        <w:t>difelikefalin</w:t>
      </w:r>
      <w:r w:rsidRPr="00B8711A">
        <w:rPr>
          <w:rFonts w:asciiTheme="minorHAnsi" w:hAnsiTheme="minorHAnsi"/>
          <w:bCs/>
          <w:snapToGrid w:val="0"/>
        </w:rPr>
        <w:t xml:space="preserve"> is not suitable for prescribing by nurse practitioners</w:t>
      </w:r>
      <w:r w:rsidR="00DF1778" w:rsidRPr="00B8711A">
        <w:rPr>
          <w:rFonts w:asciiTheme="minorHAnsi" w:hAnsiTheme="minorHAnsi"/>
          <w:bCs/>
          <w:snapToGrid w:val="0"/>
        </w:rPr>
        <w:t xml:space="preserve">, </w:t>
      </w:r>
      <w:r w:rsidR="00D9790C" w:rsidRPr="00B8711A">
        <w:rPr>
          <w:rFonts w:asciiTheme="minorHAnsi" w:hAnsiTheme="minorHAnsi"/>
          <w:bCs/>
          <w:snapToGrid w:val="0"/>
        </w:rPr>
        <w:t>given its advice the listing should be restricted to specialis</w:t>
      </w:r>
      <w:r w:rsidR="00B47B3A" w:rsidRPr="00B8711A">
        <w:rPr>
          <w:rFonts w:asciiTheme="minorHAnsi" w:hAnsiTheme="minorHAnsi"/>
          <w:bCs/>
          <w:snapToGrid w:val="0"/>
        </w:rPr>
        <w:t>t</w:t>
      </w:r>
      <w:r w:rsidR="00D9790C" w:rsidRPr="00B8711A">
        <w:rPr>
          <w:rFonts w:asciiTheme="minorHAnsi" w:hAnsiTheme="minorHAnsi"/>
          <w:bCs/>
          <w:snapToGrid w:val="0"/>
        </w:rPr>
        <w:t xml:space="preserve"> medical practitioners only.</w:t>
      </w:r>
    </w:p>
    <w:p w14:paraId="0DF11E6A" w14:textId="592AB71B" w:rsidR="00324330" w:rsidRPr="00B8711A" w:rsidRDefault="00324330" w:rsidP="00324330">
      <w:pPr>
        <w:widowControl w:val="0"/>
        <w:numPr>
          <w:ilvl w:val="1"/>
          <w:numId w:val="1"/>
        </w:numPr>
        <w:spacing w:after="120"/>
        <w:rPr>
          <w:rFonts w:asciiTheme="minorHAnsi" w:hAnsiTheme="minorHAnsi"/>
          <w:bCs/>
          <w:snapToGrid w:val="0"/>
        </w:rPr>
      </w:pPr>
      <w:r w:rsidRPr="00B8711A">
        <w:rPr>
          <w:rFonts w:asciiTheme="minorHAnsi" w:hAnsiTheme="minorHAnsi"/>
          <w:bCs/>
          <w:snapToGrid w:val="0"/>
        </w:rPr>
        <w:t xml:space="preserve">The PBAC recommended that the Early Supply Rule should not apply. </w:t>
      </w:r>
    </w:p>
    <w:p w14:paraId="04FB4A38" w14:textId="3C10E1E0" w:rsidR="00324330" w:rsidRPr="00B8711A" w:rsidRDefault="00324330" w:rsidP="00690B5F">
      <w:pPr>
        <w:widowControl w:val="0"/>
        <w:numPr>
          <w:ilvl w:val="1"/>
          <w:numId w:val="1"/>
        </w:numPr>
        <w:spacing w:after="120"/>
        <w:rPr>
          <w:rFonts w:asciiTheme="minorHAnsi" w:hAnsiTheme="minorHAnsi" w:cstheme="minorHAnsi"/>
        </w:rPr>
      </w:pPr>
      <w:r w:rsidRPr="00B8711A">
        <w:rPr>
          <w:rFonts w:asciiTheme="minorHAnsi" w:hAnsiTheme="minorHAnsi" w:cstheme="minorHAnsi"/>
        </w:rPr>
        <w:t xml:space="preserve">The PBAC found that the criteria prescribed by the </w:t>
      </w:r>
      <w:r w:rsidRPr="00B8711A">
        <w:rPr>
          <w:rFonts w:asciiTheme="minorHAnsi" w:hAnsiTheme="minorHAnsi" w:cstheme="minorHAnsi"/>
          <w:i/>
        </w:rPr>
        <w:t>National Health (Pharmaceuticals and Vaccines – Cost Recovery) Regulations 2022</w:t>
      </w:r>
      <w:r w:rsidRPr="00B8711A">
        <w:rPr>
          <w:rFonts w:asciiTheme="minorHAnsi" w:hAnsiTheme="minorHAnsi" w:cstheme="minorHAnsi"/>
        </w:rPr>
        <w:t xml:space="preserve"> for Pricing Pathway A were not met. </w:t>
      </w:r>
      <w:r w:rsidR="00A01D8E" w:rsidRPr="00B8711A">
        <w:rPr>
          <w:rFonts w:asciiTheme="minorHAnsi" w:hAnsiTheme="minorHAnsi" w:cstheme="minorHAnsi"/>
        </w:rPr>
        <w:t>Specifically,</w:t>
      </w:r>
      <w:r w:rsidRPr="00B8711A">
        <w:rPr>
          <w:rFonts w:asciiTheme="minorHAnsi" w:hAnsiTheme="minorHAnsi" w:cstheme="minorHAnsi"/>
        </w:rPr>
        <w:t xml:space="preserve"> the PBAC found that in the circumstances of its recommendation for </w:t>
      </w:r>
      <w:r w:rsidR="00D9790C" w:rsidRPr="00B8711A">
        <w:rPr>
          <w:rFonts w:asciiTheme="minorHAnsi" w:hAnsiTheme="minorHAnsi" w:cstheme="minorHAnsi"/>
        </w:rPr>
        <w:t>difelikefalin</w:t>
      </w:r>
      <w:r w:rsidRPr="00B8711A">
        <w:rPr>
          <w:rFonts w:asciiTheme="minorHAnsi" w:hAnsiTheme="minorHAnsi" w:cstheme="minorHAnsi"/>
        </w:rPr>
        <w:t>:</w:t>
      </w:r>
    </w:p>
    <w:p w14:paraId="375AFBD8" w14:textId="6041850F" w:rsidR="00324330" w:rsidRPr="00B8711A" w:rsidRDefault="00324330" w:rsidP="00690B5F">
      <w:pPr>
        <w:widowControl w:val="0"/>
        <w:numPr>
          <w:ilvl w:val="1"/>
          <w:numId w:val="37"/>
        </w:numPr>
        <w:spacing w:after="120"/>
        <w:ind w:left="1134"/>
        <w:rPr>
          <w:rFonts w:asciiTheme="minorHAnsi" w:hAnsiTheme="minorHAnsi" w:cstheme="minorHAnsi"/>
        </w:rPr>
      </w:pPr>
      <w:r w:rsidRPr="00B8711A">
        <w:rPr>
          <w:rFonts w:asciiTheme="minorHAnsi" w:hAnsiTheme="minorHAnsi" w:cstheme="minorHAnsi"/>
        </w:rPr>
        <w:t>The treatment is</w:t>
      </w:r>
      <w:r w:rsidR="00C866C2" w:rsidRPr="00B8711A">
        <w:rPr>
          <w:rFonts w:asciiTheme="minorHAnsi" w:hAnsiTheme="minorHAnsi" w:cstheme="minorHAnsi"/>
        </w:rPr>
        <w:t xml:space="preserve"> not</w:t>
      </w:r>
      <w:r w:rsidRPr="00B8711A">
        <w:rPr>
          <w:rFonts w:asciiTheme="minorHAnsi" w:hAnsiTheme="minorHAnsi" w:cstheme="minorHAnsi"/>
        </w:rPr>
        <w:t xml:space="preserve"> expected to provide a substantial and clinically relevant improvement in efficacy</w:t>
      </w:r>
      <w:r w:rsidR="00D9790C" w:rsidRPr="00B8711A">
        <w:rPr>
          <w:rFonts w:asciiTheme="minorHAnsi" w:hAnsiTheme="minorHAnsi" w:cstheme="minorHAnsi"/>
        </w:rPr>
        <w:t xml:space="preserve"> over</w:t>
      </w:r>
      <w:r w:rsidRPr="00B8711A">
        <w:rPr>
          <w:rFonts w:asciiTheme="minorHAnsi" w:hAnsiTheme="minorHAnsi" w:cstheme="minorHAnsi"/>
        </w:rPr>
        <w:t xml:space="preserve"> </w:t>
      </w:r>
      <w:r w:rsidR="00D9790C" w:rsidRPr="00B8711A">
        <w:rPr>
          <w:rFonts w:asciiTheme="minorHAnsi" w:hAnsiTheme="minorHAnsi" w:cstheme="minorHAnsi"/>
        </w:rPr>
        <w:t xml:space="preserve">best supportive care, as </w:t>
      </w:r>
      <w:r w:rsidR="00C866C2" w:rsidRPr="00B8711A">
        <w:rPr>
          <w:rFonts w:asciiTheme="minorHAnsi" w:hAnsiTheme="minorHAnsi" w:cstheme="minorHAnsi"/>
        </w:rPr>
        <w:t>while clinically relevant the treatment benefit is likely to be modest</w:t>
      </w:r>
      <w:r w:rsidR="00D9790C" w:rsidRPr="00B8711A">
        <w:rPr>
          <w:rFonts w:asciiTheme="minorHAnsi" w:hAnsiTheme="minorHAnsi" w:cstheme="minorHAnsi"/>
        </w:rPr>
        <w:t>;</w:t>
      </w:r>
    </w:p>
    <w:p w14:paraId="387C5B78" w14:textId="21A527F5" w:rsidR="00324330" w:rsidRPr="00B8711A" w:rsidRDefault="00324330" w:rsidP="00690B5F">
      <w:pPr>
        <w:widowControl w:val="0"/>
        <w:numPr>
          <w:ilvl w:val="1"/>
          <w:numId w:val="37"/>
        </w:numPr>
        <w:spacing w:after="120"/>
        <w:ind w:left="1134"/>
        <w:rPr>
          <w:rFonts w:asciiTheme="minorHAnsi" w:hAnsiTheme="minorHAnsi" w:cstheme="minorHAnsi"/>
        </w:rPr>
      </w:pPr>
      <w:r w:rsidRPr="00B8711A">
        <w:rPr>
          <w:rFonts w:asciiTheme="minorHAnsi" w:hAnsiTheme="minorHAnsi" w:cstheme="minorHAnsi"/>
        </w:rPr>
        <w:t xml:space="preserve">The treatment is expected to address a high and urgent unmet clinical need </w:t>
      </w:r>
      <w:r w:rsidR="00DE1720" w:rsidRPr="00B8711A">
        <w:rPr>
          <w:rFonts w:asciiTheme="minorHAnsi" w:hAnsiTheme="minorHAnsi" w:cstheme="minorHAnsi"/>
        </w:rPr>
        <w:t xml:space="preserve">because </w:t>
      </w:r>
      <w:r w:rsidR="00C866C2" w:rsidRPr="00B8711A">
        <w:rPr>
          <w:rFonts w:asciiTheme="minorHAnsi" w:hAnsiTheme="minorHAnsi" w:cstheme="minorHAnsi"/>
        </w:rPr>
        <w:t>there are limited current treatment options and none with high-quality evidence supporting their use</w:t>
      </w:r>
      <w:r w:rsidR="00DE1720" w:rsidRPr="00B8711A">
        <w:rPr>
          <w:rFonts w:asciiTheme="minorHAnsi" w:hAnsiTheme="minorHAnsi" w:cstheme="minorHAnsi"/>
        </w:rPr>
        <w:t>;</w:t>
      </w:r>
    </w:p>
    <w:p w14:paraId="60DFE154" w14:textId="113098F8" w:rsidR="00324330" w:rsidRPr="00B8711A" w:rsidRDefault="00324330" w:rsidP="00690B5F">
      <w:pPr>
        <w:widowControl w:val="0"/>
        <w:numPr>
          <w:ilvl w:val="1"/>
          <w:numId w:val="37"/>
        </w:numPr>
        <w:spacing w:after="120"/>
        <w:ind w:left="1134"/>
        <w:rPr>
          <w:rFonts w:asciiTheme="minorHAnsi" w:hAnsiTheme="minorHAnsi" w:cstheme="minorHAnsi"/>
        </w:rPr>
      </w:pPr>
      <w:r w:rsidRPr="00B8711A">
        <w:rPr>
          <w:rFonts w:asciiTheme="minorHAnsi" w:hAnsiTheme="minorHAnsi" w:cstheme="minorHAnsi"/>
        </w:rPr>
        <w:t>It was not necessary to make a finding in relation to whether it would be in the public interest for the subsequent pricing application to be progressed under Pricing Pathway A because one or more of the preceding tests had failed</w:t>
      </w:r>
      <w:r w:rsidR="00DE1720" w:rsidRPr="00B8711A">
        <w:rPr>
          <w:rFonts w:asciiTheme="minorHAnsi" w:hAnsiTheme="minorHAnsi" w:cstheme="minorHAnsi"/>
        </w:rPr>
        <w:t>.</w:t>
      </w:r>
    </w:p>
    <w:p w14:paraId="1A43E7C2" w14:textId="23E66107" w:rsidR="00324330" w:rsidRPr="00B8711A" w:rsidRDefault="00324330" w:rsidP="00DE1720">
      <w:pPr>
        <w:widowControl w:val="0"/>
        <w:numPr>
          <w:ilvl w:val="1"/>
          <w:numId w:val="1"/>
        </w:numPr>
        <w:spacing w:after="120"/>
        <w:rPr>
          <w:rFonts w:asciiTheme="minorHAnsi" w:hAnsiTheme="minorHAnsi"/>
          <w:bCs/>
          <w:snapToGrid w:val="0"/>
        </w:rPr>
      </w:pPr>
      <w:r w:rsidRPr="00B8711A">
        <w:rPr>
          <w:rFonts w:asciiTheme="minorHAnsi" w:hAnsiTheme="minorHAnsi"/>
          <w:bCs/>
          <w:snapToGrid w:val="0"/>
        </w:rPr>
        <w:t>The PBAC noted that this submission is not eligible for an Independent Review</w:t>
      </w:r>
      <w:r w:rsidR="00DE1720" w:rsidRPr="00B8711A">
        <w:rPr>
          <w:rFonts w:asciiTheme="minorHAnsi" w:hAnsiTheme="minorHAnsi"/>
          <w:bCs/>
          <w:snapToGrid w:val="0"/>
        </w:rPr>
        <w:t xml:space="preserve"> as it received a positive recommendation</w:t>
      </w:r>
      <w:r w:rsidRPr="00B8711A">
        <w:rPr>
          <w:rFonts w:asciiTheme="minorHAnsi" w:hAnsiTheme="minorHAnsi"/>
          <w:bCs/>
          <w:snapToGrid w:val="0"/>
        </w:rPr>
        <w:t xml:space="preserve">. </w:t>
      </w:r>
    </w:p>
    <w:p w14:paraId="3A1EC363" w14:textId="77777777" w:rsidR="00324330" w:rsidRPr="00B8711A" w:rsidRDefault="00324330" w:rsidP="00324330">
      <w:pPr>
        <w:spacing w:before="240"/>
        <w:rPr>
          <w:rFonts w:asciiTheme="minorHAnsi" w:hAnsiTheme="minorHAnsi"/>
          <w:b/>
          <w:bCs/>
          <w:snapToGrid w:val="0"/>
        </w:rPr>
      </w:pPr>
      <w:r w:rsidRPr="00B8711A">
        <w:rPr>
          <w:rFonts w:asciiTheme="minorHAnsi" w:hAnsiTheme="minorHAnsi"/>
          <w:b/>
          <w:bCs/>
          <w:snapToGrid w:val="0"/>
        </w:rPr>
        <w:t>Outcome:</w:t>
      </w:r>
    </w:p>
    <w:p w14:paraId="3791A7CD" w14:textId="3276FA94" w:rsidR="0080515F" w:rsidRPr="00946816" w:rsidRDefault="00324330" w:rsidP="00946816">
      <w:pPr>
        <w:rPr>
          <w:rFonts w:asciiTheme="minorHAnsi" w:hAnsiTheme="minorHAnsi"/>
          <w:bCs/>
          <w:snapToGrid w:val="0"/>
        </w:rPr>
      </w:pPr>
      <w:r w:rsidRPr="00B8711A">
        <w:rPr>
          <w:rFonts w:asciiTheme="minorHAnsi" w:hAnsiTheme="minorHAnsi"/>
          <w:bCs/>
          <w:snapToGrid w:val="0"/>
        </w:rPr>
        <w:t xml:space="preserve">Recommended </w:t>
      </w:r>
      <w:bookmarkStart w:id="83" w:name="_Hlk111543254"/>
    </w:p>
    <w:bookmarkEnd w:id="78"/>
    <w:bookmarkEnd w:id="83"/>
    <w:p w14:paraId="0CCA501A" w14:textId="77777777" w:rsidR="00324330" w:rsidRPr="00B8711A" w:rsidRDefault="00324330" w:rsidP="00324330">
      <w:pPr>
        <w:pStyle w:val="2-SectionHeading"/>
        <w:numPr>
          <w:ilvl w:val="0"/>
          <w:numId w:val="1"/>
        </w:numPr>
        <w:outlineLvl w:val="0"/>
        <w:rPr>
          <w:b w:val="0"/>
          <w:bCs/>
          <w:iCs/>
        </w:rPr>
      </w:pPr>
      <w:r w:rsidRPr="00B8711A">
        <w:rPr>
          <w:bCs/>
        </w:rPr>
        <w:t>Recommended listing</w:t>
      </w:r>
    </w:p>
    <w:p w14:paraId="1D1585C8" w14:textId="1BBF676E" w:rsidR="006D43A0" w:rsidRPr="00690B5F" w:rsidRDefault="00324330" w:rsidP="00690B5F">
      <w:pPr>
        <w:widowControl w:val="0"/>
        <w:numPr>
          <w:ilvl w:val="1"/>
          <w:numId w:val="1"/>
        </w:numPr>
        <w:spacing w:after="120"/>
        <w:rPr>
          <w:rFonts w:asciiTheme="minorHAnsi" w:hAnsiTheme="minorHAnsi"/>
          <w:b/>
          <w:bCs/>
          <w:snapToGrid w:val="0"/>
        </w:rPr>
      </w:pPr>
      <w:r w:rsidRPr="001C59C3">
        <w:rPr>
          <w:rFonts w:asciiTheme="minorHAnsi" w:hAnsiTheme="minorHAnsi"/>
          <w:bCs/>
          <w:snapToGrid w:val="0"/>
        </w:rPr>
        <w:t>Add new item: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500"/>
        <w:gridCol w:w="1710"/>
        <w:gridCol w:w="1583"/>
        <w:gridCol w:w="858"/>
        <w:gridCol w:w="860"/>
        <w:gridCol w:w="858"/>
        <w:gridCol w:w="2150"/>
      </w:tblGrid>
      <w:tr w:rsidR="006D43A0" w:rsidRPr="001C59C3" w14:paraId="6F31B17A" w14:textId="77777777" w:rsidTr="00E6334A">
        <w:tc>
          <w:tcPr>
            <w:tcW w:w="1501" w:type="pct"/>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DBA0AEB" w14:textId="77777777" w:rsidR="006D43A0" w:rsidRPr="00946816" w:rsidRDefault="006D43A0" w:rsidP="00776D51">
            <w:pPr>
              <w:tabs>
                <w:tab w:val="left" w:pos="6510"/>
              </w:tabs>
              <w:rPr>
                <w:rFonts w:ascii="Arial Narrow" w:hAnsi="Arial Narrow"/>
                <w:b/>
                <w:sz w:val="20"/>
                <w:szCs w:val="20"/>
              </w:rPr>
            </w:pPr>
            <w:r w:rsidRPr="00946816">
              <w:rPr>
                <w:rFonts w:ascii="Arial Narrow" w:hAnsi="Arial Narrow"/>
                <w:b/>
                <w:sz w:val="20"/>
                <w:szCs w:val="20"/>
              </w:rPr>
              <w:t>Name, Restriction,</w:t>
            </w:r>
          </w:p>
          <w:p w14:paraId="4541BB3A" w14:textId="77777777" w:rsidR="006D43A0" w:rsidRPr="00946816" w:rsidRDefault="006D43A0" w:rsidP="00776D51">
            <w:pPr>
              <w:tabs>
                <w:tab w:val="left" w:pos="6510"/>
              </w:tabs>
              <w:rPr>
                <w:rFonts w:ascii="Arial Narrow" w:hAnsi="Arial Narrow"/>
                <w:b/>
                <w:sz w:val="20"/>
                <w:szCs w:val="20"/>
              </w:rPr>
            </w:pPr>
            <w:r w:rsidRPr="00946816">
              <w:rPr>
                <w:rFonts w:ascii="Arial Narrow" w:hAnsi="Arial Narrow"/>
                <w:b/>
                <w:sz w:val="20"/>
                <w:szCs w:val="20"/>
              </w:rPr>
              <w:t>Manner of administration and form</w:t>
            </w:r>
          </w:p>
        </w:tc>
        <w:tc>
          <w:tcPr>
            <w:tcW w:w="87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5B88274" w14:textId="77777777" w:rsidR="006D43A0" w:rsidRPr="00946816" w:rsidRDefault="006D43A0" w:rsidP="00776D51">
            <w:pPr>
              <w:tabs>
                <w:tab w:val="left" w:pos="6510"/>
              </w:tabs>
              <w:jc w:val="center"/>
              <w:rPr>
                <w:rFonts w:ascii="Arial Narrow" w:hAnsi="Arial Narrow"/>
                <w:b/>
                <w:sz w:val="20"/>
                <w:szCs w:val="20"/>
              </w:rPr>
            </w:pPr>
            <w:r w:rsidRPr="00946816">
              <w:rPr>
                <w:rFonts w:ascii="Arial Narrow" w:hAnsi="Arial Narrow"/>
                <w:b/>
                <w:sz w:val="20"/>
                <w:szCs w:val="20"/>
              </w:rPr>
              <w:t>PBS item code</w:t>
            </w:r>
          </w:p>
        </w:tc>
        <w:tc>
          <w:tcPr>
            <w:tcW w:w="47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2716294" w14:textId="77777777" w:rsidR="006D43A0" w:rsidRPr="00946816" w:rsidRDefault="006D43A0" w:rsidP="00776D51">
            <w:pPr>
              <w:tabs>
                <w:tab w:val="left" w:pos="6510"/>
              </w:tabs>
              <w:jc w:val="center"/>
              <w:rPr>
                <w:rFonts w:ascii="Arial Narrow" w:hAnsi="Arial Narrow"/>
                <w:b/>
                <w:sz w:val="20"/>
                <w:szCs w:val="20"/>
              </w:rPr>
            </w:pPr>
            <w:r w:rsidRPr="00946816">
              <w:rPr>
                <w:rFonts w:ascii="Arial Narrow" w:hAnsi="Arial Narrow"/>
                <w:b/>
                <w:sz w:val="20"/>
                <w:szCs w:val="20"/>
              </w:rPr>
              <w:t>Max. qty packs</w:t>
            </w:r>
          </w:p>
        </w:tc>
        <w:tc>
          <w:tcPr>
            <w:tcW w:w="47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2DF715A" w14:textId="77777777" w:rsidR="006D43A0" w:rsidRPr="00946816" w:rsidRDefault="006D43A0" w:rsidP="00776D51">
            <w:pPr>
              <w:tabs>
                <w:tab w:val="left" w:pos="6510"/>
              </w:tabs>
              <w:jc w:val="center"/>
              <w:rPr>
                <w:rFonts w:ascii="Arial Narrow" w:hAnsi="Arial Narrow"/>
                <w:b/>
                <w:sz w:val="20"/>
                <w:szCs w:val="20"/>
              </w:rPr>
            </w:pPr>
            <w:r w:rsidRPr="00946816">
              <w:rPr>
                <w:rFonts w:ascii="Arial Narrow" w:hAnsi="Arial Narrow"/>
                <w:b/>
                <w:sz w:val="20"/>
                <w:szCs w:val="20"/>
              </w:rPr>
              <w:t>Max. qty units</w:t>
            </w:r>
          </w:p>
        </w:tc>
        <w:tc>
          <w:tcPr>
            <w:tcW w:w="47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10C5C43" w14:textId="77777777" w:rsidR="006D43A0" w:rsidRPr="00946816" w:rsidRDefault="006D43A0" w:rsidP="00776D51">
            <w:pPr>
              <w:keepNext/>
              <w:ind w:left="-108"/>
              <w:jc w:val="center"/>
              <w:rPr>
                <w:rFonts w:ascii="Arial Narrow" w:hAnsi="Arial Narrow"/>
                <w:b/>
                <w:sz w:val="20"/>
                <w:szCs w:val="20"/>
              </w:rPr>
            </w:pPr>
            <w:r w:rsidRPr="00946816">
              <w:rPr>
                <w:rFonts w:ascii="Arial Narrow" w:hAnsi="Arial Narrow"/>
                <w:b/>
                <w:sz w:val="20"/>
                <w:szCs w:val="20"/>
              </w:rPr>
              <w:t>№.of</w:t>
            </w:r>
          </w:p>
          <w:p w14:paraId="023C7CFD" w14:textId="77777777" w:rsidR="006D43A0" w:rsidRPr="00946816" w:rsidRDefault="006D43A0" w:rsidP="00776D51">
            <w:pPr>
              <w:tabs>
                <w:tab w:val="left" w:pos="6510"/>
              </w:tabs>
              <w:jc w:val="center"/>
              <w:rPr>
                <w:rFonts w:ascii="Arial Narrow" w:hAnsi="Arial Narrow"/>
                <w:b/>
                <w:sz w:val="20"/>
                <w:szCs w:val="20"/>
              </w:rPr>
            </w:pPr>
            <w:r w:rsidRPr="00946816">
              <w:rPr>
                <w:rFonts w:ascii="Arial Narrow" w:hAnsi="Arial Narrow"/>
                <w:b/>
                <w:sz w:val="20"/>
                <w:szCs w:val="20"/>
              </w:rPr>
              <w:t>Rpts</w:t>
            </w:r>
          </w:p>
        </w:tc>
        <w:tc>
          <w:tcPr>
            <w:tcW w:w="119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93B91E" w14:textId="77777777" w:rsidR="006D43A0" w:rsidRPr="00946816" w:rsidRDefault="006D43A0" w:rsidP="00776D51">
            <w:pPr>
              <w:tabs>
                <w:tab w:val="left" w:pos="6510"/>
              </w:tabs>
              <w:jc w:val="center"/>
              <w:rPr>
                <w:rFonts w:ascii="Arial Narrow" w:hAnsi="Arial Narrow"/>
                <w:b/>
                <w:sz w:val="20"/>
                <w:szCs w:val="20"/>
              </w:rPr>
            </w:pPr>
            <w:r w:rsidRPr="00946816">
              <w:rPr>
                <w:rFonts w:ascii="Arial Narrow" w:hAnsi="Arial Narrow"/>
                <w:b/>
                <w:sz w:val="20"/>
                <w:szCs w:val="20"/>
              </w:rPr>
              <w:t>Proprietary Name and Manufacturer</w:t>
            </w:r>
          </w:p>
        </w:tc>
      </w:tr>
      <w:tr w:rsidR="006D43A0" w:rsidRPr="001C59C3" w14:paraId="270A2590" w14:textId="77777777" w:rsidTr="00E6334A">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07296A5" w14:textId="15E5C8F8" w:rsidR="006D43A0" w:rsidRPr="00946816" w:rsidRDefault="00B8711A" w:rsidP="00776D51">
            <w:pPr>
              <w:keepNext/>
              <w:ind w:left="-108"/>
              <w:rPr>
                <w:rFonts w:ascii="Arial Narrow" w:hAnsi="Arial Narrow"/>
                <w:sz w:val="20"/>
                <w:szCs w:val="20"/>
              </w:rPr>
            </w:pPr>
            <w:r w:rsidRPr="00946816">
              <w:rPr>
                <w:rFonts w:ascii="Arial Narrow" w:hAnsi="Arial Narrow"/>
                <w:sz w:val="20"/>
                <w:szCs w:val="20"/>
              </w:rPr>
              <w:t xml:space="preserve">   </w:t>
            </w:r>
            <w:r w:rsidR="00B20785" w:rsidRPr="00946816">
              <w:rPr>
                <w:rFonts w:ascii="Arial Narrow" w:hAnsi="Arial Narrow"/>
                <w:sz w:val="20"/>
                <w:szCs w:val="20"/>
              </w:rPr>
              <w:t>DIFELIKEFALIN</w:t>
            </w:r>
          </w:p>
        </w:tc>
      </w:tr>
      <w:tr w:rsidR="006D43A0" w:rsidRPr="001C59C3" w14:paraId="00B88DB5" w14:textId="77777777" w:rsidTr="00E6334A">
        <w:tc>
          <w:tcPr>
            <w:tcW w:w="1501" w:type="pct"/>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4FD530" w14:textId="77777777" w:rsidR="006D43A0" w:rsidRPr="00946816" w:rsidRDefault="006D43A0" w:rsidP="00776D51">
            <w:pPr>
              <w:tabs>
                <w:tab w:val="left" w:pos="6510"/>
              </w:tabs>
              <w:rPr>
                <w:rFonts w:ascii="Arial Narrow" w:hAnsi="Arial Narrow"/>
                <w:b/>
                <w:sz w:val="20"/>
                <w:szCs w:val="20"/>
              </w:rPr>
            </w:pPr>
            <w:r w:rsidRPr="00946816">
              <w:rPr>
                <w:rFonts w:ascii="Arial Narrow" w:hAnsi="Arial Narrow"/>
                <w:sz w:val="20"/>
                <w:szCs w:val="20"/>
              </w:rPr>
              <w:t>Difelikefalin 50 microgram/mL injection, 12 x 1mL vial</w:t>
            </w:r>
          </w:p>
        </w:tc>
        <w:tc>
          <w:tcPr>
            <w:tcW w:w="87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0B25E0A" w14:textId="77777777" w:rsidR="006D43A0" w:rsidRPr="00946816" w:rsidRDefault="006D43A0" w:rsidP="00776D51">
            <w:pPr>
              <w:tabs>
                <w:tab w:val="left" w:pos="6510"/>
              </w:tabs>
              <w:jc w:val="center"/>
              <w:rPr>
                <w:rFonts w:ascii="Arial Narrow" w:hAnsi="Arial Narrow"/>
                <w:bCs/>
                <w:sz w:val="20"/>
                <w:szCs w:val="20"/>
              </w:rPr>
            </w:pPr>
            <w:r w:rsidRPr="00946816">
              <w:rPr>
                <w:rFonts w:ascii="Arial Narrow" w:hAnsi="Arial Narrow"/>
                <w:bCs/>
                <w:sz w:val="20"/>
                <w:szCs w:val="20"/>
              </w:rPr>
              <w:t>New HSD (Public)</w:t>
            </w:r>
          </w:p>
          <w:p w14:paraId="65CE8A09" w14:textId="77777777" w:rsidR="006D43A0" w:rsidRPr="00946816" w:rsidRDefault="006D43A0" w:rsidP="00776D51">
            <w:pPr>
              <w:tabs>
                <w:tab w:val="left" w:pos="6510"/>
              </w:tabs>
              <w:jc w:val="center"/>
              <w:rPr>
                <w:rFonts w:ascii="Arial Narrow" w:hAnsi="Arial Narrow"/>
                <w:b/>
                <w:sz w:val="20"/>
                <w:szCs w:val="20"/>
              </w:rPr>
            </w:pPr>
            <w:r w:rsidRPr="00946816">
              <w:rPr>
                <w:rFonts w:ascii="Arial Narrow" w:hAnsi="Arial Narrow"/>
                <w:bCs/>
                <w:sz w:val="20"/>
                <w:szCs w:val="20"/>
              </w:rPr>
              <w:t>New HSD (Private)</w:t>
            </w:r>
          </w:p>
        </w:tc>
        <w:tc>
          <w:tcPr>
            <w:tcW w:w="47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926465" w14:textId="77777777" w:rsidR="006D43A0" w:rsidRPr="00946816" w:rsidRDefault="006D43A0" w:rsidP="00776D51">
            <w:pPr>
              <w:tabs>
                <w:tab w:val="left" w:pos="6510"/>
              </w:tabs>
              <w:jc w:val="center"/>
              <w:rPr>
                <w:rFonts w:ascii="Arial Narrow" w:hAnsi="Arial Narrow"/>
                <w:bCs/>
                <w:sz w:val="20"/>
                <w:szCs w:val="20"/>
              </w:rPr>
            </w:pPr>
            <w:r w:rsidRPr="00946816">
              <w:rPr>
                <w:rFonts w:ascii="Arial Narrow" w:hAnsi="Arial Narrow"/>
                <w:bCs/>
                <w:sz w:val="20"/>
                <w:szCs w:val="20"/>
              </w:rPr>
              <w:t>1</w:t>
            </w:r>
          </w:p>
        </w:tc>
        <w:tc>
          <w:tcPr>
            <w:tcW w:w="47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E224A75" w14:textId="77777777" w:rsidR="006D43A0" w:rsidRPr="00946816" w:rsidRDefault="006D43A0" w:rsidP="00776D51">
            <w:pPr>
              <w:tabs>
                <w:tab w:val="left" w:pos="6510"/>
              </w:tabs>
              <w:jc w:val="center"/>
              <w:rPr>
                <w:rFonts w:ascii="Arial Narrow" w:hAnsi="Arial Narrow"/>
                <w:bCs/>
                <w:sz w:val="20"/>
                <w:szCs w:val="20"/>
              </w:rPr>
            </w:pPr>
            <w:r w:rsidRPr="00946816">
              <w:rPr>
                <w:rFonts w:ascii="Arial Narrow" w:hAnsi="Arial Narrow"/>
                <w:bCs/>
                <w:sz w:val="20"/>
                <w:szCs w:val="20"/>
              </w:rPr>
              <w:t>12</w:t>
            </w:r>
          </w:p>
        </w:tc>
        <w:tc>
          <w:tcPr>
            <w:tcW w:w="47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48F6D8E" w14:textId="77777777" w:rsidR="006D43A0" w:rsidRPr="00946816" w:rsidRDefault="006D43A0" w:rsidP="00776D51">
            <w:pPr>
              <w:tabs>
                <w:tab w:val="left" w:pos="6510"/>
              </w:tabs>
              <w:jc w:val="center"/>
              <w:rPr>
                <w:rFonts w:ascii="Arial Narrow" w:hAnsi="Arial Narrow"/>
                <w:bCs/>
                <w:sz w:val="20"/>
                <w:szCs w:val="20"/>
              </w:rPr>
            </w:pPr>
            <w:r w:rsidRPr="00946816">
              <w:rPr>
                <w:rFonts w:ascii="Arial Narrow" w:hAnsi="Arial Narrow"/>
                <w:bCs/>
                <w:sz w:val="20"/>
                <w:szCs w:val="20"/>
              </w:rPr>
              <w:t>2</w:t>
            </w:r>
          </w:p>
        </w:tc>
        <w:tc>
          <w:tcPr>
            <w:tcW w:w="119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D6AAE95" w14:textId="77777777" w:rsidR="006D43A0" w:rsidRPr="00946816" w:rsidRDefault="006D43A0" w:rsidP="00776D51">
            <w:pPr>
              <w:tabs>
                <w:tab w:val="left" w:pos="6510"/>
              </w:tabs>
              <w:ind w:firstLine="720"/>
              <w:rPr>
                <w:rFonts w:ascii="Arial Narrow" w:hAnsi="Arial Narrow"/>
                <w:sz w:val="20"/>
                <w:szCs w:val="20"/>
              </w:rPr>
            </w:pPr>
            <w:r w:rsidRPr="00946816">
              <w:rPr>
                <w:rFonts w:ascii="Arial Narrow" w:hAnsi="Arial Narrow"/>
                <w:sz w:val="20"/>
                <w:szCs w:val="20"/>
              </w:rPr>
              <w:t>Korsuva</w:t>
            </w:r>
          </w:p>
        </w:tc>
      </w:tr>
      <w:tr w:rsidR="006D43A0" w:rsidRPr="001C59C3" w14:paraId="65A587B1" w14:textId="77777777" w:rsidTr="00E6334A">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3210ABB" w14:textId="77777777" w:rsidR="006D43A0" w:rsidRPr="00946816" w:rsidRDefault="006D43A0" w:rsidP="00776D51">
            <w:pPr>
              <w:tabs>
                <w:tab w:val="left" w:pos="6510"/>
              </w:tabs>
              <w:ind w:firstLine="720"/>
              <w:rPr>
                <w:rFonts w:ascii="Arial Narrow" w:hAnsi="Arial Narrow"/>
                <w:b/>
                <w:sz w:val="20"/>
                <w:szCs w:val="20"/>
              </w:rPr>
            </w:pPr>
            <w:r w:rsidRPr="00946816">
              <w:rPr>
                <w:rFonts w:ascii="Arial Narrow" w:hAnsi="Arial Narrow"/>
                <w:b/>
                <w:sz w:val="20"/>
                <w:szCs w:val="20"/>
              </w:rPr>
              <w:tab/>
            </w:r>
          </w:p>
        </w:tc>
      </w:tr>
      <w:tr w:rsidR="006D43A0" w:rsidRPr="001C59C3" w14:paraId="0FC318EA" w14:textId="77777777" w:rsidTr="00E6334A">
        <w:trPr>
          <w:trHeight w:val="230"/>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A537BDA" w14:textId="77777777" w:rsidR="006D43A0" w:rsidRPr="00946816" w:rsidRDefault="006D43A0" w:rsidP="00776D51">
            <w:pPr>
              <w:rPr>
                <w:rFonts w:ascii="Arial Narrow" w:hAnsi="Arial Narrow"/>
                <w:b/>
                <w:sz w:val="20"/>
                <w:szCs w:val="20"/>
              </w:rPr>
            </w:pPr>
            <w:r w:rsidRPr="00946816">
              <w:rPr>
                <w:rFonts w:ascii="Arial Narrow" w:hAnsi="Arial Narrow"/>
                <w:b/>
                <w:sz w:val="20"/>
                <w:szCs w:val="20"/>
              </w:rPr>
              <w:t>Restriction Summary [new 1] / Treatment of Concept: [new 2]</w:t>
            </w:r>
          </w:p>
        </w:tc>
      </w:tr>
      <w:tr w:rsidR="006D43A0" w:rsidRPr="001C59C3" w14:paraId="06D0DD79" w14:textId="77777777" w:rsidTr="00621588">
        <w:tc>
          <w:tcPr>
            <w:tcW w:w="552"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A9F7DC2" w14:textId="1CDCA4E2" w:rsidR="006D43A0" w:rsidRPr="00946816" w:rsidRDefault="006D43A0" w:rsidP="00776D51">
            <w:pPr>
              <w:jc w:val="center"/>
              <w:rPr>
                <w:rFonts w:ascii="Arial Narrow" w:hAnsi="Arial Narrow"/>
                <w:b/>
                <w:sz w:val="20"/>
                <w:szCs w:val="20"/>
              </w:rPr>
            </w:pPr>
          </w:p>
        </w:tc>
        <w:tc>
          <w:tcPr>
            <w:tcW w:w="4448"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3A85085" w14:textId="77777777" w:rsidR="006D43A0" w:rsidRPr="00946816" w:rsidRDefault="006D43A0" w:rsidP="00776D51">
            <w:pPr>
              <w:rPr>
                <w:rFonts w:ascii="Arial Narrow" w:hAnsi="Arial Narrow"/>
                <w:sz w:val="20"/>
                <w:szCs w:val="20"/>
              </w:rPr>
            </w:pPr>
            <w:r w:rsidRPr="00946816">
              <w:rPr>
                <w:rFonts w:ascii="Arial Narrow" w:hAnsi="Arial Narrow"/>
                <w:b/>
                <w:sz w:val="20"/>
                <w:szCs w:val="20"/>
              </w:rPr>
              <w:t xml:space="preserve">Category / Program:   </w:t>
            </w:r>
          </w:p>
          <w:p w14:paraId="4B25DE60" w14:textId="77777777" w:rsidR="006D43A0" w:rsidRPr="00946816" w:rsidRDefault="006D43A0" w:rsidP="00776D51">
            <w:pPr>
              <w:rPr>
                <w:rFonts w:ascii="Arial Narrow" w:hAnsi="Arial Narrow"/>
                <w:sz w:val="20"/>
                <w:szCs w:val="20"/>
              </w:rPr>
            </w:pPr>
            <w:r w:rsidRPr="00946816">
              <w:rPr>
                <w:rFonts w:ascii="Arial Narrow" w:hAnsi="Arial Narrow"/>
                <w:sz w:val="20"/>
                <w:szCs w:val="20"/>
              </w:rPr>
              <w:t xml:space="preserve">Section 100 – Highly Specialised Drugs Program {Public and Private Hospitals} </w:t>
            </w:r>
          </w:p>
        </w:tc>
      </w:tr>
      <w:tr w:rsidR="006D43A0" w:rsidRPr="001C59C3" w14:paraId="3357B2FB" w14:textId="77777777" w:rsidTr="00E6334A">
        <w:tblPrEx>
          <w:tblCellMar>
            <w:top w:w="15" w:type="dxa"/>
            <w:left w:w="15" w:type="dxa"/>
            <w:bottom w:w="15" w:type="dxa"/>
            <w:right w:w="15" w:type="dxa"/>
          </w:tblCellMar>
        </w:tblPrEx>
        <w:trPr>
          <w:trHeight w:val="366"/>
        </w:trPr>
        <w:tc>
          <w:tcPr>
            <w:tcW w:w="552" w:type="pct"/>
            <w:gridSpan w:val="2"/>
            <w:tcBorders>
              <w:top w:val="single" w:sz="4" w:space="0" w:color="auto"/>
              <w:left w:val="single" w:sz="4" w:space="0" w:color="auto"/>
              <w:bottom w:val="single" w:sz="4" w:space="0" w:color="auto"/>
              <w:right w:val="single" w:sz="4" w:space="0" w:color="auto"/>
            </w:tcBorders>
          </w:tcPr>
          <w:p w14:paraId="15CD2135" w14:textId="77777777" w:rsidR="006D43A0" w:rsidRPr="00946816" w:rsidRDefault="006D43A0" w:rsidP="00776D51">
            <w:pPr>
              <w:rPr>
                <w:rFonts w:ascii="Arial Narrow" w:hAnsi="Arial Narrow"/>
                <w:sz w:val="20"/>
                <w:szCs w:val="20"/>
              </w:rPr>
            </w:pPr>
          </w:p>
        </w:tc>
        <w:tc>
          <w:tcPr>
            <w:tcW w:w="4448" w:type="pct"/>
            <w:gridSpan w:val="6"/>
            <w:tcBorders>
              <w:top w:val="single" w:sz="4" w:space="0" w:color="auto"/>
              <w:left w:val="single" w:sz="4" w:space="0" w:color="auto"/>
              <w:bottom w:val="single" w:sz="4" w:space="0" w:color="auto"/>
              <w:right w:val="single" w:sz="4" w:space="0" w:color="auto"/>
            </w:tcBorders>
          </w:tcPr>
          <w:p w14:paraId="797FB535" w14:textId="77777777" w:rsidR="006D43A0" w:rsidRPr="00946816" w:rsidRDefault="006D43A0" w:rsidP="00776D51">
            <w:pPr>
              <w:rPr>
                <w:rFonts w:ascii="Arial Narrow" w:hAnsi="Arial Narrow"/>
                <w:sz w:val="20"/>
                <w:szCs w:val="20"/>
              </w:rPr>
            </w:pPr>
            <w:r w:rsidRPr="00946816">
              <w:rPr>
                <w:rFonts w:ascii="Arial Narrow" w:hAnsi="Arial Narrow"/>
                <w:b/>
                <w:sz w:val="20"/>
                <w:szCs w:val="20"/>
              </w:rPr>
              <w:t xml:space="preserve">Prescriber type:  </w:t>
            </w:r>
            <w:r w:rsidRPr="00946816">
              <w:rPr>
                <w:rFonts w:ascii="Arial Narrow" w:hAnsi="Arial Narrow"/>
                <w:sz w:val="20"/>
                <w:szCs w:val="20"/>
              </w:rPr>
              <w:fldChar w:fldCharType="begin" w:fldLock="1">
                <w:ffData>
                  <w:name w:val=""/>
                  <w:enabled/>
                  <w:calcOnExit w:val="0"/>
                  <w:checkBox>
                    <w:sizeAuto/>
                    <w:default w:val="1"/>
                  </w:checkBox>
                </w:ffData>
              </w:fldChar>
            </w:r>
            <w:r w:rsidRPr="00946816">
              <w:rPr>
                <w:rFonts w:ascii="Arial Narrow" w:hAnsi="Arial Narrow"/>
                <w:sz w:val="20"/>
                <w:szCs w:val="20"/>
              </w:rPr>
              <w:instrText xml:space="preserve"> FORMCHECKBOX </w:instrText>
            </w:r>
            <w:r w:rsidR="00690B5F">
              <w:rPr>
                <w:rFonts w:ascii="Arial Narrow" w:hAnsi="Arial Narrow"/>
                <w:sz w:val="20"/>
                <w:szCs w:val="20"/>
              </w:rPr>
            </w:r>
            <w:r w:rsidR="00690B5F">
              <w:rPr>
                <w:rFonts w:ascii="Arial Narrow" w:hAnsi="Arial Narrow"/>
                <w:sz w:val="20"/>
                <w:szCs w:val="20"/>
              </w:rPr>
              <w:fldChar w:fldCharType="separate"/>
            </w:r>
            <w:r w:rsidRPr="00946816">
              <w:rPr>
                <w:rFonts w:ascii="Arial Narrow" w:hAnsi="Arial Narrow"/>
                <w:sz w:val="20"/>
                <w:szCs w:val="20"/>
              </w:rPr>
              <w:fldChar w:fldCharType="end"/>
            </w:r>
            <w:r w:rsidRPr="00946816">
              <w:rPr>
                <w:rFonts w:ascii="Arial Narrow" w:hAnsi="Arial Narrow"/>
                <w:sz w:val="20"/>
                <w:szCs w:val="20"/>
              </w:rPr>
              <w:t xml:space="preserve">Medical Practitioners  </w:t>
            </w:r>
          </w:p>
        </w:tc>
      </w:tr>
      <w:tr w:rsidR="006D43A0" w:rsidRPr="001C59C3" w14:paraId="552D9A67" w14:textId="77777777" w:rsidTr="00E6334A">
        <w:tblPrEx>
          <w:tblCellMar>
            <w:top w:w="15" w:type="dxa"/>
            <w:left w:w="15" w:type="dxa"/>
            <w:bottom w:w="15" w:type="dxa"/>
            <w:right w:w="15" w:type="dxa"/>
          </w:tblCellMar>
        </w:tblPrEx>
        <w:tc>
          <w:tcPr>
            <w:tcW w:w="552" w:type="pct"/>
            <w:gridSpan w:val="2"/>
            <w:tcBorders>
              <w:top w:val="single" w:sz="4" w:space="0" w:color="auto"/>
              <w:left w:val="single" w:sz="4" w:space="0" w:color="auto"/>
              <w:bottom w:val="single" w:sz="4" w:space="0" w:color="auto"/>
              <w:right w:val="single" w:sz="4" w:space="0" w:color="auto"/>
            </w:tcBorders>
          </w:tcPr>
          <w:p w14:paraId="56ADB0B6" w14:textId="77777777" w:rsidR="006D43A0" w:rsidRPr="00946816" w:rsidRDefault="006D43A0" w:rsidP="00776D51">
            <w:pPr>
              <w:rPr>
                <w:rFonts w:ascii="Arial Narrow" w:hAnsi="Arial Narrow"/>
                <w:sz w:val="20"/>
                <w:szCs w:val="20"/>
              </w:rPr>
            </w:pPr>
          </w:p>
        </w:tc>
        <w:tc>
          <w:tcPr>
            <w:tcW w:w="4448" w:type="pct"/>
            <w:gridSpan w:val="6"/>
            <w:tcBorders>
              <w:top w:val="single" w:sz="4" w:space="0" w:color="auto"/>
              <w:left w:val="single" w:sz="4" w:space="0" w:color="auto"/>
              <w:bottom w:val="single" w:sz="4" w:space="0" w:color="auto"/>
              <w:right w:val="single" w:sz="4" w:space="0" w:color="auto"/>
            </w:tcBorders>
          </w:tcPr>
          <w:p w14:paraId="60612516" w14:textId="77777777" w:rsidR="006D43A0" w:rsidRPr="00946816" w:rsidRDefault="006D43A0" w:rsidP="00776D51">
            <w:pPr>
              <w:rPr>
                <w:rFonts w:ascii="Arial Narrow" w:hAnsi="Arial Narrow"/>
                <w:b/>
                <w:sz w:val="20"/>
                <w:szCs w:val="20"/>
              </w:rPr>
            </w:pPr>
            <w:r w:rsidRPr="00946816">
              <w:rPr>
                <w:rFonts w:ascii="Arial Narrow" w:hAnsi="Arial Narrow"/>
                <w:b/>
                <w:sz w:val="20"/>
                <w:szCs w:val="20"/>
              </w:rPr>
              <w:t>Restriction Level / Method:</w:t>
            </w:r>
          </w:p>
          <w:p w14:paraId="09D89736" w14:textId="77777777" w:rsidR="006D43A0" w:rsidRPr="00946816" w:rsidRDefault="006D43A0" w:rsidP="00776D51">
            <w:pPr>
              <w:rPr>
                <w:rFonts w:ascii="Arial Narrow" w:hAnsi="Arial Narrow"/>
                <w:sz w:val="20"/>
                <w:szCs w:val="20"/>
              </w:rPr>
            </w:pPr>
            <w:r w:rsidRPr="00946816">
              <w:rPr>
                <w:rFonts w:ascii="Arial Narrow" w:hAnsi="Arial Narrow"/>
                <w:sz w:val="20"/>
                <w:szCs w:val="20"/>
              </w:rPr>
              <w:fldChar w:fldCharType="begin" w:fldLock="1">
                <w:ffData>
                  <w:name w:val="Check3"/>
                  <w:enabled/>
                  <w:calcOnExit w:val="0"/>
                  <w:checkBox>
                    <w:sizeAuto/>
                    <w:default w:val="1"/>
                  </w:checkBox>
                </w:ffData>
              </w:fldChar>
            </w:r>
            <w:r w:rsidRPr="00946816">
              <w:rPr>
                <w:rFonts w:ascii="Arial Narrow" w:hAnsi="Arial Narrow"/>
                <w:sz w:val="20"/>
                <w:szCs w:val="20"/>
              </w:rPr>
              <w:instrText xml:space="preserve"> FORMCHECKBOX </w:instrText>
            </w:r>
            <w:r w:rsidR="00690B5F">
              <w:rPr>
                <w:rFonts w:ascii="Arial Narrow" w:hAnsi="Arial Narrow"/>
                <w:sz w:val="20"/>
                <w:szCs w:val="20"/>
              </w:rPr>
            </w:r>
            <w:r w:rsidR="00690B5F">
              <w:rPr>
                <w:rFonts w:ascii="Arial Narrow" w:hAnsi="Arial Narrow"/>
                <w:sz w:val="20"/>
                <w:szCs w:val="20"/>
              </w:rPr>
              <w:fldChar w:fldCharType="separate"/>
            </w:r>
            <w:r w:rsidRPr="00946816">
              <w:rPr>
                <w:rFonts w:ascii="Arial Narrow" w:hAnsi="Arial Narrow"/>
                <w:sz w:val="20"/>
                <w:szCs w:val="20"/>
              </w:rPr>
              <w:fldChar w:fldCharType="end"/>
            </w:r>
            <w:r w:rsidRPr="00946816">
              <w:rPr>
                <w:rFonts w:ascii="Arial Narrow" w:hAnsi="Arial Narrow"/>
                <w:sz w:val="20"/>
                <w:szCs w:val="20"/>
              </w:rPr>
              <w:t>Authority Required – Telephone/Online PBS Authorities system</w:t>
            </w:r>
          </w:p>
        </w:tc>
      </w:tr>
      <w:tr w:rsidR="006D43A0" w:rsidRPr="001C59C3" w14:paraId="1C9793D2" w14:textId="77777777" w:rsidTr="00E6334A">
        <w:tblPrEx>
          <w:tblCellMar>
            <w:top w:w="15" w:type="dxa"/>
            <w:left w:w="15" w:type="dxa"/>
            <w:bottom w:w="15" w:type="dxa"/>
            <w:right w:w="15" w:type="dxa"/>
          </w:tblCellMar>
        </w:tblPrEx>
        <w:tc>
          <w:tcPr>
            <w:tcW w:w="276" w:type="pct"/>
            <w:vMerge w:val="restart"/>
            <w:textDirection w:val="btLr"/>
            <w:vAlign w:val="center"/>
          </w:tcPr>
          <w:p w14:paraId="51894C91" w14:textId="57AE390F" w:rsidR="006D43A0" w:rsidRPr="00946816" w:rsidRDefault="006D43A0" w:rsidP="00776D51">
            <w:pPr>
              <w:ind w:left="113" w:right="113"/>
              <w:jc w:val="center"/>
              <w:rPr>
                <w:rFonts w:ascii="Arial Narrow" w:hAnsi="Arial Narrow"/>
                <w:sz w:val="20"/>
                <w:szCs w:val="20"/>
              </w:rPr>
            </w:pPr>
          </w:p>
        </w:tc>
        <w:tc>
          <w:tcPr>
            <w:tcW w:w="277" w:type="pct"/>
            <w:vAlign w:val="center"/>
          </w:tcPr>
          <w:p w14:paraId="1B4B26C7" w14:textId="51CFCED0" w:rsidR="006D43A0" w:rsidRPr="00946816" w:rsidRDefault="006D43A0" w:rsidP="00776D51">
            <w:pPr>
              <w:jc w:val="center"/>
              <w:rPr>
                <w:rFonts w:ascii="Arial Narrow" w:hAnsi="Arial Narrow"/>
                <w:sz w:val="20"/>
                <w:szCs w:val="20"/>
              </w:rPr>
            </w:pPr>
          </w:p>
        </w:tc>
        <w:tc>
          <w:tcPr>
            <w:tcW w:w="4448" w:type="pct"/>
            <w:gridSpan w:val="6"/>
            <w:vAlign w:val="center"/>
          </w:tcPr>
          <w:p w14:paraId="2D1B5A70" w14:textId="77777777" w:rsidR="006D43A0" w:rsidRPr="00946816" w:rsidRDefault="006D43A0" w:rsidP="00776D51">
            <w:pPr>
              <w:rPr>
                <w:rFonts w:ascii="Arial Narrow" w:hAnsi="Arial Narrow"/>
                <w:b/>
                <w:bCs/>
                <w:sz w:val="20"/>
                <w:szCs w:val="20"/>
              </w:rPr>
            </w:pPr>
            <w:r w:rsidRPr="00946816">
              <w:rPr>
                <w:rFonts w:ascii="Arial Narrow" w:hAnsi="Arial Narrow"/>
                <w:b/>
                <w:bCs/>
                <w:sz w:val="20"/>
                <w:szCs w:val="20"/>
              </w:rPr>
              <w:t xml:space="preserve">Administrative Advice: </w:t>
            </w:r>
          </w:p>
          <w:p w14:paraId="0D6952BB" w14:textId="77777777" w:rsidR="006D43A0" w:rsidRPr="00946816" w:rsidRDefault="006D43A0" w:rsidP="00776D51">
            <w:pPr>
              <w:rPr>
                <w:rFonts w:ascii="Arial Narrow" w:hAnsi="Arial Narrow"/>
                <w:sz w:val="20"/>
                <w:szCs w:val="20"/>
              </w:rPr>
            </w:pPr>
            <w:r w:rsidRPr="00946816">
              <w:rPr>
                <w:rFonts w:ascii="Arial Narrow" w:hAnsi="Arial Narrow"/>
                <w:sz w:val="20"/>
                <w:szCs w:val="20"/>
              </w:rPr>
              <w:t>No increase to the maximum number of repeats may be authorised.</w:t>
            </w:r>
          </w:p>
        </w:tc>
      </w:tr>
      <w:tr w:rsidR="006D43A0" w:rsidRPr="001C59C3" w14:paraId="4DB18F53" w14:textId="77777777" w:rsidTr="00E6334A">
        <w:tblPrEx>
          <w:tblCellMar>
            <w:top w:w="15" w:type="dxa"/>
            <w:left w:w="15" w:type="dxa"/>
            <w:bottom w:w="15" w:type="dxa"/>
            <w:right w:w="15" w:type="dxa"/>
          </w:tblCellMar>
        </w:tblPrEx>
        <w:tc>
          <w:tcPr>
            <w:tcW w:w="276" w:type="pct"/>
            <w:vMerge/>
            <w:vAlign w:val="center"/>
          </w:tcPr>
          <w:p w14:paraId="7E0EA87E" w14:textId="77777777" w:rsidR="006D43A0" w:rsidRPr="00946816" w:rsidRDefault="006D43A0" w:rsidP="00776D51">
            <w:pPr>
              <w:jc w:val="center"/>
              <w:rPr>
                <w:rFonts w:ascii="Arial Narrow" w:hAnsi="Arial Narrow"/>
                <w:sz w:val="20"/>
                <w:szCs w:val="20"/>
              </w:rPr>
            </w:pPr>
          </w:p>
        </w:tc>
        <w:tc>
          <w:tcPr>
            <w:tcW w:w="277" w:type="pct"/>
            <w:vAlign w:val="center"/>
          </w:tcPr>
          <w:p w14:paraId="51A0710E" w14:textId="5C6D0C35" w:rsidR="006D43A0" w:rsidRPr="00946816" w:rsidRDefault="006D43A0" w:rsidP="00776D51">
            <w:pPr>
              <w:jc w:val="center"/>
              <w:rPr>
                <w:rFonts w:ascii="Arial Narrow" w:hAnsi="Arial Narrow"/>
                <w:sz w:val="20"/>
                <w:szCs w:val="20"/>
              </w:rPr>
            </w:pPr>
          </w:p>
        </w:tc>
        <w:tc>
          <w:tcPr>
            <w:tcW w:w="4448" w:type="pct"/>
            <w:gridSpan w:val="6"/>
            <w:vAlign w:val="center"/>
          </w:tcPr>
          <w:p w14:paraId="131E143C" w14:textId="77777777" w:rsidR="006D43A0" w:rsidRPr="00946816" w:rsidRDefault="006D43A0" w:rsidP="00776D51">
            <w:pPr>
              <w:rPr>
                <w:rFonts w:ascii="Arial Narrow" w:hAnsi="Arial Narrow"/>
                <w:b/>
                <w:bCs/>
                <w:sz w:val="20"/>
                <w:szCs w:val="20"/>
              </w:rPr>
            </w:pPr>
            <w:r w:rsidRPr="00946816">
              <w:rPr>
                <w:rFonts w:ascii="Arial Narrow" w:hAnsi="Arial Narrow"/>
                <w:b/>
                <w:bCs/>
                <w:sz w:val="20"/>
                <w:szCs w:val="20"/>
              </w:rPr>
              <w:t xml:space="preserve">Administrative Advice: </w:t>
            </w:r>
          </w:p>
          <w:p w14:paraId="03FAF5BA" w14:textId="77777777" w:rsidR="006D43A0" w:rsidRPr="00946816" w:rsidRDefault="006D43A0" w:rsidP="00776D51">
            <w:pPr>
              <w:rPr>
                <w:rFonts w:ascii="Arial Narrow" w:hAnsi="Arial Narrow"/>
                <w:sz w:val="20"/>
                <w:szCs w:val="20"/>
              </w:rPr>
            </w:pPr>
            <w:r w:rsidRPr="00946816">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6D43A0" w:rsidRPr="001C59C3" w14:paraId="02A1C871" w14:textId="77777777" w:rsidTr="00E6334A">
        <w:tblPrEx>
          <w:tblCellMar>
            <w:top w:w="15" w:type="dxa"/>
            <w:left w:w="15" w:type="dxa"/>
            <w:bottom w:w="15" w:type="dxa"/>
            <w:right w:w="15" w:type="dxa"/>
          </w:tblCellMar>
        </w:tblPrEx>
        <w:trPr>
          <w:trHeight w:val="1245"/>
        </w:trPr>
        <w:tc>
          <w:tcPr>
            <w:tcW w:w="276" w:type="pct"/>
            <w:vMerge/>
            <w:vAlign w:val="center"/>
          </w:tcPr>
          <w:p w14:paraId="2FD44A2E" w14:textId="77777777" w:rsidR="006D43A0" w:rsidRPr="00946816" w:rsidRDefault="006D43A0" w:rsidP="00776D51">
            <w:pPr>
              <w:jc w:val="center"/>
              <w:rPr>
                <w:rFonts w:ascii="Arial Narrow" w:hAnsi="Arial Narrow"/>
                <w:sz w:val="20"/>
                <w:szCs w:val="20"/>
              </w:rPr>
            </w:pPr>
          </w:p>
        </w:tc>
        <w:tc>
          <w:tcPr>
            <w:tcW w:w="277" w:type="pct"/>
            <w:vAlign w:val="center"/>
          </w:tcPr>
          <w:p w14:paraId="7E2E972E" w14:textId="5E7A4477" w:rsidR="006D43A0" w:rsidRPr="00946816" w:rsidRDefault="006D43A0" w:rsidP="00776D51">
            <w:pPr>
              <w:jc w:val="center"/>
              <w:rPr>
                <w:rFonts w:ascii="Arial Narrow" w:hAnsi="Arial Narrow"/>
                <w:sz w:val="20"/>
                <w:szCs w:val="20"/>
              </w:rPr>
            </w:pPr>
          </w:p>
        </w:tc>
        <w:tc>
          <w:tcPr>
            <w:tcW w:w="4448" w:type="pct"/>
            <w:gridSpan w:val="6"/>
            <w:vAlign w:val="center"/>
          </w:tcPr>
          <w:p w14:paraId="5C6AC30F" w14:textId="77777777" w:rsidR="006D43A0" w:rsidRPr="00946816" w:rsidRDefault="006D43A0" w:rsidP="00776D51">
            <w:pPr>
              <w:rPr>
                <w:rFonts w:ascii="Arial Narrow" w:hAnsi="Arial Narrow"/>
                <w:b/>
                <w:bCs/>
                <w:sz w:val="20"/>
                <w:szCs w:val="20"/>
              </w:rPr>
            </w:pPr>
            <w:r w:rsidRPr="00946816">
              <w:rPr>
                <w:rFonts w:ascii="Arial Narrow" w:hAnsi="Arial Narrow"/>
                <w:b/>
                <w:bCs/>
                <w:sz w:val="20"/>
                <w:szCs w:val="20"/>
              </w:rPr>
              <w:t xml:space="preserve">Administrative Advice: </w:t>
            </w:r>
          </w:p>
          <w:p w14:paraId="06CA0054" w14:textId="02C4AADE" w:rsidR="006D43A0" w:rsidRPr="00946816" w:rsidRDefault="00AD13DC" w:rsidP="00776D51">
            <w:pPr>
              <w:rPr>
                <w:rFonts w:ascii="Arial Narrow" w:hAnsi="Arial Narrow"/>
                <w:sz w:val="20"/>
                <w:szCs w:val="20"/>
              </w:rPr>
            </w:pPr>
            <w:r w:rsidRPr="00946816">
              <w:rPr>
                <w:rFonts w:ascii="Arial Narrow" w:hAnsi="Arial Narrow"/>
                <w:sz w:val="20"/>
                <w:szCs w:val="20"/>
              </w:rPr>
              <w:t>See the following article for details on the</w:t>
            </w:r>
            <w:r w:rsidR="006D43A0" w:rsidRPr="00946816">
              <w:rPr>
                <w:rFonts w:ascii="Arial Narrow" w:hAnsi="Arial Narrow"/>
                <w:sz w:val="20"/>
                <w:szCs w:val="20"/>
              </w:rPr>
              <w:t xml:space="preserve"> 24-hour Worst Itching Intensity Numerical Rating Scale (WI-NRS)</w:t>
            </w:r>
            <w:r w:rsidRPr="00946816">
              <w:rPr>
                <w:rFonts w:ascii="Arial Narrow" w:hAnsi="Arial Narrow"/>
                <w:sz w:val="20"/>
                <w:szCs w:val="20"/>
              </w:rPr>
              <w:t>:</w:t>
            </w:r>
          </w:p>
          <w:p w14:paraId="0E7B3CE2" w14:textId="77777777" w:rsidR="006D43A0" w:rsidRPr="00946816" w:rsidRDefault="006D43A0" w:rsidP="00776D51">
            <w:pPr>
              <w:rPr>
                <w:rFonts w:ascii="Arial Narrow" w:hAnsi="Arial Narrow"/>
                <w:sz w:val="20"/>
                <w:szCs w:val="20"/>
              </w:rPr>
            </w:pPr>
          </w:p>
          <w:p w14:paraId="7781123A" w14:textId="77777777" w:rsidR="006D43A0" w:rsidRPr="00946816" w:rsidRDefault="006D43A0" w:rsidP="00776D51">
            <w:pPr>
              <w:rPr>
                <w:rFonts w:ascii="Arial Narrow" w:hAnsi="Arial Narrow"/>
                <w:sz w:val="20"/>
                <w:szCs w:val="20"/>
              </w:rPr>
            </w:pPr>
            <w:r w:rsidRPr="00946816">
              <w:rPr>
                <w:rFonts w:ascii="Arial Narrow" w:hAnsi="Arial Narrow"/>
                <w:sz w:val="20"/>
                <w:szCs w:val="20"/>
              </w:rPr>
              <w:t>Vernon MK, Swett LL, Speck RM, et al. Psychometric validation and meaningful change thresholds of the Worst Itching Intensity Numerical Rating Scale for assessing itch in patients with chronic kidney disease-associated pruritus. J Patient Rep Outcomes. 2021;5(1):134. Published 2021 Dec 24. doi:10.1186/s41687-021-00404-z</w:t>
            </w:r>
          </w:p>
          <w:p w14:paraId="1706F625" w14:textId="77777777" w:rsidR="00812961" w:rsidRPr="00946816" w:rsidRDefault="00812961" w:rsidP="00776D51">
            <w:pPr>
              <w:rPr>
                <w:rFonts w:ascii="Arial Narrow" w:hAnsi="Arial Narrow"/>
                <w:b/>
                <w:bCs/>
                <w:sz w:val="20"/>
                <w:szCs w:val="20"/>
              </w:rPr>
            </w:pPr>
          </w:p>
          <w:p w14:paraId="28DB5D94" w14:textId="608D8AC0" w:rsidR="00A825D7" w:rsidRPr="00946816" w:rsidRDefault="00A825D7" w:rsidP="00776D51">
            <w:pPr>
              <w:rPr>
                <w:rFonts w:ascii="Arial Narrow" w:hAnsi="Arial Narrow"/>
                <w:b/>
                <w:bCs/>
                <w:sz w:val="20"/>
                <w:szCs w:val="20"/>
              </w:rPr>
            </w:pPr>
            <w:r w:rsidRPr="00946816">
              <w:rPr>
                <w:rFonts w:ascii="Arial Narrow" w:eastAsiaTheme="minorHAnsi" w:hAnsi="Arial Narrow" w:cstheme="minorBidi"/>
                <w:kern w:val="2"/>
                <w:sz w:val="20"/>
                <w:szCs w:val="20"/>
                <w:lang w:eastAsia="en-US"/>
                <w14:ligatures w14:val="standardContextual"/>
              </w:rPr>
              <w:t xml:space="preserve">The WI-NRS scale is available as downloadable document in the supplementary information section at: </w:t>
            </w:r>
            <w:hyperlink r:id="rId11" w:history="1">
              <w:r w:rsidRPr="00946816">
                <w:rPr>
                  <w:rStyle w:val="Hyperlink"/>
                  <w:rFonts w:ascii="Arial Narrow" w:hAnsi="Arial Narrow"/>
                  <w:color w:val="auto"/>
                  <w:sz w:val="20"/>
                  <w:szCs w:val="20"/>
                </w:rPr>
                <w:t>www.ncbi.nlm.nih.gov/pmc/articles/PMC8709801/</w:t>
              </w:r>
            </w:hyperlink>
          </w:p>
        </w:tc>
      </w:tr>
      <w:tr w:rsidR="00946816" w:rsidRPr="00946816" w14:paraId="4E3297F5" w14:textId="77777777" w:rsidTr="00621588">
        <w:tblPrEx>
          <w:tblCellMar>
            <w:top w:w="15" w:type="dxa"/>
            <w:left w:w="15" w:type="dxa"/>
            <w:bottom w:w="15" w:type="dxa"/>
            <w:right w:w="15" w:type="dxa"/>
          </w:tblCellMar>
        </w:tblPrEx>
        <w:tc>
          <w:tcPr>
            <w:tcW w:w="552" w:type="pct"/>
            <w:gridSpan w:val="2"/>
            <w:vAlign w:val="center"/>
          </w:tcPr>
          <w:p w14:paraId="1E4BC4C9" w14:textId="31541BDC" w:rsidR="006D43A0" w:rsidRPr="00946816" w:rsidRDefault="006D43A0" w:rsidP="00776D51">
            <w:pPr>
              <w:jc w:val="center"/>
              <w:rPr>
                <w:rFonts w:ascii="Arial Narrow" w:hAnsi="Arial Narrow"/>
                <w:sz w:val="20"/>
                <w:szCs w:val="20"/>
              </w:rPr>
            </w:pPr>
          </w:p>
        </w:tc>
        <w:tc>
          <w:tcPr>
            <w:tcW w:w="4448" w:type="pct"/>
            <w:gridSpan w:val="6"/>
            <w:vAlign w:val="center"/>
            <w:hideMark/>
          </w:tcPr>
          <w:p w14:paraId="5BC92238" w14:textId="77777777" w:rsidR="006D43A0" w:rsidRPr="00946816" w:rsidRDefault="006D43A0" w:rsidP="00776D51">
            <w:pPr>
              <w:rPr>
                <w:rFonts w:ascii="Arial Narrow" w:hAnsi="Arial Narrow"/>
                <w:sz w:val="20"/>
                <w:szCs w:val="20"/>
              </w:rPr>
            </w:pPr>
            <w:r w:rsidRPr="00946816">
              <w:rPr>
                <w:rFonts w:ascii="Arial Narrow" w:hAnsi="Arial Narrow"/>
                <w:b/>
                <w:bCs/>
                <w:sz w:val="20"/>
                <w:szCs w:val="20"/>
              </w:rPr>
              <w:t>Indication:</w:t>
            </w:r>
            <w:r w:rsidRPr="00946816">
              <w:rPr>
                <w:rFonts w:ascii="Arial Narrow" w:hAnsi="Arial Narrow"/>
                <w:sz w:val="20"/>
                <w:szCs w:val="20"/>
              </w:rPr>
              <w:t xml:space="preserve"> Moderate to severe pruritus (itching) associated with chronic kidney disease</w:t>
            </w:r>
          </w:p>
        </w:tc>
      </w:tr>
      <w:tr w:rsidR="00946816" w:rsidRPr="00946816" w14:paraId="7CE6FBE8" w14:textId="77777777" w:rsidTr="00621588">
        <w:tblPrEx>
          <w:tblCellMar>
            <w:top w:w="15" w:type="dxa"/>
            <w:left w:w="15" w:type="dxa"/>
            <w:bottom w:w="15" w:type="dxa"/>
            <w:right w:w="15" w:type="dxa"/>
          </w:tblCellMar>
        </w:tblPrEx>
        <w:tc>
          <w:tcPr>
            <w:tcW w:w="552" w:type="pct"/>
            <w:gridSpan w:val="2"/>
            <w:vAlign w:val="center"/>
          </w:tcPr>
          <w:p w14:paraId="05FC7523" w14:textId="77777777" w:rsidR="006D43A0" w:rsidRPr="00946816" w:rsidRDefault="006D43A0" w:rsidP="00776D51">
            <w:pPr>
              <w:jc w:val="center"/>
              <w:rPr>
                <w:rFonts w:ascii="Arial Narrow" w:hAnsi="Arial Narrow"/>
                <w:sz w:val="20"/>
                <w:szCs w:val="20"/>
              </w:rPr>
            </w:pPr>
          </w:p>
        </w:tc>
        <w:tc>
          <w:tcPr>
            <w:tcW w:w="4448" w:type="pct"/>
            <w:gridSpan w:val="6"/>
            <w:vAlign w:val="center"/>
            <w:hideMark/>
          </w:tcPr>
          <w:p w14:paraId="41267F1B" w14:textId="77777777" w:rsidR="006D43A0" w:rsidRPr="00946816" w:rsidRDefault="006D43A0" w:rsidP="00776D51">
            <w:pPr>
              <w:rPr>
                <w:rFonts w:ascii="Arial Narrow" w:hAnsi="Arial Narrow"/>
                <w:sz w:val="20"/>
                <w:szCs w:val="20"/>
              </w:rPr>
            </w:pPr>
            <w:r w:rsidRPr="00946816">
              <w:rPr>
                <w:rFonts w:ascii="Arial Narrow" w:hAnsi="Arial Narrow"/>
                <w:b/>
                <w:bCs/>
                <w:sz w:val="20"/>
                <w:szCs w:val="20"/>
              </w:rPr>
              <w:t>Treatment Phase:</w:t>
            </w:r>
            <w:r w:rsidRPr="00946816">
              <w:rPr>
                <w:rFonts w:ascii="Arial Narrow" w:hAnsi="Arial Narrow"/>
                <w:sz w:val="20"/>
                <w:szCs w:val="20"/>
              </w:rPr>
              <w:t xml:space="preserve"> Initial treatment</w:t>
            </w:r>
          </w:p>
        </w:tc>
      </w:tr>
      <w:tr w:rsidR="00946816" w:rsidRPr="00946816" w14:paraId="1B71FA1F" w14:textId="77777777" w:rsidTr="00E6334A">
        <w:tblPrEx>
          <w:tblCellMar>
            <w:top w:w="15" w:type="dxa"/>
            <w:left w:w="15" w:type="dxa"/>
            <w:bottom w:w="15" w:type="dxa"/>
            <w:right w:w="15" w:type="dxa"/>
          </w:tblCellMar>
        </w:tblPrEx>
        <w:tc>
          <w:tcPr>
            <w:tcW w:w="552" w:type="pct"/>
            <w:gridSpan w:val="2"/>
            <w:vAlign w:val="center"/>
          </w:tcPr>
          <w:p w14:paraId="55E87AFC" w14:textId="02BD8E8F" w:rsidR="006D43A0" w:rsidRPr="00946816" w:rsidRDefault="006D43A0" w:rsidP="00776D51">
            <w:pPr>
              <w:jc w:val="center"/>
              <w:rPr>
                <w:rFonts w:ascii="Arial Narrow" w:hAnsi="Arial Narrow"/>
                <w:sz w:val="20"/>
                <w:szCs w:val="20"/>
              </w:rPr>
            </w:pPr>
          </w:p>
        </w:tc>
        <w:tc>
          <w:tcPr>
            <w:tcW w:w="4448" w:type="pct"/>
            <w:gridSpan w:val="6"/>
            <w:vAlign w:val="center"/>
            <w:hideMark/>
          </w:tcPr>
          <w:p w14:paraId="52C2EFAF" w14:textId="77777777" w:rsidR="006D43A0" w:rsidRPr="00946816" w:rsidRDefault="006D43A0" w:rsidP="00776D51">
            <w:pPr>
              <w:rPr>
                <w:rFonts w:ascii="Arial Narrow" w:hAnsi="Arial Narrow"/>
                <w:sz w:val="20"/>
                <w:szCs w:val="20"/>
              </w:rPr>
            </w:pPr>
            <w:r w:rsidRPr="00946816">
              <w:rPr>
                <w:rFonts w:ascii="Arial Narrow" w:hAnsi="Arial Narrow"/>
                <w:b/>
                <w:bCs/>
                <w:sz w:val="20"/>
                <w:szCs w:val="20"/>
              </w:rPr>
              <w:t>Clinical criteria:</w:t>
            </w:r>
          </w:p>
        </w:tc>
      </w:tr>
      <w:tr w:rsidR="00946816" w:rsidRPr="00946816" w14:paraId="202DF100" w14:textId="77777777" w:rsidTr="00E6334A">
        <w:tblPrEx>
          <w:tblCellMar>
            <w:top w:w="15" w:type="dxa"/>
            <w:left w:w="15" w:type="dxa"/>
            <w:bottom w:w="15" w:type="dxa"/>
            <w:right w:w="15" w:type="dxa"/>
          </w:tblCellMar>
        </w:tblPrEx>
        <w:tc>
          <w:tcPr>
            <w:tcW w:w="552" w:type="pct"/>
            <w:gridSpan w:val="2"/>
            <w:vAlign w:val="center"/>
          </w:tcPr>
          <w:p w14:paraId="7E95402A" w14:textId="3D12A9F0" w:rsidR="006D43A0" w:rsidRPr="00946816" w:rsidRDefault="006D43A0" w:rsidP="00776D51">
            <w:pPr>
              <w:jc w:val="center"/>
              <w:rPr>
                <w:rFonts w:ascii="Arial Narrow" w:hAnsi="Arial Narrow"/>
                <w:sz w:val="20"/>
                <w:szCs w:val="20"/>
              </w:rPr>
            </w:pPr>
          </w:p>
        </w:tc>
        <w:tc>
          <w:tcPr>
            <w:tcW w:w="4448" w:type="pct"/>
            <w:gridSpan w:val="6"/>
            <w:vAlign w:val="center"/>
            <w:hideMark/>
          </w:tcPr>
          <w:p w14:paraId="3ECB8158" w14:textId="77777777" w:rsidR="006D43A0" w:rsidRPr="00946816" w:rsidRDefault="006D43A0" w:rsidP="00776D51">
            <w:pPr>
              <w:rPr>
                <w:rFonts w:ascii="Arial Narrow" w:hAnsi="Arial Narrow"/>
                <w:sz w:val="20"/>
                <w:szCs w:val="20"/>
              </w:rPr>
            </w:pPr>
            <w:r w:rsidRPr="00946816">
              <w:rPr>
                <w:rFonts w:ascii="Arial Narrow" w:hAnsi="Arial Narrow"/>
                <w:sz w:val="20"/>
                <w:szCs w:val="20"/>
              </w:rPr>
              <w:t>Patient must be on optimised haemodialysis</w:t>
            </w:r>
          </w:p>
        </w:tc>
      </w:tr>
      <w:tr w:rsidR="00946816" w:rsidRPr="00946816" w14:paraId="048C1139" w14:textId="77777777" w:rsidTr="00E6334A">
        <w:tblPrEx>
          <w:tblCellMar>
            <w:top w:w="15" w:type="dxa"/>
            <w:left w:w="15" w:type="dxa"/>
            <w:bottom w:w="15" w:type="dxa"/>
            <w:right w:w="15" w:type="dxa"/>
          </w:tblCellMar>
        </w:tblPrEx>
        <w:tc>
          <w:tcPr>
            <w:tcW w:w="552" w:type="pct"/>
            <w:gridSpan w:val="2"/>
            <w:vAlign w:val="center"/>
          </w:tcPr>
          <w:p w14:paraId="1D835349" w14:textId="77777777" w:rsidR="006D43A0" w:rsidRPr="00946816" w:rsidRDefault="006D43A0" w:rsidP="00776D51">
            <w:pPr>
              <w:jc w:val="center"/>
              <w:rPr>
                <w:rFonts w:ascii="Arial Narrow" w:hAnsi="Arial Narrow"/>
                <w:sz w:val="20"/>
                <w:szCs w:val="20"/>
              </w:rPr>
            </w:pPr>
          </w:p>
        </w:tc>
        <w:tc>
          <w:tcPr>
            <w:tcW w:w="4448" w:type="pct"/>
            <w:gridSpan w:val="6"/>
            <w:vAlign w:val="center"/>
            <w:hideMark/>
          </w:tcPr>
          <w:p w14:paraId="521ED988" w14:textId="77777777" w:rsidR="006D43A0" w:rsidRPr="00946816" w:rsidRDefault="006D43A0" w:rsidP="00776D51">
            <w:pPr>
              <w:rPr>
                <w:rFonts w:ascii="Arial Narrow" w:hAnsi="Arial Narrow"/>
                <w:sz w:val="20"/>
                <w:szCs w:val="20"/>
              </w:rPr>
            </w:pPr>
            <w:r w:rsidRPr="00946816">
              <w:rPr>
                <w:rFonts w:ascii="Arial Narrow" w:hAnsi="Arial Narrow"/>
                <w:b/>
                <w:bCs/>
                <w:sz w:val="20"/>
                <w:szCs w:val="20"/>
              </w:rPr>
              <w:t>AND</w:t>
            </w:r>
          </w:p>
        </w:tc>
      </w:tr>
      <w:tr w:rsidR="00946816" w:rsidRPr="00946816" w14:paraId="5C67D777" w14:textId="77777777" w:rsidTr="00E6334A">
        <w:tblPrEx>
          <w:tblCellMar>
            <w:top w:w="15" w:type="dxa"/>
            <w:left w:w="15" w:type="dxa"/>
            <w:bottom w:w="15" w:type="dxa"/>
            <w:right w:w="15" w:type="dxa"/>
          </w:tblCellMar>
        </w:tblPrEx>
        <w:tc>
          <w:tcPr>
            <w:tcW w:w="552" w:type="pct"/>
            <w:gridSpan w:val="2"/>
            <w:vAlign w:val="center"/>
          </w:tcPr>
          <w:p w14:paraId="0C7D70E1" w14:textId="100E398E" w:rsidR="006D43A0" w:rsidRPr="00946816" w:rsidRDefault="006D43A0" w:rsidP="00776D51">
            <w:pPr>
              <w:jc w:val="center"/>
              <w:rPr>
                <w:rFonts w:ascii="Arial Narrow" w:hAnsi="Arial Narrow"/>
                <w:sz w:val="20"/>
                <w:szCs w:val="20"/>
              </w:rPr>
            </w:pPr>
          </w:p>
        </w:tc>
        <w:tc>
          <w:tcPr>
            <w:tcW w:w="4448" w:type="pct"/>
            <w:gridSpan w:val="6"/>
            <w:vAlign w:val="center"/>
            <w:hideMark/>
          </w:tcPr>
          <w:p w14:paraId="436031EB" w14:textId="77777777" w:rsidR="006D43A0" w:rsidRPr="00946816" w:rsidRDefault="006D43A0" w:rsidP="00776D51">
            <w:pPr>
              <w:rPr>
                <w:rFonts w:ascii="Arial Narrow" w:hAnsi="Arial Narrow"/>
                <w:sz w:val="20"/>
                <w:szCs w:val="20"/>
              </w:rPr>
            </w:pPr>
            <w:r w:rsidRPr="00946816">
              <w:rPr>
                <w:rFonts w:ascii="Arial Narrow" w:hAnsi="Arial Narrow"/>
                <w:b/>
                <w:bCs/>
                <w:sz w:val="20"/>
                <w:szCs w:val="20"/>
              </w:rPr>
              <w:t>Clinical criteria:</w:t>
            </w:r>
          </w:p>
        </w:tc>
      </w:tr>
      <w:tr w:rsidR="00946816" w:rsidRPr="00946816" w14:paraId="4F7C9068" w14:textId="77777777" w:rsidTr="00E6334A">
        <w:tblPrEx>
          <w:tblCellMar>
            <w:top w:w="15" w:type="dxa"/>
            <w:left w:w="15" w:type="dxa"/>
            <w:bottom w:w="15" w:type="dxa"/>
            <w:right w:w="15" w:type="dxa"/>
          </w:tblCellMar>
        </w:tblPrEx>
        <w:tc>
          <w:tcPr>
            <w:tcW w:w="552" w:type="pct"/>
            <w:gridSpan w:val="2"/>
            <w:vAlign w:val="center"/>
          </w:tcPr>
          <w:p w14:paraId="16C1DAEE" w14:textId="0CC2AD25" w:rsidR="006D43A0" w:rsidRPr="00946816" w:rsidRDefault="006D43A0" w:rsidP="00776D51">
            <w:pPr>
              <w:jc w:val="center"/>
              <w:rPr>
                <w:rFonts w:ascii="Arial Narrow" w:hAnsi="Arial Narrow"/>
                <w:sz w:val="20"/>
                <w:szCs w:val="20"/>
              </w:rPr>
            </w:pPr>
          </w:p>
        </w:tc>
        <w:tc>
          <w:tcPr>
            <w:tcW w:w="4448" w:type="pct"/>
            <w:gridSpan w:val="6"/>
            <w:vAlign w:val="center"/>
            <w:hideMark/>
          </w:tcPr>
          <w:p w14:paraId="25F8A91D" w14:textId="77777777" w:rsidR="006D43A0" w:rsidRPr="00946816" w:rsidRDefault="006D43A0" w:rsidP="00776D51">
            <w:pPr>
              <w:rPr>
                <w:rFonts w:ascii="Arial Narrow" w:hAnsi="Arial Narrow"/>
                <w:sz w:val="20"/>
                <w:szCs w:val="20"/>
              </w:rPr>
            </w:pPr>
            <w:r w:rsidRPr="00946816">
              <w:rPr>
                <w:rFonts w:ascii="Arial Narrow" w:hAnsi="Arial Narrow"/>
                <w:sz w:val="20"/>
                <w:szCs w:val="20"/>
              </w:rPr>
              <w:t>Patient must be on haemodialysis for at least 3 months</w:t>
            </w:r>
          </w:p>
        </w:tc>
      </w:tr>
      <w:tr w:rsidR="00946816" w:rsidRPr="00946816" w14:paraId="4B460D9E" w14:textId="77777777" w:rsidTr="00E6334A">
        <w:tblPrEx>
          <w:tblCellMar>
            <w:top w:w="15" w:type="dxa"/>
            <w:left w:w="15" w:type="dxa"/>
            <w:bottom w:w="15" w:type="dxa"/>
            <w:right w:w="15" w:type="dxa"/>
          </w:tblCellMar>
        </w:tblPrEx>
        <w:tc>
          <w:tcPr>
            <w:tcW w:w="552" w:type="pct"/>
            <w:gridSpan w:val="2"/>
            <w:vAlign w:val="center"/>
          </w:tcPr>
          <w:p w14:paraId="78BCBB92" w14:textId="77777777" w:rsidR="006D43A0" w:rsidRPr="00946816" w:rsidRDefault="006D43A0" w:rsidP="00776D51">
            <w:pPr>
              <w:jc w:val="center"/>
              <w:rPr>
                <w:rFonts w:ascii="Arial Narrow" w:hAnsi="Arial Narrow"/>
                <w:sz w:val="20"/>
                <w:szCs w:val="20"/>
              </w:rPr>
            </w:pPr>
          </w:p>
        </w:tc>
        <w:tc>
          <w:tcPr>
            <w:tcW w:w="4448" w:type="pct"/>
            <w:gridSpan w:val="6"/>
            <w:vAlign w:val="center"/>
            <w:hideMark/>
          </w:tcPr>
          <w:p w14:paraId="7B74CF6A" w14:textId="77777777" w:rsidR="006D43A0" w:rsidRPr="00946816" w:rsidRDefault="006D43A0" w:rsidP="00776D51">
            <w:pPr>
              <w:rPr>
                <w:rFonts w:ascii="Arial Narrow" w:hAnsi="Arial Narrow"/>
                <w:sz w:val="20"/>
                <w:szCs w:val="20"/>
              </w:rPr>
            </w:pPr>
            <w:r w:rsidRPr="00946816">
              <w:rPr>
                <w:rFonts w:ascii="Arial Narrow" w:hAnsi="Arial Narrow"/>
                <w:b/>
                <w:bCs/>
                <w:sz w:val="20"/>
                <w:szCs w:val="20"/>
              </w:rPr>
              <w:t>AND</w:t>
            </w:r>
          </w:p>
        </w:tc>
      </w:tr>
      <w:tr w:rsidR="00946816" w:rsidRPr="00946816" w14:paraId="06986C27" w14:textId="77777777" w:rsidTr="00E6334A">
        <w:tblPrEx>
          <w:tblCellMar>
            <w:top w:w="15" w:type="dxa"/>
            <w:left w:w="15" w:type="dxa"/>
            <w:bottom w:w="15" w:type="dxa"/>
            <w:right w:w="15" w:type="dxa"/>
          </w:tblCellMar>
        </w:tblPrEx>
        <w:tc>
          <w:tcPr>
            <w:tcW w:w="552" w:type="pct"/>
            <w:gridSpan w:val="2"/>
            <w:vAlign w:val="center"/>
          </w:tcPr>
          <w:p w14:paraId="598546D4" w14:textId="23790C88" w:rsidR="006D43A0" w:rsidRPr="00946816" w:rsidRDefault="006D43A0" w:rsidP="00776D51">
            <w:pPr>
              <w:jc w:val="center"/>
              <w:rPr>
                <w:rFonts w:ascii="Arial Narrow" w:hAnsi="Arial Narrow"/>
                <w:sz w:val="20"/>
                <w:szCs w:val="20"/>
              </w:rPr>
            </w:pPr>
          </w:p>
        </w:tc>
        <w:tc>
          <w:tcPr>
            <w:tcW w:w="4448" w:type="pct"/>
            <w:gridSpan w:val="6"/>
            <w:vAlign w:val="center"/>
          </w:tcPr>
          <w:p w14:paraId="68FB2A73" w14:textId="77777777" w:rsidR="006D43A0" w:rsidRPr="00946816" w:rsidRDefault="006D43A0" w:rsidP="00776D51">
            <w:pPr>
              <w:rPr>
                <w:rFonts w:ascii="Arial Narrow" w:hAnsi="Arial Narrow"/>
                <w:b/>
                <w:bCs/>
                <w:sz w:val="20"/>
                <w:szCs w:val="20"/>
              </w:rPr>
            </w:pPr>
            <w:r w:rsidRPr="00946816">
              <w:rPr>
                <w:rFonts w:ascii="Arial Narrow" w:hAnsi="Arial Narrow"/>
                <w:b/>
                <w:bCs/>
                <w:sz w:val="20"/>
                <w:szCs w:val="20"/>
              </w:rPr>
              <w:t>Clinical criteria:</w:t>
            </w:r>
          </w:p>
        </w:tc>
      </w:tr>
      <w:tr w:rsidR="00946816" w:rsidRPr="00946816" w14:paraId="2282393F" w14:textId="77777777" w:rsidTr="00E6334A">
        <w:tblPrEx>
          <w:tblCellMar>
            <w:top w:w="15" w:type="dxa"/>
            <w:left w:w="15" w:type="dxa"/>
            <w:bottom w:w="15" w:type="dxa"/>
            <w:right w:w="15" w:type="dxa"/>
          </w:tblCellMar>
        </w:tblPrEx>
        <w:tc>
          <w:tcPr>
            <w:tcW w:w="552" w:type="pct"/>
            <w:gridSpan w:val="2"/>
            <w:vAlign w:val="center"/>
          </w:tcPr>
          <w:p w14:paraId="2079B6A3" w14:textId="75E277B3" w:rsidR="006D43A0" w:rsidRPr="00946816" w:rsidRDefault="006D43A0" w:rsidP="00776D51">
            <w:pPr>
              <w:jc w:val="center"/>
              <w:rPr>
                <w:rFonts w:ascii="Arial Narrow" w:hAnsi="Arial Narrow"/>
                <w:sz w:val="20"/>
                <w:szCs w:val="20"/>
              </w:rPr>
            </w:pPr>
          </w:p>
        </w:tc>
        <w:tc>
          <w:tcPr>
            <w:tcW w:w="4448" w:type="pct"/>
            <w:gridSpan w:val="6"/>
            <w:vAlign w:val="center"/>
          </w:tcPr>
          <w:p w14:paraId="786053F8" w14:textId="368B01D8" w:rsidR="006D43A0" w:rsidRPr="00946816" w:rsidRDefault="006D43A0" w:rsidP="00776D51">
            <w:pPr>
              <w:rPr>
                <w:rFonts w:ascii="Arial Narrow" w:hAnsi="Arial Narrow"/>
                <w:b/>
                <w:bCs/>
                <w:sz w:val="20"/>
                <w:szCs w:val="20"/>
              </w:rPr>
            </w:pPr>
            <w:r w:rsidRPr="00946816">
              <w:rPr>
                <w:rFonts w:ascii="Arial Narrow" w:hAnsi="Arial Narrow"/>
                <w:sz w:val="20"/>
                <w:szCs w:val="20"/>
              </w:rPr>
              <w:t>The condition must be confirmed based on both physical examination and patient history to exclude any factors that may be triggering the pruritus</w:t>
            </w:r>
          </w:p>
        </w:tc>
      </w:tr>
      <w:tr w:rsidR="00946816" w:rsidRPr="00946816" w14:paraId="1DBC74EE" w14:textId="77777777" w:rsidTr="00E6334A">
        <w:tblPrEx>
          <w:tblCellMar>
            <w:top w:w="15" w:type="dxa"/>
            <w:left w:w="15" w:type="dxa"/>
            <w:bottom w:w="15" w:type="dxa"/>
            <w:right w:w="15" w:type="dxa"/>
          </w:tblCellMar>
        </w:tblPrEx>
        <w:tc>
          <w:tcPr>
            <w:tcW w:w="552" w:type="pct"/>
            <w:gridSpan w:val="2"/>
            <w:vAlign w:val="center"/>
          </w:tcPr>
          <w:p w14:paraId="78DAEBF1" w14:textId="77777777" w:rsidR="006D43A0" w:rsidRPr="00946816" w:rsidRDefault="006D43A0" w:rsidP="00776D51">
            <w:pPr>
              <w:jc w:val="center"/>
              <w:rPr>
                <w:rFonts w:ascii="Arial Narrow" w:hAnsi="Arial Narrow"/>
                <w:sz w:val="20"/>
                <w:szCs w:val="20"/>
              </w:rPr>
            </w:pPr>
          </w:p>
        </w:tc>
        <w:tc>
          <w:tcPr>
            <w:tcW w:w="4448" w:type="pct"/>
            <w:gridSpan w:val="6"/>
            <w:vAlign w:val="center"/>
          </w:tcPr>
          <w:p w14:paraId="019A7663" w14:textId="77777777" w:rsidR="006D43A0" w:rsidRPr="00946816" w:rsidRDefault="006D43A0" w:rsidP="00776D51">
            <w:pPr>
              <w:rPr>
                <w:rFonts w:ascii="Arial Narrow" w:hAnsi="Arial Narrow"/>
                <w:b/>
                <w:bCs/>
                <w:sz w:val="20"/>
                <w:szCs w:val="20"/>
              </w:rPr>
            </w:pPr>
            <w:r w:rsidRPr="00946816">
              <w:rPr>
                <w:rFonts w:ascii="Arial Narrow" w:hAnsi="Arial Narrow"/>
                <w:b/>
                <w:bCs/>
                <w:sz w:val="20"/>
                <w:szCs w:val="20"/>
              </w:rPr>
              <w:t>AND</w:t>
            </w:r>
          </w:p>
        </w:tc>
      </w:tr>
      <w:tr w:rsidR="00946816" w:rsidRPr="00946816" w14:paraId="7D30297D" w14:textId="77777777" w:rsidTr="00E6334A">
        <w:tblPrEx>
          <w:tblCellMar>
            <w:top w:w="15" w:type="dxa"/>
            <w:left w:w="15" w:type="dxa"/>
            <w:bottom w:w="15" w:type="dxa"/>
            <w:right w:w="15" w:type="dxa"/>
          </w:tblCellMar>
        </w:tblPrEx>
        <w:tc>
          <w:tcPr>
            <w:tcW w:w="552" w:type="pct"/>
            <w:gridSpan w:val="2"/>
            <w:vAlign w:val="center"/>
          </w:tcPr>
          <w:p w14:paraId="61DE9472" w14:textId="0C16F402" w:rsidR="006D43A0" w:rsidRPr="00946816" w:rsidRDefault="006D43A0" w:rsidP="00776D51">
            <w:pPr>
              <w:jc w:val="center"/>
              <w:rPr>
                <w:rFonts w:ascii="Arial Narrow" w:hAnsi="Arial Narrow"/>
                <w:sz w:val="20"/>
                <w:szCs w:val="20"/>
              </w:rPr>
            </w:pPr>
          </w:p>
        </w:tc>
        <w:tc>
          <w:tcPr>
            <w:tcW w:w="4448" w:type="pct"/>
            <w:gridSpan w:val="6"/>
            <w:vAlign w:val="center"/>
          </w:tcPr>
          <w:p w14:paraId="32F1B16B" w14:textId="77777777" w:rsidR="006D43A0" w:rsidRPr="00946816" w:rsidRDefault="006D43A0" w:rsidP="00776D51">
            <w:pPr>
              <w:rPr>
                <w:rFonts w:ascii="Arial Narrow" w:hAnsi="Arial Narrow"/>
                <w:b/>
                <w:bCs/>
                <w:sz w:val="20"/>
                <w:szCs w:val="20"/>
              </w:rPr>
            </w:pPr>
            <w:r w:rsidRPr="00946816">
              <w:rPr>
                <w:rFonts w:ascii="Arial Narrow" w:hAnsi="Arial Narrow"/>
                <w:b/>
                <w:bCs/>
                <w:sz w:val="20"/>
                <w:szCs w:val="20"/>
              </w:rPr>
              <w:t>Clinical criteria</w:t>
            </w:r>
          </w:p>
        </w:tc>
      </w:tr>
      <w:tr w:rsidR="00946816" w:rsidRPr="00946816" w14:paraId="36AB3932" w14:textId="77777777" w:rsidTr="00E6334A">
        <w:tblPrEx>
          <w:tblCellMar>
            <w:top w:w="15" w:type="dxa"/>
            <w:left w:w="15" w:type="dxa"/>
            <w:bottom w:w="15" w:type="dxa"/>
            <w:right w:w="15" w:type="dxa"/>
          </w:tblCellMar>
        </w:tblPrEx>
        <w:tc>
          <w:tcPr>
            <w:tcW w:w="552" w:type="pct"/>
            <w:gridSpan w:val="2"/>
            <w:vAlign w:val="center"/>
          </w:tcPr>
          <w:p w14:paraId="3BB49586" w14:textId="679BAC71" w:rsidR="006D43A0" w:rsidRPr="00946816" w:rsidRDefault="006D43A0" w:rsidP="00776D51">
            <w:pPr>
              <w:jc w:val="center"/>
              <w:rPr>
                <w:rFonts w:ascii="Arial Narrow" w:hAnsi="Arial Narrow"/>
                <w:sz w:val="20"/>
                <w:szCs w:val="20"/>
              </w:rPr>
            </w:pPr>
          </w:p>
        </w:tc>
        <w:tc>
          <w:tcPr>
            <w:tcW w:w="4448" w:type="pct"/>
            <w:gridSpan w:val="6"/>
            <w:vAlign w:val="center"/>
          </w:tcPr>
          <w:p w14:paraId="19D90BED" w14:textId="77777777" w:rsidR="006D43A0" w:rsidRPr="00946816" w:rsidRDefault="006D43A0" w:rsidP="00776D51">
            <w:pPr>
              <w:rPr>
                <w:rFonts w:ascii="Arial Narrow" w:hAnsi="Arial Narrow"/>
                <w:b/>
                <w:bCs/>
                <w:sz w:val="20"/>
                <w:szCs w:val="20"/>
              </w:rPr>
            </w:pPr>
            <w:r w:rsidRPr="00946816">
              <w:rPr>
                <w:rFonts w:ascii="Arial Narrow" w:hAnsi="Arial Narrow"/>
                <w:sz w:val="20"/>
                <w:szCs w:val="20"/>
              </w:rPr>
              <w:t>Patient must have experienced itch that persists for at least 6 weeks despite best supportive care.</w:t>
            </w:r>
          </w:p>
        </w:tc>
      </w:tr>
      <w:tr w:rsidR="00946816" w:rsidRPr="00946816" w14:paraId="7CC01B91" w14:textId="77777777" w:rsidTr="00E6334A">
        <w:tblPrEx>
          <w:tblCellMar>
            <w:top w:w="15" w:type="dxa"/>
            <w:left w:w="15" w:type="dxa"/>
            <w:bottom w:w="15" w:type="dxa"/>
            <w:right w:w="15" w:type="dxa"/>
          </w:tblCellMar>
        </w:tblPrEx>
        <w:tc>
          <w:tcPr>
            <w:tcW w:w="552" w:type="pct"/>
            <w:gridSpan w:val="2"/>
            <w:vAlign w:val="center"/>
          </w:tcPr>
          <w:p w14:paraId="61BE128C" w14:textId="77777777" w:rsidR="006D43A0" w:rsidRPr="00946816" w:rsidRDefault="006D43A0" w:rsidP="00776D51">
            <w:pPr>
              <w:jc w:val="center"/>
              <w:rPr>
                <w:rFonts w:ascii="Arial Narrow" w:hAnsi="Arial Narrow"/>
                <w:sz w:val="20"/>
                <w:szCs w:val="20"/>
              </w:rPr>
            </w:pPr>
          </w:p>
        </w:tc>
        <w:tc>
          <w:tcPr>
            <w:tcW w:w="4448" w:type="pct"/>
            <w:gridSpan w:val="6"/>
            <w:vAlign w:val="center"/>
          </w:tcPr>
          <w:p w14:paraId="53DA6777" w14:textId="77777777" w:rsidR="006D43A0" w:rsidRPr="00946816" w:rsidRDefault="006D43A0" w:rsidP="00776D51">
            <w:pPr>
              <w:rPr>
                <w:rFonts w:ascii="Arial Narrow" w:hAnsi="Arial Narrow"/>
                <w:b/>
                <w:bCs/>
                <w:sz w:val="20"/>
                <w:szCs w:val="20"/>
              </w:rPr>
            </w:pPr>
            <w:r w:rsidRPr="00946816">
              <w:rPr>
                <w:rFonts w:ascii="Arial Narrow" w:hAnsi="Arial Narrow"/>
                <w:b/>
                <w:bCs/>
                <w:sz w:val="20"/>
                <w:szCs w:val="20"/>
              </w:rPr>
              <w:t>AND</w:t>
            </w:r>
          </w:p>
        </w:tc>
      </w:tr>
      <w:tr w:rsidR="00946816" w:rsidRPr="00946816" w14:paraId="711DD1D2" w14:textId="77777777" w:rsidTr="00E6334A">
        <w:tblPrEx>
          <w:tblCellMar>
            <w:top w:w="15" w:type="dxa"/>
            <w:left w:w="15" w:type="dxa"/>
            <w:bottom w:w="15" w:type="dxa"/>
            <w:right w:w="15" w:type="dxa"/>
          </w:tblCellMar>
        </w:tblPrEx>
        <w:tc>
          <w:tcPr>
            <w:tcW w:w="552" w:type="pct"/>
            <w:gridSpan w:val="2"/>
            <w:vAlign w:val="center"/>
          </w:tcPr>
          <w:p w14:paraId="70EE739F" w14:textId="5A336256" w:rsidR="006D43A0" w:rsidRPr="00946816" w:rsidRDefault="006D43A0" w:rsidP="00776D51">
            <w:pPr>
              <w:jc w:val="center"/>
              <w:rPr>
                <w:rFonts w:ascii="Arial Narrow" w:hAnsi="Arial Narrow"/>
                <w:sz w:val="20"/>
                <w:szCs w:val="20"/>
              </w:rPr>
            </w:pPr>
          </w:p>
        </w:tc>
        <w:tc>
          <w:tcPr>
            <w:tcW w:w="4448" w:type="pct"/>
            <w:gridSpan w:val="6"/>
            <w:vAlign w:val="center"/>
          </w:tcPr>
          <w:p w14:paraId="06D694F9" w14:textId="77777777" w:rsidR="006D43A0" w:rsidRPr="00946816" w:rsidRDefault="006D43A0" w:rsidP="00776D51">
            <w:pPr>
              <w:rPr>
                <w:rFonts w:ascii="Arial Narrow" w:hAnsi="Arial Narrow"/>
                <w:b/>
                <w:bCs/>
                <w:sz w:val="20"/>
                <w:szCs w:val="20"/>
              </w:rPr>
            </w:pPr>
            <w:r w:rsidRPr="00946816">
              <w:rPr>
                <w:rFonts w:ascii="Arial Narrow" w:hAnsi="Arial Narrow"/>
                <w:b/>
                <w:bCs/>
                <w:sz w:val="20"/>
                <w:szCs w:val="20"/>
              </w:rPr>
              <w:t>Clinical criteria:</w:t>
            </w:r>
          </w:p>
        </w:tc>
      </w:tr>
      <w:tr w:rsidR="00946816" w:rsidRPr="00946816" w14:paraId="0150F5C7" w14:textId="77777777" w:rsidTr="00E6334A">
        <w:tblPrEx>
          <w:tblCellMar>
            <w:top w:w="15" w:type="dxa"/>
            <w:left w:w="15" w:type="dxa"/>
            <w:bottom w:w="15" w:type="dxa"/>
            <w:right w:w="15" w:type="dxa"/>
          </w:tblCellMar>
        </w:tblPrEx>
        <w:tc>
          <w:tcPr>
            <w:tcW w:w="552" w:type="pct"/>
            <w:gridSpan w:val="2"/>
            <w:vAlign w:val="center"/>
          </w:tcPr>
          <w:p w14:paraId="20075C6D" w14:textId="00505DAE" w:rsidR="006D43A0" w:rsidRPr="00946816" w:rsidRDefault="006D43A0" w:rsidP="00776D51">
            <w:pPr>
              <w:jc w:val="center"/>
              <w:rPr>
                <w:rFonts w:ascii="Arial Narrow" w:hAnsi="Arial Narrow"/>
                <w:sz w:val="20"/>
                <w:szCs w:val="20"/>
              </w:rPr>
            </w:pPr>
          </w:p>
        </w:tc>
        <w:tc>
          <w:tcPr>
            <w:tcW w:w="4448" w:type="pct"/>
            <w:gridSpan w:val="6"/>
            <w:vAlign w:val="center"/>
          </w:tcPr>
          <w:p w14:paraId="5571943E" w14:textId="77777777" w:rsidR="006D43A0" w:rsidRPr="00946816" w:rsidRDefault="006D43A0" w:rsidP="00776D51">
            <w:pPr>
              <w:rPr>
                <w:rFonts w:ascii="Arial Narrow" w:hAnsi="Arial Narrow"/>
                <w:b/>
                <w:bCs/>
                <w:sz w:val="20"/>
                <w:szCs w:val="20"/>
              </w:rPr>
            </w:pPr>
            <w:r w:rsidRPr="00946816">
              <w:rPr>
                <w:rFonts w:ascii="Arial Narrow" w:hAnsi="Arial Narrow"/>
                <w:sz w:val="20"/>
                <w:szCs w:val="20"/>
              </w:rPr>
              <w:t>Patient must have a 24-hour Worst Itching Intensity Numerical Rating Scale (WI-NRS) baseline score of more than 4.</w:t>
            </w:r>
          </w:p>
        </w:tc>
      </w:tr>
      <w:tr w:rsidR="00946816" w:rsidRPr="00946816" w14:paraId="414D8D37" w14:textId="77777777" w:rsidTr="00E6334A">
        <w:tblPrEx>
          <w:tblCellMar>
            <w:top w:w="15" w:type="dxa"/>
            <w:left w:w="15" w:type="dxa"/>
            <w:bottom w:w="15" w:type="dxa"/>
            <w:right w:w="15" w:type="dxa"/>
          </w:tblCellMar>
        </w:tblPrEx>
        <w:tc>
          <w:tcPr>
            <w:tcW w:w="552" w:type="pct"/>
            <w:gridSpan w:val="2"/>
            <w:vAlign w:val="center"/>
          </w:tcPr>
          <w:p w14:paraId="19F1924F" w14:textId="77777777" w:rsidR="006D43A0" w:rsidRPr="00946816" w:rsidRDefault="006D43A0" w:rsidP="00776D51">
            <w:pPr>
              <w:jc w:val="center"/>
              <w:rPr>
                <w:rFonts w:ascii="Arial Narrow" w:hAnsi="Arial Narrow"/>
                <w:sz w:val="20"/>
                <w:szCs w:val="20"/>
              </w:rPr>
            </w:pPr>
          </w:p>
        </w:tc>
        <w:tc>
          <w:tcPr>
            <w:tcW w:w="4448" w:type="pct"/>
            <w:gridSpan w:val="6"/>
            <w:vAlign w:val="center"/>
          </w:tcPr>
          <w:p w14:paraId="6386B152" w14:textId="77777777" w:rsidR="006D43A0" w:rsidRPr="00946816" w:rsidRDefault="006D43A0" w:rsidP="00776D51">
            <w:pPr>
              <w:rPr>
                <w:rFonts w:ascii="Arial Narrow" w:hAnsi="Arial Narrow"/>
                <w:b/>
                <w:bCs/>
                <w:sz w:val="20"/>
                <w:szCs w:val="20"/>
              </w:rPr>
            </w:pPr>
            <w:r w:rsidRPr="00946816">
              <w:rPr>
                <w:rFonts w:ascii="Arial Narrow" w:hAnsi="Arial Narrow"/>
                <w:b/>
                <w:bCs/>
                <w:sz w:val="20"/>
                <w:szCs w:val="20"/>
              </w:rPr>
              <w:t>AND</w:t>
            </w:r>
          </w:p>
        </w:tc>
      </w:tr>
      <w:tr w:rsidR="00946816" w:rsidRPr="00946816" w14:paraId="5EBDF10B" w14:textId="77777777" w:rsidTr="00E6334A">
        <w:tblPrEx>
          <w:tblCellMar>
            <w:top w:w="15" w:type="dxa"/>
            <w:left w:w="15" w:type="dxa"/>
            <w:bottom w:w="15" w:type="dxa"/>
            <w:right w:w="15" w:type="dxa"/>
          </w:tblCellMar>
        </w:tblPrEx>
        <w:tc>
          <w:tcPr>
            <w:tcW w:w="552" w:type="pct"/>
            <w:gridSpan w:val="2"/>
            <w:vAlign w:val="center"/>
          </w:tcPr>
          <w:p w14:paraId="572F40DC" w14:textId="262686EC" w:rsidR="006D43A0" w:rsidRPr="00946816" w:rsidRDefault="006D43A0" w:rsidP="00776D51">
            <w:pPr>
              <w:jc w:val="center"/>
              <w:rPr>
                <w:rFonts w:ascii="Arial Narrow" w:hAnsi="Arial Narrow"/>
                <w:sz w:val="20"/>
                <w:szCs w:val="20"/>
              </w:rPr>
            </w:pPr>
          </w:p>
        </w:tc>
        <w:tc>
          <w:tcPr>
            <w:tcW w:w="4448" w:type="pct"/>
            <w:gridSpan w:val="6"/>
            <w:vAlign w:val="center"/>
          </w:tcPr>
          <w:p w14:paraId="4AD81582" w14:textId="77777777" w:rsidR="006D43A0" w:rsidRPr="00946816" w:rsidRDefault="006D43A0" w:rsidP="00776D51">
            <w:pPr>
              <w:rPr>
                <w:rFonts w:ascii="Arial Narrow" w:hAnsi="Arial Narrow"/>
                <w:b/>
                <w:bCs/>
                <w:sz w:val="20"/>
                <w:szCs w:val="20"/>
              </w:rPr>
            </w:pPr>
            <w:r w:rsidRPr="00946816">
              <w:rPr>
                <w:rFonts w:ascii="Arial Narrow" w:hAnsi="Arial Narrow"/>
                <w:b/>
                <w:bCs/>
                <w:sz w:val="20"/>
                <w:szCs w:val="20"/>
              </w:rPr>
              <w:t>Clinical criteria:</w:t>
            </w:r>
          </w:p>
        </w:tc>
      </w:tr>
      <w:tr w:rsidR="00946816" w:rsidRPr="00946816" w14:paraId="572A5459" w14:textId="77777777" w:rsidTr="00E6334A">
        <w:tblPrEx>
          <w:tblCellMar>
            <w:top w:w="15" w:type="dxa"/>
            <w:left w:w="15" w:type="dxa"/>
            <w:bottom w:w="15" w:type="dxa"/>
            <w:right w:w="15" w:type="dxa"/>
          </w:tblCellMar>
        </w:tblPrEx>
        <w:tc>
          <w:tcPr>
            <w:tcW w:w="552" w:type="pct"/>
            <w:gridSpan w:val="2"/>
            <w:vAlign w:val="center"/>
          </w:tcPr>
          <w:p w14:paraId="37D52483" w14:textId="2F12D3BE" w:rsidR="006D43A0" w:rsidRPr="00946816" w:rsidRDefault="006D43A0" w:rsidP="00776D51">
            <w:pPr>
              <w:jc w:val="center"/>
              <w:rPr>
                <w:rFonts w:ascii="Arial Narrow" w:hAnsi="Arial Narrow"/>
                <w:sz w:val="20"/>
                <w:szCs w:val="20"/>
              </w:rPr>
            </w:pPr>
          </w:p>
        </w:tc>
        <w:tc>
          <w:tcPr>
            <w:tcW w:w="4448" w:type="pct"/>
            <w:gridSpan w:val="6"/>
            <w:vAlign w:val="center"/>
          </w:tcPr>
          <w:p w14:paraId="06E6968D" w14:textId="77777777" w:rsidR="006D43A0" w:rsidRPr="00946816" w:rsidRDefault="006D43A0" w:rsidP="00776D51">
            <w:pPr>
              <w:rPr>
                <w:rFonts w:ascii="Arial Narrow" w:hAnsi="Arial Narrow"/>
                <w:b/>
                <w:bCs/>
                <w:sz w:val="20"/>
                <w:szCs w:val="20"/>
              </w:rPr>
            </w:pPr>
            <w:r w:rsidRPr="00946816">
              <w:rPr>
                <w:rFonts w:ascii="Arial Narrow" w:hAnsi="Arial Narrow"/>
                <w:sz w:val="20"/>
                <w:szCs w:val="20"/>
              </w:rPr>
              <w:t>Patient must not receive more than 12 weeks of treatment with this drug under this treatment phase</w:t>
            </w:r>
          </w:p>
        </w:tc>
      </w:tr>
      <w:tr w:rsidR="00946816" w:rsidRPr="00946816" w14:paraId="70B4958E" w14:textId="77777777" w:rsidTr="00E6334A">
        <w:tblPrEx>
          <w:tblCellMar>
            <w:top w:w="15" w:type="dxa"/>
            <w:left w:w="15" w:type="dxa"/>
            <w:bottom w:w="15" w:type="dxa"/>
            <w:right w:w="15" w:type="dxa"/>
          </w:tblCellMar>
        </w:tblPrEx>
        <w:tc>
          <w:tcPr>
            <w:tcW w:w="552" w:type="pct"/>
            <w:gridSpan w:val="2"/>
            <w:vAlign w:val="center"/>
          </w:tcPr>
          <w:p w14:paraId="0DF2ABDB" w14:textId="77777777" w:rsidR="006D43A0" w:rsidRPr="00946816" w:rsidRDefault="006D43A0" w:rsidP="00776D51">
            <w:pPr>
              <w:jc w:val="center"/>
              <w:rPr>
                <w:rFonts w:ascii="Arial Narrow" w:hAnsi="Arial Narrow"/>
                <w:sz w:val="20"/>
                <w:szCs w:val="20"/>
              </w:rPr>
            </w:pPr>
          </w:p>
        </w:tc>
        <w:tc>
          <w:tcPr>
            <w:tcW w:w="4448" w:type="pct"/>
            <w:gridSpan w:val="6"/>
            <w:vAlign w:val="center"/>
          </w:tcPr>
          <w:p w14:paraId="31B7BC03" w14:textId="77777777" w:rsidR="006D43A0" w:rsidRPr="00946816" w:rsidRDefault="006D43A0" w:rsidP="00776D51">
            <w:pPr>
              <w:rPr>
                <w:rFonts w:ascii="Arial Narrow" w:hAnsi="Arial Narrow"/>
                <w:b/>
                <w:bCs/>
                <w:sz w:val="20"/>
                <w:szCs w:val="20"/>
              </w:rPr>
            </w:pPr>
            <w:r w:rsidRPr="00946816">
              <w:rPr>
                <w:rFonts w:ascii="Arial Narrow" w:hAnsi="Arial Narrow"/>
                <w:b/>
                <w:bCs/>
                <w:sz w:val="20"/>
                <w:szCs w:val="20"/>
              </w:rPr>
              <w:t>AND</w:t>
            </w:r>
          </w:p>
        </w:tc>
      </w:tr>
      <w:tr w:rsidR="00946816" w:rsidRPr="00946816" w14:paraId="40F0EEFF" w14:textId="77777777" w:rsidTr="00E6334A">
        <w:tblPrEx>
          <w:tblCellMar>
            <w:top w:w="15" w:type="dxa"/>
            <w:left w:w="15" w:type="dxa"/>
            <w:bottom w:w="15" w:type="dxa"/>
            <w:right w:w="15" w:type="dxa"/>
          </w:tblCellMar>
        </w:tblPrEx>
        <w:tc>
          <w:tcPr>
            <w:tcW w:w="552" w:type="pct"/>
            <w:gridSpan w:val="2"/>
            <w:vAlign w:val="center"/>
          </w:tcPr>
          <w:p w14:paraId="5ADA59F3" w14:textId="0051F73F" w:rsidR="006D43A0" w:rsidRPr="00946816" w:rsidRDefault="006D43A0" w:rsidP="00776D51">
            <w:pPr>
              <w:jc w:val="center"/>
              <w:rPr>
                <w:rFonts w:ascii="Arial Narrow" w:hAnsi="Arial Narrow"/>
                <w:sz w:val="20"/>
                <w:szCs w:val="20"/>
              </w:rPr>
            </w:pPr>
          </w:p>
        </w:tc>
        <w:tc>
          <w:tcPr>
            <w:tcW w:w="4448" w:type="pct"/>
            <w:gridSpan w:val="6"/>
            <w:vAlign w:val="center"/>
            <w:hideMark/>
          </w:tcPr>
          <w:p w14:paraId="05B9B8BD" w14:textId="77777777" w:rsidR="006D43A0" w:rsidRPr="00946816" w:rsidRDefault="006D43A0" w:rsidP="00776D51">
            <w:pPr>
              <w:rPr>
                <w:rFonts w:ascii="Arial Narrow" w:hAnsi="Arial Narrow"/>
                <w:sz w:val="20"/>
                <w:szCs w:val="20"/>
              </w:rPr>
            </w:pPr>
            <w:r w:rsidRPr="00946816">
              <w:rPr>
                <w:rFonts w:ascii="Arial Narrow" w:hAnsi="Arial Narrow"/>
                <w:b/>
                <w:bCs/>
                <w:sz w:val="20"/>
                <w:szCs w:val="20"/>
              </w:rPr>
              <w:t>Treatment criteria:</w:t>
            </w:r>
          </w:p>
        </w:tc>
      </w:tr>
      <w:tr w:rsidR="00946816" w:rsidRPr="00946816" w14:paraId="6958680E" w14:textId="77777777" w:rsidTr="00E6334A">
        <w:tblPrEx>
          <w:tblCellMar>
            <w:top w:w="15" w:type="dxa"/>
            <w:left w:w="15" w:type="dxa"/>
            <w:bottom w:w="15" w:type="dxa"/>
            <w:right w:w="15" w:type="dxa"/>
          </w:tblCellMar>
        </w:tblPrEx>
        <w:tc>
          <w:tcPr>
            <w:tcW w:w="552" w:type="pct"/>
            <w:gridSpan w:val="2"/>
            <w:vAlign w:val="center"/>
          </w:tcPr>
          <w:p w14:paraId="760D7949" w14:textId="6386C97B" w:rsidR="006D43A0" w:rsidRPr="00946816" w:rsidRDefault="006D43A0" w:rsidP="00776D51">
            <w:pPr>
              <w:jc w:val="center"/>
              <w:rPr>
                <w:rFonts w:ascii="Arial Narrow" w:hAnsi="Arial Narrow"/>
                <w:sz w:val="20"/>
                <w:szCs w:val="20"/>
              </w:rPr>
            </w:pPr>
          </w:p>
        </w:tc>
        <w:tc>
          <w:tcPr>
            <w:tcW w:w="4448" w:type="pct"/>
            <w:gridSpan w:val="6"/>
            <w:vAlign w:val="center"/>
            <w:hideMark/>
          </w:tcPr>
          <w:p w14:paraId="7DF2DEC0" w14:textId="1D87D0FC" w:rsidR="006D43A0" w:rsidRPr="00946816" w:rsidRDefault="006D43A0" w:rsidP="00776D51">
            <w:pPr>
              <w:autoSpaceDE w:val="0"/>
              <w:autoSpaceDN w:val="0"/>
              <w:adjustRightInd w:val="0"/>
              <w:rPr>
                <w:rFonts w:ascii="Arial Narrow" w:hAnsi="Arial Narrow" w:cs="Arial Narrow"/>
                <w:sz w:val="20"/>
                <w:szCs w:val="20"/>
              </w:rPr>
            </w:pPr>
            <w:r w:rsidRPr="00946816">
              <w:rPr>
                <w:rFonts w:ascii="Arial Narrow" w:hAnsi="Arial Narrow" w:cs="Arial Narrow"/>
                <w:sz w:val="20"/>
                <w:szCs w:val="20"/>
              </w:rPr>
              <w:t xml:space="preserve">Must be treated by </w:t>
            </w:r>
            <w:r w:rsidR="00AD13DC" w:rsidRPr="00946816">
              <w:rPr>
                <w:rFonts w:ascii="Arial Narrow" w:hAnsi="Arial Narrow" w:cs="Arial Narrow"/>
                <w:sz w:val="20"/>
                <w:szCs w:val="20"/>
              </w:rPr>
              <w:t>a</w:t>
            </w:r>
            <w:r w:rsidRPr="00946816">
              <w:rPr>
                <w:rFonts w:ascii="Arial Narrow" w:hAnsi="Arial Narrow" w:cs="Arial Narrow"/>
                <w:sz w:val="20"/>
                <w:szCs w:val="20"/>
              </w:rPr>
              <w:t xml:space="preserve"> nephrologist.</w:t>
            </w:r>
          </w:p>
        </w:tc>
      </w:tr>
      <w:tr w:rsidR="00946816" w:rsidRPr="00946816" w14:paraId="262016DD" w14:textId="77777777" w:rsidTr="00E6334A">
        <w:tblPrEx>
          <w:tblCellMar>
            <w:top w:w="15" w:type="dxa"/>
            <w:left w:w="15" w:type="dxa"/>
            <w:bottom w:w="15" w:type="dxa"/>
            <w:right w:w="15" w:type="dxa"/>
          </w:tblCellMar>
        </w:tblPrEx>
        <w:tc>
          <w:tcPr>
            <w:tcW w:w="552" w:type="pct"/>
            <w:gridSpan w:val="2"/>
            <w:vAlign w:val="center"/>
          </w:tcPr>
          <w:p w14:paraId="7F9CC81C" w14:textId="77777777" w:rsidR="006D43A0" w:rsidRPr="00946816" w:rsidRDefault="006D43A0" w:rsidP="00776D51">
            <w:pPr>
              <w:jc w:val="center"/>
              <w:rPr>
                <w:rFonts w:ascii="Arial Narrow" w:hAnsi="Arial Narrow"/>
                <w:sz w:val="20"/>
                <w:szCs w:val="20"/>
              </w:rPr>
            </w:pPr>
          </w:p>
        </w:tc>
        <w:tc>
          <w:tcPr>
            <w:tcW w:w="4448" w:type="pct"/>
            <w:gridSpan w:val="6"/>
            <w:vAlign w:val="center"/>
            <w:hideMark/>
          </w:tcPr>
          <w:p w14:paraId="3CB5D102" w14:textId="77777777" w:rsidR="006D43A0" w:rsidRPr="00946816" w:rsidRDefault="006D43A0" w:rsidP="00776D51">
            <w:pPr>
              <w:rPr>
                <w:rFonts w:ascii="Arial Narrow" w:hAnsi="Arial Narrow"/>
                <w:sz w:val="20"/>
                <w:szCs w:val="20"/>
              </w:rPr>
            </w:pPr>
            <w:r w:rsidRPr="00946816">
              <w:rPr>
                <w:rFonts w:ascii="Arial Narrow" w:hAnsi="Arial Narrow"/>
                <w:b/>
                <w:bCs/>
                <w:sz w:val="20"/>
                <w:szCs w:val="20"/>
              </w:rPr>
              <w:t>AND</w:t>
            </w:r>
          </w:p>
        </w:tc>
      </w:tr>
      <w:tr w:rsidR="00946816" w:rsidRPr="00946816" w14:paraId="21B7AE5B" w14:textId="77777777" w:rsidTr="00E6334A">
        <w:tblPrEx>
          <w:tblCellMar>
            <w:top w:w="15" w:type="dxa"/>
            <w:left w:w="15" w:type="dxa"/>
            <w:bottom w:w="15" w:type="dxa"/>
            <w:right w:w="15" w:type="dxa"/>
          </w:tblCellMar>
        </w:tblPrEx>
        <w:tc>
          <w:tcPr>
            <w:tcW w:w="552" w:type="pct"/>
            <w:gridSpan w:val="2"/>
            <w:vAlign w:val="center"/>
          </w:tcPr>
          <w:p w14:paraId="3819EDA8" w14:textId="44EC6A39" w:rsidR="006D43A0" w:rsidRPr="00946816" w:rsidRDefault="006D43A0" w:rsidP="00776D51">
            <w:pPr>
              <w:jc w:val="center"/>
              <w:rPr>
                <w:rFonts w:ascii="Arial Narrow" w:hAnsi="Arial Narrow"/>
                <w:sz w:val="20"/>
                <w:szCs w:val="20"/>
              </w:rPr>
            </w:pPr>
          </w:p>
        </w:tc>
        <w:tc>
          <w:tcPr>
            <w:tcW w:w="4448" w:type="pct"/>
            <w:gridSpan w:val="6"/>
            <w:vAlign w:val="center"/>
            <w:hideMark/>
          </w:tcPr>
          <w:p w14:paraId="55BF29E9" w14:textId="77777777" w:rsidR="006D43A0" w:rsidRPr="00946816" w:rsidRDefault="006D43A0" w:rsidP="00776D51">
            <w:pPr>
              <w:rPr>
                <w:rFonts w:ascii="Arial Narrow" w:hAnsi="Arial Narrow"/>
                <w:sz w:val="20"/>
                <w:szCs w:val="20"/>
              </w:rPr>
            </w:pPr>
            <w:r w:rsidRPr="00946816">
              <w:rPr>
                <w:rFonts w:ascii="Arial Narrow" w:hAnsi="Arial Narrow"/>
                <w:b/>
                <w:bCs/>
                <w:sz w:val="20"/>
                <w:szCs w:val="20"/>
              </w:rPr>
              <w:t>Population criteria:</w:t>
            </w:r>
          </w:p>
        </w:tc>
      </w:tr>
      <w:tr w:rsidR="00946816" w:rsidRPr="00946816" w14:paraId="52C0C833" w14:textId="77777777" w:rsidTr="00621588">
        <w:tblPrEx>
          <w:tblCellMar>
            <w:top w:w="15" w:type="dxa"/>
            <w:left w:w="15" w:type="dxa"/>
            <w:bottom w:w="15" w:type="dxa"/>
            <w:right w:w="15" w:type="dxa"/>
          </w:tblCellMar>
        </w:tblPrEx>
        <w:tc>
          <w:tcPr>
            <w:tcW w:w="552" w:type="pct"/>
            <w:gridSpan w:val="2"/>
            <w:vAlign w:val="center"/>
          </w:tcPr>
          <w:p w14:paraId="1EA8A351" w14:textId="3CB3DC35" w:rsidR="006D43A0" w:rsidRPr="00946816" w:rsidRDefault="006D43A0" w:rsidP="00776D51">
            <w:pPr>
              <w:jc w:val="center"/>
              <w:rPr>
                <w:rFonts w:ascii="Arial Narrow" w:hAnsi="Arial Narrow"/>
                <w:sz w:val="20"/>
                <w:szCs w:val="20"/>
              </w:rPr>
            </w:pPr>
          </w:p>
        </w:tc>
        <w:tc>
          <w:tcPr>
            <w:tcW w:w="4448" w:type="pct"/>
            <w:gridSpan w:val="6"/>
            <w:vAlign w:val="center"/>
            <w:hideMark/>
          </w:tcPr>
          <w:p w14:paraId="468E0E20" w14:textId="77777777" w:rsidR="006D43A0" w:rsidRPr="00946816" w:rsidRDefault="006D43A0" w:rsidP="00776D51">
            <w:pPr>
              <w:rPr>
                <w:rFonts w:ascii="Arial Narrow" w:hAnsi="Arial Narrow"/>
                <w:sz w:val="20"/>
                <w:szCs w:val="20"/>
              </w:rPr>
            </w:pPr>
            <w:r w:rsidRPr="00946816">
              <w:rPr>
                <w:rFonts w:ascii="Arial Narrow" w:hAnsi="Arial Narrow"/>
                <w:sz w:val="20"/>
                <w:szCs w:val="20"/>
              </w:rPr>
              <w:t>Patient must be at least 18 years of age</w:t>
            </w:r>
          </w:p>
        </w:tc>
      </w:tr>
      <w:tr w:rsidR="00946816" w:rsidRPr="00946816" w14:paraId="40821C18" w14:textId="77777777" w:rsidTr="00621588">
        <w:tblPrEx>
          <w:tblCellMar>
            <w:top w:w="15" w:type="dxa"/>
            <w:left w:w="15" w:type="dxa"/>
            <w:bottom w:w="15" w:type="dxa"/>
            <w:right w:w="15" w:type="dxa"/>
          </w:tblCellMar>
        </w:tblPrEx>
        <w:tc>
          <w:tcPr>
            <w:tcW w:w="552" w:type="pct"/>
            <w:gridSpan w:val="2"/>
            <w:vAlign w:val="center"/>
          </w:tcPr>
          <w:p w14:paraId="48CD3FEB" w14:textId="5B13AC60" w:rsidR="006D43A0" w:rsidRPr="00946816" w:rsidRDefault="006D43A0" w:rsidP="00776D51">
            <w:pPr>
              <w:jc w:val="center"/>
              <w:rPr>
                <w:rFonts w:ascii="Arial Narrow" w:hAnsi="Arial Narrow"/>
                <w:sz w:val="20"/>
                <w:szCs w:val="20"/>
              </w:rPr>
            </w:pPr>
          </w:p>
        </w:tc>
        <w:tc>
          <w:tcPr>
            <w:tcW w:w="4448" w:type="pct"/>
            <w:gridSpan w:val="6"/>
            <w:vAlign w:val="center"/>
            <w:hideMark/>
          </w:tcPr>
          <w:p w14:paraId="0519E9B9" w14:textId="77777777" w:rsidR="006D43A0" w:rsidRPr="00946816" w:rsidRDefault="006D43A0" w:rsidP="00776D51">
            <w:pPr>
              <w:rPr>
                <w:rFonts w:ascii="Arial Narrow" w:hAnsi="Arial Narrow"/>
                <w:sz w:val="20"/>
                <w:szCs w:val="20"/>
              </w:rPr>
            </w:pPr>
            <w:r w:rsidRPr="00946816">
              <w:rPr>
                <w:rFonts w:ascii="Arial Narrow" w:hAnsi="Arial Narrow"/>
                <w:b/>
                <w:bCs/>
                <w:sz w:val="20"/>
                <w:szCs w:val="20"/>
              </w:rPr>
              <w:t xml:space="preserve">Prescribing Instructions: </w:t>
            </w:r>
          </w:p>
          <w:p w14:paraId="4E281F65" w14:textId="77777777" w:rsidR="006D43A0" w:rsidRPr="00946816" w:rsidRDefault="006D43A0" w:rsidP="00776D51">
            <w:pPr>
              <w:rPr>
                <w:rFonts w:ascii="Arial Narrow" w:hAnsi="Arial Narrow"/>
                <w:sz w:val="20"/>
                <w:szCs w:val="20"/>
              </w:rPr>
            </w:pPr>
            <w:r w:rsidRPr="00946816">
              <w:rPr>
                <w:rFonts w:ascii="Arial Narrow" w:hAnsi="Arial Narrow"/>
                <w:sz w:val="20"/>
                <w:szCs w:val="20"/>
              </w:rPr>
              <w:t xml:space="preserve">Prescriber must exclude any other causes of pruritus which include any of the following: </w:t>
            </w:r>
          </w:p>
          <w:p w14:paraId="74494094" w14:textId="77777777" w:rsidR="006D43A0" w:rsidRPr="00946816" w:rsidRDefault="006D43A0" w:rsidP="00776D51">
            <w:pPr>
              <w:rPr>
                <w:rFonts w:ascii="Arial Narrow" w:hAnsi="Arial Narrow"/>
                <w:sz w:val="20"/>
                <w:szCs w:val="20"/>
              </w:rPr>
            </w:pPr>
            <w:r w:rsidRPr="00946816">
              <w:rPr>
                <w:rFonts w:ascii="Arial Narrow" w:hAnsi="Arial Narrow"/>
                <w:sz w:val="20"/>
                <w:szCs w:val="20"/>
              </w:rPr>
              <w:t>(i) drug/dialysis related (e.g., opioid-related pruritus)</w:t>
            </w:r>
          </w:p>
          <w:p w14:paraId="393F5445" w14:textId="3B56B11C" w:rsidR="006D43A0" w:rsidRPr="00946816" w:rsidRDefault="006D43A0" w:rsidP="00776D51">
            <w:pPr>
              <w:rPr>
                <w:rFonts w:ascii="Arial Narrow" w:hAnsi="Arial Narrow"/>
                <w:sz w:val="20"/>
                <w:szCs w:val="20"/>
              </w:rPr>
            </w:pPr>
            <w:r w:rsidRPr="00946816">
              <w:rPr>
                <w:rFonts w:ascii="Arial Narrow" w:hAnsi="Arial Narrow"/>
                <w:sz w:val="20"/>
                <w:szCs w:val="20"/>
              </w:rPr>
              <w:t xml:space="preserve">(ii) drug hypersensitivity or adverse effect; contact dermatitis; allergy  </w:t>
            </w:r>
          </w:p>
          <w:p w14:paraId="4D90A120" w14:textId="11EE3D6E" w:rsidR="006D43A0" w:rsidRPr="00946816" w:rsidRDefault="006D43A0" w:rsidP="00776D51">
            <w:pPr>
              <w:rPr>
                <w:rFonts w:ascii="Arial Narrow" w:hAnsi="Arial Narrow"/>
                <w:sz w:val="20"/>
                <w:szCs w:val="20"/>
              </w:rPr>
            </w:pPr>
            <w:r w:rsidRPr="00946816">
              <w:rPr>
                <w:rFonts w:ascii="Arial Narrow" w:hAnsi="Arial Narrow"/>
                <w:sz w:val="20"/>
                <w:szCs w:val="20"/>
              </w:rPr>
              <w:t>(iii)differential diagnoses (e.g., xerosis; infestations; iron deficiency; liver disease; polycythaemia vera/leukemia/lymphoma; hypothyroidism; uncontrolled diabetes).</w:t>
            </w:r>
          </w:p>
        </w:tc>
      </w:tr>
      <w:tr w:rsidR="00946816" w:rsidRPr="00946816" w14:paraId="2ED79FE8" w14:textId="77777777" w:rsidTr="00E6334A">
        <w:tblPrEx>
          <w:tblCellMar>
            <w:top w:w="15" w:type="dxa"/>
            <w:left w:w="15" w:type="dxa"/>
            <w:bottom w:w="15" w:type="dxa"/>
            <w:right w:w="15" w:type="dxa"/>
          </w:tblCellMar>
        </w:tblPrEx>
        <w:tc>
          <w:tcPr>
            <w:tcW w:w="552" w:type="pct"/>
            <w:gridSpan w:val="2"/>
            <w:vAlign w:val="center"/>
          </w:tcPr>
          <w:p w14:paraId="5A7CABE5" w14:textId="1CC8D7E3" w:rsidR="006D43A0" w:rsidRPr="00946816" w:rsidRDefault="006D43A0" w:rsidP="00776D51">
            <w:pPr>
              <w:jc w:val="center"/>
              <w:rPr>
                <w:rFonts w:ascii="Arial Narrow" w:hAnsi="Arial Narrow"/>
                <w:sz w:val="20"/>
                <w:szCs w:val="20"/>
              </w:rPr>
            </w:pPr>
          </w:p>
        </w:tc>
        <w:tc>
          <w:tcPr>
            <w:tcW w:w="4448" w:type="pct"/>
            <w:gridSpan w:val="6"/>
            <w:vAlign w:val="center"/>
          </w:tcPr>
          <w:p w14:paraId="7BDB4E99" w14:textId="77777777" w:rsidR="006D43A0" w:rsidRPr="00946816" w:rsidRDefault="006D43A0" w:rsidP="00776D51">
            <w:pPr>
              <w:rPr>
                <w:rFonts w:ascii="Arial Narrow" w:hAnsi="Arial Narrow"/>
                <w:sz w:val="20"/>
                <w:szCs w:val="20"/>
              </w:rPr>
            </w:pPr>
            <w:r w:rsidRPr="00946816">
              <w:rPr>
                <w:rFonts w:ascii="Arial Narrow" w:hAnsi="Arial Narrow"/>
                <w:b/>
                <w:bCs/>
                <w:sz w:val="20"/>
                <w:szCs w:val="20"/>
              </w:rPr>
              <w:t xml:space="preserve">Prescribing Instructions: </w:t>
            </w:r>
          </w:p>
          <w:p w14:paraId="27633EB1" w14:textId="77777777" w:rsidR="006D43A0" w:rsidRPr="00946816" w:rsidRDefault="006D43A0" w:rsidP="00776D51">
            <w:pPr>
              <w:rPr>
                <w:rFonts w:ascii="Arial Narrow" w:hAnsi="Arial Narrow"/>
                <w:sz w:val="20"/>
                <w:szCs w:val="20"/>
              </w:rPr>
            </w:pPr>
            <w:r w:rsidRPr="00946816">
              <w:rPr>
                <w:rFonts w:ascii="Arial Narrow" w:hAnsi="Arial Narrow"/>
                <w:sz w:val="20"/>
                <w:szCs w:val="20"/>
              </w:rPr>
              <w:t>Best supportive care for patients with chronic kidney disease-associated pruritus is not limited to but includes:</w:t>
            </w:r>
          </w:p>
          <w:p w14:paraId="2568D090" w14:textId="77777777" w:rsidR="006D43A0" w:rsidRPr="00946816" w:rsidRDefault="006D43A0" w:rsidP="00776D51">
            <w:pPr>
              <w:rPr>
                <w:rFonts w:ascii="Arial Narrow" w:hAnsi="Arial Narrow"/>
                <w:sz w:val="20"/>
                <w:szCs w:val="20"/>
              </w:rPr>
            </w:pPr>
            <w:r w:rsidRPr="00946816">
              <w:rPr>
                <w:rFonts w:ascii="Arial Narrow" w:hAnsi="Arial Narrow"/>
                <w:sz w:val="20"/>
                <w:szCs w:val="20"/>
              </w:rPr>
              <w:lastRenderedPageBreak/>
              <w:t xml:space="preserve">(i) optimisation of dialysis, </w:t>
            </w:r>
          </w:p>
          <w:p w14:paraId="4115E9FF" w14:textId="77777777" w:rsidR="006D43A0" w:rsidRPr="00946816" w:rsidRDefault="006D43A0" w:rsidP="00776D51">
            <w:pPr>
              <w:rPr>
                <w:rFonts w:ascii="Arial Narrow" w:hAnsi="Arial Narrow"/>
                <w:sz w:val="20"/>
                <w:szCs w:val="20"/>
              </w:rPr>
            </w:pPr>
            <w:r w:rsidRPr="00946816">
              <w:rPr>
                <w:rFonts w:ascii="Arial Narrow" w:hAnsi="Arial Narrow"/>
                <w:sz w:val="20"/>
                <w:szCs w:val="20"/>
              </w:rPr>
              <w:t xml:space="preserve">(ii) skin hydration and nutrition (with the use of moisturiser, emollients, barrier creams or oils) </w:t>
            </w:r>
          </w:p>
          <w:p w14:paraId="00BEB2A2" w14:textId="77777777" w:rsidR="006D43A0" w:rsidRPr="00946816" w:rsidRDefault="006D43A0" w:rsidP="00776D51">
            <w:pPr>
              <w:rPr>
                <w:rFonts w:ascii="Arial Narrow" w:hAnsi="Arial Narrow"/>
                <w:b/>
                <w:bCs/>
                <w:sz w:val="20"/>
                <w:szCs w:val="20"/>
              </w:rPr>
            </w:pPr>
            <w:r w:rsidRPr="00946816">
              <w:rPr>
                <w:rFonts w:ascii="Arial Narrow" w:hAnsi="Arial Narrow"/>
                <w:sz w:val="20"/>
                <w:szCs w:val="20"/>
              </w:rPr>
              <w:t>(iii) patient education on the importance of avoiding or minimising scratching.</w:t>
            </w:r>
          </w:p>
        </w:tc>
      </w:tr>
      <w:tr w:rsidR="00946816" w:rsidRPr="00946816" w14:paraId="4E261EB9" w14:textId="77777777" w:rsidTr="00E6334A">
        <w:tblPrEx>
          <w:tblCellMar>
            <w:top w:w="15" w:type="dxa"/>
            <w:left w:w="15" w:type="dxa"/>
            <w:bottom w:w="15" w:type="dxa"/>
            <w:right w:w="15" w:type="dxa"/>
          </w:tblCellMar>
        </w:tblPrEx>
        <w:tc>
          <w:tcPr>
            <w:tcW w:w="552" w:type="pct"/>
            <w:gridSpan w:val="2"/>
            <w:vAlign w:val="center"/>
          </w:tcPr>
          <w:p w14:paraId="211E63D2" w14:textId="600EE05A" w:rsidR="006D43A0" w:rsidRPr="00946816" w:rsidRDefault="006D43A0" w:rsidP="00776D51">
            <w:pPr>
              <w:jc w:val="center"/>
              <w:rPr>
                <w:rFonts w:ascii="Arial Narrow" w:hAnsi="Arial Narrow"/>
                <w:sz w:val="20"/>
                <w:szCs w:val="20"/>
              </w:rPr>
            </w:pPr>
          </w:p>
        </w:tc>
        <w:tc>
          <w:tcPr>
            <w:tcW w:w="4448" w:type="pct"/>
            <w:gridSpan w:val="6"/>
            <w:vAlign w:val="center"/>
          </w:tcPr>
          <w:p w14:paraId="25E83AC8" w14:textId="77777777" w:rsidR="006D43A0" w:rsidRPr="00946816" w:rsidRDefault="006D43A0" w:rsidP="00776D51">
            <w:pPr>
              <w:rPr>
                <w:rFonts w:ascii="Arial Narrow" w:hAnsi="Arial Narrow"/>
                <w:b/>
                <w:bCs/>
                <w:sz w:val="20"/>
                <w:szCs w:val="20"/>
              </w:rPr>
            </w:pPr>
            <w:r w:rsidRPr="00946816">
              <w:rPr>
                <w:rFonts w:ascii="Arial Narrow" w:hAnsi="Arial Narrow"/>
                <w:b/>
                <w:bCs/>
                <w:sz w:val="20"/>
                <w:szCs w:val="20"/>
              </w:rPr>
              <w:t xml:space="preserve">Prescribing instructions: </w:t>
            </w:r>
          </w:p>
          <w:p w14:paraId="5923D16D" w14:textId="77777777" w:rsidR="006D43A0" w:rsidRPr="00946816" w:rsidRDefault="006D43A0" w:rsidP="00776D51">
            <w:pPr>
              <w:rPr>
                <w:rFonts w:ascii="Arial Narrow" w:hAnsi="Arial Narrow"/>
                <w:sz w:val="20"/>
                <w:szCs w:val="20"/>
              </w:rPr>
            </w:pPr>
            <w:r w:rsidRPr="00946816">
              <w:rPr>
                <w:rFonts w:ascii="Arial Narrow" w:hAnsi="Arial Narrow"/>
                <w:sz w:val="20"/>
                <w:szCs w:val="20"/>
              </w:rPr>
              <w:t>Confirmation of eligibility for treatment with diagnostic reports must be documented in the patient's medical records.</w:t>
            </w:r>
          </w:p>
        </w:tc>
      </w:tr>
      <w:tr w:rsidR="00E6334A" w:rsidRPr="00946816" w14:paraId="116616CB" w14:textId="77777777" w:rsidTr="00E6334A">
        <w:tblPrEx>
          <w:tblCellMar>
            <w:top w:w="15" w:type="dxa"/>
            <w:left w:w="15" w:type="dxa"/>
            <w:bottom w:w="15" w:type="dxa"/>
            <w:right w:w="15" w:type="dxa"/>
          </w:tblCellMar>
        </w:tblPrEx>
        <w:tc>
          <w:tcPr>
            <w:tcW w:w="552" w:type="pct"/>
            <w:gridSpan w:val="2"/>
            <w:vAlign w:val="center"/>
          </w:tcPr>
          <w:p w14:paraId="27757261" w14:textId="35C1C213" w:rsidR="006D43A0" w:rsidRPr="00946816" w:rsidRDefault="006D43A0" w:rsidP="00776D51">
            <w:pPr>
              <w:jc w:val="center"/>
              <w:rPr>
                <w:rFonts w:ascii="Arial Narrow" w:hAnsi="Arial Narrow"/>
                <w:sz w:val="20"/>
                <w:szCs w:val="20"/>
              </w:rPr>
            </w:pPr>
          </w:p>
        </w:tc>
        <w:tc>
          <w:tcPr>
            <w:tcW w:w="4448" w:type="pct"/>
            <w:gridSpan w:val="6"/>
            <w:vAlign w:val="center"/>
          </w:tcPr>
          <w:p w14:paraId="5FB1BE8A" w14:textId="77777777" w:rsidR="006D43A0" w:rsidRPr="00946816" w:rsidRDefault="006D43A0" w:rsidP="00776D51">
            <w:pPr>
              <w:rPr>
                <w:rFonts w:ascii="Arial Narrow" w:hAnsi="Arial Narrow"/>
                <w:sz w:val="20"/>
                <w:szCs w:val="20"/>
              </w:rPr>
            </w:pPr>
            <w:r w:rsidRPr="00946816">
              <w:rPr>
                <w:rFonts w:ascii="Arial Narrow" w:hAnsi="Arial Narrow"/>
                <w:b/>
                <w:bCs/>
                <w:sz w:val="20"/>
                <w:szCs w:val="20"/>
              </w:rPr>
              <w:t xml:space="preserve">Prescribing Instructions: </w:t>
            </w:r>
          </w:p>
          <w:p w14:paraId="40E7A307" w14:textId="77777777" w:rsidR="006D43A0" w:rsidRPr="00946816" w:rsidRDefault="006D43A0" w:rsidP="00776D51">
            <w:pPr>
              <w:rPr>
                <w:rFonts w:ascii="Arial Narrow" w:hAnsi="Arial Narrow"/>
                <w:sz w:val="20"/>
                <w:szCs w:val="20"/>
              </w:rPr>
            </w:pPr>
            <w:r w:rsidRPr="00946816">
              <w:rPr>
                <w:rFonts w:ascii="Arial Narrow" w:hAnsi="Arial Narrow"/>
                <w:sz w:val="20"/>
                <w:szCs w:val="20"/>
              </w:rPr>
              <w:t>At the time of authority application, medical practitioners must request the appropriate number of vials to provide sufficient drug, based on the dry body weight of the patient (in kg), adequate for 4 weeks, according to the specified dosage in the approved Product Information (PI). Up to a maximum of 2 repeats will be authorised. No more than 4 doses per week will be authorised even if the number of haemodialysis treatments in a week exceeds 4.</w:t>
            </w:r>
          </w:p>
        </w:tc>
      </w:tr>
    </w:tbl>
    <w:p w14:paraId="061DEFD9" w14:textId="4586FEA5" w:rsidR="00513184" w:rsidRPr="00946816" w:rsidRDefault="00513184" w:rsidP="00513184">
      <w:pPr>
        <w:widowControl w:val="0"/>
        <w:contextualSpacing/>
        <w:rPr>
          <w:rFonts w:asciiTheme="minorHAnsi" w:hAnsiTheme="minorHAnsi"/>
          <w:bCs/>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500"/>
        <w:gridCol w:w="1434"/>
        <w:gridCol w:w="1863"/>
        <w:gridCol w:w="858"/>
        <w:gridCol w:w="864"/>
        <w:gridCol w:w="855"/>
        <w:gridCol w:w="2146"/>
      </w:tblGrid>
      <w:tr w:rsidR="00946816" w:rsidRPr="00946816" w14:paraId="197F7243" w14:textId="77777777" w:rsidTr="00E6334A">
        <w:tc>
          <w:tcPr>
            <w:tcW w:w="1348" w:type="pct"/>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bookmarkEnd w:id="79"/>
          <w:p w14:paraId="5288F703" w14:textId="77777777" w:rsidR="00AD13DC" w:rsidRPr="00946816" w:rsidRDefault="00AD13DC" w:rsidP="00776D51">
            <w:pPr>
              <w:tabs>
                <w:tab w:val="left" w:pos="6510"/>
              </w:tabs>
              <w:rPr>
                <w:rFonts w:ascii="Arial Narrow" w:hAnsi="Arial Narrow"/>
                <w:b/>
                <w:sz w:val="20"/>
                <w:szCs w:val="20"/>
              </w:rPr>
            </w:pPr>
            <w:r w:rsidRPr="00946816">
              <w:rPr>
                <w:rFonts w:ascii="Arial Narrow" w:hAnsi="Arial Narrow"/>
                <w:b/>
                <w:sz w:val="20"/>
                <w:szCs w:val="20"/>
              </w:rPr>
              <w:t>Name, Restriction,</w:t>
            </w:r>
          </w:p>
          <w:p w14:paraId="6B7903A8" w14:textId="77777777" w:rsidR="00AD13DC" w:rsidRPr="00946816" w:rsidRDefault="00AD13DC" w:rsidP="00776D51">
            <w:pPr>
              <w:rPr>
                <w:rFonts w:ascii="Arial Narrow" w:hAnsi="Arial Narrow"/>
                <w:b/>
                <w:bCs/>
                <w:sz w:val="20"/>
                <w:szCs w:val="20"/>
              </w:rPr>
            </w:pPr>
            <w:r w:rsidRPr="00946816">
              <w:rPr>
                <w:rFonts w:ascii="Arial Narrow" w:hAnsi="Arial Narrow"/>
                <w:b/>
                <w:sz w:val="20"/>
                <w:szCs w:val="20"/>
              </w:rPr>
              <w:t>Manner of administration and form</w:t>
            </w:r>
          </w:p>
        </w:tc>
        <w:tc>
          <w:tcPr>
            <w:tcW w:w="103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8E2E82" w14:textId="77777777" w:rsidR="00AD13DC" w:rsidRPr="00946816" w:rsidRDefault="00AD13DC" w:rsidP="00776D51">
            <w:pPr>
              <w:rPr>
                <w:rFonts w:ascii="Arial Narrow" w:hAnsi="Arial Narrow"/>
                <w:b/>
                <w:bCs/>
                <w:sz w:val="20"/>
                <w:szCs w:val="20"/>
              </w:rPr>
            </w:pPr>
            <w:r w:rsidRPr="00946816">
              <w:rPr>
                <w:rFonts w:ascii="Arial Narrow" w:hAnsi="Arial Narrow"/>
                <w:b/>
                <w:sz w:val="20"/>
                <w:szCs w:val="20"/>
              </w:rPr>
              <w:t>PBS item code</w:t>
            </w:r>
          </w:p>
        </w:tc>
        <w:tc>
          <w:tcPr>
            <w:tcW w:w="47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59AE90D" w14:textId="77777777" w:rsidR="00AD13DC" w:rsidRPr="00946816" w:rsidRDefault="00AD13DC" w:rsidP="00776D51">
            <w:pPr>
              <w:rPr>
                <w:rFonts w:ascii="Arial Narrow" w:hAnsi="Arial Narrow"/>
                <w:b/>
                <w:bCs/>
                <w:sz w:val="20"/>
                <w:szCs w:val="20"/>
              </w:rPr>
            </w:pPr>
            <w:r w:rsidRPr="00946816">
              <w:rPr>
                <w:rFonts w:ascii="Arial Narrow" w:hAnsi="Arial Narrow"/>
                <w:b/>
                <w:sz w:val="20"/>
                <w:szCs w:val="20"/>
              </w:rPr>
              <w:t>Max. qty packs</w:t>
            </w:r>
          </w:p>
        </w:tc>
        <w:tc>
          <w:tcPr>
            <w:tcW w:w="47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EB578F" w14:textId="77777777" w:rsidR="00AD13DC" w:rsidRPr="00946816" w:rsidRDefault="00AD13DC" w:rsidP="00776D51">
            <w:pPr>
              <w:rPr>
                <w:rFonts w:ascii="Arial Narrow" w:hAnsi="Arial Narrow"/>
                <w:b/>
                <w:bCs/>
                <w:sz w:val="20"/>
                <w:szCs w:val="20"/>
              </w:rPr>
            </w:pPr>
            <w:r w:rsidRPr="00946816">
              <w:rPr>
                <w:rFonts w:ascii="Arial Narrow" w:hAnsi="Arial Narrow"/>
                <w:b/>
                <w:sz w:val="20"/>
                <w:szCs w:val="20"/>
              </w:rPr>
              <w:t>Max. qty units</w:t>
            </w:r>
          </w:p>
        </w:tc>
        <w:tc>
          <w:tcPr>
            <w:tcW w:w="47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8AFFDC" w14:textId="77777777" w:rsidR="00AD13DC" w:rsidRPr="00946816" w:rsidRDefault="00AD13DC" w:rsidP="00776D51">
            <w:pPr>
              <w:keepNext/>
              <w:ind w:left="-108"/>
              <w:jc w:val="center"/>
              <w:rPr>
                <w:rFonts w:ascii="Arial Narrow" w:hAnsi="Arial Narrow"/>
                <w:b/>
                <w:sz w:val="20"/>
                <w:szCs w:val="20"/>
              </w:rPr>
            </w:pPr>
            <w:r w:rsidRPr="00946816">
              <w:rPr>
                <w:rFonts w:ascii="Arial Narrow" w:hAnsi="Arial Narrow"/>
                <w:b/>
                <w:sz w:val="20"/>
                <w:szCs w:val="20"/>
              </w:rPr>
              <w:t>№.of</w:t>
            </w:r>
          </w:p>
          <w:p w14:paraId="74867EF3" w14:textId="77777777" w:rsidR="00AD13DC" w:rsidRPr="00946816" w:rsidRDefault="00AD13DC" w:rsidP="00776D51">
            <w:pPr>
              <w:rPr>
                <w:rFonts w:ascii="Arial Narrow" w:hAnsi="Arial Narrow"/>
                <w:b/>
                <w:bCs/>
                <w:sz w:val="20"/>
                <w:szCs w:val="20"/>
              </w:rPr>
            </w:pPr>
            <w:r w:rsidRPr="00946816">
              <w:rPr>
                <w:rFonts w:ascii="Arial Narrow" w:hAnsi="Arial Narrow"/>
                <w:b/>
                <w:sz w:val="20"/>
                <w:szCs w:val="20"/>
              </w:rPr>
              <w:t>Rpts</w:t>
            </w:r>
          </w:p>
        </w:tc>
        <w:tc>
          <w:tcPr>
            <w:tcW w:w="11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6C11CEC" w14:textId="77777777" w:rsidR="00AD13DC" w:rsidRPr="00946816" w:rsidRDefault="00AD13DC" w:rsidP="00776D51">
            <w:pPr>
              <w:rPr>
                <w:rFonts w:ascii="Arial Narrow" w:hAnsi="Arial Narrow"/>
                <w:b/>
                <w:bCs/>
                <w:sz w:val="20"/>
                <w:szCs w:val="20"/>
              </w:rPr>
            </w:pPr>
            <w:r w:rsidRPr="00946816">
              <w:rPr>
                <w:rFonts w:ascii="Arial Narrow" w:hAnsi="Arial Narrow"/>
                <w:b/>
                <w:sz w:val="20"/>
                <w:szCs w:val="20"/>
              </w:rPr>
              <w:t>Proprietary Name and Manufacturer</w:t>
            </w:r>
          </w:p>
        </w:tc>
      </w:tr>
      <w:tr w:rsidR="00946816" w:rsidRPr="00946816" w14:paraId="7EF354DC" w14:textId="77777777" w:rsidTr="00E6334A">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4F36BA" w14:textId="77777777" w:rsidR="00AD13DC" w:rsidRPr="00946816" w:rsidRDefault="00AD13DC" w:rsidP="00776D51">
            <w:pPr>
              <w:rPr>
                <w:rFonts w:ascii="Arial Narrow" w:hAnsi="Arial Narrow"/>
                <w:b/>
                <w:bCs/>
                <w:sz w:val="20"/>
                <w:szCs w:val="20"/>
              </w:rPr>
            </w:pPr>
            <w:r w:rsidRPr="00946816">
              <w:rPr>
                <w:rFonts w:ascii="Arial Narrow" w:hAnsi="Arial Narrow"/>
                <w:sz w:val="20"/>
                <w:szCs w:val="20"/>
              </w:rPr>
              <w:t>DIFELIKEFALIN</w:t>
            </w:r>
          </w:p>
        </w:tc>
      </w:tr>
      <w:tr w:rsidR="00946816" w:rsidRPr="00946816" w14:paraId="784C2088" w14:textId="77777777" w:rsidTr="00E6334A">
        <w:tc>
          <w:tcPr>
            <w:tcW w:w="1348" w:type="pct"/>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0B6D36" w14:textId="77777777" w:rsidR="00AD13DC" w:rsidRPr="00946816" w:rsidRDefault="00AD13DC" w:rsidP="00776D51">
            <w:pPr>
              <w:rPr>
                <w:rFonts w:ascii="Arial Narrow" w:hAnsi="Arial Narrow"/>
                <w:b/>
                <w:bCs/>
                <w:sz w:val="20"/>
                <w:szCs w:val="20"/>
              </w:rPr>
            </w:pPr>
            <w:r w:rsidRPr="00946816">
              <w:rPr>
                <w:rFonts w:ascii="Arial Narrow" w:hAnsi="Arial Narrow"/>
                <w:sz w:val="20"/>
                <w:szCs w:val="20"/>
              </w:rPr>
              <w:t>Difelikefalin 50 microgram/mL injection, 12 x 1mL vial</w:t>
            </w:r>
          </w:p>
        </w:tc>
        <w:tc>
          <w:tcPr>
            <w:tcW w:w="103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69A308" w14:textId="77777777" w:rsidR="00AD13DC" w:rsidRPr="00946816" w:rsidRDefault="00AD13DC" w:rsidP="00776D51">
            <w:pPr>
              <w:tabs>
                <w:tab w:val="left" w:pos="6510"/>
              </w:tabs>
              <w:jc w:val="center"/>
              <w:rPr>
                <w:rFonts w:ascii="Arial Narrow" w:hAnsi="Arial Narrow"/>
                <w:bCs/>
                <w:sz w:val="20"/>
                <w:szCs w:val="20"/>
              </w:rPr>
            </w:pPr>
            <w:r w:rsidRPr="00946816">
              <w:rPr>
                <w:rFonts w:ascii="Arial Narrow" w:hAnsi="Arial Narrow"/>
                <w:bCs/>
                <w:sz w:val="20"/>
                <w:szCs w:val="20"/>
              </w:rPr>
              <w:t>New HSD (Public)</w:t>
            </w:r>
          </w:p>
          <w:p w14:paraId="74A051C1" w14:textId="77777777" w:rsidR="00AD13DC" w:rsidRPr="00946816" w:rsidRDefault="00AD13DC" w:rsidP="00776D51">
            <w:pPr>
              <w:jc w:val="center"/>
              <w:rPr>
                <w:rFonts w:ascii="Arial Narrow" w:hAnsi="Arial Narrow"/>
                <w:b/>
                <w:bCs/>
                <w:sz w:val="20"/>
                <w:szCs w:val="20"/>
              </w:rPr>
            </w:pPr>
            <w:r w:rsidRPr="00946816">
              <w:rPr>
                <w:rFonts w:ascii="Arial Narrow" w:hAnsi="Arial Narrow"/>
                <w:bCs/>
                <w:sz w:val="20"/>
                <w:szCs w:val="20"/>
              </w:rPr>
              <w:t>New HSD (Private)</w:t>
            </w:r>
          </w:p>
        </w:tc>
        <w:tc>
          <w:tcPr>
            <w:tcW w:w="47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56D4FE0" w14:textId="77777777" w:rsidR="00AD13DC" w:rsidRPr="00946816" w:rsidRDefault="00AD13DC" w:rsidP="00776D51">
            <w:pPr>
              <w:jc w:val="center"/>
              <w:rPr>
                <w:rFonts w:ascii="Arial Narrow" w:hAnsi="Arial Narrow"/>
                <w:b/>
                <w:bCs/>
                <w:sz w:val="20"/>
                <w:szCs w:val="20"/>
              </w:rPr>
            </w:pPr>
            <w:r w:rsidRPr="00946816">
              <w:rPr>
                <w:rFonts w:ascii="Arial Narrow" w:hAnsi="Arial Narrow"/>
                <w:bCs/>
                <w:sz w:val="20"/>
                <w:szCs w:val="20"/>
              </w:rPr>
              <w:t>1</w:t>
            </w:r>
          </w:p>
        </w:tc>
        <w:tc>
          <w:tcPr>
            <w:tcW w:w="47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9E1A79" w14:textId="77777777" w:rsidR="00AD13DC" w:rsidRPr="00946816" w:rsidRDefault="00AD13DC" w:rsidP="00776D51">
            <w:pPr>
              <w:jc w:val="center"/>
              <w:rPr>
                <w:rFonts w:ascii="Arial Narrow" w:hAnsi="Arial Narrow"/>
                <w:b/>
                <w:bCs/>
                <w:sz w:val="20"/>
                <w:szCs w:val="20"/>
              </w:rPr>
            </w:pPr>
            <w:r w:rsidRPr="00946816">
              <w:rPr>
                <w:rFonts w:ascii="Arial Narrow" w:hAnsi="Arial Narrow"/>
                <w:bCs/>
                <w:sz w:val="20"/>
                <w:szCs w:val="20"/>
              </w:rPr>
              <w:t>12</w:t>
            </w:r>
          </w:p>
        </w:tc>
        <w:tc>
          <w:tcPr>
            <w:tcW w:w="47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56A3C1F" w14:textId="77777777" w:rsidR="00AD13DC" w:rsidRPr="00946816" w:rsidRDefault="00AD13DC" w:rsidP="00776D51">
            <w:pPr>
              <w:jc w:val="center"/>
              <w:rPr>
                <w:rFonts w:ascii="Arial Narrow" w:hAnsi="Arial Narrow"/>
                <w:sz w:val="20"/>
                <w:szCs w:val="20"/>
              </w:rPr>
            </w:pPr>
            <w:r w:rsidRPr="00946816">
              <w:rPr>
                <w:rFonts w:ascii="Arial Narrow" w:hAnsi="Arial Narrow"/>
                <w:sz w:val="20"/>
                <w:szCs w:val="20"/>
              </w:rPr>
              <w:t>5</w:t>
            </w:r>
          </w:p>
        </w:tc>
        <w:tc>
          <w:tcPr>
            <w:tcW w:w="11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7913286" w14:textId="77777777" w:rsidR="00AD13DC" w:rsidRPr="00946816" w:rsidRDefault="00AD13DC" w:rsidP="00776D51">
            <w:pPr>
              <w:tabs>
                <w:tab w:val="left" w:pos="6510"/>
              </w:tabs>
              <w:ind w:firstLine="720"/>
              <w:rPr>
                <w:rFonts w:ascii="Arial Narrow" w:hAnsi="Arial Narrow"/>
                <w:sz w:val="20"/>
                <w:szCs w:val="20"/>
              </w:rPr>
            </w:pPr>
            <w:r w:rsidRPr="00946816">
              <w:rPr>
                <w:rFonts w:ascii="Arial Narrow" w:hAnsi="Arial Narrow"/>
                <w:sz w:val="20"/>
                <w:szCs w:val="20"/>
              </w:rPr>
              <w:t>Korsuva</w:t>
            </w:r>
          </w:p>
        </w:tc>
      </w:tr>
      <w:tr w:rsidR="00946816" w:rsidRPr="00946816" w14:paraId="735740AC" w14:textId="77777777" w:rsidTr="00E6334A">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890A27" w14:textId="77777777" w:rsidR="00AD13DC" w:rsidRPr="00946816" w:rsidRDefault="00AD13DC" w:rsidP="00776D51">
            <w:pPr>
              <w:rPr>
                <w:rFonts w:ascii="Arial Narrow" w:hAnsi="Arial Narrow"/>
                <w:b/>
                <w:bCs/>
                <w:sz w:val="20"/>
                <w:szCs w:val="20"/>
              </w:rPr>
            </w:pPr>
          </w:p>
        </w:tc>
      </w:tr>
      <w:tr w:rsidR="00946816" w:rsidRPr="00946816" w14:paraId="72F244A6" w14:textId="77777777" w:rsidTr="00E6334A">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5903C3" w14:textId="77777777" w:rsidR="00AD13DC" w:rsidRPr="00946816" w:rsidRDefault="00AD13DC" w:rsidP="00776D51">
            <w:pPr>
              <w:rPr>
                <w:rFonts w:ascii="Arial Narrow" w:hAnsi="Arial Narrow"/>
                <w:b/>
                <w:bCs/>
                <w:sz w:val="20"/>
                <w:szCs w:val="20"/>
              </w:rPr>
            </w:pPr>
            <w:r w:rsidRPr="00946816">
              <w:rPr>
                <w:rFonts w:ascii="Arial Narrow" w:hAnsi="Arial Narrow"/>
                <w:b/>
                <w:sz w:val="20"/>
                <w:szCs w:val="20"/>
              </w:rPr>
              <w:t>Restriction Summary [new 3] / Treatment of Concept: [new 4]</w:t>
            </w:r>
          </w:p>
        </w:tc>
      </w:tr>
      <w:tr w:rsidR="00946816" w:rsidRPr="00946816" w14:paraId="074EEED7" w14:textId="77777777" w:rsidTr="00621588">
        <w:tc>
          <w:tcPr>
            <w:tcW w:w="553"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3409B66" w14:textId="07BB860C" w:rsidR="00AD13DC" w:rsidRPr="00946816" w:rsidRDefault="00AD13DC" w:rsidP="00776D51">
            <w:pPr>
              <w:jc w:val="center"/>
              <w:rPr>
                <w:rFonts w:ascii="Arial Narrow" w:hAnsi="Arial Narrow"/>
                <w:b/>
                <w:sz w:val="20"/>
                <w:szCs w:val="20"/>
              </w:rPr>
            </w:pPr>
          </w:p>
        </w:tc>
        <w:tc>
          <w:tcPr>
            <w:tcW w:w="4447"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0968513" w14:textId="77777777" w:rsidR="00AD13DC" w:rsidRPr="00946816" w:rsidRDefault="00AD13DC" w:rsidP="00776D51">
            <w:pPr>
              <w:rPr>
                <w:rFonts w:ascii="Arial Narrow" w:hAnsi="Arial Narrow"/>
                <w:sz w:val="20"/>
                <w:szCs w:val="20"/>
              </w:rPr>
            </w:pPr>
            <w:r w:rsidRPr="00946816">
              <w:rPr>
                <w:rFonts w:ascii="Arial Narrow" w:hAnsi="Arial Narrow"/>
                <w:b/>
                <w:sz w:val="20"/>
                <w:szCs w:val="20"/>
              </w:rPr>
              <w:t xml:space="preserve">Category / Program:   </w:t>
            </w:r>
          </w:p>
          <w:p w14:paraId="597C0EC1" w14:textId="77777777" w:rsidR="00AD13DC" w:rsidRPr="00946816" w:rsidRDefault="00AD13DC" w:rsidP="00776D51">
            <w:pPr>
              <w:rPr>
                <w:rFonts w:ascii="Arial Narrow" w:hAnsi="Arial Narrow"/>
                <w:sz w:val="20"/>
                <w:szCs w:val="20"/>
              </w:rPr>
            </w:pPr>
            <w:r w:rsidRPr="00946816">
              <w:rPr>
                <w:rFonts w:ascii="Arial Narrow" w:hAnsi="Arial Narrow"/>
                <w:sz w:val="20"/>
                <w:szCs w:val="20"/>
              </w:rPr>
              <w:t xml:space="preserve">Section 100 – Highly Specialised Drugs Program {Public and Private Hospitals} </w:t>
            </w:r>
          </w:p>
        </w:tc>
      </w:tr>
      <w:tr w:rsidR="00946816" w:rsidRPr="00946816" w14:paraId="0FC91A8B" w14:textId="77777777" w:rsidTr="00E6334A">
        <w:tblPrEx>
          <w:tblCellMar>
            <w:top w:w="15" w:type="dxa"/>
            <w:left w:w="15" w:type="dxa"/>
            <w:bottom w:w="15" w:type="dxa"/>
            <w:right w:w="15" w:type="dxa"/>
          </w:tblCellMar>
        </w:tblPrEx>
        <w:trPr>
          <w:trHeight w:val="366"/>
        </w:trPr>
        <w:tc>
          <w:tcPr>
            <w:tcW w:w="553" w:type="pct"/>
            <w:gridSpan w:val="2"/>
            <w:tcBorders>
              <w:top w:val="single" w:sz="4" w:space="0" w:color="auto"/>
              <w:left w:val="single" w:sz="4" w:space="0" w:color="auto"/>
              <w:bottom w:val="single" w:sz="4" w:space="0" w:color="auto"/>
              <w:right w:val="single" w:sz="4" w:space="0" w:color="auto"/>
            </w:tcBorders>
          </w:tcPr>
          <w:p w14:paraId="7A2D50B8" w14:textId="77777777" w:rsidR="00AD13DC" w:rsidRPr="00946816" w:rsidRDefault="00AD13DC" w:rsidP="00776D51">
            <w:pPr>
              <w:rPr>
                <w:rFonts w:ascii="Arial Narrow" w:hAnsi="Arial Narrow"/>
                <w:sz w:val="20"/>
                <w:szCs w:val="20"/>
              </w:rPr>
            </w:pPr>
          </w:p>
        </w:tc>
        <w:tc>
          <w:tcPr>
            <w:tcW w:w="4447" w:type="pct"/>
            <w:gridSpan w:val="6"/>
            <w:tcBorders>
              <w:top w:val="single" w:sz="4" w:space="0" w:color="auto"/>
              <w:left w:val="single" w:sz="4" w:space="0" w:color="auto"/>
              <w:bottom w:val="single" w:sz="4" w:space="0" w:color="auto"/>
              <w:right w:val="single" w:sz="4" w:space="0" w:color="auto"/>
            </w:tcBorders>
          </w:tcPr>
          <w:p w14:paraId="377E9FE6" w14:textId="77777777" w:rsidR="00AD13DC" w:rsidRPr="00946816" w:rsidRDefault="00AD13DC" w:rsidP="00776D51">
            <w:pPr>
              <w:rPr>
                <w:rFonts w:ascii="Arial Narrow" w:hAnsi="Arial Narrow"/>
                <w:sz w:val="20"/>
                <w:szCs w:val="20"/>
              </w:rPr>
            </w:pPr>
            <w:r w:rsidRPr="00946816">
              <w:rPr>
                <w:rFonts w:ascii="Arial Narrow" w:hAnsi="Arial Narrow"/>
                <w:b/>
                <w:sz w:val="20"/>
                <w:szCs w:val="20"/>
              </w:rPr>
              <w:t xml:space="preserve">Prescriber type:  </w:t>
            </w:r>
            <w:r w:rsidRPr="00946816">
              <w:rPr>
                <w:rFonts w:ascii="Arial Narrow" w:hAnsi="Arial Narrow"/>
                <w:sz w:val="20"/>
                <w:szCs w:val="20"/>
              </w:rPr>
              <w:fldChar w:fldCharType="begin" w:fldLock="1">
                <w:ffData>
                  <w:name w:val=""/>
                  <w:enabled/>
                  <w:calcOnExit w:val="0"/>
                  <w:checkBox>
                    <w:sizeAuto/>
                    <w:default w:val="1"/>
                  </w:checkBox>
                </w:ffData>
              </w:fldChar>
            </w:r>
            <w:r w:rsidRPr="00946816">
              <w:rPr>
                <w:rFonts w:ascii="Arial Narrow" w:hAnsi="Arial Narrow"/>
                <w:sz w:val="20"/>
                <w:szCs w:val="20"/>
              </w:rPr>
              <w:instrText xml:space="preserve"> FORMCHECKBOX </w:instrText>
            </w:r>
            <w:r w:rsidR="00690B5F">
              <w:rPr>
                <w:rFonts w:ascii="Arial Narrow" w:hAnsi="Arial Narrow"/>
                <w:sz w:val="20"/>
                <w:szCs w:val="20"/>
              </w:rPr>
            </w:r>
            <w:r w:rsidR="00690B5F">
              <w:rPr>
                <w:rFonts w:ascii="Arial Narrow" w:hAnsi="Arial Narrow"/>
                <w:sz w:val="20"/>
                <w:szCs w:val="20"/>
              </w:rPr>
              <w:fldChar w:fldCharType="separate"/>
            </w:r>
            <w:r w:rsidRPr="00946816">
              <w:rPr>
                <w:rFonts w:ascii="Arial Narrow" w:hAnsi="Arial Narrow"/>
                <w:sz w:val="20"/>
                <w:szCs w:val="20"/>
              </w:rPr>
              <w:fldChar w:fldCharType="end"/>
            </w:r>
            <w:r w:rsidRPr="00946816">
              <w:rPr>
                <w:rFonts w:ascii="Arial Narrow" w:hAnsi="Arial Narrow"/>
                <w:sz w:val="20"/>
                <w:szCs w:val="20"/>
              </w:rPr>
              <w:t xml:space="preserve">Medical Practitioners  </w:t>
            </w:r>
          </w:p>
        </w:tc>
      </w:tr>
      <w:tr w:rsidR="00946816" w:rsidRPr="00946816" w14:paraId="57E570D6" w14:textId="77777777" w:rsidTr="00E6334A">
        <w:tblPrEx>
          <w:tblCellMar>
            <w:top w:w="15" w:type="dxa"/>
            <w:left w:w="15" w:type="dxa"/>
            <w:bottom w:w="15" w:type="dxa"/>
            <w:right w:w="15" w:type="dxa"/>
          </w:tblCellMar>
        </w:tblPrEx>
        <w:tc>
          <w:tcPr>
            <w:tcW w:w="553" w:type="pct"/>
            <w:gridSpan w:val="2"/>
            <w:tcBorders>
              <w:top w:val="single" w:sz="4" w:space="0" w:color="auto"/>
              <w:left w:val="single" w:sz="4" w:space="0" w:color="auto"/>
              <w:bottom w:val="single" w:sz="4" w:space="0" w:color="auto"/>
              <w:right w:val="single" w:sz="4" w:space="0" w:color="auto"/>
            </w:tcBorders>
          </w:tcPr>
          <w:p w14:paraId="31AD0C36" w14:textId="77777777" w:rsidR="00AD13DC" w:rsidRPr="00946816" w:rsidRDefault="00AD13DC" w:rsidP="00776D51">
            <w:pPr>
              <w:rPr>
                <w:rFonts w:ascii="Arial Narrow" w:hAnsi="Arial Narrow"/>
                <w:sz w:val="20"/>
                <w:szCs w:val="20"/>
              </w:rPr>
            </w:pPr>
          </w:p>
        </w:tc>
        <w:tc>
          <w:tcPr>
            <w:tcW w:w="4447" w:type="pct"/>
            <w:gridSpan w:val="6"/>
            <w:tcBorders>
              <w:top w:val="single" w:sz="4" w:space="0" w:color="auto"/>
              <w:left w:val="single" w:sz="4" w:space="0" w:color="auto"/>
              <w:bottom w:val="single" w:sz="4" w:space="0" w:color="auto"/>
              <w:right w:val="single" w:sz="4" w:space="0" w:color="auto"/>
            </w:tcBorders>
          </w:tcPr>
          <w:p w14:paraId="56BA3A33" w14:textId="77777777" w:rsidR="00AD13DC" w:rsidRPr="00946816" w:rsidRDefault="00AD13DC" w:rsidP="00776D51">
            <w:pPr>
              <w:rPr>
                <w:rFonts w:ascii="Arial Narrow" w:hAnsi="Arial Narrow"/>
                <w:b/>
                <w:sz w:val="20"/>
                <w:szCs w:val="20"/>
              </w:rPr>
            </w:pPr>
            <w:r w:rsidRPr="00946816">
              <w:rPr>
                <w:rFonts w:ascii="Arial Narrow" w:hAnsi="Arial Narrow"/>
                <w:b/>
                <w:sz w:val="20"/>
                <w:szCs w:val="20"/>
              </w:rPr>
              <w:t>Restriction Level / Method:</w:t>
            </w:r>
          </w:p>
          <w:p w14:paraId="4157946A" w14:textId="77777777" w:rsidR="00AD13DC" w:rsidRPr="00946816" w:rsidRDefault="00AD13DC" w:rsidP="00776D51">
            <w:pPr>
              <w:rPr>
                <w:rFonts w:ascii="Arial Narrow" w:hAnsi="Arial Narrow"/>
                <w:sz w:val="20"/>
                <w:szCs w:val="20"/>
              </w:rPr>
            </w:pPr>
            <w:r w:rsidRPr="00946816">
              <w:rPr>
                <w:rFonts w:ascii="Arial Narrow" w:hAnsi="Arial Narrow"/>
                <w:sz w:val="20"/>
                <w:szCs w:val="20"/>
              </w:rPr>
              <w:fldChar w:fldCharType="begin" w:fldLock="1">
                <w:ffData>
                  <w:name w:val="Check3"/>
                  <w:enabled/>
                  <w:calcOnExit w:val="0"/>
                  <w:checkBox>
                    <w:sizeAuto/>
                    <w:default w:val="1"/>
                  </w:checkBox>
                </w:ffData>
              </w:fldChar>
            </w:r>
            <w:r w:rsidRPr="00946816">
              <w:rPr>
                <w:rFonts w:ascii="Arial Narrow" w:hAnsi="Arial Narrow"/>
                <w:sz w:val="20"/>
                <w:szCs w:val="20"/>
              </w:rPr>
              <w:instrText xml:space="preserve"> FORMCHECKBOX </w:instrText>
            </w:r>
            <w:r w:rsidR="00690B5F">
              <w:rPr>
                <w:rFonts w:ascii="Arial Narrow" w:hAnsi="Arial Narrow"/>
                <w:sz w:val="20"/>
                <w:szCs w:val="20"/>
              </w:rPr>
            </w:r>
            <w:r w:rsidR="00690B5F">
              <w:rPr>
                <w:rFonts w:ascii="Arial Narrow" w:hAnsi="Arial Narrow"/>
                <w:sz w:val="20"/>
                <w:szCs w:val="20"/>
              </w:rPr>
              <w:fldChar w:fldCharType="separate"/>
            </w:r>
            <w:r w:rsidRPr="00946816">
              <w:rPr>
                <w:rFonts w:ascii="Arial Narrow" w:hAnsi="Arial Narrow"/>
                <w:sz w:val="20"/>
                <w:szCs w:val="20"/>
              </w:rPr>
              <w:fldChar w:fldCharType="end"/>
            </w:r>
            <w:r w:rsidRPr="00946816">
              <w:rPr>
                <w:rFonts w:ascii="Arial Narrow" w:hAnsi="Arial Narrow"/>
                <w:sz w:val="20"/>
                <w:szCs w:val="20"/>
              </w:rPr>
              <w:t>Authority Required – Telephone/Online PBS Authorities system</w:t>
            </w:r>
          </w:p>
        </w:tc>
      </w:tr>
      <w:tr w:rsidR="00946816" w:rsidRPr="00946816" w14:paraId="11E309C5" w14:textId="77777777" w:rsidTr="00E6334A">
        <w:tblPrEx>
          <w:tblCellMar>
            <w:top w:w="15" w:type="dxa"/>
            <w:left w:w="15" w:type="dxa"/>
            <w:bottom w:w="15" w:type="dxa"/>
            <w:right w:w="15" w:type="dxa"/>
          </w:tblCellMar>
        </w:tblPrEx>
        <w:tc>
          <w:tcPr>
            <w:tcW w:w="276" w:type="pct"/>
            <w:vMerge w:val="restart"/>
            <w:textDirection w:val="btLr"/>
            <w:vAlign w:val="center"/>
          </w:tcPr>
          <w:p w14:paraId="1826A2C7" w14:textId="401227FE" w:rsidR="00AD13DC" w:rsidRPr="00946816" w:rsidRDefault="00AD13DC" w:rsidP="00776D51">
            <w:pPr>
              <w:ind w:left="113" w:right="113"/>
              <w:jc w:val="center"/>
              <w:rPr>
                <w:rFonts w:ascii="Arial Narrow" w:hAnsi="Arial Narrow"/>
                <w:sz w:val="20"/>
                <w:szCs w:val="20"/>
              </w:rPr>
            </w:pPr>
          </w:p>
        </w:tc>
        <w:tc>
          <w:tcPr>
            <w:tcW w:w="277" w:type="pct"/>
            <w:vAlign w:val="center"/>
          </w:tcPr>
          <w:p w14:paraId="1D3F6863" w14:textId="13950681" w:rsidR="00AD13DC" w:rsidRPr="00946816" w:rsidRDefault="00AD13DC" w:rsidP="00776D51">
            <w:pPr>
              <w:jc w:val="center"/>
              <w:rPr>
                <w:rFonts w:ascii="Arial Narrow" w:hAnsi="Arial Narrow"/>
                <w:sz w:val="20"/>
                <w:szCs w:val="20"/>
              </w:rPr>
            </w:pPr>
          </w:p>
        </w:tc>
        <w:tc>
          <w:tcPr>
            <w:tcW w:w="4447" w:type="pct"/>
            <w:gridSpan w:val="6"/>
            <w:vAlign w:val="center"/>
          </w:tcPr>
          <w:p w14:paraId="24946B5E" w14:textId="77777777" w:rsidR="00AD13DC" w:rsidRPr="00946816" w:rsidRDefault="00AD13DC" w:rsidP="00776D51">
            <w:pPr>
              <w:rPr>
                <w:rFonts w:ascii="Arial Narrow" w:hAnsi="Arial Narrow"/>
                <w:b/>
                <w:bCs/>
                <w:sz w:val="20"/>
                <w:szCs w:val="20"/>
              </w:rPr>
            </w:pPr>
            <w:r w:rsidRPr="00946816">
              <w:rPr>
                <w:rFonts w:ascii="Arial Narrow" w:hAnsi="Arial Narrow"/>
                <w:b/>
                <w:bCs/>
                <w:sz w:val="20"/>
                <w:szCs w:val="20"/>
              </w:rPr>
              <w:t xml:space="preserve">Administrative Advice: </w:t>
            </w:r>
          </w:p>
          <w:p w14:paraId="6CE7C0F9" w14:textId="77777777" w:rsidR="00AD13DC" w:rsidRPr="00946816" w:rsidRDefault="00AD13DC" w:rsidP="00776D51">
            <w:pPr>
              <w:rPr>
                <w:rFonts w:ascii="Arial Narrow" w:hAnsi="Arial Narrow"/>
                <w:sz w:val="20"/>
                <w:szCs w:val="20"/>
              </w:rPr>
            </w:pPr>
            <w:r w:rsidRPr="00946816">
              <w:rPr>
                <w:rFonts w:ascii="Arial Narrow" w:hAnsi="Arial Narrow"/>
                <w:sz w:val="20"/>
                <w:szCs w:val="20"/>
              </w:rPr>
              <w:t>No increase to the maximum number of repeats may be authorised.</w:t>
            </w:r>
          </w:p>
        </w:tc>
      </w:tr>
      <w:tr w:rsidR="00946816" w:rsidRPr="00946816" w14:paraId="49472D85" w14:textId="77777777" w:rsidTr="00E6334A">
        <w:tblPrEx>
          <w:tblCellMar>
            <w:top w:w="15" w:type="dxa"/>
            <w:left w:w="15" w:type="dxa"/>
            <w:bottom w:w="15" w:type="dxa"/>
            <w:right w:w="15" w:type="dxa"/>
          </w:tblCellMar>
        </w:tblPrEx>
        <w:tc>
          <w:tcPr>
            <w:tcW w:w="276" w:type="pct"/>
            <w:vMerge/>
            <w:vAlign w:val="center"/>
          </w:tcPr>
          <w:p w14:paraId="4DFA810A" w14:textId="77777777" w:rsidR="00AD13DC" w:rsidRPr="00946816" w:rsidRDefault="00AD13DC" w:rsidP="00776D51">
            <w:pPr>
              <w:jc w:val="center"/>
              <w:rPr>
                <w:rFonts w:ascii="Arial Narrow" w:hAnsi="Arial Narrow"/>
                <w:sz w:val="20"/>
                <w:szCs w:val="20"/>
              </w:rPr>
            </w:pPr>
          </w:p>
        </w:tc>
        <w:tc>
          <w:tcPr>
            <w:tcW w:w="277" w:type="pct"/>
            <w:vAlign w:val="center"/>
          </w:tcPr>
          <w:p w14:paraId="7AC52E22" w14:textId="1878E0F7" w:rsidR="00AD13DC" w:rsidRPr="00946816" w:rsidRDefault="00AD13DC" w:rsidP="00776D51">
            <w:pPr>
              <w:jc w:val="center"/>
              <w:rPr>
                <w:rFonts w:ascii="Arial Narrow" w:hAnsi="Arial Narrow"/>
                <w:sz w:val="20"/>
                <w:szCs w:val="20"/>
              </w:rPr>
            </w:pPr>
          </w:p>
        </w:tc>
        <w:tc>
          <w:tcPr>
            <w:tcW w:w="4447" w:type="pct"/>
            <w:gridSpan w:val="6"/>
            <w:vAlign w:val="center"/>
          </w:tcPr>
          <w:p w14:paraId="7987D1EC" w14:textId="77777777" w:rsidR="00AD13DC" w:rsidRPr="00946816" w:rsidRDefault="00AD13DC" w:rsidP="00776D51">
            <w:pPr>
              <w:rPr>
                <w:rFonts w:ascii="Arial Narrow" w:hAnsi="Arial Narrow"/>
                <w:b/>
                <w:bCs/>
                <w:sz w:val="20"/>
                <w:szCs w:val="20"/>
              </w:rPr>
            </w:pPr>
            <w:r w:rsidRPr="00946816">
              <w:rPr>
                <w:rFonts w:ascii="Arial Narrow" w:hAnsi="Arial Narrow"/>
                <w:b/>
                <w:bCs/>
                <w:sz w:val="20"/>
                <w:szCs w:val="20"/>
              </w:rPr>
              <w:t xml:space="preserve">Administrative Advice: </w:t>
            </w:r>
          </w:p>
          <w:p w14:paraId="6A8D4970" w14:textId="77777777" w:rsidR="00AD13DC" w:rsidRPr="00946816" w:rsidRDefault="00AD13DC" w:rsidP="00776D51">
            <w:pPr>
              <w:rPr>
                <w:rFonts w:ascii="Arial Narrow" w:hAnsi="Arial Narrow"/>
                <w:sz w:val="20"/>
                <w:szCs w:val="20"/>
              </w:rPr>
            </w:pPr>
            <w:r w:rsidRPr="00946816">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946816" w:rsidRPr="00946816" w14:paraId="295F3555" w14:textId="77777777" w:rsidTr="00E6334A">
        <w:tblPrEx>
          <w:tblCellMar>
            <w:top w:w="15" w:type="dxa"/>
            <w:left w:w="15" w:type="dxa"/>
            <w:bottom w:w="15" w:type="dxa"/>
            <w:right w:w="15" w:type="dxa"/>
          </w:tblCellMar>
        </w:tblPrEx>
        <w:trPr>
          <w:trHeight w:val="655"/>
        </w:trPr>
        <w:tc>
          <w:tcPr>
            <w:tcW w:w="276" w:type="pct"/>
            <w:vMerge/>
            <w:vAlign w:val="center"/>
          </w:tcPr>
          <w:p w14:paraId="4AAA2D5E" w14:textId="77777777" w:rsidR="00AD13DC" w:rsidRPr="00946816" w:rsidRDefault="00AD13DC" w:rsidP="00776D51">
            <w:pPr>
              <w:jc w:val="center"/>
              <w:rPr>
                <w:rFonts w:ascii="Arial Narrow" w:hAnsi="Arial Narrow"/>
                <w:sz w:val="20"/>
                <w:szCs w:val="20"/>
              </w:rPr>
            </w:pPr>
          </w:p>
        </w:tc>
        <w:tc>
          <w:tcPr>
            <w:tcW w:w="277" w:type="pct"/>
            <w:vAlign w:val="center"/>
          </w:tcPr>
          <w:p w14:paraId="7D9B581F" w14:textId="6BF4947F" w:rsidR="00AD13DC" w:rsidRPr="00946816" w:rsidRDefault="00AD13DC" w:rsidP="00776D51">
            <w:pPr>
              <w:jc w:val="center"/>
              <w:rPr>
                <w:rFonts w:ascii="Arial Narrow" w:hAnsi="Arial Narrow"/>
                <w:sz w:val="20"/>
                <w:szCs w:val="20"/>
              </w:rPr>
            </w:pPr>
          </w:p>
        </w:tc>
        <w:tc>
          <w:tcPr>
            <w:tcW w:w="4447" w:type="pct"/>
            <w:gridSpan w:val="6"/>
            <w:vAlign w:val="center"/>
          </w:tcPr>
          <w:p w14:paraId="4B908975" w14:textId="77777777" w:rsidR="00AD13DC" w:rsidRPr="00946816" w:rsidRDefault="00AD13DC" w:rsidP="00776D51">
            <w:pPr>
              <w:rPr>
                <w:rFonts w:ascii="Arial Narrow" w:hAnsi="Arial Narrow"/>
                <w:b/>
                <w:bCs/>
                <w:sz w:val="20"/>
                <w:szCs w:val="20"/>
              </w:rPr>
            </w:pPr>
            <w:r w:rsidRPr="00946816">
              <w:rPr>
                <w:rFonts w:ascii="Arial Narrow" w:hAnsi="Arial Narrow"/>
                <w:b/>
                <w:bCs/>
                <w:sz w:val="20"/>
                <w:szCs w:val="20"/>
              </w:rPr>
              <w:t xml:space="preserve">Administrative Advice: </w:t>
            </w:r>
          </w:p>
          <w:p w14:paraId="5A96C0D4" w14:textId="77777777" w:rsidR="00AD13DC" w:rsidRPr="00946816" w:rsidRDefault="00AD13DC" w:rsidP="00AD13DC">
            <w:pPr>
              <w:rPr>
                <w:rFonts w:ascii="Arial Narrow" w:hAnsi="Arial Narrow"/>
                <w:sz w:val="20"/>
                <w:szCs w:val="20"/>
              </w:rPr>
            </w:pPr>
            <w:r w:rsidRPr="00946816">
              <w:rPr>
                <w:rFonts w:ascii="Arial Narrow" w:hAnsi="Arial Narrow"/>
                <w:sz w:val="20"/>
                <w:szCs w:val="20"/>
              </w:rPr>
              <w:t>See the following article for details on the 24-hour Worst Itching Intensity Numerical Rating Scale (WI-NRS):</w:t>
            </w:r>
          </w:p>
          <w:p w14:paraId="647072C9" w14:textId="77777777" w:rsidR="00AD13DC" w:rsidRPr="00946816" w:rsidRDefault="00AD13DC" w:rsidP="00AD13DC">
            <w:pPr>
              <w:rPr>
                <w:rFonts w:ascii="Arial Narrow" w:hAnsi="Arial Narrow"/>
                <w:sz w:val="20"/>
                <w:szCs w:val="20"/>
              </w:rPr>
            </w:pPr>
          </w:p>
          <w:p w14:paraId="1C2C3338" w14:textId="77777777" w:rsidR="00AD13DC" w:rsidRPr="00946816" w:rsidRDefault="00AD13DC" w:rsidP="00AD13DC">
            <w:pPr>
              <w:rPr>
                <w:rFonts w:ascii="Arial Narrow" w:hAnsi="Arial Narrow"/>
                <w:sz w:val="20"/>
                <w:szCs w:val="20"/>
              </w:rPr>
            </w:pPr>
            <w:r w:rsidRPr="00946816">
              <w:rPr>
                <w:rFonts w:ascii="Arial Narrow" w:hAnsi="Arial Narrow"/>
                <w:sz w:val="20"/>
                <w:szCs w:val="20"/>
              </w:rPr>
              <w:t>Vernon MK, Swett LL, Speck RM, et al. Psychometric validation and meaningful change thresholds of the Worst Itching Intensity Numerical Rating Scale for assessing itch in patients with chronic kidney disease-associated pruritus. J Patient Rep Outcomes. 2021;5(1):134. Published 2021 Dec 24. doi:10.1186/s41687-021-00404-z</w:t>
            </w:r>
          </w:p>
          <w:p w14:paraId="186A7E0E" w14:textId="77777777" w:rsidR="00A825D7" w:rsidRPr="00946816" w:rsidRDefault="00A825D7" w:rsidP="00AD13DC">
            <w:pPr>
              <w:rPr>
                <w:rFonts w:ascii="Arial Narrow" w:hAnsi="Arial Narrow"/>
                <w:b/>
                <w:bCs/>
                <w:sz w:val="20"/>
                <w:szCs w:val="20"/>
              </w:rPr>
            </w:pPr>
          </w:p>
          <w:p w14:paraId="3782A0CA" w14:textId="47A81F78" w:rsidR="00A825D7" w:rsidRPr="00946816" w:rsidRDefault="00A825D7" w:rsidP="00AD13DC">
            <w:pPr>
              <w:rPr>
                <w:rFonts w:ascii="Arial Narrow" w:hAnsi="Arial Narrow"/>
                <w:b/>
                <w:bCs/>
                <w:sz w:val="20"/>
                <w:szCs w:val="20"/>
              </w:rPr>
            </w:pPr>
            <w:r w:rsidRPr="00946816">
              <w:rPr>
                <w:rFonts w:ascii="Arial Narrow" w:eastAsiaTheme="minorHAnsi" w:hAnsi="Arial Narrow" w:cstheme="minorBidi"/>
                <w:kern w:val="2"/>
                <w:sz w:val="20"/>
                <w:szCs w:val="20"/>
                <w:lang w:eastAsia="en-US"/>
                <w14:ligatures w14:val="standardContextual"/>
              </w:rPr>
              <w:t xml:space="preserve">The WI-NRS scale is available as downloadable document in the supplementary information section at: </w:t>
            </w:r>
            <w:hyperlink r:id="rId12" w:history="1">
              <w:r w:rsidRPr="00946816">
                <w:rPr>
                  <w:rStyle w:val="Hyperlink"/>
                  <w:rFonts w:ascii="Arial Narrow" w:hAnsi="Arial Narrow"/>
                  <w:color w:val="auto"/>
                  <w:sz w:val="20"/>
                  <w:szCs w:val="20"/>
                </w:rPr>
                <w:t>www.ncbi.nlm.nih.gov/pmc/articles/PMC8709801/</w:t>
              </w:r>
            </w:hyperlink>
            <w:r w:rsidRPr="00946816">
              <w:rPr>
                <w:rFonts w:ascii="Arial Narrow" w:hAnsi="Arial Narrow"/>
                <w:sz w:val="20"/>
                <w:szCs w:val="20"/>
              </w:rPr>
              <w:t xml:space="preserve"> </w:t>
            </w:r>
          </w:p>
        </w:tc>
      </w:tr>
      <w:tr w:rsidR="00AD13DC" w:rsidRPr="001C59C3" w14:paraId="45079CC1" w14:textId="77777777" w:rsidTr="00621588">
        <w:tblPrEx>
          <w:tblCellMar>
            <w:top w:w="15" w:type="dxa"/>
            <w:left w:w="15" w:type="dxa"/>
            <w:bottom w:w="15" w:type="dxa"/>
            <w:right w:w="15" w:type="dxa"/>
          </w:tblCellMar>
        </w:tblPrEx>
        <w:tc>
          <w:tcPr>
            <w:tcW w:w="553" w:type="pct"/>
            <w:gridSpan w:val="2"/>
            <w:vAlign w:val="center"/>
          </w:tcPr>
          <w:p w14:paraId="2CADCA3C" w14:textId="20F1CCCA" w:rsidR="00AD13DC" w:rsidRPr="00946816" w:rsidRDefault="00AD13DC" w:rsidP="00776D51">
            <w:pPr>
              <w:jc w:val="center"/>
              <w:rPr>
                <w:rFonts w:ascii="Arial Narrow" w:hAnsi="Arial Narrow"/>
                <w:sz w:val="20"/>
                <w:szCs w:val="20"/>
              </w:rPr>
            </w:pPr>
          </w:p>
        </w:tc>
        <w:tc>
          <w:tcPr>
            <w:tcW w:w="4447" w:type="pct"/>
            <w:gridSpan w:val="6"/>
            <w:vAlign w:val="center"/>
            <w:hideMark/>
          </w:tcPr>
          <w:p w14:paraId="223421F6" w14:textId="77777777" w:rsidR="00AD13DC" w:rsidRPr="00946816" w:rsidRDefault="00AD13DC" w:rsidP="00776D51">
            <w:pPr>
              <w:rPr>
                <w:rFonts w:ascii="Arial Narrow" w:hAnsi="Arial Narrow"/>
                <w:sz w:val="20"/>
                <w:szCs w:val="20"/>
              </w:rPr>
            </w:pPr>
            <w:r w:rsidRPr="00946816">
              <w:rPr>
                <w:rFonts w:ascii="Arial Narrow" w:hAnsi="Arial Narrow"/>
                <w:b/>
                <w:bCs/>
                <w:sz w:val="20"/>
                <w:szCs w:val="20"/>
              </w:rPr>
              <w:t>Indication:</w:t>
            </w:r>
            <w:r w:rsidRPr="00946816">
              <w:rPr>
                <w:rFonts w:ascii="Arial Narrow" w:hAnsi="Arial Narrow"/>
                <w:sz w:val="20"/>
                <w:szCs w:val="20"/>
              </w:rPr>
              <w:t xml:space="preserve"> Moderate to severe pruritus (itching) associated with chronic kidney disease</w:t>
            </w:r>
          </w:p>
        </w:tc>
      </w:tr>
      <w:tr w:rsidR="00AD13DC" w:rsidRPr="001C59C3" w14:paraId="2F7E192C" w14:textId="77777777" w:rsidTr="00621588">
        <w:tblPrEx>
          <w:tblCellMar>
            <w:top w:w="15" w:type="dxa"/>
            <w:left w:w="15" w:type="dxa"/>
            <w:bottom w:w="15" w:type="dxa"/>
            <w:right w:w="15" w:type="dxa"/>
          </w:tblCellMar>
        </w:tblPrEx>
        <w:tc>
          <w:tcPr>
            <w:tcW w:w="553" w:type="pct"/>
            <w:gridSpan w:val="2"/>
            <w:vAlign w:val="center"/>
          </w:tcPr>
          <w:p w14:paraId="50156F67" w14:textId="77777777" w:rsidR="00AD13DC" w:rsidRPr="00946816" w:rsidRDefault="00AD13DC" w:rsidP="00776D51">
            <w:pPr>
              <w:jc w:val="center"/>
              <w:rPr>
                <w:rFonts w:ascii="Arial Narrow" w:hAnsi="Arial Narrow"/>
                <w:sz w:val="20"/>
                <w:szCs w:val="20"/>
              </w:rPr>
            </w:pPr>
          </w:p>
        </w:tc>
        <w:tc>
          <w:tcPr>
            <w:tcW w:w="4447" w:type="pct"/>
            <w:gridSpan w:val="6"/>
            <w:vAlign w:val="center"/>
            <w:hideMark/>
          </w:tcPr>
          <w:p w14:paraId="615FB3B5" w14:textId="77777777" w:rsidR="00AD13DC" w:rsidRPr="00946816" w:rsidRDefault="00AD13DC" w:rsidP="00776D51">
            <w:pPr>
              <w:rPr>
                <w:rFonts w:ascii="Arial Narrow" w:hAnsi="Arial Narrow"/>
                <w:sz w:val="20"/>
                <w:szCs w:val="20"/>
              </w:rPr>
            </w:pPr>
            <w:r w:rsidRPr="00946816">
              <w:rPr>
                <w:rFonts w:ascii="Arial Narrow" w:hAnsi="Arial Narrow"/>
                <w:b/>
                <w:bCs/>
                <w:sz w:val="20"/>
                <w:szCs w:val="20"/>
              </w:rPr>
              <w:t>Treatment Phase:</w:t>
            </w:r>
            <w:r w:rsidRPr="00946816">
              <w:rPr>
                <w:rFonts w:ascii="Arial Narrow" w:hAnsi="Arial Narrow"/>
                <w:sz w:val="20"/>
                <w:szCs w:val="20"/>
              </w:rPr>
              <w:t xml:space="preserve"> Continuing treatment</w:t>
            </w:r>
          </w:p>
        </w:tc>
      </w:tr>
      <w:tr w:rsidR="00AD13DC" w:rsidRPr="001C59C3" w14:paraId="0B28C114" w14:textId="77777777" w:rsidTr="00E6334A">
        <w:tblPrEx>
          <w:tblCellMar>
            <w:top w:w="15" w:type="dxa"/>
            <w:left w:w="15" w:type="dxa"/>
            <w:bottom w:w="15" w:type="dxa"/>
            <w:right w:w="15" w:type="dxa"/>
          </w:tblCellMar>
        </w:tblPrEx>
        <w:tc>
          <w:tcPr>
            <w:tcW w:w="553" w:type="pct"/>
            <w:gridSpan w:val="2"/>
            <w:vAlign w:val="center"/>
          </w:tcPr>
          <w:p w14:paraId="13986E7A" w14:textId="77777777" w:rsidR="00AD13DC" w:rsidRPr="00946816" w:rsidRDefault="00AD13DC" w:rsidP="00776D51">
            <w:pPr>
              <w:jc w:val="center"/>
              <w:rPr>
                <w:rFonts w:ascii="Arial Narrow" w:hAnsi="Arial Narrow"/>
                <w:sz w:val="20"/>
                <w:szCs w:val="20"/>
              </w:rPr>
            </w:pPr>
          </w:p>
        </w:tc>
        <w:tc>
          <w:tcPr>
            <w:tcW w:w="4447" w:type="pct"/>
            <w:gridSpan w:val="6"/>
            <w:vAlign w:val="center"/>
          </w:tcPr>
          <w:p w14:paraId="59D2E85B" w14:textId="77777777" w:rsidR="00AD13DC" w:rsidRPr="00946816" w:rsidRDefault="00AD13DC" w:rsidP="00776D51">
            <w:pPr>
              <w:rPr>
                <w:rFonts w:ascii="Arial Narrow" w:hAnsi="Arial Narrow"/>
                <w:b/>
                <w:bCs/>
                <w:sz w:val="20"/>
                <w:szCs w:val="20"/>
              </w:rPr>
            </w:pPr>
            <w:r w:rsidRPr="00946816">
              <w:rPr>
                <w:rFonts w:ascii="Arial Narrow" w:hAnsi="Arial Narrow"/>
                <w:b/>
                <w:bCs/>
                <w:sz w:val="20"/>
                <w:szCs w:val="20"/>
              </w:rPr>
              <w:t>Clinical criteria:</w:t>
            </w:r>
          </w:p>
        </w:tc>
      </w:tr>
      <w:tr w:rsidR="00AD13DC" w:rsidRPr="001C59C3" w14:paraId="512AC9C0" w14:textId="77777777" w:rsidTr="00E6334A">
        <w:tblPrEx>
          <w:tblCellMar>
            <w:top w:w="15" w:type="dxa"/>
            <w:left w:w="15" w:type="dxa"/>
            <w:bottom w:w="15" w:type="dxa"/>
            <w:right w:w="15" w:type="dxa"/>
          </w:tblCellMar>
        </w:tblPrEx>
        <w:tc>
          <w:tcPr>
            <w:tcW w:w="553" w:type="pct"/>
            <w:gridSpan w:val="2"/>
            <w:vAlign w:val="center"/>
          </w:tcPr>
          <w:p w14:paraId="3583E3D3" w14:textId="774A3693" w:rsidR="00AD13DC" w:rsidRPr="00946816" w:rsidRDefault="00AD13DC" w:rsidP="00776D51">
            <w:pPr>
              <w:jc w:val="center"/>
              <w:rPr>
                <w:rFonts w:ascii="Arial Narrow" w:hAnsi="Arial Narrow"/>
                <w:sz w:val="20"/>
                <w:szCs w:val="20"/>
              </w:rPr>
            </w:pPr>
          </w:p>
        </w:tc>
        <w:tc>
          <w:tcPr>
            <w:tcW w:w="4447" w:type="pct"/>
            <w:gridSpan w:val="6"/>
            <w:vAlign w:val="center"/>
          </w:tcPr>
          <w:p w14:paraId="1FC7DB0A" w14:textId="77777777" w:rsidR="00AD13DC" w:rsidRPr="00946816" w:rsidRDefault="00AD13DC" w:rsidP="00776D51">
            <w:pPr>
              <w:rPr>
                <w:rFonts w:ascii="Arial Narrow" w:hAnsi="Arial Narrow"/>
                <w:b/>
                <w:bCs/>
                <w:sz w:val="20"/>
                <w:szCs w:val="20"/>
              </w:rPr>
            </w:pPr>
            <w:r w:rsidRPr="00946816">
              <w:rPr>
                <w:rFonts w:ascii="Arial Narrow" w:hAnsi="Arial Narrow"/>
                <w:sz w:val="20"/>
                <w:szCs w:val="20"/>
              </w:rPr>
              <w:t>Patient must have previously received PBS-subsidised treatment with this drug for this condition</w:t>
            </w:r>
          </w:p>
        </w:tc>
      </w:tr>
      <w:tr w:rsidR="00AD13DC" w:rsidRPr="001C59C3" w14:paraId="7124DAE7" w14:textId="77777777" w:rsidTr="00E6334A">
        <w:tblPrEx>
          <w:tblCellMar>
            <w:top w:w="15" w:type="dxa"/>
            <w:left w:w="15" w:type="dxa"/>
            <w:bottom w:w="15" w:type="dxa"/>
            <w:right w:w="15" w:type="dxa"/>
          </w:tblCellMar>
        </w:tblPrEx>
        <w:tc>
          <w:tcPr>
            <w:tcW w:w="553" w:type="pct"/>
            <w:gridSpan w:val="2"/>
            <w:vAlign w:val="center"/>
          </w:tcPr>
          <w:p w14:paraId="718AB0A6" w14:textId="77777777" w:rsidR="00AD13DC" w:rsidRPr="00946816" w:rsidRDefault="00AD13DC" w:rsidP="00776D51">
            <w:pPr>
              <w:jc w:val="center"/>
              <w:rPr>
                <w:rFonts w:ascii="Arial Narrow" w:hAnsi="Arial Narrow"/>
                <w:sz w:val="20"/>
                <w:szCs w:val="20"/>
              </w:rPr>
            </w:pPr>
          </w:p>
        </w:tc>
        <w:tc>
          <w:tcPr>
            <w:tcW w:w="4447" w:type="pct"/>
            <w:gridSpan w:val="6"/>
            <w:vAlign w:val="center"/>
          </w:tcPr>
          <w:p w14:paraId="70A7D1B4" w14:textId="77777777" w:rsidR="00AD13DC" w:rsidRPr="00946816" w:rsidRDefault="00AD13DC" w:rsidP="00776D51">
            <w:pPr>
              <w:rPr>
                <w:rFonts w:ascii="Arial Narrow" w:hAnsi="Arial Narrow"/>
                <w:b/>
                <w:bCs/>
                <w:sz w:val="20"/>
                <w:szCs w:val="20"/>
              </w:rPr>
            </w:pPr>
            <w:r w:rsidRPr="00946816">
              <w:rPr>
                <w:rFonts w:ascii="Arial Narrow" w:hAnsi="Arial Narrow"/>
                <w:b/>
                <w:bCs/>
                <w:sz w:val="20"/>
                <w:szCs w:val="20"/>
              </w:rPr>
              <w:t>AND</w:t>
            </w:r>
          </w:p>
        </w:tc>
      </w:tr>
      <w:tr w:rsidR="00AD13DC" w:rsidRPr="001C59C3" w14:paraId="658A314B" w14:textId="77777777" w:rsidTr="00E6334A">
        <w:tblPrEx>
          <w:tblCellMar>
            <w:top w:w="15" w:type="dxa"/>
            <w:left w:w="15" w:type="dxa"/>
            <w:bottom w:w="15" w:type="dxa"/>
            <w:right w:w="15" w:type="dxa"/>
          </w:tblCellMar>
        </w:tblPrEx>
        <w:tc>
          <w:tcPr>
            <w:tcW w:w="553" w:type="pct"/>
            <w:gridSpan w:val="2"/>
            <w:vAlign w:val="center"/>
          </w:tcPr>
          <w:p w14:paraId="6D83494A" w14:textId="751C9365" w:rsidR="00AD13DC" w:rsidRPr="00946816" w:rsidRDefault="00AD13DC" w:rsidP="00776D51">
            <w:pPr>
              <w:jc w:val="center"/>
              <w:rPr>
                <w:rFonts w:ascii="Arial Narrow" w:hAnsi="Arial Narrow"/>
                <w:sz w:val="20"/>
                <w:szCs w:val="20"/>
              </w:rPr>
            </w:pPr>
          </w:p>
        </w:tc>
        <w:tc>
          <w:tcPr>
            <w:tcW w:w="4447" w:type="pct"/>
            <w:gridSpan w:val="6"/>
            <w:vAlign w:val="center"/>
          </w:tcPr>
          <w:p w14:paraId="609F97AA" w14:textId="77777777" w:rsidR="00AD13DC" w:rsidRPr="00946816" w:rsidRDefault="00AD13DC" w:rsidP="00776D51">
            <w:pPr>
              <w:rPr>
                <w:rFonts w:ascii="Arial Narrow" w:hAnsi="Arial Narrow"/>
                <w:b/>
                <w:bCs/>
                <w:sz w:val="20"/>
                <w:szCs w:val="20"/>
              </w:rPr>
            </w:pPr>
            <w:r w:rsidRPr="00946816">
              <w:rPr>
                <w:rFonts w:ascii="Arial Narrow" w:hAnsi="Arial Narrow"/>
                <w:b/>
                <w:bCs/>
                <w:sz w:val="20"/>
                <w:szCs w:val="20"/>
              </w:rPr>
              <w:t>Clinical criteria:</w:t>
            </w:r>
          </w:p>
        </w:tc>
      </w:tr>
      <w:tr w:rsidR="00AD13DC" w:rsidRPr="001C59C3" w14:paraId="511DF3E3" w14:textId="77777777" w:rsidTr="00E6334A">
        <w:tblPrEx>
          <w:tblCellMar>
            <w:top w:w="15" w:type="dxa"/>
            <w:left w:w="15" w:type="dxa"/>
            <w:bottom w:w="15" w:type="dxa"/>
            <w:right w:w="15" w:type="dxa"/>
          </w:tblCellMar>
        </w:tblPrEx>
        <w:tc>
          <w:tcPr>
            <w:tcW w:w="553" w:type="pct"/>
            <w:gridSpan w:val="2"/>
            <w:vAlign w:val="center"/>
          </w:tcPr>
          <w:p w14:paraId="0191F09A" w14:textId="644F7C68" w:rsidR="00AD13DC" w:rsidRPr="00946816" w:rsidRDefault="00AD13DC" w:rsidP="00776D51">
            <w:pPr>
              <w:jc w:val="center"/>
              <w:rPr>
                <w:rFonts w:ascii="Arial Narrow" w:hAnsi="Arial Narrow"/>
                <w:sz w:val="20"/>
                <w:szCs w:val="20"/>
              </w:rPr>
            </w:pPr>
          </w:p>
        </w:tc>
        <w:tc>
          <w:tcPr>
            <w:tcW w:w="4447" w:type="pct"/>
            <w:gridSpan w:val="6"/>
            <w:vAlign w:val="center"/>
          </w:tcPr>
          <w:p w14:paraId="56C7FC11" w14:textId="3E8EBDD9" w:rsidR="00AD13DC" w:rsidRPr="00946816" w:rsidRDefault="00AD13DC" w:rsidP="00776D51">
            <w:pPr>
              <w:rPr>
                <w:rFonts w:ascii="Arial Narrow" w:hAnsi="Arial Narrow"/>
                <w:b/>
                <w:bCs/>
                <w:sz w:val="20"/>
                <w:szCs w:val="20"/>
              </w:rPr>
            </w:pPr>
            <w:r w:rsidRPr="00946816">
              <w:rPr>
                <w:rFonts w:ascii="Arial Narrow" w:hAnsi="Arial Narrow"/>
                <w:sz w:val="20"/>
                <w:szCs w:val="20"/>
              </w:rPr>
              <w:t>Patient must have demonstrated an adequate response to treatment with this drug including at least a 3-point improvement from baseline in 24-hour Worst Itching Intensity Numerical Rating Scale (WI-NRS) score.</w:t>
            </w:r>
          </w:p>
        </w:tc>
      </w:tr>
      <w:tr w:rsidR="00AD13DC" w:rsidRPr="001C59C3" w14:paraId="34AB3405" w14:textId="77777777" w:rsidTr="00E6334A">
        <w:tblPrEx>
          <w:tblCellMar>
            <w:top w:w="15" w:type="dxa"/>
            <w:left w:w="15" w:type="dxa"/>
            <w:bottom w:w="15" w:type="dxa"/>
            <w:right w:w="15" w:type="dxa"/>
          </w:tblCellMar>
        </w:tblPrEx>
        <w:tc>
          <w:tcPr>
            <w:tcW w:w="553" w:type="pct"/>
            <w:gridSpan w:val="2"/>
            <w:vAlign w:val="center"/>
          </w:tcPr>
          <w:p w14:paraId="05223D5C" w14:textId="77777777" w:rsidR="00AD13DC" w:rsidRPr="00946816" w:rsidRDefault="00AD13DC" w:rsidP="00776D51">
            <w:pPr>
              <w:jc w:val="center"/>
              <w:rPr>
                <w:rFonts w:ascii="Arial Narrow" w:hAnsi="Arial Narrow"/>
                <w:sz w:val="20"/>
                <w:szCs w:val="20"/>
              </w:rPr>
            </w:pPr>
          </w:p>
        </w:tc>
        <w:tc>
          <w:tcPr>
            <w:tcW w:w="4447" w:type="pct"/>
            <w:gridSpan w:val="6"/>
            <w:vAlign w:val="center"/>
          </w:tcPr>
          <w:p w14:paraId="0D98A97F" w14:textId="77777777" w:rsidR="00AD13DC" w:rsidRPr="00946816" w:rsidRDefault="00AD13DC" w:rsidP="00776D51">
            <w:pPr>
              <w:rPr>
                <w:rFonts w:ascii="Arial Narrow" w:hAnsi="Arial Narrow"/>
                <w:b/>
                <w:bCs/>
                <w:sz w:val="20"/>
                <w:szCs w:val="20"/>
              </w:rPr>
            </w:pPr>
            <w:r w:rsidRPr="00946816">
              <w:rPr>
                <w:rFonts w:ascii="Arial Narrow" w:hAnsi="Arial Narrow"/>
                <w:b/>
                <w:bCs/>
                <w:sz w:val="20"/>
                <w:szCs w:val="20"/>
              </w:rPr>
              <w:t>AND</w:t>
            </w:r>
          </w:p>
        </w:tc>
      </w:tr>
      <w:tr w:rsidR="00AD13DC" w:rsidRPr="001C59C3" w14:paraId="229BAB2F" w14:textId="77777777" w:rsidTr="00E6334A">
        <w:tblPrEx>
          <w:tblCellMar>
            <w:top w:w="15" w:type="dxa"/>
            <w:left w:w="15" w:type="dxa"/>
            <w:bottom w:w="15" w:type="dxa"/>
            <w:right w:w="15" w:type="dxa"/>
          </w:tblCellMar>
        </w:tblPrEx>
        <w:tc>
          <w:tcPr>
            <w:tcW w:w="553" w:type="pct"/>
            <w:gridSpan w:val="2"/>
            <w:vAlign w:val="center"/>
          </w:tcPr>
          <w:p w14:paraId="26F77737" w14:textId="58647F37" w:rsidR="00AD13DC" w:rsidRPr="00946816" w:rsidRDefault="00AD13DC" w:rsidP="00776D51">
            <w:pPr>
              <w:jc w:val="center"/>
              <w:rPr>
                <w:rFonts w:ascii="Arial Narrow" w:hAnsi="Arial Narrow"/>
                <w:sz w:val="20"/>
                <w:szCs w:val="20"/>
              </w:rPr>
            </w:pPr>
          </w:p>
        </w:tc>
        <w:tc>
          <w:tcPr>
            <w:tcW w:w="4447" w:type="pct"/>
            <w:gridSpan w:val="6"/>
            <w:vAlign w:val="center"/>
            <w:hideMark/>
          </w:tcPr>
          <w:p w14:paraId="7EA532D2" w14:textId="77777777" w:rsidR="00AD13DC" w:rsidRPr="00946816" w:rsidRDefault="00AD13DC" w:rsidP="00776D51">
            <w:pPr>
              <w:rPr>
                <w:rFonts w:ascii="Arial Narrow" w:hAnsi="Arial Narrow"/>
                <w:sz w:val="20"/>
                <w:szCs w:val="20"/>
              </w:rPr>
            </w:pPr>
            <w:r w:rsidRPr="00946816">
              <w:rPr>
                <w:rFonts w:ascii="Arial Narrow" w:hAnsi="Arial Narrow"/>
                <w:b/>
                <w:bCs/>
                <w:sz w:val="20"/>
                <w:szCs w:val="20"/>
              </w:rPr>
              <w:t>Treatment criteria:</w:t>
            </w:r>
          </w:p>
        </w:tc>
      </w:tr>
      <w:tr w:rsidR="00AD13DC" w:rsidRPr="001C59C3" w14:paraId="5CDE9979" w14:textId="77777777" w:rsidTr="00E6334A">
        <w:tblPrEx>
          <w:tblCellMar>
            <w:top w:w="15" w:type="dxa"/>
            <w:left w:w="15" w:type="dxa"/>
            <w:bottom w:w="15" w:type="dxa"/>
            <w:right w:w="15" w:type="dxa"/>
          </w:tblCellMar>
        </w:tblPrEx>
        <w:tc>
          <w:tcPr>
            <w:tcW w:w="553" w:type="pct"/>
            <w:gridSpan w:val="2"/>
            <w:vAlign w:val="center"/>
          </w:tcPr>
          <w:p w14:paraId="4902FE85" w14:textId="22714E3A" w:rsidR="00AD13DC" w:rsidRPr="00946816" w:rsidRDefault="00AD13DC" w:rsidP="00776D51">
            <w:pPr>
              <w:jc w:val="center"/>
              <w:rPr>
                <w:rFonts w:ascii="Arial Narrow" w:hAnsi="Arial Narrow"/>
                <w:sz w:val="20"/>
                <w:szCs w:val="20"/>
              </w:rPr>
            </w:pPr>
          </w:p>
        </w:tc>
        <w:tc>
          <w:tcPr>
            <w:tcW w:w="4447" w:type="pct"/>
            <w:gridSpan w:val="6"/>
            <w:vAlign w:val="center"/>
            <w:hideMark/>
          </w:tcPr>
          <w:p w14:paraId="12EB02FF" w14:textId="4886412B" w:rsidR="00AD13DC" w:rsidRPr="00946816" w:rsidRDefault="00AD13DC" w:rsidP="00776D51">
            <w:pPr>
              <w:autoSpaceDE w:val="0"/>
              <w:autoSpaceDN w:val="0"/>
              <w:adjustRightInd w:val="0"/>
              <w:rPr>
                <w:rFonts w:ascii="Arial Narrow" w:hAnsi="Arial Narrow" w:cs="Arial Narrow"/>
                <w:sz w:val="20"/>
                <w:szCs w:val="20"/>
              </w:rPr>
            </w:pPr>
            <w:r w:rsidRPr="00946816">
              <w:rPr>
                <w:rFonts w:ascii="Arial Narrow" w:hAnsi="Arial Narrow" w:cs="Arial Narrow"/>
                <w:sz w:val="20"/>
                <w:szCs w:val="20"/>
              </w:rPr>
              <w:t>Must be treated by at least one of</w:t>
            </w:r>
            <w:r w:rsidR="00F275BC" w:rsidRPr="00946816">
              <w:rPr>
                <w:rFonts w:ascii="Arial Narrow" w:hAnsi="Arial Narrow" w:cs="Arial Narrow"/>
                <w:sz w:val="20"/>
                <w:szCs w:val="20"/>
              </w:rPr>
              <w:t xml:space="preserve"> the following prescriber types</w:t>
            </w:r>
            <w:r w:rsidRPr="00946816">
              <w:rPr>
                <w:rFonts w:ascii="Arial Narrow" w:hAnsi="Arial Narrow" w:cs="Arial Narrow"/>
                <w:sz w:val="20"/>
                <w:szCs w:val="20"/>
              </w:rPr>
              <w:t xml:space="preserve">: (i) a nephrologist, (ii) </w:t>
            </w:r>
            <w:r w:rsidR="00163DF4" w:rsidRPr="00946816">
              <w:rPr>
                <w:rFonts w:ascii="Arial Narrow" w:hAnsi="Arial Narrow" w:cs="Arial Narrow"/>
                <w:sz w:val="20"/>
                <w:szCs w:val="20"/>
              </w:rPr>
              <w:t xml:space="preserve">a </w:t>
            </w:r>
            <w:r w:rsidRPr="00946816">
              <w:rPr>
                <w:rFonts w:ascii="Arial Narrow" w:hAnsi="Arial Narrow" w:cs="Arial Narrow"/>
                <w:sz w:val="20"/>
                <w:szCs w:val="20"/>
              </w:rPr>
              <w:t>medical practitioner in consultation with a nephrologist.</w:t>
            </w:r>
          </w:p>
        </w:tc>
      </w:tr>
      <w:tr w:rsidR="00AD13DC" w:rsidRPr="001C59C3" w14:paraId="2DA2432B" w14:textId="77777777" w:rsidTr="00E6334A">
        <w:tblPrEx>
          <w:tblCellMar>
            <w:top w:w="15" w:type="dxa"/>
            <w:left w:w="15" w:type="dxa"/>
            <w:bottom w:w="15" w:type="dxa"/>
            <w:right w:w="15" w:type="dxa"/>
          </w:tblCellMar>
        </w:tblPrEx>
        <w:tc>
          <w:tcPr>
            <w:tcW w:w="553" w:type="pct"/>
            <w:gridSpan w:val="2"/>
            <w:tcBorders>
              <w:top w:val="single" w:sz="4" w:space="0" w:color="auto"/>
              <w:left w:val="single" w:sz="4" w:space="0" w:color="auto"/>
              <w:bottom w:val="single" w:sz="4" w:space="0" w:color="auto"/>
              <w:right w:val="single" w:sz="4" w:space="0" w:color="auto"/>
            </w:tcBorders>
            <w:vAlign w:val="center"/>
          </w:tcPr>
          <w:p w14:paraId="443F4C1C" w14:textId="6FD2DA77" w:rsidR="00AD13DC" w:rsidRPr="00946816" w:rsidRDefault="00AD13DC" w:rsidP="00776D51">
            <w:pPr>
              <w:jc w:val="center"/>
              <w:rPr>
                <w:rFonts w:ascii="Arial Narrow" w:hAnsi="Arial Narrow"/>
                <w:strike/>
                <w:sz w:val="20"/>
                <w:szCs w:val="20"/>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4B57AA1C" w14:textId="77777777" w:rsidR="00AD13DC" w:rsidRPr="00946816" w:rsidRDefault="00AD13DC" w:rsidP="00776D51">
            <w:pPr>
              <w:rPr>
                <w:rFonts w:ascii="Arial Narrow" w:hAnsi="Arial Narrow"/>
                <w:b/>
                <w:bCs/>
                <w:sz w:val="20"/>
                <w:szCs w:val="20"/>
              </w:rPr>
            </w:pPr>
            <w:r w:rsidRPr="00946816">
              <w:rPr>
                <w:rFonts w:ascii="Arial Narrow" w:hAnsi="Arial Narrow"/>
                <w:b/>
                <w:bCs/>
                <w:sz w:val="20"/>
                <w:szCs w:val="20"/>
              </w:rPr>
              <w:t xml:space="preserve">Prescribing instructions: </w:t>
            </w:r>
          </w:p>
          <w:p w14:paraId="7D25C923" w14:textId="77777777" w:rsidR="00AD13DC" w:rsidRPr="00946816" w:rsidRDefault="00AD13DC" w:rsidP="00776D51">
            <w:pPr>
              <w:autoSpaceDE w:val="0"/>
              <w:autoSpaceDN w:val="0"/>
              <w:adjustRightInd w:val="0"/>
              <w:rPr>
                <w:rFonts w:ascii="Arial Narrow" w:hAnsi="Arial Narrow" w:cs="Arial Narrow"/>
                <w:b/>
                <w:bCs/>
                <w:strike/>
                <w:sz w:val="20"/>
                <w:szCs w:val="20"/>
              </w:rPr>
            </w:pPr>
            <w:r w:rsidRPr="00946816">
              <w:rPr>
                <w:rFonts w:ascii="Arial Narrow" w:hAnsi="Arial Narrow"/>
                <w:sz w:val="20"/>
                <w:szCs w:val="20"/>
              </w:rPr>
              <w:t>Confirmation of eligibility for treatment with diagnostic reports must be documented in the patient's medical records.</w:t>
            </w:r>
          </w:p>
        </w:tc>
      </w:tr>
      <w:tr w:rsidR="00AD13DC" w:rsidRPr="001C59C3" w14:paraId="67053524" w14:textId="77777777" w:rsidTr="00E6334A">
        <w:tblPrEx>
          <w:tblCellMar>
            <w:top w:w="15" w:type="dxa"/>
            <w:left w:w="15" w:type="dxa"/>
            <w:bottom w:w="15" w:type="dxa"/>
            <w:right w:w="15" w:type="dxa"/>
          </w:tblCellMar>
        </w:tblPrEx>
        <w:tc>
          <w:tcPr>
            <w:tcW w:w="553" w:type="pct"/>
            <w:gridSpan w:val="2"/>
            <w:tcBorders>
              <w:top w:val="single" w:sz="4" w:space="0" w:color="auto"/>
              <w:left w:val="single" w:sz="4" w:space="0" w:color="auto"/>
              <w:bottom w:val="single" w:sz="4" w:space="0" w:color="auto"/>
              <w:right w:val="single" w:sz="4" w:space="0" w:color="auto"/>
            </w:tcBorders>
            <w:vAlign w:val="center"/>
          </w:tcPr>
          <w:p w14:paraId="44F7A169" w14:textId="0713E771" w:rsidR="00AD13DC" w:rsidRPr="00946816" w:rsidRDefault="00AD13DC" w:rsidP="00776D51">
            <w:pPr>
              <w:jc w:val="center"/>
              <w:rPr>
                <w:rFonts w:ascii="Arial Narrow" w:hAnsi="Arial Narrow"/>
                <w:strike/>
                <w:sz w:val="20"/>
                <w:szCs w:val="20"/>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6AF81C59" w14:textId="77777777" w:rsidR="00AD13DC" w:rsidRPr="00946816" w:rsidRDefault="00AD13DC" w:rsidP="00776D51">
            <w:pPr>
              <w:rPr>
                <w:rFonts w:ascii="Arial Narrow" w:hAnsi="Arial Narrow"/>
                <w:b/>
                <w:bCs/>
                <w:sz w:val="20"/>
                <w:szCs w:val="20"/>
              </w:rPr>
            </w:pPr>
            <w:r w:rsidRPr="00946816">
              <w:rPr>
                <w:rFonts w:ascii="Arial Narrow" w:hAnsi="Arial Narrow"/>
                <w:b/>
                <w:bCs/>
                <w:sz w:val="20"/>
                <w:szCs w:val="20"/>
              </w:rPr>
              <w:t xml:space="preserve">Prescribing Instructions: </w:t>
            </w:r>
          </w:p>
          <w:p w14:paraId="4B646F0D" w14:textId="77777777" w:rsidR="00AD13DC" w:rsidRPr="00946816" w:rsidRDefault="00AD13DC" w:rsidP="00776D51">
            <w:pPr>
              <w:autoSpaceDE w:val="0"/>
              <w:autoSpaceDN w:val="0"/>
              <w:adjustRightInd w:val="0"/>
              <w:rPr>
                <w:rFonts w:ascii="Arial Narrow" w:hAnsi="Arial Narrow" w:cs="Arial Narrow"/>
                <w:b/>
                <w:bCs/>
                <w:strike/>
                <w:sz w:val="20"/>
                <w:szCs w:val="20"/>
              </w:rPr>
            </w:pPr>
            <w:r w:rsidRPr="00946816">
              <w:rPr>
                <w:rFonts w:ascii="Arial Narrow" w:hAnsi="Arial Narrow"/>
                <w:sz w:val="20"/>
                <w:szCs w:val="20"/>
              </w:rPr>
              <w:t>At the time of authority application, medical practitioners must request the appropriate number of vials to provide sufficient drug, based on the dry body weight of the patient (in kg), adequate for 4 weeks, according to the specified dosage in the approved Product Information (PI). Up to a maximum of 5 repeats will be authorised. No more than 4 doses per week will be authorised even if the number of haemodialysis treatments in a week exceeds 4.</w:t>
            </w:r>
          </w:p>
        </w:tc>
      </w:tr>
      <w:tr w:rsidR="00AD13DC" w:rsidRPr="001C59C3" w14:paraId="7A284D87" w14:textId="77777777" w:rsidTr="00E6334A">
        <w:tblPrEx>
          <w:tblCellMar>
            <w:top w:w="15" w:type="dxa"/>
            <w:left w:w="15" w:type="dxa"/>
            <w:bottom w:w="15" w:type="dxa"/>
            <w:right w:w="15" w:type="dxa"/>
          </w:tblCellMar>
        </w:tblPrEx>
        <w:tc>
          <w:tcPr>
            <w:tcW w:w="553" w:type="pct"/>
            <w:gridSpan w:val="2"/>
            <w:tcBorders>
              <w:top w:val="single" w:sz="4" w:space="0" w:color="auto"/>
              <w:left w:val="single" w:sz="4" w:space="0" w:color="auto"/>
              <w:bottom w:val="single" w:sz="4" w:space="0" w:color="auto"/>
              <w:right w:val="nil"/>
            </w:tcBorders>
            <w:vAlign w:val="center"/>
          </w:tcPr>
          <w:p w14:paraId="4DD483BD" w14:textId="77777777" w:rsidR="00AD13DC" w:rsidRPr="00946816" w:rsidRDefault="00AD13DC" w:rsidP="00776D51">
            <w:pPr>
              <w:jc w:val="center"/>
              <w:rPr>
                <w:rFonts w:ascii="Arial Narrow" w:hAnsi="Arial Narrow"/>
                <w:sz w:val="20"/>
                <w:szCs w:val="20"/>
              </w:rPr>
            </w:pPr>
          </w:p>
        </w:tc>
        <w:tc>
          <w:tcPr>
            <w:tcW w:w="4447" w:type="pct"/>
            <w:gridSpan w:val="6"/>
            <w:tcBorders>
              <w:top w:val="single" w:sz="4" w:space="0" w:color="auto"/>
              <w:left w:val="nil"/>
              <w:bottom w:val="single" w:sz="4" w:space="0" w:color="auto"/>
              <w:right w:val="single" w:sz="4" w:space="0" w:color="auto"/>
            </w:tcBorders>
            <w:vAlign w:val="center"/>
          </w:tcPr>
          <w:p w14:paraId="6CCEC572" w14:textId="77777777" w:rsidR="00AD13DC" w:rsidRPr="00946816" w:rsidRDefault="00AD13DC" w:rsidP="00776D51">
            <w:pPr>
              <w:autoSpaceDE w:val="0"/>
              <w:autoSpaceDN w:val="0"/>
              <w:adjustRightInd w:val="0"/>
              <w:rPr>
                <w:rFonts w:ascii="Arial Narrow" w:hAnsi="Arial Narrow" w:cs="Arial Narrow"/>
                <w:b/>
                <w:bCs/>
                <w:i/>
                <w:iCs/>
                <w:sz w:val="20"/>
                <w:szCs w:val="20"/>
              </w:rPr>
            </w:pPr>
          </w:p>
          <w:p w14:paraId="537993CF" w14:textId="77777777" w:rsidR="00AD13DC" w:rsidRPr="00946816" w:rsidRDefault="00AD13DC" w:rsidP="00776D51">
            <w:pPr>
              <w:autoSpaceDE w:val="0"/>
              <w:autoSpaceDN w:val="0"/>
              <w:adjustRightInd w:val="0"/>
              <w:rPr>
                <w:rFonts w:ascii="Arial Narrow" w:hAnsi="Arial Narrow" w:cs="Arial Narrow"/>
                <w:b/>
                <w:bCs/>
                <w:i/>
                <w:iCs/>
                <w:sz w:val="20"/>
                <w:szCs w:val="20"/>
              </w:rPr>
            </w:pPr>
          </w:p>
        </w:tc>
      </w:tr>
      <w:tr w:rsidR="00AD13DC" w:rsidRPr="001C59C3" w14:paraId="022049F2" w14:textId="77777777" w:rsidTr="00E6334A">
        <w:tblPrEx>
          <w:tblCellMar>
            <w:top w:w="15" w:type="dxa"/>
            <w:left w:w="15" w:type="dxa"/>
            <w:bottom w:w="15" w:type="dxa"/>
            <w:right w:w="15" w:type="dxa"/>
          </w:tblCellMar>
        </w:tblPrEx>
        <w:tc>
          <w:tcPr>
            <w:tcW w:w="5000" w:type="pct"/>
            <w:gridSpan w:val="8"/>
            <w:tcBorders>
              <w:top w:val="single" w:sz="4" w:space="0" w:color="auto"/>
              <w:left w:val="single" w:sz="4" w:space="0" w:color="auto"/>
              <w:bottom w:val="single" w:sz="4" w:space="0" w:color="auto"/>
              <w:right w:val="single" w:sz="4" w:space="0" w:color="auto"/>
            </w:tcBorders>
          </w:tcPr>
          <w:p w14:paraId="7733325E" w14:textId="77777777" w:rsidR="00AD13DC" w:rsidRPr="00946816" w:rsidRDefault="00AD13DC" w:rsidP="00776D51">
            <w:pPr>
              <w:rPr>
                <w:rFonts w:ascii="Arial Narrow" w:hAnsi="Arial Narrow"/>
                <w:b/>
                <w:bCs/>
                <w:sz w:val="20"/>
                <w:szCs w:val="20"/>
              </w:rPr>
            </w:pPr>
            <w:r w:rsidRPr="00946816">
              <w:rPr>
                <w:rFonts w:ascii="Arial Narrow" w:hAnsi="Arial Narrow"/>
                <w:sz w:val="20"/>
                <w:szCs w:val="20"/>
              </w:rPr>
              <w:t xml:space="preserve"> </w:t>
            </w:r>
            <w:r w:rsidRPr="00946816">
              <w:rPr>
                <w:rFonts w:ascii="Arial Narrow" w:hAnsi="Arial Narrow"/>
                <w:b/>
                <w:bCs/>
                <w:sz w:val="20"/>
                <w:szCs w:val="20"/>
              </w:rPr>
              <w:t>Restriction Summary [new 5] / Treatment of Concept: [new 6]</w:t>
            </w:r>
          </w:p>
        </w:tc>
      </w:tr>
      <w:tr w:rsidR="00AD13DC" w:rsidRPr="001C59C3" w14:paraId="69B16834" w14:textId="77777777" w:rsidTr="00E6334A">
        <w:tblPrEx>
          <w:tblCellMar>
            <w:top w:w="15" w:type="dxa"/>
            <w:left w:w="15" w:type="dxa"/>
            <w:bottom w:w="15" w:type="dxa"/>
            <w:right w:w="15" w:type="dxa"/>
          </w:tblCellMar>
        </w:tblPrEx>
        <w:tc>
          <w:tcPr>
            <w:tcW w:w="553" w:type="pct"/>
            <w:gridSpan w:val="2"/>
            <w:vAlign w:val="center"/>
            <w:hideMark/>
          </w:tcPr>
          <w:p w14:paraId="2BC17DE4" w14:textId="77777777" w:rsidR="00AD13DC" w:rsidRPr="00946816" w:rsidRDefault="00AD13DC" w:rsidP="00776D51">
            <w:pPr>
              <w:jc w:val="center"/>
              <w:rPr>
                <w:rFonts w:ascii="Arial Narrow" w:hAnsi="Arial Narrow"/>
                <w:sz w:val="20"/>
                <w:szCs w:val="20"/>
              </w:rPr>
            </w:pPr>
          </w:p>
        </w:tc>
        <w:tc>
          <w:tcPr>
            <w:tcW w:w="4447" w:type="pct"/>
            <w:gridSpan w:val="6"/>
            <w:vAlign w:val="center"/>
            <w:hideMark/>
          </w:tcPr>
          <w:p w14:paraId="3907576B" w14:textId="77777777" w:rsidR="00AD13DC" w:rsidRPr="00946816" w:rsidRDefault="00AD13DC" w:rsidP="00776D51">
            <w:pPr>
              <w:rPr>
                <w:rFonts w:ascii="Arial Narrow" w:hAnsi="Arial Narrow"/>
                <w:sz w:val="20"/>
                <w:szCs w:val="20"/>
              </w:rPr>
            </w:pPr>
            <w:r w:rsidRPr="00946816">
              <w:rPr>
                <w:rFonts w:ascii="Arial Narrow" w:hAnsi="Arial Narrow"/>
                <w:b/>
                <w:bCs/>
                <w:sz w:val="20"/>
                <w:szCs w:val="20"/>
              </w:rPr>
              <w:t>Treatment Phase:</w:t>
            </w:r>
            <w:r w:rsidRPr="00946816">
              <w:rPr>
                <w:rFonts w:ascii="Arial Narrow" w:hAnsi="Arial Narrow"/>
                <w:sz w:val="20"/>
                <w:szCs w:val="20"/>
              </w:rPr>
              <w:t xml:space="preserve"> Transitioning from non-PBS to PBS-subsidised treatment - Grandfather treatment</w:t>
            </w:r>
          </w:p>
        </w:tc>
      </w:tr>
      <w:tr w:rsidR="00AD13DC" w:rsidRPr="001C59C3" w14:paraId="034EF5F7" w14:textId="77777777" w:rsidTr="00E6334A">
        <w:tblPrEx>
          <w:tblCellMar>
            <w:top w:w="15" w:type="dxa"/>
            <w:left w:w="15" w:type="dxa"/>
            <w:bottom w:w="15" w:type="dxa"/>
            <w:right w:w="15" w:type="dxa"/>
          </w:tblCellMar>
        </w:tblPrEx>
        <w:tc>
          <w:tcPr>
            <w:tcW w:w="553" w:type="pct"/>
            <w:gridSpan w:val="2"/>
            <w:vAlign w:val="center"/>
          </w:tcPr>
          <w:p w14:paraId="55F785E8" w14:textId="21A29638" w:rsidR="00AD13DC" w:rsidRPr="00946816" w:rsidRDefault="00AD13DC" w:rsidP="00776D51">
            <w:pPr>
              <w:jc w:val="center"/>
              <w:rPr>
                <w:rFonts w:ascii="Arial Narrow" w:hAnsi="Arial Narrow"/>
                <w:sz w:val="20"/>
                <w:szCs w:val="20"/>
              </w:rPr>
            </w:pPr>
          </w:p>
        </w:tc>
        <w:tc>
          <w:tcPr>
            <w:tcW w:w="4447" w:type="pct"/>
            <w:gridSpan w:val="6"/>
            <w:vAlign w:val="center"/>
            <w:hideMark/>
          </w:tcPr>
          <w:p w14:paraId="13D8E828" w14:textId="77777777" w:rsidR="00AD13DC" w:rsidRPr="00946816" w:rsidRDefault="00AD13DC" w:rsidP="00776D51">
            <w:pPr>
              <w:rPr>
                <w:rFonts w:ascii="Arial Narrow" w:hAnsi="Arial Narrow"/>
                <w:sz w:val="20"/>
                <w:szCs w:val="20"/>
              </w:rPr>
            </w:pPr>
            <w:r w:rsidRPr="00946816">
              <w:rPr>
                <w:rFonts w:ascii="Arial Narrow" w:hAnsi="Arial Narrow"/>
                <w:b/>
                <w:bCs/>
                <w:sz w:val="20"/>
                <w:szCs w:val="20"/>
              </w:rPr>
              <w:t>Clinical criteria:</w:t>
            </w:r>
          </w:p>
        </w:tc>
      </w:tr>
      <w:tr w:rsidR="00AD13DC" w:rsidRPr="001C59C3" w14:paraId="0F96D9B0" w14:textId="77777777" w:rsidTr="00E6334A">
        <w:tblPrEx>
          <w:tblCellMar>
            <w:top w:w="15" w:type="dxa"/>
            <w:left w:w="15" w:type="dxa"/>
            <w:bottom w:w="15" w:type="dxa"/>
            <w:right w:w="15" w:type="dxa"/>
          </w:tblCellMar>
        </w:tblPrEx>
        <w:tc>
          <w:tcPr>
            <w:tcW w:w="553" w:type="pct"/>
            <w:gridSpan w:val="2"/>
            <w:vAlign w:val="center"/>
          </w:tcPr>
          <w:p w14:paraId="073EB763" w14:textId="7569B6B6" w:rsidR="00AD13DC" w:rsidRPr="00946816" w:rsidRDefault="00AD13DC" w:rsidP="00776D51">
            <w:pPr>
              <w:jc w:val="center"/>
              <w:rPr>
                <w:rFonts w:ascii="Arial Narrow" w:hAnsi="Arial Narrow"/>
                <w:sz w:val="20"/>
                <w:szCs w:val="20"/>
              </w:rPr>
            </w:pPr>
          </w:p>
        </w:tc>
        <w:tc>
          <w:tcPr>
            <w:tcW w:w="4447" w:type="pct"/>
            <w:gridSpan w:val="6"/>
            <w:vAlign w:val="center"/>
            <w:hideMark/>
          </w:tcPr>
          <w:p w14:paraId="0C0DFC5B" w14:textId="77777777" w:rsidR="00AD13DC" w:rsidRPr="00946816" w:rsidRDefault="00AD13DC" w:rsidP="00776D51">
            <w:pPr>
              <w:rPr>
                <w:rFonts w:ascii="Arial Narrow" w:hAnsi="Arial Narrow"/>
                <w:sz w:val="20"/>
                <w:szCs w:val="20"/>
              </w:rPr>
            </w:pPr>
            <w:r w:rsidRPr="00946816">
              <w:rPr>
                <w:rFonts w:ascii="Arial Narrow" w:hAnsi="Arial Narrow"/>
                <w:sz w:val="20"/>
                <w:szCs w:val="20"/>
              </w:rPr>
              <w:t>Patient must have been receiving non-PBS-subsidised treatment with drug for this condition prior to [PBS listing date]</w:t>
            </w:r>
          </w:p>
        </w:tc>
      </w:tr>
      <w:tr w:rsidR="00AD13DC" w:rsidRPr="001C59C3" w14:paraId="526F8A4F" w14:textId="77777777" w:rsidTr="00621588">
        <w:tblPrEx>
          <w:tblCellMar>
            <w:top w:w="15" w:type="dxa"/>
            <w:left w:w="15" w:type="dxa"/>
            <w:bottom w:w="15" w:type="dxa"/>
            <w:right w:w="15" w:type="dxa"/>
          </w:tblCellMar>
        </w:tblPrEx>
        <w:tc>
          <w:tcPr>
            <w:tcW w:w="553" w:type="pct"/>
            <w:gridSpan w:val="2"/>
            <w:vAlign w:val="center"/>
          </w:tcPr>
          <w:p w14:paraId="2929E6B8" w14:textId="77777777" w:rsidR="00AD13DC" w:rsidRPr="00946816" w:rsidRDefault="00AD13DC" w:rsidP="00776D51">
            <w:pPr>
              <w:jc w:val="center"/>
              <w:rPr>
                <w:rFonts w:ascii="Arial Narrow" w:hAnsi="Arial Narrow"/>
                <w:sz w:val="20"/>
                <w:szCs w:val="20"/>
              </w:rPr>
            </w:pPr>
          </w:p>
        </w:tc>
        <w:tc>
          <w:tcPr>
            <w:tcW w:w="4447" w:type="pct"/>
            <w:gridSpan w:val="6"/>
            <w:vAlign w:val="center"/>
            <w:hideMark/>
          </w:tcPr>
          <w:p w14:paraId="4784F31D" w14:textId="77777777" w:rsidR="00AD13DC" w:rsidRPr="00946816" w:rsidRDefault="00AD13DC" w:rsidP="00776D51">
            <w:pPr>
              <w:rPr>
                <w:rFonts w:ascii="Arial Narrow" w:hAnsi="Arial Narrow"/>
                <w:sz w:val="20"/>
                <w:szCs w:val="20"/>
              </w:rPr>
            </w:pPr>
            <w:r w:rsidRPr="00946816">
              <w:rPr>
                <w:rFonts w:ascii="Arial Narrow" w:hAnsi="Arial Narrow"/>
                <w:b/>
                <w:bCs/>
                <w:sz w:val="20"/>
                <w:szCs w:val="20"/>
              </w:rPr>
              <w:t>AND</w:t>
            </w:r>
          </w:p>
        </w:tc>
      </w:tr>
      <w:tr w:rsidR="00AD13DC" w:rsidRPr="001C59C3" w14:paraId="7CAC684C" w14:textId="77777777" w:rsidTr="00E6334A">
        <w:tblPrEx>
          <w:tblCellMar>
            <w:top w:w="15" w:type="dxa"/>
            <w:left w:w="15" w:type="dxa"/>
            <w:bottom w:w="15" w:type="dxa"/>
            <w:right w:w="15" w:type="dxa"/>
          </w:tblCellMar>
        </w:tblPrEx>
        <w:tc>
          <w:tcPr>
            <w:tcW w:w="553" w:type="pct"/>
            <w:gridSpan w:val="2"/>
            <w:vAlign w:val="center"/>
          </w:tcPr>
          <w:p w14:paraId="1C19CC52" w14:textId="7393522F" w:rsidR="00AD13DC" w:rsidRPr="00946816" w:rsidRDefault="00AD13DC" w:rsidP="00776D51">
            <w:pPr>
              <w:jc w:val="center"/>
              <w:rPr>
                <w:rFonts w:ascii="Arial Narrow" w:hAnsi="Arial Narrow"/>
                <w:sz w:val="20"/>
                <w:szCs w:val="20"/>
              </w:rPr>
            </w:pPr>
          </w:p>
        </w:tc>
        <w:tc>
          <w:tcPr>
            <w:tcW w:w="4447" w:type="pct"/>
            <w:gridSpan w:val="6"/>
            <w:vAlign w:val="center"/>
            <w:hideMark/>
          </w:tcPr>
          <w:p w14:paraId="24C0348A" w14:textId="77777777" w:rsidR="00AD13DC" w:rsidRPr="00946816" w:rsidRDefault="00AD13DC" w:rsidP="00776D51">
            <w:pPr>
              <w:rPr>
                <w:rFonts w:ascii="Arial Narrow" w:hAnsi="Arial Narrow"/>
                <w:sz w:val="20"/>
                <w:szCs w:val="20"/>
              </w:rPr>
            </w:pPr>
            <w:r w:rsidRPr="00946816">
              <w:rPr>
                <w:rFonts w:ascii="Arial Narrow" w:hAnsi="Arial Narrow"/>
                <w:b/>
                <w:bCs/>
                <w:sz w:val="20"/>
                <w:szCs w:val="20"/>
              </w:rPr>
              <w:t>Clinical criteria:</w:t>
            </w:r>
          </w:p>
        </w:tc>
      </w:tr>
      <w:tr w:rsidR="00AD13DC" w:rsidRPr="001C59C3" w14:paraId="5A49C76C" w14:textId="77777777" w:rsidTr="00E6334A">
        <w:tblPrEx>
          <w:tblCellMar>
            <w:top w:w="15" w:type="dxa"/>
            <w:left w:w="15" w:type="dxa"/>
            <w:bottom w:w="15" w:type="dxa"/>
            <w:right w:w="15" w:type="dxa"/>
          </w:tblCellMar>
        </w:tblPrEx>
        <w:tc>
          <w:tcPr>
            <w:tcW w:w="553" w:type="pct"/>
            <w:gridSpan w:val="2"/>
            <w:vAlign w:val="center"/>
          </w:tcPr>
          <w:p w14:paraId="7D2A2776" w14:textId="75C4CED4" w:rsidR="00AD13DC" w:rsidRPr="00946816" w:rsidRDefault="00AD13DC" w:rsidP="00776D51">
            <w:pPr>
              <w:jc w:val="center"/>
              <w:rPr>
                <w:rFonts w:ascii="Arial Narrow" w:hAnsi="Arial Narrow"/>
                <w:sz w:val="20"/>
                <w:szCs w:val="20"/>
              </w:rPr>
            </w:pPr>
          </w:p>
        </w:tc>
        <w:tc>
          <w:tcPr>
            <w:tcW w:w="4447" w:type="pct"/>
            <w:gridSpan w:val="6"/>
            <w:vAlign w:val="center"/>
            <w:hideMark/>
          </w:tcPr>
          <w:p w14:paraId="5538E3CF" w14:textId="77777777" w:rsidR="00AD13DC" w:rsidRPr="00946816" w:rsidRDefault="00AD13DC" w:rsidP="00776D51">
            <w:pPr>
              <w:rPr>
                <w:rFonts w:ascii="Arial Narrow" w:hAnsi="Arial Narrow"/>
                <w:sz w:val="20"/>
                <w:szCs w:val="20"/>
              </w:rPr>
            </w:pPr>
            <w:r w:rsidRPr="00946816">
              <w:rPr>
                <w:rFonts w:ascii="Arial Narrow" w:hAnsi="Arial Narrow"/>
                <w:sz w:val="20"/>
                <w:szCs w:val="20"/>
              </w:rPr>
              <w:t>Patient must have met all other PBS eligibility criteria that a non- ‘Grandfather’ patient would ordinarily be required to meet, meaning that at the time non-PBS subsidised supply was commenced, the patient:</w:t>
            </w:r>
          </w:p>
          <w:p w14:paraId="0288657A" w14:textId="128BB814" w:rsidR="00AD13DC" w:rsidRPr="00946816" w:rsidRDefault="00AD13DC" w:rsidP="00776D51">
            <w:pPr>
              <w:rPr>
                <w:rFonts w:ascii="Arial Narrow" w:hAnsi="Arial Narrow"/>
                <w:sz w:val="20"/>
                <w:szCs w:val="20"/>
              </w:rPr>
            </w:pPr>
            <w:r w:rsidRPr="00946816">
              <w:rPr>
                <w:rFonts w:ascii="Arial Narrow" w:hAnsi="Arial Narrow"/>
                <w:sz w:val="20"/>
                <w:szCs w:val="20"/>
              </w:rPr>
              <w:t>(i) was on optimised haemodialysis</w:t>
            </w:r>
            <w:r w:rsidR="00A542DA" w:rsidRPr="00946816">
              <w:rPr>
                <w:rFonts w:ascii="Arial Narrow" w:hAnsi="Arial Narrow"/>
                <w:sz w:val="20"/>
                <w:szCs w:val="20"/>
              </w:rPr>
              <w:t>;</w:t>
            </w:r>
          </w:p>
          <w:p w14:paraId="45A9B4AA" w14:textId="6157F7AD" w:rsidR="00AD13DC" w:rsidRPr="00946816" w:rsidRDefault="00AD13DC" w:rsidP="00776D51">
            <w:pPr>
              <w:rPr>
                <w:rFonts w:ascii="Arial Narrow" w:hAnsi="Arial Narrow"/>
                <w:sz w:val="20"/>
                <w:szCs w:val="20"/>
              </w:rPr>
            </w:pPr>
            <w:r w:rsidRPr="00946816">
              <w:rPr>
                <w:rFonts w:ascii="Arial Narrow" w:hAnsi="Arial Narrow"/>
                <w:sz w:val="20"/>
                <w:szCs w:val="20"/>
              </w:rPr>
              <w:t>(ii) was on haemodialysis for at least 3 months</w:t>
            </w:r>
            <w:r w:rsidR="00A542DA" w:rsidRPr="00946816">
              <w:rPr>
                <w:rFonts w:ascii="Arial Narrow" w:hAnsi="Arial Narrow"/>
                <w:sz w:val="20"/>
                <w:szCs w:val="20"/>
              </w:rPr>
              <w:t>;</w:t>
            </w:r>
          </w:p>
          <w:p w14:paraId="1A84B235" w14:textId="481A62B4" w:rsidR="00AD13DC" w:rsidRPr="00946816" w:rsidRDefault="00AD13DC" w:rsidP="00776D51">
            <w:pPr>
              <w:rPr>
                <w:rFonts w:ascii="Arial Narrow" w:hAnsi="Arial Narrow"/>
                <w:sz w:val="20"/>
                <w:szCs w:val="20"/>
              </w:rPr>
            </w:pPr>
            <w:r w:rsidRPr="00946816">
              <w:rPr>
                <w:rFonts w:ascii="Arial Narrow" w:hAnsi="Arial Narrow"/>
                <w:sz w:val="20"/>
                <w:szCs w:val="20"/>
              </w:rPr>
              <w:t>(iii) had a condition confirmed based on both physical examination and patient history</w:t>
            </w:r>
            <w:r w:rsidR="00A542DA" w:rsidRPr="00946816">
              <w:rPr>
                <w:rFonts w:ascii="Arial Narrow" w:hAnsi="Arial Narrow"/>
                <w:sz w:val="20"/>
                <w:szCs w:val="20"/>
              </w:rPr>
              <w:t xml:space="preserve"> to exclude any factors that may be triggering the pruritus;</w:t>
            </w:r>
          </w:p>
          <w:p w14:paraId="6FB55A91" w14:textId="591B5562" w:rsidR="00AD13DC" w:rsidRPr="00946816" w:rsidRDefault="00AD13DC" w:rsidP="00776D51">
            <w:pPr>
              <w:rPr>
                <w:rFonts w:ascii="Arial Narrow" w:hAnsi="Arial Narrow"/>
                <w:sz w:val="20"/>
                <w:szCs w:val="20"/>
              </w:rPr>
            </w:pPr>
            <w:r w:rsidRPr="00946816">
              <w:rPr>
                <w:rFonts w:ascii="Arial Narrow" w:hAnsi="Arial Narrow"/>
                <w:sz w:val="20"/>
                <w:szCs w:val="20"/>
              </w:rPr>
              <w:t>(iv) had experienced itch that persists for at least 6 weeks despite best supportive care</w:t>
            </w:r>
            <w:r w:rsidR="00A542DA" w:rsidRPr="00946816">
              <w:rPr>
                <w:rFonts w:ascii="Arial Narrow" w:hAnsi="Arial Narrow"/>
                <w:sz w:val="20"/>
                <w:szCs w:val="20"/>
              </w:rPr>
              <w:t>;</w:t>
            </w:r>
          </w:p>
          <w:p w14:paraId="1B60592D" w14:textId="77777777" w:rsidR="00AD13DC" w:rsidRPr="00946816" w:rsidRDefault="00AD13DC" w:rsidP="00776D51">
            <w:pPr>
              <w:rPr>
                <w:rFonts w:ascii="Arial Narrow" w:hAnsi="Arial Narrow"/>
                <w:sz w:val="20"/>
                <w:szCs w:val="20"/>
              </w:rPr>
            </w:pPr>
            <w:r w:rsidRPr="00946816">
              <w:rPr>
                <w:rFonts w:ascii="Arial Narrow" w:hAnsi="Arial Narrow"/>
                <w:sz w:val="20"/>
                <w:szCs w:val="20"/>
              </w:rPr>
              <w:t>(v) had a 24-hour Worst Itching Intensity Numerical Rating Scale (WI-NRS) of more than 4 at baseline.</w:t>
            </w:r>
          </w:p>
        </w:tc>
      </w:tr>
      <w:tr w:rsidR="00AD13DC" w:rsidRPr="001C59C3" w14:paraId="1B3E7759" w14:textId="77777777" w:rsidTr="00E6334A">
        <w:tblPrEx>
          <w:tblCellMar>
            <w:top w:w="15" w:type="dxa"/>
            <w:left w:w="15" w:type="dxa"/>
            <w:bottom w:w="15" w:type="dxa"/>
            <w:right w:w="15" w:type="dxa"/>
          </w:tblCellMar>
        </w:tblPrEx>
        <w:tc>
          <w:tcPr>
            <w:tcW w:w="553" w:type="pct"/>
            <w:gridSpan w:val="2"/>
            <w:vAlign w:val="center"/>
          </w:tcPr>
          <w:p w14:paraId="5B745D4A" w14:textId="77777777" w:rsidR="00AD13DC" w:rsidRPr="00946816" w:rsidRDefault="00AD13DC" w:rsidP="00776D51">
            <w:pPr>
              <w:jc w:val="center"/>
              <w:rPr>
                <w:rFonts w:ascii="Arial Narrow" w:hAnsi="Arial Narrow"/>
                <w:sz w:val="20"/>
                <w:szCs w:val="20"/>
              </w:rPr>
            </w:pPr>
          </w:p>
        </w:tc>
        <w:tc>
          <w:tcPr>
            <w:tcW w:w="4447" w:type="pct"/>
            <w:gridSpan w:val="6"/>
            <w:vAlign w:val="center"/>
            <w:hideMark/>
          </w:tcPr>
          <w:p w14:paraId="1A2BBEAB" w14:textId="77777777" w:rsidR="00AD13DC" w:rsidRPr="00946816" w:rsidRDefault="00AD13DC" w:rsidP="00776D51">
            <w:pPr>
              <w:rPr>
                <w:rFonts w:ascii="Arial Narrow" w:hAnsi="Arial Narrow"/>
                <w:sz w:val="20"/>
                <w:szCs w:val="20"/>
              </w:rPr>
            </w:pPr>
            <w:r w:rsidRPr="00946816">
              <w:rPr>
                <w:rFonts w:ascii="Arial Narrow" w:hAnsi="Arial Narrow"/>
                <w:b/>
                <w:bCs/>
                <w:sz w:val="20"/>
                <w:szCs w:val="20"/>
              </w:rPr>
              <w:t>AND</w:t>
            </w:r>
          </w:p>
        </w:tc>
      </w:tr>
      <w:tr w:rsidR="00AD13DC" w:rsidRPr="001C59C3" w14:paraId="36D7E416" w14:textId="77777777" w:rsidTr="00E6334A">
        <w:tblPrEx>
          <w:tblCellMar>
            <w:top w:w="15" w:type="dxa"/>
            <w:left w:w="15" w:type="dxa"/>
            <w:bottom w:w="15" w:type="dxa"/>
            <w:right w:w="15" w:type="dxa"/>
          </w:tblCellMar>
        </w:tblPrEx>
        <w:tc>
          <w:tcPr>
            <w:tcW w:w="553" w:type="pct"/>
            <w:gridSpan w:val="2"/>
            <w:vAlign w:val="center"/>
          </w:tcPr>
          <w:p w14:paraId="467540E9" w14:textId="1A3FA1AA" w:rsidR="00AD13DC" w:rsidRPr="00946816" w:rsidRDefault="00AD13DC" w:rsidP="00776D51">
            <w:pPr>
              <w:jc w:val="center"/>
              <w:rPr>
                <w:rFonts w:ascii="Arial Narrow" w:hAnsi="Arial Narrow"/>
                <w:sz w:val="20"/>
                <w:szCs w:val="20"/>
              </w:rPr>
            </w:pPr>
          </w:p>
        </w:tc>
        <w:tc>
          <w:tcPr>
            <w:tcW w:w="4447" w:type="pct"/>
            <w:gridSpan w:val="6"/>
          </w:tcPr>
          <w:p w14:paraId="1B481199" w14:textId="77777777" w:rsidR="00AD13DC" w:rsidRPr="00946816" w:rsidRDefault="00AD13DC" w:rsidP="00776D51">
            <w:pPr>
              <w:rPr>
                <w:rFonts w:ascii="Arial Narrow" w:hAnsi="Arial Narrow"/>
                <w:b/>
                <w:bCs/>
                <w:i/>
                <w:iCs/>
                <w:sz w:val="20"/>
                <w:szCs w:val="20"/>
              </w:rPr>
            </w:pPr>
            <w:r w:rsidRPr="00946816">
              <w:rPr>
                <w:rFonts w:ascii="Arial Narrow" w:hAnsi="Arial Narrow"/>
                <w:b/>
                <w:bCs/>
                <w:sz w:val="20"/>
                <w:szCs w:val="20"/>
              </w:rPr>
              <w:t>Clinical criteria:</w:t>
            </w:r>
          </w:p>
        </w:tc>
      </w:tr>
      <w:tr w:rsidR="00AD13DC" w:rsidRPr="001C59C3" w14:paraId="55611581" w14:textId="77777777" w:rsidTr="00E6334A">
        <w:tblPrEx>
          <w:tblCellMar>
            <w:top w:w="15" w:type="dxa"/>
            <w:left w:w="15" w:type="dxa"/>
            <w:bottom w:w="15" w:type="dxa"/>
            <w:right w:w="15" w:type="dxa"/>
          </w:tblCellMar>
        </w:tblPrEx>
        <w:tc>
          <w:tcPr>
            <w:tcW w:w="553" w:type="pct"/>
            <w:gridSpan w:val="2"/>
            <w:vAlign w:val="center"/>
          </w:tcPr>
          <w:p w14:paraId="1356011A" w14:textId="1629B9F9" w:rsidR="00AD13DC" w:rsidRPr="00946816" w:rsidRDefault="00AD13DC" w:rsidP="00776D51">
            <w:pPr>
              <w:jc w:val="center"/>
              <w:rPr>
                <w:rFonts w:ascii="Arial Narrow" w:hAnsi="Arial Narrow"/>
                <w:sz w:val="20"/>
                <w:szCs w:val="20"/>
              </w:rPr>
            </w:pPr>
          </w:p>
        </w:tc>
        <w:tc>
          <w:tcPr>
            <w:tcW w:w="4447" w:type="pct"/>
            <w:gridSpan w:val="6"/>
          </w:tcPr>
          <w:p w14:paraId="65750581" w14:textId="741E6C50" w:rsidR="00AD13DC" w:rsidRPr="00946816" w:rsidRDefault="00AD13DC" w:rsidP="00776D51">
            <w:pPr>
              <w:rPr>
                <w:rFonts w:ascii="Arial Narrow" w:hAnsi="Arial Narrow"/>
                <w:b/>
                <w:bCs/>
                <w:i/>
                <w:iCs/>
                <w:sz w:val="20"/>
                <w:szCs w:val="20"/>
              </w:rPr>
            </w:pPr>
            <w:r w:rsidRPr="00946816">
              <w:rPr>
                <w:rFonts w:ascii="Arial Narrow" w:hAnsi="Arial Narrow"/>
                <w:sz w:val="20"/>
                <w:szCs w:val="20"/>
              </w:rPr>
              <w:t>Patient must have demonstrated an adequate response to the most recent non-PBS-subsidised treatment with this drug for this condition, including at least a 3-point improvement from baseline in 24-hour Worst Itching Intensity Numerical Rating Scale (WI-NRS) score.</w:t>
            </w:r>
          </w:p>
        </w:tc>
      </w:tr>
      <w:tr w:rsidR="00AD13DC" w:rsidRPr="001C59C3" w14:paraId="39F2051F" w14:textId="77777777" w:rsidTr="00E6334A">
        <w:tblPrEx>
          <w:tblCellMar>
            <w:top w:w="15" w:type="dxa"/>
            <w:left w:w="15" w:type="dxa"/>
            <w:bottom w:w="15" w:type="dxa"/>
            <w:right w:w="15" w:type="dxa"/>
          </w:tblCellMar>
        </w:tblPrEx>
        <w:tc>
          <w:tcPr>
            <w:tcW w:w="553" w:type="pct"/>
            <w:gridSpan w:val="2"/>
            <w:vAlign w:val="center"/>
          </w:tcPr>
          <w:p w14:paraId="0882E86F" w14:textId="77777777" w:rsidR="00AD13DC" w:rsidRPr="00946816" w:rsidRDefault="00AD13DC" w:rsidP="00776D51">
            <w:pPr>
              <w:jc w:val="center"/>
              <w:rPr>
                <w:rFonts w:ascii="Arial Narrow" w:hAnsi="Arial Narrow"/>
                <w:sz w:val="20"/>
                <w:szCs w:val="20"/>
              </w:rPr>
            </w:pPr>
          </w:p>
        </w:tc>
        <w:tc>
          <w:tcPr>
            <w:tcW w:w="4447" w:type="pct"/>
            <w:gridSpan w:val="6"/>
          </w:tcPr>
          <w:p w14:paraId="211B9363" w14:textId="77777777" w:rsidR="00AD13DC" w:rsidRPr="00946816" w:rsidRDefault="00AD13DC" w:rsidP="00776D51">
            <w:pPr>
              <w:rPr>
                <w:rFonts w:ascii="Arial Narrow" w:hAnsi="Arial Narrow"/>
                <w:sz w:val="20"/>
                <w:szCs w:val="20"/>
              </w:rPr>
            </w:pPr>
            <w:r w:rsidRPr="00946816">
              <w:rPr>
                <w:rFonts w:ascii="Arial Narrow" w:hAnsi="Arial Narrow"/>
                <w:b/>
                <w:bCs/>
                <w:sz w:val="20"/>
                <w:szCs w:val="20"/>
              </w:rPr>
              <w:t>AND</w:t>
            </w:r>
          </w:p>
        </w:tc>
      </w:tr>
      <w:tr w:rsidR="00AD13DC" w:rsidRPr="001C59C3" w14:paraId="0328ADC6" w14:textId="77777777" w:rsidTr="00E6334A">
        <w:tblPrEx>
          <w:tblCellMar>
            <w:top w:w="15" w:type="dxa"/>
            <w:left w:w="15" w:type="dxa"/>
            <w:bottom w:w="15" w:type="dxa"/>
            <w:right w:w="15" w:type="dxa"/>
          </w:tblCellMar>
        </w:tblPrEx>
        <w:tc>
          <w:tcPr>
            <w:tcW w:w="553" w:type="pct"/>
            <w:gridSpan w:val="2"/>
            <w:vAlign w:val="center"/>
          </w:tcPr>
          <w:p w14:paraId="14BB4D08" w14:textId="23C05F06" w:rsidR="00AD13DC" w:rsidRPr="00946816" w:rsidRDefault="00AD13DC" w:rsidP="00776D51">
            <w:pPr>
              <w:jc w:val="center"/>
              <w:rPr>
                <w:rFonts w:ascii="Arial Narrow" w:hAnsi="Arial Narrow"/>
                <w:sz w:val="20"/>
                <w:szCs w:val="20"/>
              </w:rPr>
            </w:pPr>
          </w:p>
        </w:tc>
        <w:tc>
          <w:tcPr>
            <w:tcW w:w="4447" w:type="pct"/>
            <w:gridSpan w:val="6"/>
            <w:vAlign w:val="center"/>
            <w:hideMark/>
          </w:tcPr>
          <w:p w14:paraId="7086EC6B" w14:textId="77777777" w:rsidR="00AD13DC" w:rsidRPr="00946816" w:rsidRDefault="00AD13DC" w:rsidP="00776D51">
            <w:pPr>
              <w:rPr>
                <w:rFonts w:ascii="Arial Narrow" w:hAnsi="Arial Narrow"/>
                <w:sz w:val="20"/>
                <w:szCs w:val="20"/>
              </w:rPr>
            </w:pPr>
            <w:r w:rsidRPr="00946816">
              <w:rPr>
                <w:rFonts w:ascii="Arial Narrow" w:hAnsi="Arial Narrow"/>
                <w:b/>
                <w:bCs/>
                <w:sz w:val="20"/>
                <w:szCs w:val="20"/>
              </w:rPr>
              <w:t>Treatment criteria:</w:t>
            </w:r>
          </w:p>
        </w:tc>
      </w:tr>
      <w:tr w:rsidR="00AD13DC" w:rsidRPr="001C59C3" w14:paraId="4AF41020" w14:textId="77777777" w:rsidTr="00E6334A">
        <w:tblPrEx>
          <w:tblCellMar>
            <w:top w:w="15" w:type="dxa"/>
            <w:left w:w="15" w:type="dxa"/>
            <w:bottom w:w="15" w:type="dxa"/>
            <w:right w:w="15" w:type="dxa"/>
          </w:tblCellMar>
        </w:tblPrEx>
        <w:tc>
          <w:tcPr>
            <w:tcW w:w="553" w:type="pct"/>
            <w:gridSpan w:val="2"/>
            <w:vAlign w:val="center"/>
          </w:tcPr>
          <w:p w14:paraId="4A9F43CB" w14:textId="6867088A" w:rsidR="00AD13DC" w:rsidRPr="00946816" w:rsidRDefault="00AD13DC" w:rsidP="00776D51">
            <w:pPr>
              <w:jc w:val="center"/>
              <w:rPr>
                <w:rFonts w:ascii="Arial Narrow" w:hAnsi="Arial Narrow"/>
                <w:sz w:val="20"/>
                <w:szCs w:val="20"/>
              </w:rPr>
            </w:pPr>
          </w:p>
        </w:tc>
        <w:tc>
          <w:tcPr>
            <w:tcW w:w="4447" w:type="pct"/>
            <w:gridSpan w:val="6"/>
            <w:vAlign w:val="center"/>
            <w:hideMark/>
          </w:tcPr>
          <w:p w14:paraId="05D4ACC1" w14:textId="27A45B25" w:rsidR="00AD13DC" w:rsidRPr="00946816" w:rsidRDefault="00980E77" w:rsidP="00776D51">
            <w:pPr>
              <w:autoSpaceDE w:val="0"/>
              <w:autoSpaceDN w:val="0"/>
              <w:adjustRightInd w:val="0"/>
              <w:rPr>
                <w:rFonts w:ascii="Arial Narrow" w:hAnsi="Arial Narrow" w:cs="Arial Narrow"/>
                <w:sz w:val="20"/>
                <w:szCs w:val="20"/>
              </w:rPr>
            </w:pPr>
            <w:r w:rsidRPr="00946816">
              <w:rPr>
                <w:rFonts w:ascii="Arial Narrow" w:hAnsi="Arial Narrow" w:cs="Arial Narrow"/>
                <w:sz w:val="20"/>
                <w:szCs w:val="20"/>
              </w:rPr>
              <w:t>Must be treated by a nephrologist.</w:t>
            </w:r>
          </w:p>
        </w:tc>
      </w:tr>
      <w:tr w:rsidR="00AD13DC" w:rsidRPr="001C59C3" w14:paraId="5B58CE86" w14:textId="77777777" w:rsidTr="00E6334A">
        <w:tblPrEx>
          <w:tblCellMar>
            <w:top w:w="15" w:type="dxa"/>
            <w:left w:w="15" w:type="dxa"/>
            <w:bottom w:w="15" w:type="dxa"/>
            <w:right w:w="15" w:type="dxa"/>
          </w:tblCellMar>
        </w:tblPrEx>
        <w:tc>
          <w:tcPr>
            <w:tcW w:w="553" w:type="pct"/>
            <w:gridSpan w:val="2"/>
            <w:vAlign w:val="center"/>
          </w:tcPr>
          <w:p w14:paraId="101B7551" w14:textId="77777777" w:rsidR="00AD13DC" w:rsidRPr="00946816" w:rsidRDefault="00AD13DC" w:rsidP="00776D51">
            <w:pPr>
              <w:jc w:val="center"/>
              <w:rPr>
                <w:rFonts w:ascii="Arial Narrow" w:hAnsi="Arial Narrow"/>
                <w:sz w:val="20"/>
                <w:szCs w:val="20"/>
              </w:rPr>
            </w:pPr>
          </w:p>
        </w:tc>
        <w:tc>
          <w:tcPr>
            <w:tcW w:w="4447" w:type="pct"/>
            <w:gridSpan w:val="6"/>
            <w:vAlign w:val="center"/>
            <w:hideMark/>
          </w:tcPr>
          <w:p w14:paraId="0870682A" w14:textId="77777777" w:rsidR="00AD13DC" w:rsidRPr="00946816" w:rsidRDefault="00AD13DC" w:rsidP="00776D51">
            <w:pPr>
              <w:rPr>
                <w:rFonts w:ascii="Arial Narrow" w:hAnsi="Arial Narrow"/>
                <w:sz w:val="20"/>
                <w:szCs w:val="20"/>
              </w:rPr>
            </w:pPr>
            <w:r w:rsidRPr="00946816">
              <w:rPr>
                <w:rFonts w:ascii="Arial Narrow" w:hAnsi="Arial Narrow"/>
                <w:b/>
                <w:bCs/>
                <w:sz w:val="20"/>
                <w:szCs w:val="20"/>
              </w:rPr>
              <w:t>AND</w:t>
            </w:r>
          </w:p>
        </w:tc>
      </w:tr>
      <w:tr w:rsidR="00AD13DC" w:rsidRPr="001C59C3" w14:paraId="6E20926F" w14:textId="77777777" w:rsidTr="00E6334A">
        <w:tblPrEx>
          <w:tblCellMar>
            <w:top w:w="15" w:type="dxa"/>
            <w:left w:w="15" w:type="dxa"/>
            <w:bottom w:w="15" w:type="dxa"/>
            <w:right w:w="15" w:type="dxa"/>
          </w:tblCellMar>
        </w:tblPrEx>
        <w:tc>
          <w:tcPr>
            <w:tcW w:w="553" w:type="pct"/>
            <w:gridSpan w:val="2"/>
            <w:vAlign w:val="center"/>
          </w:tcPr>
          <w:p w14:paraId="78F7DE84" w14:textId="53BF822E" w:rsidR="00AD13DC" w:rsidRPr="00946816" w:rsidRDefault="00AD13DC" w:rsidP="00776D51">
            <w:pPr>
              <w:jc w:val="center"/>
              <w:rPr>
                <w:rFonts w:ascii="Arial Narrow" w:hAnsi="Arial Narrow"/>
                <w:sz w:val="20"/>
                <w:szCs w:val="20"/>
              </w:rPr>
            </w:pPr>
          </w:p>
        </w:tc>
        <w:tc>
          <w:tcPr>
            <w:tcW w:w="4447" w:type="pct"/>
            <w:gridSpan w:val="6"/>
            <w:vAlign w:val="center"/>
            <w:hideMark/>
          </w:tcPr>
          <w:p w14:paraId="5820671C" w14:textId="77777777" w:rsidR="00AD13DC" w:rsidRPr="00946816" w:rsidRDefault="00AD13DC" w:rsidP="00776D51">
            <w:pPr>
              <w:rPr>
                <w:rFonts w:ascii="Arial Narrow" w:hAnsi="Arial Narrow"/>
                <w:sz w:val="20"/>
                <w:szCs w:val="20"/>
              </w:rPr>
            </w:pPr>
            <w:r w:rsidRPr="00946816">
              <w:rPr>
                <w:rFonts w:ascii="Arial Narrow" w:hAnsi="Arial Narrow"/>
                <w:b/>
                <w:bCs/>
                <w:sz w:val="20"/>
                <w:szCs w:val="20"/>
              </w:rPr>
              <w:t>Population criteria:</w:t>
            </w:r>
          </w:p>
        </w:tc>
      </w:tr>
      <w:tr w:rsidR="00AD13DC" w:rsidRPr="001C59C3" w14:paraId="4C5D90F2" w14:textId="77777777" w:rsidTr="00621588">
        <w:tblPrEx>
          <w:tblCellMar>
            <w:top w:w="15" w:type="dxa"/>
            <w:left w:w="15" w:type="dxa"/>
            <w:bottom w:w="15" w:type="dxa"/>
            <w:right w:w="15" w:type="dxa"/>
          </w:tblCellMar>
        </w:tblPrEx>
        <w:tc>
          <w:tcPr>
            <w:tcW w:w="553" w:type="pct"/>
            <w:gridSpan w:val="2"/>
            <w:vAlign w:val="center"/>
          </w:tcPr>
          <w:p w14:paraId="729E906D" w14:textId="74F1F5B3" w:rsidR="00AD13DC" w:rsidRPr="00946816" w:rsidRDefault="00AD13DC" w:rsidP="00776D51">
            <w:pPr>
              <w:jc w:val="center"/>
              <w:rPr>
                <w:rFonts w:ascii="Arial Narrow" w:hAnsi="Arial Narrow"/>
                <w:sz w:val="20"/>
                <w:szCs w:val="20"/>
              </w:rPr>
            </w:pPr>
          </w:p>
        </w:tc>
        <w:tc>
          <w:tcPr>
            <w:tcW w:w="4447" w:type="pct"/>
            <w:gridSpan w:val="6"/>
            <w:vAlign w:val="center"/>
            <w:hideMark/>
          </w:tcPr>
          <w:p w14:paraId="48179936" w14:textId="77777777" w:rsidR="00AD13DC" w:rsidRPr="00946816" w:rsidRDefault="00AD13DC" w:rsidP="00776D51">
            <w:pPr>
              <w:rPr>
                <w:rFonts w:ascii="Arial Narrow" w:hAnsi="Arial Narrow"/>
                <w:sz w:val="20"/>
                <w:szCs w:val="20"/>
              </w:rPr>
            </w:pPr>
            <w:r w:rsidRPr="00946816">
              <w:rPr>
                <w:rFonts w:ascii="Arial Narrow" w:hAnsi="Arial Narrow"/>
                <w:sz w:val="20"/>
                <w:szCs w:val="20"/>
              </w:rPr>
              <w:t>Patient must be at least 18 years of age</w:t>
            </w:r>
          </w:p>
        </w:tc>
      </w:tr>
      <w:tr w:rsidR="00AD13DC" w:rsidRPr="001C59C3" w14:paraId="3ADDEEE1" w14:textId="77777777" w:rsidTr="00E6334A">
        <w:tblPrEx>
          <w:tblCellMar>
            <w:top w:w="15" w:type="dxa"/>
            <w:left w:w="15" w:type="dxa"/>
            <w:bottom w:w="15" w:type="dxa"/>
            <w:right w:w="15" w:type="dxa"/>
          </w:tblCellMar>
        </w:tblPrEx>
        <w:tc>
          <w:tcPr>
            <w:tcW w:w="553" w:type="pct"/>
            <w:gridSpan w:val="2"/>
            <w:vAlign w:val="center"/>
          </w:tcPr>
          <w:p w14:paraId="3C8E7612" w14:textId="016BCFD0" w:rsidR="00AD13DC" w:rsidRPr="00946816" w:rsidRDefault="00AD13DC" w:rsidP="00776D51">
            <w:pPr>
              <w:jc w:val="center"/>
              <w:rPr>
                <w:rFonts w:ascii="Arial Narrow" w:hAnsi="Arial Narrow"/>
                <w:sz w:val="20"/>
                <w:szCs w:val="20"/>
              </w:rPr>
            </w:pPr>
          </w:p>
        </w:tc>
        <w:tc>
          <w:tcPr>
            <w:tcW w:w="4447" w:type="pct"/>
            <w:gridSpan w:val="6"/>
            <w:vAlign w:val="center"/>
          </w:tcPr>
          <w:p w14:paraId="4054686E" w14:textId="77777777" w:rsidR="00AD13DC" w:rsidRPr="00946816" w:rsidRDefault="00AD13DC" w:rsidP="00776D51">
            <w:pPr>
              <w:rPr>
                <w:rFonts w:ascii="Arial Narrow" w:hAnsi="Arial Narrow"/>
                <w:b/>
                <w:bCs/>
                <w:sz w:val="20"/>
                <w:szCs w:val="20"/>
              </w:rPr>
            </w:pPr>
            <w:r w:rsidRPr="00946816">
              <w:rPr>
                <w:rFonts w:ascii="Arial Narrow" w:hAnsi="Arial Narrow"/>
                <w:b/>
                <w:bCs/>
                <w:sz w:val="20"/>
                <w:szCs w:val="20"/>
              </w:rPr>
              <w:t xml:space="preserve">Prescribing instructions: </w:t>
            </w:r>
          </w:p>
          <w:p w14:paraId="01372047" w14:textId="77777777" w:rsidR="00AD13DC" w:rsidRPr="00946816" w:rsidRDefault="00AD13DC" w:rsidP="00776D51">
            <w:pPr>
              <w:rPr>
                <w:rFonts w:ascii="Arial Narrow" w:hAnsi="Arial Narrow"/>
                <w:sz w:val="20"/>
                <w:szCs w:val="20"/>
              </w:rPr>
            </w:pPr>
            <w:r w:rsidRPr="00946816">
              <w:rPr>
                <w:rFonts w:ascii="Arial Narrow" w:hAnsi="Arial Narrow"/>
                <w:sz w:val="20"/>
                <w:szCs w:val="20"/>
              </w:rPr>
              <w:t>Confirmation of eligibility for treatment with diagnostic reports must be documented in the patient's medical records.</w:t>
            </w:r>
          </w:p>
        </w:tc>
      </w:tr>
      <w:tr w:rsidR="00AD13DC" w:rsidRPr="001C59C3" w14:paraId="02E4C0B8" w14:textId="77777777" w:rsidTr="00E6334A">
        <w:tblPrEx>
          <w:tblCellMar>
            <w:top w:w="15" w:type="dxa"/>
            <w:left w:w="15" w:type="dxa"/>
            <w:bottom w:w="15" w:type="dxa"/>
            <w:right w:w="15" w:type="dxa"/>
          </w:tblCellMar>
        </w:tblPrEx>
        <w:tc>
          <w:tcPr>
            <w:tcW w:w="553" w:type="pct"/>
            <w:gridSpan w:val="2"/>
            <w:vAlign w:val="center"/>
          </w:tcPr>
          <w:p w14:paraId="6F21F239" w14:textId="201014BD" w:rsidR="00AD13DC" w:rsidRPr="00946816" w:rsidRDefault="00AD13DC" w:rsidP="00776D51">
            <w:pPr>
              <w:jc w:val="center"/>
              <w:rPr>
                <w:rFonts w:ascii="Arial Narrow" w:hAnsi="Arial Narrow"/>
                <w:sz w:val="20"/>
                <w:szCs w:val="20"/>
              </w:rPr>
            </w:pPr>
          </w:p>
        </w:tc>
        <w:tc>
          <w:tcPr>
            <w:tcW w:w="4447" w:type="pct"/>
            <w:gridSpan w:val="6"/>
            <w:vAlign w:val="center"/>
          </w:tcPr>
          <w:p w14:paraId="04565AC3" w14:textId="77777777" w:rsidR="00AD13DC" w:rsidRPr="00946816" w:rsidRDefault="00AD13DC" w:rsidP="00776D51">
            <w:pPr>
              <w:rPr>
                <w:rFonts w:ascii="Arial Narrow" w:hAnsi="Arial Narrow"/>
                <w:sz w:val="20"/>
                <w:szCs w:val="20"/>
              </w:rPr>
            </w:pPr>
            <w:r w:rsidRPr="00946816">
              <w:rPr>
                <w:rFonts w:ascii="Arial Narrow" w:hAnsi="Arial Narrow"/>
                <w:b/>
                <w:bCs/>
                <w:sz w:val="20"/>
                <w:szCs w:val="20"/>
              </w:rPr>
              <w:t xml:space="preserve">Prescribing Instructions: </w:t>
            </w:r>
          </w:p>
          <w:p w14:paraId="7FE4AD99" w14:textId="77777777" w:rsidR="00AD13DC" w:rsidRPr="00946816" w:rsidRDefault="00AD13DC" w:rsidP="00776D51">
            <w:pPr>
              <w:rPr>
                <w:rFonts w:ascii="Arial Narrow" w:hAnsi="Arial Narrow"/>
                <w:b/>
                <w:bCs/>
                <w:sz w:val="20"/>
                <w:szCs w:val="20"/>
              </w:rPr>
            </w:pPr>
            <w:r w:rsidRPr="00946816">
              <w:rPr>
                <w:rFonts w:ascii="Arial Narrow" w:hAnsi="Arial Narrow"/>
                <w:sz w:val="20"/>
                <w:szCs w:val="20"/>
              </w:rPr>
              <w:t>At the time of authority application, medical practitioners must request the appropriate number of vials to provide sufficient drug, based on the dry body weight of the patient (in kg), adequate for 4 weeks, according to the specified dosage in the approved Product Information (PI). Up to a maximum of 5 repeats will be authorised. No more than 4 doses per week will be authorised even if the number of haemodialysis treatments in a week exceeds 4.</w:t>
            </w:r>
          </w:p>
        </w:tc>
      </w:tr>
      <w:tr w:rsidR="00AD13DC" w:rsidRPr="001C59C3" w14:paraId="0FDC6B9D" w14:textId="77777777" w:rsidTr="00E6334A">
        <w:tblPrEx>
          <w:tblCellMar>
            <w:top w:w="15" w:type="dxa"/>
            <w:left w:w="15" w:type="dxa"/>
            <w:bottom w:w="15" w:type="dxa"/>
            <w:right w:w="15" w:type="dxa"/>
          </w:tblCellMar>
        </w:tblPrEx>
        <w:tc>
          <w:tcPr>
            <w:tcW w:w="553" w:type="pct"/>
            <w:gridSpan w:val="2"/>
            <w:vAlign w:val="center"/>
          </w:tcPr>
          <w:p w14:paraId="1CC20952" w14:textId="23F856A7" w:rsidR="00AD13DC" w:rsidRPr="00946816" w:rsidRDefault="00AD13DC" w:rsidP="00776D51">
            <w:pPr>
              <w:jc w:val="center"/>
              <w:rPr>
                <w:rFonts w:ascii="Arial Narrow" w:hAnsi="Arial Narrow"/>
                <w:sz w:val="20"/>
                <w:szCs w:val="20"/>
              </w:rPr>
            </w:pPr>
          </w:p>
        </w:tc>
        <w:tc>
          <w:tcPr>
            <w:tcW w:w="4447" w:type="pct"/>
            <w:gridSpan w:val="6"/>
            <w:vAlign w:val="center"/>
          </w:tcPr>
          <w:p w14:paraId="5AEC444A" w14:textId="77777777" w:rsidR="00AD13DC" w:rsidRPr="00946816" w:rsidRDefault="00AD13DC" w:rsidP="00776D51">
            <w:pPr>
              <w:rPr>
                <w:rFonts w:ascii="Arial Narrow" w:hAnsi="Arial Narrow"/>
                <w:b/>
                <w:bCs/>
                <w:sz w:val="20"/>
                <w:szCs w:val="20"/>
              </w:rPr>
            </w:pPr>
            <w:r w:rsidRPr="00946816">
              <w:rPr>
                <w:rFonts w:ascii="Arial Narrow" w:hAnsi="Arial Narrow"/>
                <w:b/>
                <w:bCs/>
                <w:sz w:val="20"/>
                <w:szCs w:val="20"/>
              </w:rPr>
              <w:t>Administrative advice:</w:t>
            </w:r>
          </w:p>
          <w:p w14:paraId="3504AFE3" w14:textId="77777777" w:rsidR="00AD13DC" w:rsidRPr="00946816" w:rsidRDefault="00AD13DC" w:rsidP="00776D51">
            <w:pPr>
              <w:rPr>
                <w:rFonts w:ascii="Arial Narrow" w:hAnsi="Arial Narrow"/>
                <w:i/>
                <w:iCs/>
                <w:sz w:val="20"/>
                <w:szCs w:val="20"/>
              </w:rPr>
            </w:pPr>
            <w:r w:rsidRPr="00946816">
              <w:rPr>
                <w:rFonts w:ascii="Arial Narrow" w:hAnsi="Arial Narrow"/>
                <w:sz w:val="20"/>
                <w:szCs w:val="20"/>
              </w:rPr>
              <w:lastRenderedPageBreak/>
              <w:t>A Grandfathered patient may qualify for PBS-subsidised treatment under this restriction once only. For continuing PBS-subsidised treatment, a Grandfathered patient must qualify under the continuing treatment criteria.</w:t>
            </w:r>
          </w:p>
        </w:tc>
      </w:tr>
      <w:tr w:rsidR="00AD13DC" w:rsidRPr="001C59C3" w14:paraId="6DE34155" w14:textId="77777777" w:rsidTr="00E6334A">
        <w:tblPrEx>
          <w:tblCellMar>
            <w:top w:w="15" w:type="dxa"/>
            <w:left w:w="15" w:type="dxa"/>
            <w:bottom w:w="15" w:type="dxa"/>
            <w:right w:w="15" w:type="dxa"/>
          </w:tblCellMar>
        </w:tblPrEx>
        <w:tc>
          <w:tcPr>
            <w:tcW w:w="553" w:type="pct"/>
            <w:gridSpan w:val="2"/>
            <w:vAlign w:val="center"/>
          </w:tcPr>
          <w:p w14:paraId="161918D7" w14:textId="0921084B" w:rsidR="00AD13DC" w:rsidRPr="00946816" w:rsidRDefault="00AD13DC" w:rsidP="00776D51">
            <w:pPr>
              <w:jc w:val="center"/>
              <w:rPr>
                <w:rFonts w:ascii="Arial Narrow" w:hAnsi="Arial Narrow"/>
                <w:sz w:val="20"/>
                <w:szCs w:val="20"/>
              </w:rPr>
            </w:pPr>
          </w:p>
        </w:tc>
        <w:tc>
          <w:tcPr>
            <w:tcW w:w="4447" w:type="pct"/>
            <w:gridSpan w:val="6"/>
            <w:vAlign w:val="center"/>
          </w:tcPr>
          <w:p w14:paraId="5BDAA96D" w14:textId="77777777" w:rsidR="00AD13DC" w:rsidRPr="00946816" w:rsidRDefault="00AD13DC" w:rsidP="00776D51">
            <w:pPr>
              <w:rPr>
                <w:rFonts w:ascii="Arial Narrow" w:hAnsi="Arial Narrow"/>
                <w:b/>
                <w:bCs/>
                <w:sz w:val="20"/>
                <w:szCs w:val="20"/>
              </w:rPr>
            </w:pPr>
            <w:r w:rsidRPr="00946816">
              <w:rPr>
                <w:rFonts w:ascii="Arial Narrow" w:hAnsi="Arial Narrow"/>
                <w:b/>
                <w:bCs/>
                <w:sz w:val="20"/>
                <w:szCs w:val="20"/>
              </w:rPr>
              <w:t>Administrative advice:</w:t>
            </w:r>
          </w:p>
          <w:p w14:paraId="6EA292B6" w14:textId="77777777" w:rsidR="00AD13DC" w:rsidRPr="00946816" w:rsidRDefault="00AD13DC" w:rsidP="00776D51">
            <w:pPr>
              <w:rPr>
                <w:rFonts w:ascii="Arial Narrow" w:hAnsi="Arial Narrow"/>
                <w:b/>
                <w:bCs/>
                <w:sz w:val="20"/>
                <w:szCs w:val="20"/>
              </w:rPr>
            </w:pPr>
            <w:r w:rsidRPr="00946816">
              <w:rPr>
                <w:rFonts w:ascii="Arial Narrow" w:hAnsi="Arial Narrow"/>
                <w:sz w:val="20"/>
                <w:szCs w:val="20"/>
              </w:rPr>
              <w:t>This grandfather restriction will cease to operate from 12 months after the date specified in the clinical criteria</w:t>
            </w:r>
            <w:r w:rsidRPr="00946816">
              <w:rPr>
                <w:rFonts w:ascii="Arial Narrow" w:hAnsi="Arial Narrow"/>
                <w:b/>
                <w:bCs/>
                <w:sz w:val="20"/>
                <w:szCs w:val="20"/>
              </w:rPr>
              <w:t>.</w:t>
            </w:r>
          </w:p>
        </w:tc>
      </w:tr>
    </w:tbl>
    <w:p w14:paraId="519DC3A6" w14:textId="270FCD67" w:rsidR="00197D73" w:rsidRPr="001C59C3" w:rsidRDefault="00197D73" w:rsidP="00324330">
      <w:pPr>
        <w:tabs>
          <w:tab w:val="left" w:pos="1080"/>
        </w:tabs>
        <w:autoSpaceDE w:val="0"/>
        <w:autoSpaceDN w:val="0"/>
        <w:adjustRightInd w:val="0"/>
        <w:rPr>
          <w:rFonts w:ascii="Arial" w:hAnsi="Arial"/>
          <w:b/>
          <w:bCs/>
          <w:sz w:val="22"/>
          <w:szCs w:val="22"/>
        </w:rPr>
      </w:pPr>
    </w:p>
    <w:tbl>
      <w:tblPr>
        <w:tblStyle w:val="TableGrid1"/>
        <w:tblW w:w="0" w:type="auto"/>
        <w:tblInd w:w="0" w:type="dxa"/>
        <w:tblLayout w:type="fixed"/>
        <w:tblLook w:val="04A0" w:firstRow="1" w:lastRow="0" w:firstColumn="1" w:lastColumn="0" w:noHBand="0" w:noVBand="1"/>
      </w:tblPr>
      <w:tblGrid>
        <w:gridCol w:w="1413"/>
        <w:gridCol w:w="1134"/>
        <w:gridCol w:w="1559"/>
        <w:gridCol w:w="4911"/>
      </w:tblGrid>
      <w:tr w:rsidR="00E8470D" w:rsidRPr="001C59C3" w14:paraId="77CE96AC" w14:textId="77777777" w:rsidTr="00E8470D">
        <w:tc>
          <w:tcPr>
            <w:tcW w:w="1413" w:type="dxa"/>
            <w:tcBorders>
              <w:top w:val="single" w:sz="4" w:space="0" w:color="auto"/>
              <w:left w:val="single" w:sz="4" w:space="0" w:color="auto"/>
              <w:bottom w:val="single" w:sz="4" w:space="0" w:color="auto"/>
              <w:right w:val="single" w:sz="4" w:space="0" w:color="auto"/>
            </w:tcBorders>
            <w:hideMark/>
          </w:tcPr>
          <w:p w14:paraId="33EEE2E5" w14:textId="77777777" w:rsidR="00980E77" w:rsidRPr="001C59C3" w:rsidRDefault="00980E77" w:rsidP="00776D51">
            <w:pPr>
              <w:ind w:left="-57"/>
              <w:rPr>
                <w:rFonts w:ascii="Arial Narrow" w:hAnsi="Arial Narrow" w:cs="Calibri"/>
                <w:b/>
                <w:bCs/>
                <w:sz w:val="20"/>
                <w:szCs w:val="20"/>
              </w:rPr>
            </w:pPr>
            <w:r w:rsidRPr="001C59C3">
              <w:rPr>
                <w:rFonts w:ascii="Arial Narrow" w:hAnsi="Arial Narrow" w:cs="Calibri"/>
                <w:b/>
                <w:bCs/>
                <w:sz w:val="20"/>
                <w:szCs w:val="20"/>
              </w:rPr>
              <w:t>Document incorporated by reference</w:t>
            </w:r>
          </w:p>
        </w:tc>
        <w:tc>
          <w:tcPr>
            <w:tcW w:w="1134" w:type="dxa"/>
            <w:tcBorders>
              <w:top w:val="single" w:sz="4" w:space="0" w:color="auto"/>
              <w:left w:val="single" w:sz="4" w:space="0" w:color="auto"/>
              <w:bottom w:val="single" w:sz="4" w:space="0" w:color="auto"/>
              <w:right w:val="single" w:sz="4" w:space="0" w:color="auto"/>
            </w:tcBorders>
            <w:hideMark/>
          </w:tcPr>
          <w:p w14:paraId="6E834BB2" w14:textId="77777777" w:rsidR="00980E77" w:rsidRPr="001C59C3" w:rsidRDefault="00980E77" w:rsidP="00776D51">
            <w:pPr>
              <w:ind w:left="-57"/>
              <w:rPr>
                <w:rFonts w:ascii="Arial Narrow" w:hAnsi="Arial Narrow" w:cs="Calibri"/>
                <w:b/>
                <w:bCs/>
                <w:sz w:val="20"/>
                <w:szCs w:val="20"/>
              </w:rPr>
            </w:pPr>
            <w:r w:rsidRPr="001C59C3">
              <w:rPr>
                <w:rFonts w:ascii="Arial Narrow" w:hAnsi="Arial Narrow" w:cs="Calibri"/>
                <w:b/>
                <w:bCs/>
                <w:sz w:val="20"/>
                <w:szCs w:val="20"/>
              </w:rPr>
              <w:t>Listed drug</w:t>
            </w:r>
          </w:p>
        </w:tc>
        <w:tc>
          <w:tcPr>
            <w:tcW w:w="1559" w:type="dxa"/>
            <w:tcBorders>
              <w:top w:val="single" w:sz="4" w:space="0" w:color="auto"/>
              <w:left w:val="single" w:sz="4" w:space="0" w:color="auto"/>
              <w:bottom w:val="single" w:sz="4" w:space="0" w:color="auto"/>
              <w:right w:val="single" w:sz="4" w:space="0" w:color="auto"/>
            </w:tcBorders>
            <w:hideMark/>
          </w:tcPr>
          <w:p w14:paraId="3DFBEA12" w14:textId="77777777" w:rsidR="00980E77" w:rsidRPr="001C59C3" w:rsidRDefault="00980E77" w:rsidP="00776D51">
            <w:pPr>
              <w:ind w:left="-57"/>
              <w:rPr>
                <w:rFonts w:ascii="Arial Narrow" w:hAnsi="Arial Narrow" w:cs="Calibri"/>
                <w:b/>
                <w:bCs/>
                <w:sz w:val="20"/>
                <w:szCs w:val="20"/>
              </w:rPr>
            </w:pPr>
            <w:r w:rsidRPr="001C59C3">
              <w:rPr>
                <w:rFonts w:ascii="Arial Narrow" w:hAnsi="Arial Narrow" w:cs="Calibri"/>
                <w:b/>
                <w:bCs/>
                <w:sz w:val="20"/>
                <w:szCs w:val="20"/>
              </w:rPr>
              <w:t>Description of document</w:t>
            </w:r>
          </w:p>
        </w:tc>
        <w:tc>
          <w:tcPr>
            <w:tcW w:w="4911" w:type="dxa"/>
            <w:tcBorders>
              <w:top w:val="single" w:sz="4" w:space="0" w:color="auto"/>
              <w:left w:val="single" w:sz="4" w:space="0" w:color="auto"/>
              <w:bottom w:val="single" w:sz="4" w:space="0" w:color="auto"/>
              <w:right w:val="single" w:sz="4" w:space="0" w:color="auto"/>
            </w:tcBorders>
            <w:hideMark/>
          </w:tcPr>
          <w:p w14:paraId="044F7881" w14:textId="77777777" w:rsidR="00980E77" w:rsidRPr="001C59C3" w:rsidRDefault="00980E77" w:rsidP="00776D51">
            <w:pPr>
              <w:ind w:left="-57"/>
              <w:rPr>
                <w:rFonts w:ascii="Arial Narrow" w:hAnsi="Arial Narrow" w:cs="Calibri"/>
                <w:b/>
                <w:bCs/>
                <w:sz w:val="20"/>
                <w:szCs w:val="20"/>
              </w:rPr>
            </w:pPr>
            <w:r w:rsidRPr="001C59C3">
              <w:rPr>
                <w:rFonts w:ascii="Arial Narrow" w:hAnsi="Arial Narrow" w:cs="Calibri"/>
                <w:b/>
                <w:bCs/>
                <w:sz w:val="20"/>
                <w:szCs w:val="20"/>
              </w:rPr>
              <w:t>Document access</w:t>
            </w:r>
          </w:p>
        </w:tc>
      </w:tr>
      <w:tr w:rsidR="00E8470D" w:rsidRPr="001C59C3" w14:paraId="1F4CE2D2" w14:textId="77777777" w:rsidTr="00E6334A">
        <w:trPr>
          <w:trHeight w:val="3541"/>
        </w:trPr>
        <w:tc>
          <w:tcPr>
            <w:tcW w:w="1413" w:type="dxa"/>
            <w:tcBorders>
              <w:top w:val="single" w:sz="4" w:space="0" w:color="auto"/>
              <w:left w:val="single" w:sz="4" w:space="0" w:color="auto"/>
              <w:bottom w:val="single" w:sz="4" w:space="0" w:color="auto"/>
              <w:right w:val="single" w:sz="4" w:space="0" w:color="auto"/>
            </w:tcBorders>
          </w:tcPr>
          <w:p w14:paraId="4B772BF6" w14:textId="77777777" w:rsidR="00980E77" w:rsidRPr="001C59C3" w:rsidRDefault="00980E77" w:rsidP="00980E77">
            <w:pPr>
              <w:ind w:left="-57"/>
              <w:jc w:val="left"/>
              <w:rPr>
                <w:rFonts w:ascii="Arial Narrow" w:hAnsi="Arial Narrow" w:cs="Calibri"/>
                <w:sz w:val="20"/>
                <w:szCs w:val="20"/>
              </w:rPr>
            </w:pPr>
            <w:r w:rsidRPr="001C59C3">
              <w:rPr>
                <w:rFonts w:ascii="Arial Narrow" w:hAnsi="Arial Narrow"/>
                <w:sz w:val="20"/>
                <w:szCs w:val="20"/>
                <w:lang w:eastAsia="en-AU"/>
              </w:rPr>
              <w:t>24-hour Worst Itching Intensity Numerical Rating Scale (WI-NRS)</w:t>
            </w:r>
          </w:p>
        </w:tc>
        <w:tc>
          <w:tcPr>
            <w:tcW w:w="1134" w:type="dxa"/>
            <w:tcBorders>
              <w:top w:val="single" w:sz="4" w:space="0" w:color="auto"/>
              <w:left w:val="single" w:sz="4" w:space="0" w:color="auto"/>
              <w:bottom w:val="single" w:sz="4" w:space="0" w:color="auto"/>
              <w:right w:val="single" w:sz="4" w:space="0" w:color="auto"/>
            </w:tcBorders>
          </w:tcPr>
          <w:p w14:paraId="35DE505D" w14:textId="77777777" w:rsidR="00980E77" w:rsidRPr="001C59C3" w:rsidRDefault="00980E77" w:rsidP="00980E77">
            <w:pPr>
              <w:ind w:left="-57"/>
              <w:jc w:val="left"/>
              <w:rPr>
                <w:rFonts w:ascii="Arial Narrow" w:hAnsi="Arial Narrow" w:cs="Calibri"/>
                <w:sz w:val="20"/>
                <w:szCs w:val="20"/>
              </w:rPr>
            </w:pPr>
            <w:r w:rsidRPr="001C59C3">
              <w:rPr>
                <w:rFonts w:ascii="Arial Narrow" w:hAnsi="Arial Narrow" w:cs="Calibri"/>
                <w:sz w:val="20"/>
                <w:szCs w:val="20"/>
              </w:rPr>
              <w:t>Difelikefalin</w:t>
            </w:r>
          </w:p>
        </w:tc>
        <w:tc>
          <w:tcPr>
            <w:tcW w:w="1559" w:type="dxa"/>
            <w:tcBorders>
              <w:top w:val="single" w:sz="4" w:space="0" w:color="auto"/>
              <w:left w:val="single" w:sz="4" w:space="0" w:color="auto"/>
              <w:bottom w:val="single" w:sz="4" w:space="0" w:color="auto"/>
              <w:right w:val="single" w:sz="4" w:space="0" w:color="auto"/>
            </w:tcBorders>
          </w:tcPr>
          <w:p w14:paraId="28D19F66" w14:textId="5D8C2F72" w:rsidR="00A542DA" w:rsidRPr="001C59C3" w:rsidRDefault="00980E77" w:rsidP="00980E77">
            <w:pPr>
              <w:autoSpaceDE w:val="0"/>
              <w:autoSpaceDN w:val="0"/>
              <w:adjustRightInd w:val="0"/>
              <w:jc w:val="left"/>
              <w:rPr>
                <w:rFonts w:ascii="Arial Narrow" w:eastAsia="TimesNewRoman" w:hAnsi="Arial Narrow"/>
                <w:sz w:val="20"/>
                <w:szCs w:val="20"/>
                <w:lang w:eastAsia="en-AU"/>
              </w:rPr>
            </w:pPr>
            <w:r w:rsidRPr="001C59C3">
              <w:rPr>
                <w:rFonts w:ascii="Arial Narrow" w:eastAsia="TimesNewRoman" w:hAnsi="Arial Narrow"/>
                <w:sz w:val="20"/>
                <w:szCs w:val="20"/>
                <w:lang w:eastAsia="en-AU"/>
              </w:rPr>
              <w:t>WI-NRS measures itching intensity over 24 hours</w:t>
            </w:r>
            <w:r w:rsidR="00E8470D" w:rsidRPr="001C59C3">
              <w:rPr>
                <w:rFonts w:ascii="Arial Narrow" w:eastAsia="TimesNewRoman" w:hAnsi="Arial Narrow"/>
                <w:sz w:val="20"/>
                <w:szCs w:val="20"/>
                <w:lang w:eastAsia="en-AU"/>
              </w:rPr>
              <w:t>.</w:t>
            </w:r>
            <w:r w:rsidRPr="001C59C3">
              <w:rPr>
                <w:rFonts w:ascii="Arial Narrow" w:eastAsia="TimesNewRoman" w:hAnsi="Arial Narrow"/>
                <w:sz w:val="20"/>
                <w:szCs w:val="20"/>
                <w:lang w:eastAsia="en-AU"/>
              </w:rPr>
              <w:t xml:space="preserve"> </w:t>
            </w:r>
          </w:p>
          <w:p w14:paraId="3145B54B" w14:textId="280EF423" w:rsidR="00A542DA" w:rsidRPr="001C59C3" w:rsidRDefault="00A542DA" w:rsidP="00980E77">
            <w:pPr>
              <w:autoSpaceDE w:val="0"/>
              <w:autoSpaceDN w:val="0"/>
              <w:adjustRightInd w:val="0"/>
              <w:jc w:val="left"/>
              <w:rPr>
                <w:rFonts w:ascii="Arial Narrow" w:eastAsia="TimesNewRoman" w:hAnsi="Arial Narrow"/>
                <w:sz w:val="20"/>
                <w:szCs w:val="20"/>
              </w:rPr>
            </w:pPr>
            <w:r w:rsidRPr="001C59C3">
              <w:rPr>
                <w:rFonts w:ascii="Arial Narrow" w:eastAsia="TimesNewRoman" w:hAnsi="Arial Narrow"/>
                <w:sz w:val="20"/>
                <w:szCs w:val="20"/>
              </w:rPr>
              <w:t xml:space="preserve">instrument is provided as “Supplementary Materials” for which there is a </w:t>
            </w:r>
            <w:r w:rsidR="00E8470D" w:rsidRPr="001C59C3">
              <w:rPr>
                <w:rFonts w:ascii="Arial Narrow" w:eastAsia="TimesNewRoman" w:hAnsi="Arial Narrow"/>
                <w:sz w:val="20"/>
                <w:szCs w:val="20"/>
              </w:rPr>
              <w:t>weblink.</w:t>
            </w:r>
            <w:r w:rsidRPr="001C59C3">
              <w:rPr>
                <w:rFonts w:ascii="Arial Narrow" w:eastAsia="TimesNewRoman" w:hAnsi="Arial Narrow"/>
                <w:sz w:val="20"/>
                <w:szCs w:val="20"/>
              </w:rPr>
              <w:t xml:space="preserve"> </w:t>
            </w:r>
          </w:p>
          <w:p w14:paraId="2CBDCB04" w14:textId="3AEE0B02" w:rsidR="00980E77" w:rsidRPr="001C59C3" w:rsidRDefault="00980E77" w:rsidP="00980E77">
            <w:pPr>
              <w:autoSpaceDE w:val="0"/>
              <w:autoSpaceDN w:val="0"/>
              <w:adjustRightInd w:val="0"/>
              <w:jc w:val="left"/>
              <w:rPr>
                <w:rFonts w:ascii="Arial Narrow" w:hAnsi="Arial Narrow" w:cs="Calibri"/>
                <w:sz w:val="20"/>
                <w:szCs w:val="20"/>
              </w:rPr>
            </w:pPr>
          </w:p>
        </w:tc>
        <w:tc>
          <w:tcPr>
            <w:tcW w:w="4911" w:type="dxa"/>
            <w:tcBorders>
              <w:top w:val="single" w:sz="4" w:space="0" w:color="auto"/>
              <w:left w:val="single" w:sz="4" w:space="0" w:color="auto"/>
              <w:bottom w:val="single" w:sz="4" w:space="0" w:color="auto"/>
              <w:right w:val="single" w:sz="4" w:space="0" w:color="auto"/>
            </w:tcBorders>
          </w:tcPr>
          <w:p w14:paraId="37B4AC94" w14:textId="37A9F08D" w:rsidR="00A542DA" w:rsidRPr="001C59C3" w:rsidRDefault="00A542DA" w:rsidP="00A542DA">
            <w:pPr>
              <w:autoSpaceDE w:val="0"/>
              <w:autoSpaceDN w:val="0"/>
              <w:adjustRightInd w:val="0"/>
              <w:rPr>
                <w:rFonts w:ascii="Arial Narrow" w:eastAsia="TimesNewRoman" w:hAnsi="Arial Narrow"/>
                <w:i/>
                <w:iCs/>
                <w:sz w:val="20"/>
                <w:szCs w:val="20"/>
              </w:rPr>
            </w:pPr>
            <w:r w:rsidRPr="001C59C3">
              <w:rPr>
                <w:rFonts w:ascii="Arial Narrow" w:eastAsia="TimesNewRoman" w:hAnsi="Arial Narrow"/>
                <w:sz w:val="20"/>
                <w:szCs w:val="20"/>
              </w:rPr>
              <w:t>Key publication</w:t>
            </w:r>
            <w:r w:rsidRPr="001C59C3">
              <w:rPr>
                <w:rFonts w:ascii="Arial Narrow" w:eastAsia="TimesNewRoman" w:hAnsi="Arial Narrow"/>
                <w:i/>
                <w:iCs/>
                <w:sz w:val="20"/>
                <w:szCs w:val="20"/>
              </w:rPr>
              <w:t>:</w:t>
            </w:r>
          </w:p>
          <w:p w14:paraId="221225C1" w14:textId="77777777" w:rsidR="00980E77" w:rsidRPr="001C59C3" w:rsidRDefault="00980E77" w:rsidP="00980E77">
            <w:pPr>
              <w:autoSpaceDE w:val="0"/>
              <w:autoSpaceDN w:val="0"/>
              <w:adjustRightInd w:val="0"/>
              <w:jc w:val="left"/>
              <w:rPr>
                <w:rFonts w:ascii="Arial Narrow" w:hAnsi="Arial Narrow"/>
                <w:sz w:val="20"/>
                <w:szCs w:val="20"/>
              </w:rPr>
            </w:pPr>
            <w:r w:rsidRPr="001C59C3">
              <w:rPr>
                <w:rFonts w:ascii="Arial Narrow" w:hAnsi="Arial Narrow"/>
                <w:sz w:val="20"/>
                <w:szCs w:val="20"/>
              </w:rPr>
              <w:t>Vernon MK, Swett LL, Speck RM, et al. Psychometric validation and meaningful change thresholds of the Worst Itching Intensity Numerical Rating Scale for assessing itch in patients with chronic kidney disease-associated pruritus. J Patient Rep Outcomes. 2021;5(1):134. Published 2021 Dec 24. doi:10.1186/s41687-021-00404-z</w:t>
            </w:r>
          </w:p>
          <w:p w14:paraId="313C252E" w14:textId="77777777" w:rsidR="00A542DA" w:rsidRPr="001C59C3" w:rsidRDefault="00A542DA" w:rsidP="00980E77">
            <w:pPr>
              <w:autoSpaceDE w:val="0"/>
              <w:autoSpaceDN w:val="0"/>
              <w:adjustRightInd w:val="0"/>
              <w:jc w:val="left"/>
              <w:rPr>
                <w:rFonts w:ascii="Arial Narrow" w:hAnsi="Arial Narrow"/>
                <w:sz w:val="20"/>
                <w:szCs w:val="20"/>
              </w:rPr>
            </w:pPr>
          </w:p>
          <w:p w14:paraId="363A15DB" w14:textId="100F6A22" w:rsidR="00A542DA" w:rsidRPr="001A531C" w:rsidRDefault="00A542DA" w:rsidP="00A542DA">
            <w:pPr>
              <w:autoSpaceDE w:val="0"/>
              <w:autoSpaceDN w:val="0"/>
              <w:adjustRightInd w:val="0"/>
              <w:jc w:val="left"/>
              <w:rPr>
                <w:rFonts w:ascii="Arial Narrow" w:hAnsi="Arial Narrow"/>
                <w:sz w:val="20"/>
                <w:szCs w:val="20"/>
              </w:rPr>
            </w:pPr>
            <w:r w:rsidRPr="001A531C">
              <w:rPr>
                <w:rFonts w:ascii="Arial Narrow" w:hAnsi="Arial Narrow"/>
                <w:sz w:val="20"/>
                <w:szCs w:val="20"/>
              </w:rPr>
              <w:t xml:space="preserve">PDF link:  </w:t>
            </w:r>
            <w:hyperlink r:id="rId13" w:history="1">
              <w:r w:rsidRPr="001A531C">
                <w:rPr>
                  <w:rStyle w:val="Hyperlink"/>
                  <w:rFonts w:ascii="Arial Narrow" w:hAnsi="Arial Narrow"/>
                  <w:sz w:val="20"/>
                  <w:szCs w:val="20"/>
                </w:rPr>
                <w:t>www.ncbi.nlm.nih.gov/pmc/articles/PMC8709801/pdf/41687_2021_Article_404.pdf</w:t>
              </w:r>
            </w:hyperlink>
          </w:p>
          <w:p w14:paraId="3A675492" w14:textId="77777777" w:rsidR="00A542DA" w:rsidRPr="001A531C" w:rsidRDefault="00A542DA" w:rsidP="00A542DA">
            <w:pPr>
              <w:autoSpaceDE w:val="0"/>
              <w:autoSpaceDN w:val="0"/>
              <w:adjustRightInd w:val="0"/>
              <w:jc w:val="left"/>
              <w:rPr>
                <w:rFonts w:ascii="Arial Narrow" w:hAnsi="Arial Narrow"/>
                <w:sz w:val="20"/>
                <w:szCs w:val="20"/>
              </w:rPr>
            </w:pPr>
          </w:p>
          <w:p w14:paraId="1FEDD3AD" w14:textId="7ADBD478" w:rsidR="00A542DA" w:rsidRPr="001C59C3" w:rsidRDefault="00A542DA" w:rsidP="00A542DA">
            <w:pPr>
              <w:pStyle w:val="CommentText"/>
              <w:rPr>
                <w:rFonts w:ascii="Arial Narrow" w:hAnsi="Arial Narrow"/>
              </w:rPr>
            </w:pPr>
            <w:r w:rsidRPr="001C59C3">
              <w:rPr>
                <w:rFonts w:ascii="Arial Narrow" w:hAnsi="Arial Narrow"/>
              </w:rPr>
              <w:t>Journal link:</w:t>
            </w:r>
          </w:p>
          <w:p w14:paraId="3790B1C0" w14:textId="5BF7B1B3" w:rsidR="00A542DA" w:rsidRPr="00E6334A" w:rsidRDefault="00690B5F" w:rsidP="00E6334A">
            <w:pPr>
              <w:pStyle w:val="CommentText"/>
            </w:pPr>
            <w:hyperlink r:id="rId14" w:history="1">
              <w:r w:rsidR="00A542DA" w:rsidRPr="001C59C3">
                <w:rPr>
                  <w:rStyle w:val="Hyperlink"/>
                  <w:rFonts w:ascii="Arial Narrow" w:hAnsi="Arial Narrow"/>
                </w:rPr>
                <w:t>https://jpro.springeropen.com/articles/10.1186/s41687-021-00404-z</w:t>
              </w:r>
            </w:hyperlink>
          </w:p>
          <w:p w14:paraId="08221A05" w14:textId="24717FAF" w:rsidR="00A542DA" w:rsidRPr="001C59C3" w:rsidRDefault="00A542DA" w:rsidP="00980E77">
            <w:pPr>
              <w:autoSpaceDE w:val="0"/>
              <w:autoSpaceDN w:val="0"/>
              <w:adjustRightInd w:val="0"/>
              <w:jc w:val="left"/>
              <w:rPr>
                <w:rFonts w:ascii="Arial Narrow" w:hAnsi="Arial Narrow" w:cs="Calibri"/>
                <w:sz w:val="20"/>
                <w:szCs w:val="20"/>
              </w:rPr>
            </w:pPr>
          </w:p>
        </w:tc>
      </w:tr>
    </w:tbl>
    <w:p w14:paraId="2447A3D7" w14:textId="6B652FA7" w:rsidR="00980E77" w:rsidRPr="001C59C3" w:rsidRDefault="00980E77" w:rsidP="00324330">
      <w:pPr>
        <w:tabs>
          <w:tab w:val="left" w:pos="1080"/>
        </w:tabs>
        <w:autoSpaceDE w:val="0"/>
        <w:autoSpaceDN w:val="0"/>
        <w:adjustRightInd w:val="0"/>
        <w:rPr>
          <w:rFonts w:ascii="Arial" w:hAnsi="Arial"/>
          <w:b/>
          <w:bCs/>
          <w:sz w:val="22"/>
          <w:szCs w:val="22"/>
        </w:rPr>
      </w:pPr>
    </w:p>
    <w:p w14:paraId="12B5A33F" w14:textId="540CF1EA" w:rsidR="000F7A61" w:rsidRPr="001C59C3" w:rsidRDefault="00E6334A" w:rsidP="000F7A61">
      <w:pPr>
        <w:pStyle w:val="COMexecsumnumberedpara"/>
        <w:numPr>
          <w:ilvl w:val="0"/>
          <w:numId w:val="0"/>
        </w:numPr>
        <w:rPr>
          <w:color w:val="0066FF"/>
        </w:rPr>
      </w:pPr>
      <w:r w:rsidRPr="00BB6D30">
        <w:rPr>
          <w:b/>
          <w:bCs/>
          <w:i/>
          <w:szCs w:val="22"/>
        </w:rPr>
        <w:t>This restriction may be subject to further review. Should there be any changes made to the restriction the sponsor will be informed</w:t>
      </w:r>
      <w:r w:rsidRPr="007F262A">
        <w:rPr>
          <w:szCs w:val="22"/>
        </w:rPr>
        <w:t>.</w:t>
      </w:r>
    </w:p>
    <w:p w14:paraId="237EFC8B" w14:textId="77777777" w:rsidR="001634BC" w:rsidRDefault="001634BC" w:rsidP="001634BC">
      <w:pPr>
        <w:pStyle w:val="COMH1numbered"/>
        <w:numPr>
          <w:ilvl w:val="0"/>
          <w:numId w:val="0"/>
        </w:numPr>
        <w:ind w:left="720" w:hanging="720"/>
        <w:rPr>
          <w:bCs/>
          <w:lang w:val="en-GB"/>
        </w:rPr>
      </w:pPr>
      <w:r w:rsidRPr="00C07617">
        <w:t>9</w:t>
      </w:r>
      <w:r w:rsidRPr="00C07617">
        <w:tab/>
        <w:t>Context for Decision</w:t>
      </w:r>
    </w:p>
    <w:p w14:paraId="59AB1F82" w14:textId="77777777" w:rsidR="001634BC" w:rsidRPr="00311EEF" w:rsidRDefault="001634BC" w:rsidP="001634BC">
      <w:pPr>
        <w:spacing w:after="120"/>
        <w:ind w:left="720"/>
        <w:rPr>
          <w:rFonts w:asciiTheme="minorHAnsi" w:hAnsiTheme="minorHAnsi"/>
          <w:bCs/>
          <w:lang w:val="en-GB"/>
        </w:rPr>
      </w:pPr>
      <w:r w:rsidRPr="00311EEF">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4E4B537" w14:textId="77777777" w:rsidR="001634BC" w:rsidRPr="00311EEF" w:rsidRDefault="001634BC" w:rsidP="001634BC">
      <w:pPr>
        <w:pStyle w:val="COMH1numbered"/>
        <w:numPr>
          <w:ilvl w:val="0"/>
          <w:numId w:val="0"/>
        </w:numPr>
        <w:ind w:left="720" w:hanging="720"/>
      </w:pPr>
      <w:r w:rsidRPr="00311EEF">
        <w:t>10</w:t>
      </w:r>
      <w:r>
        <w:tab/>
      </w:r>
      <w:r w:rsidRPr="00311EEF">
        <w:t>Sponsor’s Comment</w:t>
      </w:r>
    </w:p>
    <w:p w14:paraId="5C4266B0" w14:textId="77777777" w:rsidR="001634BC" w:rsidRPr="001179AC" w:rsidRDefault="001634BC" w:rsidP="001634BC">
      <w:pPr>
        <w:spacing w:after="120"/>
        <w:ind w:left="720"/>
        <w:rPr>
          <w:rFonts w:asciiTheme="minorHAnsi" w:hAnsiTheme="minorHAnsi"/>
          <w:bCs/>
        </w:rPr>
      </w:pPr>
      <w:r w:rsidRPr="00C07617">
        <w:rPr>
          <w:rFonts w:asciiTheme="minorHAnsi" w:hAnsiTheme="minorHAnsi"/>
          <w:bCs/>
        </w:rPr>
        <w:t>The sponsor had no comment.</w:t>
      </w:r>
    </w:p>
    <w:p w14:paraId="46EF28A2" w14:textId="1077654A" w:rsidR="00753B29" w:rsidRPr="001C59C3" w:rsidRDefault="00753B29">
      <w:pPr>
        <w:jc w:val="left"/>
        <w:rPr>
          <w:b/>
          <w:caps/>
          <w:sz w:val="32"/>
        </w:rPr>
      </w:pPr>
    </w:p>
    <w:sectPr w:rsidR="00753B29" w:rsidRPr="001C59C3" w:rsidSect="00C374DC">
      <w:headerReference w:type="even" r:id="rId15"/>
      <w:headerReference w:type="default" r:id="rId16"/>
      <w:footerReference w:type="even" r:id="rId17"/>
      <w:footerReference w:type="default" r:id="rId18"/>
      <w:headerReference w:type="first" r:id="rId19"/>
      <w:footerReference w:type="first" r:id="rId20"/>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3C6CF" w14:textId="77777777" w:rsidR="00680AAD" w:rsidRDefault="00680AAD" w:rsidP="00124A51">
      <w:r>
        <w:separator/>
      </w:r>
    </w:p>
    <w:p w14:paraId="077EEEFC" w14:textId="77777777" w:rsidR="00680AAD" w:rsidRDefault="00680AAD"/>
    <w:p w14:paraId="2BA2EFB9" w14:textId="77777777" w:rsidR="00680AAD" w:rsidRDefault="00680AAD"/>
    <w:p w14:paraId="17194858" w14:textId="77777777" w:rsidR="003B4F6D" w:rsidRDefault="003B4F6D"/>
  </w:endnote>
  <w:endnote w:type="continuationSeparator" w:id="0">
    <w:p w14:paraId="591EF8A6" w14:textId="77777777" w:rsidR="00680AAD" w:rsidRDefault="00680AAD" w:rsidP="00124A51">
      <w:r>
        <w:continuationSeparator/>
      </w:r>
    </w:p>
    <w:p w14:paraId="1435D405" w14:textId="77777777" w:rsidR="00680AAD" w:rsidRDefault="00680AAD"/>
    <w:p w14:paraId="701383E1" w14:textId="77777777" w:rsidR="00680AAD" w:rsidRDefault="00680AAD"/>
    <w:p w14:paraId="4C5E0259" w14:textId="77777777" w:rsidR="003B4F6D" w:rsidRDefault="003B4F6D"/>
  </w:endnote>
  <w:endnote w:type="continuationNotice" w:id="1">
    <w:p w14:paraId="0A5A138C" w14:textId="77777777" w:rsidR="00680AAD" w:rsidRDefault="00680AAD"/>
    <w:p w14:paraId="62BFD655" w14:textId="77777777" w:rsidR="003B4F6D" w:rsidRDefault="003B4F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NewRoman">
    <w:altName w:val="Yu Gothic UI"/>
    <w:panose1 w:val="00000000000000000000"/>
    <w:charset w:val="80"/>
    <w:family w:val="auto"/>
    <w:notTrueType/>
    <w:pitch w:val="default"/>
    <w:sig w:usb0="00000001" w:usb1="09070000" w:usb2="00000010" w:usb3="00000000" w:csb0="000A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E4DE3" w14:textId="77777777" w:rsidR="00C46F5E" w:rsidRDefault="00C46F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3511" w14:textId="67DAD566" w:rsidR="00D843F2" w:rsidRDefault="00D843F2" w:rsidP="00753B29">
    <w:pPr>
      <w:jc w:val="center"/>
    </w:pPr>
  </w:p>
  <w:p w14:paraId="6C821C59" w14:textId="1751F7BE" w:rsidR="003B4F6D" w:rsidRDefault="00690B5F" w:rsidP="00D014A3">
    <w:pPr>
      <w:jc w:val="center"/>
    </w:pPr>
    <w:sdt>
      <w:sdtPr>
        <w:id w:val="1036156457"/>
        <w:docPartObj>
          <w:docPartGallery w:val="Page Numbers (Bottom of Page)"/>
          <w:docPartUnique/>
        </w:docPartObj>
      </w:sdtPr>
      <w:sdtEndPr>
        <w:rPr>
          <w:noProof/>
        </w:rPr>
      </w:sdtEndPr>
      <w:sdtContent>
        <w:r w:rsidR="00D843F2" w:rsidRPr="001A531C">
          <w:rPr>
            <w:b/>
            <w:bCs/>
          </w:rPr>
          <w:fldChar w:fldCharType="begin"/>
        </w:r>
        <w:r w:rsidR="00D843F2" w:rsidRPr="001A531C">
          <w:rPr>
            <w:b/>
            <w:bCs/>
          </w:rPr>
          <w:instrText xml:space="preserve"> PAGE   \* MERGEFORMAT </w:instrText>
        </w:r>
        <w:r w:rsidR="00D843F2" w:rsidRPr="001A531C">
          <w:rPr>
            <w:b/>
            <w:bCs/>
          </w:rPr>
          <w:fldChar w:fldCharType="separate"/>
        </w:r>
        <w:r w:rsidR="00D843F2" w:rsidRPr="001A531C">
          <w:rPr>
            <w:b/>
            <w:bCs/>
            <w:noProof/>
          </w:rPr>
          <w:t>2</w:t>
        </w:r>
        <w:r w:rsidR="00D843F2" w:rsidRPr="001A531C">
          <w:rPr>
            <w:b/>
            <w:bCs/>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E7E14" w14:textId="77777777" w:rsidR="00C46F5E" w:rsidRDefault="00C46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35080" w14:textId="77777777" w:rsidR="00680AAD" w:rsidRDefault="00680AAD" w:rsidP="00124A51">
      <w:r>
        <w:separator/>
      </w:r>
    </w:p>
    <w:p w14:paraId="2E641DF6" w14:textId="77777777" w:rsidR="00680AAD" w:rsidRDefault="00680AAD"/>
    <w:p w14:paraId="51DE2994" w14:textId="77777777" w:rsidR="00680AAD" w:rsidRDefault="00680AAD"/>
    <w:p w14:paraId="4B348CF3" w14:textId="77777777" w:rsidR="003B4F6D" w:rsidRDefault="003B4F6D"/>
  </w:footnote>
  <w:footnote w:type="continuationSeparator" w:id="0">
    <w:p w14:paraId="0C362C83" w14:textId="77777777" w:rsidR="00680AAD" w:rsidRDefault="00680AAD" w:rsidP="00124A51">
      <w:r>
        <w:continuationSeparator/>
      </w:r>
    </w:p>
    <w:p w14:paraId="15564767" w14:textId="77777777" w:rsidR="00680AAD" w:rsidRDefault="00680AAD"/>
    <w:p w14:paraId="29FDFB88" w14:textId="77777777" w:rsidR="00680AAD" w:rsidRDefault="00680AAD"/>
    <w:p w14:paraId="037E37CF" w14:textId="77777777" w:rsidR="003B4F6D" w:rsidRDefault="003B4F6D"/>
  </w:footnote>
  <w:footnote w:type="continuationNotice" w:id="1">
    <w:p w14:paraId="23C0AEC7" w14:textId="77777777" w:rsidR="00680AAD" w:rsidRDefault="00680AAD"/>
    <w:p w14:paraId="353FF979" w14:textId="77777777" w:rsidR="003B4F6D" w:rsidRDefault="003B4F6D"/>
  </w:footnote>
  <w:footnote w:id="2">
    <w:p w14:paraId="30A17740" w14:textId="422A4BF7" w:rsidR="005C6324" w:rsidRPr="005C6324" w:rsidRDefault="005C6324">
      <w:pPr>
        <w:pStyle w:val="FootnoteText"/>
        <w:rPr>
          <w:rFonts w:asciiTheme="minorHAnsi" w:hAnsiTheme="minorHAnsi" w:cstheme="minorHAnsi"/>
          <w:i/>
          <w:iCs/>
        </w:rPr>
      </w:pPr>
      <w:r w:rsidRPr="005C6324">
        <w:rPr>
          <w:rStyle w:val="FootnoteReference"/>
          <w:i/>
          <w:iCs/>
        </w:rPr>
        <w:footnoteRef/>
      </w:r>
      <w:r w:rsidRPr="005C6324">
        <w:rPr>
          <w:i/>
          <w:iCs/>
        </w:rPr>
        <w:t xml:space="preserve"> </w:t>
      </w:r>
      <w:r w:rsidRPr="005C6324">
        <w:rPr>
          <w:rFonts w:asciiTheme="minorHAnsi" w:hAnsiTheme="minorHAnsi" w:cstheme="minorHAnsi"/>
          <w:i/>
          <w:iCs/>
          <w:color w:val="212121"/>
          <w:shd w:val="clear" w:color="auto" w:fill="FFFFFF"/>
        </w:rPr>
        <w:t>Vernon MK, Swett LL, Speck RM, et al. Psychometric validation and meaningful change thresholds of the Worst Itching Intensity Numerical Rating Scale for assessing itch in patients with chronic kidney disease-associated pruritus. J Patient Rep Outcomes. 2021;5(1):134. Published 2021 Dec 24. doi:10.1186/s41687-021-00404-z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985F7" w14:textId="77777777" w:rsidR="00C46F5E" w:rsidRDefault="00C46F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E204" w14:textId="7A21FA45" w:rsidR="00D843F2" w:rsidRPr="00195452" w:rsidRDefault="003616D6" w:rsidP="003C2DE2">
    <w:pPr>
      <w:jc w:val="center"/>
      <w:rPr>
        <w:rFonts w:asciiTheme="minorHAnsi" w:hAnsiTheme="minorHAnsi"/>
        <w:i/>
        <w:color w:val="808080"/>
      </w:rPr>
    </w:pPr>
    <w:r>
      <w:rPr>
        <w:rFonts w:asciiTheme="minorHAnsi" w:hAnsiTheme="minorHAnsi"/>
        <w:i/>
        <w:color w:val="808080"/>
      </w:rPr>
      <w:t>Public Summary Document</w:t>
    </w:r>
    <w:r w:rsidR="00B10F3B">
      <w:rPr>
        <w:rFonts w:asciiTheme="minorHAnsi" w:hAnsiTheme="minorHAnsi"/>
        <w:i/>
        <w:color w:val="808080"/>
      </w:rPr>
      <w:t xml:space="preserve"> - </w:t>
    </w:r>
    <w:r w:rsidR="00C12656">
      <w:rPr>
        <w:rFonts w:asciiTheme="minorHAnsi" w:hAnsiTheme="minorHAnsi"/>
        <w:i/>
        <w:color w:val="808080"/>
      </w:rPr>
      <w:t>November 2023</w:t>
    </w:r>
    <w:r w:rsidR="00D843F2">
      <w:rPr>
        <w:rFonts w:asciiTheme="minorHAnsi" w:hAnsiTheme="minorHAnsi"/>
        <w:i/>
        <w:color w:val="808080"/>
      </w:rPr>
      <w:t xml:space="preserve"> </w:t>
    </w:r>
    <w:r w:rsidR="00D843F2" w:rsidRPr="00195452">
      <w:rPr>
        <w:rFonts w:asciiTheme="minorHAnsi" w:hAnsiTheme="minorHAnsi"/>
        <w:i/>
        <w:color w:val="808080"/>
      </w:rPr>
      <w:t>PBAC Meeting</w:t>
    </w:r>
  </w:p>
  <w:p w14:paraId="481BD8B9" w14:textId="77777777" w:rsidR="003B4F6D" w:rsidRDefault="003B4F6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6C886" w14:textId="77777777" w:rsidR="00C46F5E" w:rsidRDefault="00C46F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73EC6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710FE"/>
    <w:multiLevelType w:val="hybridMultilevel"/>
    <w:tmpl w:val="38FEDA56"/>
    <w:lvl w:ilvl="0" w:tplc="C6F659A0">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42D5942"/>
    <w:multiLevelType w:val="hybridMultilevel"/>
    <w:tmpl w:val="21BEEF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79A5BC8"/>
    <w:multiLevelType w:val="hybridMultilevel"/>
    <w:tmpl w:val="FF9495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FB597D"/>
    <w:multiLevelType w:val="hybridMultilevel"/>
    <w:tmpl w:val="C270F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053F11"/>
    <w:multiLevelType w:val="multilevel"/>
    <w:tmpl w:val="575CEDBE"/>
    <w:styleLink w:val="NumberBullet"/>
    <w:lvl w:ilvl="0">
      <w:start w:val="1"/>
      <w:numFmt w:val="decimal"/>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8" w15:restartNumberingAfterBreak="0">
    <w:nsid w:val="16EC1486"/>
    <w:multiLevelType w:val="hybridMultilevel"/>
    <w:tmpl w:val="02C82854"/>
    <w:lvl w:ilvl="0" w:tplc="FAA41536">
      <w:start w:val="5"/>
      <w:numFmt w:val="lowerRoman"/>
      <w:lvlText w:val="(%1)"/>
      <w:lvlJc w:val="left"/>
      <w:pPr>
        <w:ind w:left="1080" w:hanging="720"/>
      </w:pPr>
      <w:rPr>
        <w:rFonts w:eastAsiaTheme="minorHAnsi"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FB219F8"/>
    <w:multiLevelType w:val="hybridMultilevel"/>
    <w:tmpl w:val="8E141A40"/>
    <w:lvl w:ilvl="0" w:tplc="4F38898A">
      <w:start w:val="1"/>
      <w:numFmt w:val="bullet"/>
      <w:pStyle w:val="COMexecsummmainissuesbullets"/>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A1760DA"/>
    <w:multiLevelType w:val="hybridMultilevel"/>
    <w:tmpl w:val="21120E44"/>
    <w:lvl w:ilvl="0" w:tplc="9D7C470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B7C6ED4"/>
    <w:multiLevelType w:val="hybridMultilevel"/>
    <w:tmpl w:val="08BEDC54"/>
    <w:lvl w:ilvl="0" w:tplc="FFFFFFFF">
      <w:start w:val="1"/>
      <w:numFmt w:val="bullet"/>
      <w:lvlText w:val=""/>
      <w:lvlJc w:val="left"/>
      <w:pPr>
        <w:ind w:left="720" w:hanging="360"/>
      </w:pPr>
      <w:rPr>
        <w:rFonts w:ascii="Symbol" w:hAnsi="Symbol" w:hint="default"/>
      </w:rPr>
    </w:lvl>
    <w:lvl w:ilvl="1" w:tplc="3B8838D6">
      <w:start w:val="49"/>
      <w:numFmt w:val="bullet"/>
      <w:lvlText w:val="-"/>
      <w:lvlJc w:val="left"/>
      <w:pPr>
        <w:ind w:left="1440" w:hanging="360"/>
      </w:pPr>
      <w:rPr>
        <w:rFonts w:ascii="Arial Narrow" w:eastAsiaTheme="majorEastAsia" w:hAnsi="Arial Narrow" w:cstheme="maj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442297"/>
    <w:multiLevelType w:val="hybridMultilevel"/>
    <w:tmpl w:val="E6FE4E00"/>
    <w:lvl w:ilvl="0" w:tplc="C324F4FC">
      <w:start w:val="1"/>
      <w:numFmt w:val="bullet"/>
      <w:pStyle w:val="zz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8D67A6"/>
    <w:multiLevelType w:val="hybridMultilevel"/>
    <w:tmpl w:val="FAB8EED8"/>
    <w:lvl w:ilvl="0" w:tplc="8708BEC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D51B56"/>
    <w:multiLevelType w:val="hybridMultilevel"/>
    <w:tmpl w:val="ADEE36BC"/>
    <w:lvl w:ilvl="0" w:tplc="C6F659A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C09486E"/>
    <w:multiLevelType w:val="multilevel"/>
    <w:tmpl w:val="E508EE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D9B67AC"/>
    <w:multiLevelType w:val="hybridMultilevel"/>
    <w:tmpl w:val="CBF4F8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A873665"/>
    <w:multiLevelType w:val="hybridMultilevel"/>
    <w:tmpl w:val="FF9495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DD33096"/>
    <w:multiLevelType w:val="multilevel"/>
    <w:tmpl w:val="53FAFEA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FEB74FB"/>
    <w:multiLevelType w:val="multilevel"/>
    <w:tmpl w:val="FFFFFFFF"/>
    <w:lvl w:ilvl="0">
      <w:start w:val="1"/>
      <w:numFmt w:val="decimal"/>
      <w:pStyle w:val="ListBullet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645F4A8B"/>
    <w:multiLevelType w:val="hybridMultilevel"/>
    <w:tmpl w:val="F4D2DB2C"/>
    <w:lvl w:ilvl="0" w:tplc="DBAACA0E">
      <w:start w:val="5"/>
      <w:numFmt w:val="lowerRoman"/>
      <w:lvlText w:val="(%1)"/>
      <w:lvlJc w:val="left"/>
      <w:pPr>
        <w:ind w:left="1080" w:hanging="720"/>
      </w:pPr>
      <w:rPr>
        <w:rFonts w:eastAsiaTheme="minorHAnsi"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5C90D8B"/>
    <w:multiLevelType w:val="hybridMultilevel"/>
    <w:tmpl w:val="97FE933C"/>
    <w:lvl w:ilvl="0" w:tplc="3B8838D6">
      <w:start w:val="49"/>
      <w:numFmt w:val="bullet"/>
      <w:lvlText w:val="-"/>
      <w:lvlJc w:val="left"/>
      <w:pPr>
        <w:ind w:left="720" w:hanging="360"/>
      </w:pPr>
      <w:rPr>
        <w:rFonts w:ascii="Arial Narrow" w:eastAsiaTheme="majorEastAsia" w:hAnsi="Arial Narrow"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F22442"/>
    <w:multiLevelType w:val="hybridMultilevel"/>
    <w:tmpl w:val="9BA0DDBE"/>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800" w:hanging="360"/>
      </w:pPr>
      <w:rPr>
        <w:rFonts w:ascii="Symbol" w:hAnsi="Symbo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EF9114E"/>
    <w:multiLevelType w:val="hybridMultilevel"/>
    <w:tmpl w:val="19F40434"/>
    <w:lvl w:ilvl="0" w:tplc="002C154A">
      <w:start w:val="5"/>
      <w:numFmt w:val="lowerRoman"/>
      <w:lvlText w:val="(%1)"/>
      <w:lvlJc w:val="left"/>
      <w:pPr>
        <w:ind w:left="1080" w:hanging="720"/>
      </w:pPr>
      <w:rPr>
        <w:rFonts w:eastAsia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091458F"/>
    <w:multiLevelType w:val="hybridMultilevel"/>
    <w:tmpl w:val="7766DF2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2" w15:restartNumberingAfterBreak="0">
    <w:nsid w:val="71396F53"/>
    <w:multiLevelType w:val="hybridMultilevel"/>
    <w:tmpl w:val="2D9C46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84D033C"/>
    <w:multiLevelType w:val="multilevel"/>
    <w:tmpl w:val="85AED71A"/>
    <w:lvl w:ilvl="0">
      <w:start w:val="1"/>
      <w:numFmt w:val="decimal"/>
      <w:pStyle w:val="COMH1numbered"/>
      <w:lvlText w:val="%1"/>
      <w:lvlJc w:val="left"/>
      <w:pPr>
        <w:ind w:left="720" w:hanging="720"/>
      </w:pPr>
      <w:rPr>
        <w:rFonts w:hint="default"/>
        <w:b/>
      </w:rPr>
    </w:lvl>
    <w:lvl w:ilvl="1">
      <w:start w:val="1"/>
      <w:numFmt w:val="decimal"/>
      <w:pStyle w:val="COMexecsumnumberedpara"/>
      <w:lvlText w:val="%1.%2"/>
      <w:lvlJc w:val="left"/>
      <w:pPr>
        <w:ind w:left="720" w:hanging="720"/>
      </w:pPr>
      <w:rPr>
        <w:rFonts w:asciiTheme="minorHAnsi" w:hAnsiTheme="minorHAnsi" w:cstheme="minorHAnsi"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9B60A6B"/>
    <w:multiLevelType w:val="hybridMultilevel"/>
    <w:tmpl w:val="9552FFC0"/>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5" w15:restartNumberingAfterBreak="0">
    <w:nsid w:val="7E4F6677"/>
    <w:multiLevelType w:val="hybridMultilevel"/>
    <w:tmpl w:val="DADEF196"/>
    <w:lvl w:ilvl="0" w:tplc="0C090001">
      <w:start w:val="1"/>
      <w:numFmt w:val="bullet"/>
      <w:lvlText w:val=""/>
      <w:lvlJc w:val="left"/>
      <w:pPr>
        <w:ind w:left="720" w:hanging="360"/>
      </w:pPr>
      <w:rPr>
        <w:rFonts w:ascii="Symbol" w:hAnsi="Symbol" w:hint="default"/>
      </w:rPr>
    </w:lvl>
    <w:lvl w:ilvl="1" w:tplc="3B8838D6">
      <w:start w:val="49"/>
      <w:numFmt w:val="bullet"/>
      <w:lvlText w:val="-"/>
      <w:lvlJc w:val="left"/>
      <w:pPr>
        <w:ind w:left="1440" w:hanging="360"/>
      </w:pPr>
      <w:rPr>
        <w:rFonts w:ascii="Arial Narrow" w:eastAsiaTheme="majorEastAsia" w:hAnsi="Arial Narrow" w:cstheme="maj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16869416">
    <w:abstractNumId w:val="33"/>
  </w:num>
  <w:num w:numId="2" w16cid:durableId="1740515427">
    <w:abstractNumId w:val="15"/>
  </w:num>
  <w:num w:numId="3" w16cid:durableId="1215312277">
    <w:abstractNumId w:val="16"/>
  </w:num>
  <w:num w:numId="4" w16cid:durableId="1123233462">
    <w:abstractNumId w:val="0"/>
  </w:num>
  <w:num w:numId="5" w16cid:durableId="712847743">
    <w:abstractNumId w:val="33"/>
  </w:num>
  <w:num w:numId="6" w16cid:durableId="17010036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6599140">
    <w:abstractNumId w:val="9"/>
  </w:num>
  <w:num w:numId="8" w16cid:durableId="149836153">
    <w:abstractNumId w:val="23"/>
  </w:num>
  <w:num w:numId="9" w16cid:durableId="344525812">
    <w:abstractNumId w:val="35"/>
  </w:num>
  <w:num w:numId="10" w16cid:durableId="1139230290">
    <w:abstractNumId w:val="27"/>
  </w:num>
  <w:num w:numId="11" w16cid:durableId="187526815">
    <w:abstractNumId w:val="19"/>
  </w:num>
  <w:num w:numId="12" w16cid:durableId="144665717">
    <w:abstractNumId w:val="12"/>
  </w:num>
  <w:num w:numId="13" w16cid:durableId="2085836151">
    <w:abstractNumId w:val="3"/>
  </w:num>
  <w:num w:numId="14" w16cid:durableId="1896811886">
    <w:abstractNumId w:val="32"/>
  </w:num>
  <w:num w:numId="15" w16cid:durableId="145321103">
    <w:abstractNumId w:val="13"/>
  </w:num>
  <w:num w:numId="16" w16cid:durableId="1936478600">
    <w:abstractNumId w:val="1"/>
  </w:num>
  <w:num w:numId="17" w16cid:durableId="603733323">
    <w:abstractNumId w:val="17"/>
  </w:num>
  <w:num w:numId="18" w16cid:durableId="819150394">
    <w:abstractNumId w:val="4"/>
  </w:num>
  <w:num w:numId="19" w16cid:durableId="37554746">
    <w:abstractNumId w:val="34"/>
  </w:num>
  <w:num w:numId="20" w16cid:durableId="45643340">
    <w:abstractNumId w:val="22"/>
  </w:num>
  <w:num w:numId="21" w16cid:durableId="1308319716">
    <w:abstractNumId w:val="31"/>
  </w:num>
  <w:num w:numId="22" w16cid:durableId="450441386">
    <w:abstractNumId w:val="28"/>
  </w:num>
  <w:num w:numId="23" w16cid:durableId="1030883977">
    <w:abstractNumId w:val="26"/>
  </w:num>
  <w:num w:numId="24" w16cid:durableId="1619217182">
    <w:abstractNumId w:val="8"/>
  </w:num>
  <w:num w:numId="25" w16cid:durableId="1163276587">
    <w:abstractNumId w:val="30"/>
  </w:num>
  <w:num w:numId="26" w16cid:durableId="184711946">
    <w:abstractNumId w:val="33"/>
  </w:num>
  <w:num w:numId="27" w16cid:durableId="1853179754">
    <w:abstractNumId w:val="33"/>
  </w:num>
  <w:num w:numId="28" w16cid:durableId="1009720524">
    <w:abstractNumId w:val="33"/>
  </w:num>
  <w:num w:numId="29" w16cid:durableId="1179081047">
    <w:abstractNumId w:val="20"/>
  </w:num>
  <w:num w:numId="30" w16cid:durableId="638996219">
    <w:abstractNumId w:val="21"/>
  </w:num>
  <w:num w:numId="31" w16cid:durableId="866333582">
    <w:abstractNumId w:val="5"/>
  </w:num>
  <w:num w:numId="32" w16cid:durableId="477461956">
    <w:abstractNumId w:val="2"/>
  </w:num>
  <w:num w:numId="33" w16cid:durableId="698360407">
    <w:abstractNumId w:val="11"/>
  </w:num>
  <w:num w:numId="34" w16cid:durableId="782186700">
    <w:abstractNumId w:val="14"/>
  </w:num>
  <w:num w:numId="35" w16cid:durableId="467672551">
    <w:abstractNumId w:val="10"/>
  </w:num>
  <w:num w:numId="36" w16cid:durableId="1297443176">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23251382">
    <w:abstractNumId w:val="29"/>
  </w:num>
  <w:num w:numId="38" w16cid:durableId="1351445477">
    <w:abstractNumId w:val="6"/>
  </w:num>
  <w:num w:numId="39" w16cid:durableId="1339507060">
    <w:abstractNumId w:val="7"/>
  </w:num>
  <w:num w:numId="40" w16cid:durableId="1478955284">
    <w:abstractNumId w:val="18"/>
  </w:num>
  <w:num w:numId="41" w16cid:durableId="1376389316">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E79"/>
    <w:rsid w:val="0000004E"/>
    <w:rsid w:val="000003A6"/>
    <w:rsid w:val="00000695"/>
    <w:rsid w:val="00000790"/>
    <w:rsid w:val="00000C43"/>
    <w:rsid w:val="00000CF3"/>
    <w:rsid w:val="0000110B"/>
    <w:rsid w:val="00001991"/>
    <w:rsid w:val="00001D56"/>
    <w:rsid w:val="00002394"/>
    <w:rsid w:val="00002A43"/>
    <w:rsid w:val="00002FBE"/>
    <w:rsid w:val="00003499"/>
    <w:rsid w:val="0000375F"/>
    <w:rsid w:val="000039B7"/>
    <w:rsid w:val="00003BE0"/>
    <w:rsid w:val="00004313"/>
    <w:rsid w:val="0000444B"/>
    <w:rsid w:val="00004645"/>
    <w:rsid w:val="00004B02"/>
    <w:rsid w:val="00004B36"/>
    <w:rsid w:val="00004C90"/>
    <w:rsid w:val="000056B9"/>
    <w:rsid w:val="00005B62"/>
    <w:rsid w:val="0000639A"/>
    <w:rsid w:val="000063FB"/>
    <w:rsid w:val="00006D04"/>
    <w:rsid w:val="00006D55"/>
    <w:rsid w:val="00006FE1"/>
    <w:rsid w:val="00007164"/>
    <w:rsid w:val="00010066"/>
    <w:rsid w:val="00010104"/>
    <w:rsid w:val="000102B7"/>
    <w:rsid w:val="00010541"/>
    <w:rsid w:val="0001055C"/>
    <w:rsid w:val="00010615"/>
    <w:rsid w:val="000115A5"/>
    <w:rsid w:val="00011A16"/>
    <w:rsid w:val="0001244A"/>
    <w:rsid w:val="0001253D"/>
    <w:rsid w:val="000129ED"/>
    <w:rsid w:val="00012E69"/>
    <w:rsid w:val="00012F9F"/>
    <w:rsid w:val="00013247"/>
    <w:rsid w:val="000132E5"/>
    <w:rsid w:val="00013604"/>
    <w:rsid w:val="00013C5A"/>
    <w:rsid w:val="00013C9F"/>
    <w:rsid w:val="000141A7"/>
    <w:rsid w:val="0001454C"/>
    <w:rsid w:val="000149EC"/>
    <w:rsid w:val="00014B46"/>
    <w:rsid w:val="00014BE4"/>
    <w:rsid w:val="0001510F"/>
    <w:rsid w:val="000154A2"/>
    <w:rsid w:val="00015819"/>
    <w:rsid w:val="00015886"/>
    <w:rsid w:val="00015940"/>
    <w:rsid w:val="00016105"/>
    <w:rsid w:val="000162EF"/>
    <w:rsid w:val="00017120"/>
    <w:rsid w:val="0001718F"/>
    <w:rsid w:val="000177E9"/>
    <w:rsid w:val="0001783E"/>
    <w:rsid w:val="000179B3"/>
    <w:rsid w:val="00017A25"/>
    <w:rsid w:val="00017DCB"/>
    <w:rsid w:val="000205A1"/>
    <w:rsid w:val="000207C9"/>
    <w:rsid w:val="00020B88"/>
    <w:rsid w:val="00020C56"/>
    <w:rsid w:val="00020F55"/>
    <w:rsid w:val="000217E3"/>
    <w:rsid w:val="000219FC"/>
    <w:rsid w:val="00021A2A"/>
    <w:rsid w:val="00021BB2"/>
    <w:rsid w:val="00021D6C"/>
    <w:rsid w:val="00021EC8"/>
    <w:rsid w:val="000221B2"/>
    <w:rsid w:val="0002225F"/>
    <w:rsid w:val="00022321"/>
    <w:rsid w:val="00022525"/>
    <w:rsid w:val="00022A45"/>
    <w:rsid w:val="00022AFE"/>
    <w:rsid w:val="000231A8"/>
    <w:rsid w:val="0002334E"/>
    <w:rsid w:val="0002358C"/>
    <w:rsid w:val="00023763"/>
    <w:rsid w:val="000237C4"/>
    <w:rsid w:val="00023AB6"/>
    <w:rsid w:val="00024444"/>
    <w:rsid w:val="00024EB5"/>
    <w:rsid w:val="00024EDF"/>
    <w:rsid w:val="00025414"/>
    <w:rsid w:val="0002559A"/>
    <w:rsid w:val="00025F5A"/>
    <w:rsid w:val="00026090"/>
    <w:rsid w:val="00026558"/>
    <w:rsid w:val="00026E2A"/>
    <w:rsid w:val="00026F95"/>
    <w:rsid w:val="00027474"/>
    <w:rsid w:val="000274B8"/>
    <w:rsid w:val="0002776E"/>
    <w:rsid w:val="00027B72"/>
    <w:rsid w:val="000300AB"/>
    <w:rsid w:val="000303A9"/>
    <w:rsid w:val="0003054D"/>
    <w:rsid w:val="000310D4"/>
    <w:rsid w:val="00031295"/>
    <w:rsid w:val="00031786"/>
    <w:rsid w:val="00031E52"/>
    <w:rsid w:val="00032040"/>
    <w:rsid w:val="00032BAA"/>
    <w:rsid w:val="00032BD3"/>
    <w:rsid w:val="00032DFF"/>
    <w:rsid w:val="00033757"/>
    <w:rsid w:val="00033863"/>
    <w:rsid w:val="00034E96"/>
    <w:rsid w:val="0003507F"/>
    <w:rsid w:val="00035361"/>
    <w:rsid w:val="00035B2B"/>
    <w:rsid w:val="00035C16"/>
    <w:rsid w:val="00035DC0"/>
    <w:rsid w:val="00035DDF"/>
    <w:rsid w:val="0003631E"/>
    <w:rsid w:val="000365AE"/>
    <w:rsid w:val="00036829"/>
    <w:rsid w:val="00036D26"/>
    <w:rsid w:val="000371B4"/>
    <w:rsid w:val="000371B5"/>
    <w:rsid w:val="000375E1"/>
    <w:rsid w:val="00037713"/>
    <w:rsid w:val="0004031A"/>
    <w:rsid w:val="000405BC"/>
    <w:rsid w:val="0004086F"/>
    <w:rsid w:val="00040895"/>
    <w:rsid w:val="00040A0E"/>
    <w:rsid w:val="00040D09"/>
    <w:rsid w:val="000410A0"/>
    <w:rsid w:val="000418ED"/>
    <w:rsid w:val="0004193B"/>
    <w:rsid w:val="000425E2"/>
    <w:rsid w:val="00042C5B"/>
    <w:rsid w:val="00042C6F"/>
    <w:rsid w:val="0004323D"/>
    <w:rsid w:val="000435EE"/>
    <w:rsid w:val="00043C37"/>
    <w:rsid w:val="00043FB4"/>
    <w:rsid w:val="000446DE"/>
    <w:rsid w:val="00044DAF"/>
    <w:rsid w:val="00045017"/>
    <w:rsid w:val="00045096"/>
    <w:rsid w:val="000451E7"/>
    <w:rsid w:val="0004542F"/>
    <w:rsid w:val="000455F4"/>
    <w:rsid w:val="00045A2B"/>
    <w:rsid w:val="00045FAE"/>
    <w:rsid w:val="000461AB"/>
    <w:rsid w:val="00046202"/>
    <w:rsid w:val="000462DC"/>
    <w:rsid w:val="000463E0"/>
    <w:rsid w:val="0004698F"/>
    <w:rsid w:val="00046D64"/>
    <w:rsid w:val="00046E20"/>
    <w:rsid w:val="000472E2"/>
    <w:rsid w:val="00047B24"/>
    <w:rsid w:val="00047C51"/>
    <w:rsid w:val="00047CAE"/>
    <w:rsid w:val="00050245"/>
    <w:rsid w:val="000504A4"/>
    <w:rsid w:val="000508C2"/>
    <w:rsid w:val="00051617"/>
    <w:rsid w:val="00051C7F"/>
    <w:rsid w:val="00053118"/>
    <w:rsid w:val="000539D0"/>
    <w:rsid w:val="00054621"/>
    <w:rsid w:val="000546D7"/>
    <w:rsid w:val="00054889"/>
    <w:rsid w:val="00054A8D"/>
    <w:rsid w:val="00055574"/>
    <w:rsid w:val="000556DA"/>
    <w:rsid w:val="0005571D"/>
    <w:rsid w:val="00055892"/>
    <w:rsid w:val="00055B2A"/>
    <w:rsid w:val="00055C65"/>
    <w:rsid w:val="00055DB8"/>
    <w:rsid w:val="00055F0D"/>
    <w:rsid w:val="00056444"/>
    <w:rsid w:val="000567AF"/>
    <w:rsid w:val="00056ECF"/>
    <w:rsid w:val="00056FA0"/>
    <w:rsid w:val="00057B9D"/>
    <w:rsid w:val="00060156"/>
    <w:rsid w:val="0006033F"/>
    <w:rsid w:val="00060383"/>
    <w:rsid w:val="0006043F"/>
    <w:rsid w:val="000604DF"/>
    <w:rsid w:val="00060585"/>
    <w:rsid w:val="00060CC4"/>
    <w:rsid w:val="00060F20"/>
    <w:rsid w:val="0006129D"/>
    <w:rsid w:val="00061B06"/>
    <w:rsid w:val="00061DB1"/>
    <w:rsid w:val="00061E5B"/>
    <w:rsid w:val="00062324"/>
    <w:rsid w:val="00062A7F"/>
    <w:rsid w:val="00062C9A"/>
    <w:rsid w:val="00062F92"/>
    <w:rsid w:val="000636DB"/>
    <w:rsid w:val="00063EEC"/>
    <w:rsid w:val="0006461B"/>
    <w:rsid w:val="00064F41"/>
    <w:rsid w:val="00064F79"/>
    <w:rsid w:val="0006506B"/>
    <w:rsid w:val="000652C7"/>
    <w:rsid w:val="000653B5"/>
    <w:rsid w:val="000657D4"/>
    <w:rsid w:val="00065DCA"/>
    <w:rsid w:val="000662A1"/>
    <w:rsid w:val="00066360"/>
    <w:rsid w:val="00066AF8"/>
    <w:rsid w:val="0006732F"/>
    <w:rsid w:val="0006785B"/>
    <w:rsid w:val="000679F2"/>
    <w:rsid w:val="0007004E"/>
    <w:rsid w:val="000701E4"/>
    <w:rsid w:val="00070270"/>
    <w:rsid w:val="00070CE4"/>
    <w:rsid w:val="00071006"/>
    <w:rsid w:val="00071079"/>
    <w:rsid w:val="00071248"/>
    <w:rsid w:val="000720B9"/>
    <w:rsid w:val="000721D5"/>
    <w:rsid w:val="00072CB4"/>
    <w:rsid w:val="000735B7"/>
    <w:rsid w:val="00073693"/>
    <w:rsid w:val="000737F7"/>
    <w:rsid w:val="00073E1E"/>
    <w:rsid w:val="00073ED9"/>
    <w:rsid w:val="0007405E"/>
    <w:rsid w:val="00074169"/>
    <w:rsid w:val="000741C1"/>
    <w:rsid w:val="00074B50"/>
    <w:rsid w:val="00074FBC"/>
    <w:rsid w:val="00074FC1"/>
    <w:rsid w:val="00074FCE"/>
    <w:rsid w:val="00075479"/>
    <w:rsid w:val="00075ADC"/>
    <w:rsid w:val="00075C39"/>
    <w:rsid w:val="00076436"/>
    <w:rsid w:val="0007672F"/>
    <w:rsid w:val="00076B54"/>
    <w:rsid w:val="00076CFD"/>
    <w:rsid w:val="00077292"/>
    <w:rsid w:val="000774F0"/>
    <w:rsid w:val="000777E4"/>
    <w:rsid w:val="00080085"/>
    <w:rsid w:val="0008013A"/>
    <w:rsid w:val="00080494"/>
    <w:rsid w:val="000805BD"/>
    <w:rsid w:val="000806E9"/>
    <w:rsid w:val="000807DF"/>
    <w:rsid w:val="00080909"/>
    <w:rsid w:val="00080E5A"/>
    <w:rsid w:val="000812C3"/>
    <w:rsid w:val="000812CA"/>
    <w:rsid w:val="000818C8"/>
    <w:rsid w:val="00081D1B"/>
    <w:rsid w:val="00081E63"/>
    <w:rsid w:val="00082391"/>
    <w:rsid w:val="000824F1"/>
    <w:rsid w:val="0008258D"/>
    <w:rsid w:val="000826B4"/>
    <w:rsid w:val="000827C3"/>
    <w:rsid w:val="00082CD4"/>
    <w:rsid w:val="00083584"/>
    <w:rsid w:val="00083BEA"/>
    <w:rsid w:val="00083E99"/>
    <w:rsid w:val="00083FB3"/>
    <w:rsid w:val="0008403F"/>
    <w:rsid w:val="000841B1"/>
    <w:rsid w:val="000842EB"/>
    <w:rsid w:val="00084B3D"/>
    <w:rsid w:val="00084C48"/>
    <w:rsid w:val="00084FA8"/>
    <w:rsid w:val="000856C5"/>
    <w:rsid w:val="00085808"/>
    <w:rsid w:val="00085C31"/>
    <w:rsid w:val="00085DFB"/>
    <w:rsid w:val="0008623B"/>
    <w:rsid w:val="00086630"/>
    <w:rsid w:val="000872C1"/>
    <w:rsid w:val="00087441"/>
    <w:rsid w:val="000902D9"/>
    <w:rsid w:val="0009044A"/>
    <w:rsid w:val="00090BC9"/>
    <w:rsid w:val="00090C7E"/>
    <w:rsid w:val="000911AC"/>
    <w:rsid w:val="00091292"/>
    <w:rsid w:val="00091846"/>
    <w:rsid w:val="00092600"/>
    <w:rsid w:val="0009262B"/>
    <w:rsid w:val="00092697"/>
    <w:rsid w:val="00092AA8"/>
    <w:rsid w:val="00093310"/>
    <w:rsid w:val="000939DA"/>
    <w:rsid w:val="00093A16"/>
    <w:rsid w:val="0009415F"/>
    <w:rsid w:val="0009445C"/>
    <w:rsid w:val="000944FE"/>
    <w:rsid w:val="00094C62"/>
    <w:rsid w:val="00095179"/>
    <w:rsid w:val="00095200"/>
    <w:rsid w:val="00095293"/>
    <w:rsid w:val="00095714"/>
    <w:rsid w:val="000957CD"/>
    <w:rsid w:val="00095FE5"/>
    <w:rsid w:val="000961F0"/>
    <w:rsid w:val="0009626A"/>
    <w:rsid w:val="00096284"/>
    <w:rsid w:val="000964DF"/>
    <w:rsid w:val="0009662A"/>
    <w:rsid w:val="0009679B"/>
    <w:rsid w:val="00096C05"/>
    <w:rsid w:val="00097A23"/>
    <w:rsid w:val="00097BCB"/>
    <w:rsid w:val="00097CE9"/>
    <w:rsid w:val="00097D00"/>
    <w:rsid w:val="000A028C"/>
    <w:rsid w:val="000A11D6"/>
    <w:rsid w:val="000A189B"/>
    <w:rsid w:val="000A1BC0"/>
    <w:rsid w:val="000A1BC1"/>
    <w:rsid w:val="000A1EC7"/>
    <w:rsid w:val="000A205B"/>
    <w:rsid w:val="000A2184"/>
    <w:rsid w:val="000A2F9E"/>
    <w:rsid w:val="000A3E47"/>
    <w:rsid w:val="000A4237"/>
    <w:rsid w:val="000A425D"/>
    <w:rsid w:val="000A425E"/>
    <w:rsid w:val="000A4D56"/>
    <w:rsid w:val="000A4E86"/>
    <w:rsid w:val="000A5102"/>
    <w:rsid w:val="000A522B"/>
    <w:rsid w:val="000A5369"/>
    <w:rsid w:val="000A5482"/>
    <w:rsid w:val="000A5546"/>
    <w:rsid w:val="000A55B5"/>
    <w:rsid w:val="000A5615"/>
    <w:rsid w:val="000A6039"/>
    <w:rsid w:val="000A6367"/>
    <w:rsid w:val="000A65EB"/>
    <w:rsid w:val="000A675D"/>
    <w:rsid w:val="000A67CF"/>
    <w:rsid w:val="000A684B"/>
    <w:rsid w:val="000A7170"/>
    <w:rsid w:val="000A7453"/>
    <w:rsid w:val="000A757E"/>
    <w:rsid w:val="000A75DD"/>
    <w:rsid w:val="000A76C1"/>
    <w:rsid w:val="000A7D08"/>
    <w:rsid w:val="000B0060"/>
    <w:rsid w:val="000B0121"/>
    <w:rsid w:val="000B019E"/>
    <w:rsid w:val="000B059B"/>
    <w:rsid w:val="000B0670"/>
    <w:rsid w:val="000B06C1"/>
    <w:rsid w:val="000B0C5E"/>
    <w:rsid w:val="000B0E75"/>
    <w:rsid w:val="000B103A"/>
    <w:rsid w:val="000B193E"/>
    <w:rsid w:val="000B213D"/>
    <w:rsid w:val="000B22F8"/>
    <w:rsid w:val="000B2304"/>
    <w:rsid w:val="000B242D"/>
    <w:rsid w:val="000B24AD"/>
    <w:rsid w:val="000B2DCB"/>
    <w:rsid w:val="000B33CC"/>
    <w:rsid w:val="000B356A"/>
    <w:rsid w:val="000B3595"/>
    <w:rsid w:val="000B38EE"/>
    <w:rsid w:val="000B4400"/>
    <w:rsid w:val="000B4973"/>
    <w:rsid w:val="000B4EB5"/>
    <w:rsid w:val="000B502B"/>
    <w:rsid w:val="000B517C"/>
    <w:rsid w:val="000B59A9"/>
    <w:rsid w:val="000B5B03"/>
    <w:rsid w:val="000B5BF5"/>
    <w:rsid w:val="000B5CE0"/>
    <w:rsid w:val="000B62CB"/>
    <w:rsid w:val="000B6363"/>
    <w:rsid w:val="000B654B"/>
    <w:rsid w:val="000B68E6"/>
    <w:rsid w:val="000B68EB"/>
    <w:rsid w:val="000B6CAC"/>
    <w:rsid w:val="000B6D99"/>
    <w:rsid w:val="000B7612"/>
    <w:rsid w:val="000B78A4"/>
    <w:rsid w:val="000B78AE"/>
    <w:rsid w:val="000B7BF5"/>
    <w:rsid w:val="000B7CA7"/>
    <w:rsid w:val="000B7E0E"/>
    <w:rsid w:val="000C02D0"/>
    <w:rsid w:val="000C0866"/>
    <w:rsid w:val="000C0B75"/>
    <w:rsid w:val="000C1434"/>
    <w:rsid w:val="000C1553"/>
    <w:rsid w:val="000C163E"/>
    <w:rsid w:val="000C169A"/>
    <w:rsid w:val="000C1C4B"/>
    <w:rsid w:val="000C1CFE"/>
    <w:rsid w:val="000C1DD9"/>
    <w:rsid w:val="000C225C"/>
    <w:rsid w:val="000C2E05"/>
    <w:rsid w:val="000C2F0F"/>
    <w:rsid w:val="000C3099"/>
    <w:rsid w:val="000C338F"/>
    <w:rsid w:val="000C33FA"/>
    <w:rsid w:val="000C3470"/>
    <w:rsid w:val="000C3C29"/>
    <w:rsid w:val="000C3DF9"/>
    <w:rsid w:val="000C3E8A"/>
    <w:rsid w:val="000C4060"/>
    <w:rsid w:val="000C4491"/>
    <w:rsid w:val="000C44D5"/>
    <w:rsid w:val="000C45F9"/>
    <w:rsid w:val="000C4830"/>
    <w:rsid w:val="000C4A3C"/>
    <w:rsid w:val="000C4BAE"/>
    <w:rsid w:val="000C4CF2"/>
    <w:rsid w:val="000C555E"/>
    <w:rsid w:val="000C56D0"/>
    <w:rsid w:val="000C5C9C"/>
    <w:rsid w:val="000C5EC0"/>
    <w:rsid w:val="000C629F"/>
    <w:rsid w:val="000C62BE"/>
    <w:rsid w:val="000C63E3"/>
    <w:rsid w:val="000C655C"/>
    <w:rsid w:val="000C6713"/>
    <w:rsid w:val="000C674D"/>
    <w:rsid w:val="000C6947"/>
    <w:rsid w:val="000C6D96"/>
    <w:rsid w:val="000C7EA5"/>
    <w:rsid w:val="000C7F20"/>
    <w:rsid w:val="000C7F5F"/>
    <w:rsid w:val="000D0274"/>
    <w:rsid w:val="000D02D8"/>
    <w:rsid w:val="000D094B"/>
    <w:rsid w:val="000D0A8C"/>
    <w:rsid w:val="000D10C5"/>
    <w:rsid w:val="000D1187"/>
    <w:rsid w:val="000D1871"/>
    <w:rsid w:val="000D1BFC"/>
    <w:rsid w:val="000D1D25"/>
    <w:rsid w:val="000D1D5D"/>
    <w:rsid w:val="000D2456"/>
    <w:rsid w:val="000D257E"/>
    <w:rsid w:val="000D27A3"/>
    <w:rsid w:val="000D281A"/>
    <w:rsid w:val="000D2848"/>
    <w:rsid w:val="000D326A"/>
    <w:rsid w:val="000D3637"/>
    <w:rsid w:val="000D49E5"/>
    <w:rsid w:val="000D4D12"/>
    <w:rsid w:val="000D51FB"/>
    <w:rsid w:val="000D564F"/>
    <w:rsid w:val="000D5B3B"/>
    <w:rsid w:val="000D5BAF"/>
    <w:rsid w:val="000D662E"/>
    <w:rsid w:val="000D690B"/>
    <w:rsid w:val="000D6C0A"/>
    <w:rsid w:val="000D7E11"/>
    <w:rsid w:val="000D7FBA"/>
    <w:rsid w:val="000E04D4"/>
    <w:rsid w:val="000E0640"/>
    <w:rsid w:val="000E085A"/>
    <w:rsid w:val="000E0B4A"/>
    <w:rsid w:val="000E0E46"/>
    <w:rsid w:val="000E135D"/>
    <w:rsid w:val="000E1437"/>
    <w:rsid w:val="000E167C"/>
    <w:rsid w:val="000E1797"/>
    <w:rsid w:val="000E23A1"/>
    <w:rsid w:val="000E2AC4"/>
    <w:rsid w:val="000E2AFD"/>
    <w:rsid w:val="000E2C30"/>
    <w:rsid w:val="000E2D30"/>
    <w:rsid w:val="000E3223"/>
    <w:rsid w:val="000E3C37"/>
    <w:rsid w:val="000E3D02"/>
    <w:rsid w:val="000E3FC2"/>
    <w:rsid w:val="000E433B"/>
    <w:rsid w:val="000E47C4"/>
    <w:rsid w:val="000E489F"/>
    <w:rsid w:val="000E48A6"/>
    <w:rsid w:val="000E4DAF"/>
    <w:rsid w:val="000E50C1"/>
    <w:rsid w:val="000E56D1"/>
    <w:rsid w:val="000E5A48"/>
    <w:rsid w:val="000E5CCF"/>
    <w:rsid w:val="000E5D05"/>
    <w:rsid w:val="000E6763"/>
    <w:rsid w:val="000E6CAC"/>
    <w:rsid w:val="000E6E43"/>
    <w:rsid w:val="000E73FF"/>
    <w:rsid w:val="000E77DF"/>
    <w:rsid w:val="000E7829"/>
    <w:rsid w:val="000E7B8F"/>
    <w:rsid w:val="000E7F42"/>
    <w:rsid w:val="000F00BA"/>
    <w:rsid w:val="000F099C"/>
    <w:rsid w:val="000F0EA8"/>
    <w:rsid w:val="000F0F41"/>
    <w:rsid w:val="000F13DA"/>
    <w:rsid w:val="000F19B6"/>
    <w:rsid w:val="000F1BF0"/>
    <w:rsid w:val="000F1BFF"/>
    <w:rsid w:val="000F1D27"/>
    <w:rsid w:val="000F2047"/>
    <w:rsid w:val="000F26B1"/>
    <w:rsid w:val="000F2AF0"/>
    <w:rsid w:val="000F2B45"/>
    <w:rsid w:val="000F316A"/>
    <w:rsid w:val="000F344D"/>
    <w:rsid w:val="000F37A7"/>
    <w:rsid w:val="000F38B8"/>
    <w:rsid w:val="000F3C74"/>
    <w:rsid w:val="000F411C"/>
    <w:rsid w:val="000F4207"/>
    <w:rsid w:val="000F42D0"/>
    <w:rsid w:val="000F461F"/>
    <w:rsid w:val="000F4B50"/>
    <w:rsid w:val="000F4BB8"/>
    <w:rsid w:val="000F4DDD"/>
    <w:rsid w:val="000F4F0F"/>
    <w:rsid w:val="000F4FA9"/>
    <w:rsid w:val="000F53FB"/>
    <w:rsid w:val="000F5843"/>
    <w:rsid w:val="000F5977"/>
    <w:rsid w:val="000F65F0"/>
    <w:rsid w:val="000F661D"/>
    <w:rsid w:val="000F6B64"/>
    <w:rsid w:val="000F6FDA"/>
    <w:rsid w:val="000F7127"/>
    <w:rsid w:val="000F7500"/>
    <w:rsid w:val="000F7947"/>
    <w:rsid w:val="000F795C"/>
    <w:rsid w:val="000F7A61"/>
    <w:rsid w:val="000F7B54"/>
    <w:rsid w:val="000F7D24"/>
    <w:rsid w:val="001000B3"/>
    <w:rsid w:val="00100F8A"/>
    <w:rsid w:val="0010201A"/>
    <w:rsid w:val="0010218A"/>
    <w:rsid w:val="00102632"/>
    <w:rsid w:val="00102C88"/>
    <w:rsid w:val="0010323D"/>
    <w:rsid w:val="001034C0"/>
    <w:rsid w:val="00103943"/>
    <w:rsid w:val="001039DD"/>
    <w:rsid w:val="00103B06"/>
    <w:rsid w:val="001041BB"/>
    <w:rsid w:val="0010452E"/>
    <w:rsid w:val="00105231"/>
    <w:rsid w:val="00105298"/>
    <w:rsid w:val="001055B3"/>
    <w:rsid w:val="00105904"/>
    <w:rsid w:val="00105A6E"/>
    <w:rsid w:val="00105AE2"/>
    <w:rsid w:val="00105DCB"/>
    <w:rsid w:val="001060C6"/>
    <w:rsid w:val="0010678A"/>
    <w:rsid w:val="00106B80"/>
    <w:rsid w:val="00106BD7"/>
    <w:rsid w:val="00107361"/>
    <w:rsid w:val="00107880"/>
    <w:rsid w:val="0011032E"/>
    <w:rsid w:val="00110723"/>
    <w:rsid w:val="00110A27"/>
    <w:rsid w:val="00110E20"/>
    <w:rsid w:val="001112C0"/>
    <w:rsid w:val="001119AF"/>
    <w:rsid w:val="00112A7A"/>
    <w:rsid w:val="00112C1E"/>
    <w:rsid w:val="0011303E"/>
    <w:rsid w:val="0011348B"/>
    <w:rsid w:val="00113930"/>
    <w:rsid w:val="00113B01"/>
    <w:rsid w:val="00114384"/>
    <w:rsid w:val="001144E1"/>
    <w:rsid w:val="0011473A"/>
    <w:rsid w:val="00114850"/>
    <w:rsid w:val="00115929"/>
    <w:rsid w:val="00115982"/>
    <w:rsid w:val="00116170"/>
    <w:rsid w:val="00116C53"/>
    <w:rsid w:val="0011700F"/>
    <w:rsid w:val="00120DD9"/>
    <w:rsid w:val="0012102A"/>
    <w:rsid w:val="00121351"/>
    <w:rsid w:val="00121799"/>
    <w:rsid w:val="001219F6"/>
    <w:rsid w:val="00121BB7"/>
    <w:rsid w:val="001222FC"/>
    <w:rsid w:val="00122355"/>
    <w:rsid w:val="00122A07"/>
    <w:rsid w:val="00122C2B"/>
    <w:rsid w:val="0012368B"/>
    <w:rsid w:val="00123824"/>
    <w:rsid w:val="00123902"/>
    <w:rsid w:val="00123C42"/>
    <w:rsid w:val="00123F5A"/>
    <w:rsid w:val="00124429"/>
    <w:rsid w:val="001245DD"/>
    <w:rsid w:val="00124A48"/>
    <w:rsid w:val="00124A51"/>
    <w:rsid w:val="00124E59"/>
    <w:rsid w:val="001254E3"/>
    <w:rsid w:val="0012563D"/>
    <w:rsid w:val="001261B2"/>
    <w:rsid w:val="00126621"/>
    <w:rsid w:val="00126B1D"/>
    <w:rsid w:val="0012737B"/>
    <w:rsid w:val="00127965"/>
    <w:rsid w:val="001301E9"/>
    <w:rsid w:val="00130859"/>
    <w:rsid w:val="0013089F"/>
    <w:rsid w:val="001312CA"/>
    <w:rsid w:val="001315FD"/>
    <w:rsid w:val="0013183A"/>
    <w:rsid w:val="00131D82"/>
    <w:rsid w:val="00131D9D"/>
    <w:rsid w:val="00132B22"/>
    <w:rsid w:val="00132C9E"/>
    <w:rsid w:val="00132EB1"/>
    <w:rsid w:val="00132EC5"/>
    <w:rsid w:val="00132F2D"/>
    <w:rsid w:val="001330BB"/>
    <w:rsid w:val="001334E0"/>
    <w:rsid w:val="0013384A"/>
    <w:rsid w:val="001338E0"/>
    <w:rsid w:val="001339EF"/>
    <w:rsid w:val="00133B3A"/>
    <w:rsid w:val="00133CA8"/>
    <w:rsid w:val="00133D36"/>
    <w:rsid w:val="001340C5"/>
    <w:rsid w:val="00134558"/>
    <w:rsid w:val="00135011"/>
    <w:rsid w:val="00136643"/>
    <w:rsid w:val="001368ED"/>
    <w:rsid w:val="00136C0B"/>
    <w:rsid w:val="00137068"/>
    <w:rsid w:val="001375FE"/>
    <w:rsid w:val="00137645"/>
    <w:rsid w:val="00137C21"/>
    <w:rsid w:val="00137C44"/>
    <w:rsid w:val="00137FAE"/>
    <w:rsid w:val="0014011D"/>
    <w:rsid w:val="0014015A"/>
    <w:rsid w:val="001402D7"/>
    <w:rsid w:val="001406D4"/>
    <w:rsid w:val="00140E99"/>
    <w:rsid w:val="00140F1D"/>
    <w:rsid w:val="0014131A"/>
    <w:rsid w:val="001414A7"/>
    <w:rsid w:val="00141842"/>
    <w:rsid w:val="001420BE"/>
    <w:rsid w:val="00142225"/>
    <w:rsid w:val="001423C4"/>
    <w:rsid w:val="00142977"/>
    <w:rsid w:val="00142F7C"/>
    <w:rsid w:val="00143F67"/>
    <w:rsid w:val="001440AD"/>
    <w:rsid w:val="0014416B"/>
    <w:rsid w:val="00144482"/>
    <w:rsid w:val="00144B5F"/>
    <w:rsid w:val="00144CB5"/>
    <w:rsid w:val="00145234"/>
    <w:rsid w:val="001454EA"/>
    <w:rsid w:val="00145540"/>
    <w:rsid w:val="0014556F"/>
    <w:rsid w:val="001456B0"/>
    <w:rsid w:val="00145823"/>
    <w:rsid w:val="00145838"/>
    <w:rsid w:val="00145A47"/>
    <w:rsid w:val="00145CE4"/>
    <w:rsid w:val="00146358"/>
    <w:rsid w:val="00146767"/>
    <w:rsid w:val="001467D4"/>
    <w:rsid w:val="00146A26"/>
    <w:rsid w:val="001472F3"/>
    <w:rsid w:val="0014749D"/>
    <w:rsid w:val="0014793E"/>
    <w:rsid w:val="00147E80"/>
    <w:rsid w:val="001508E4"/>
    <w:rsid w:val="001512E2"/>
    <w:rsid w:val="0015139F"/>
    <w:rsid w:val="001513AE"/>
    <w:rsid w:val="0015183E"/>
    <w:rsid w:val="00151D25"/>
    <w:rsid w:val="00151F0C"/>
    <w:rsid w:val="001520A7"/>
    <w:rsid w:val="0015213D"/>
    <w:rsid w:val="0015231F"/>
    <w:rsid w:val="00152468"/>
    <w:rsid w:val="00152C14"/>
    <w:rsid w:val="00152CD3"/>
    <w:rsid w:val="00153F73"/>
    <w:rsid w:val="00154115"/>
    <w:rsid w:val="001541FD"/>
    <w:rsid w:val="00154238"/>
    <w:rsid w:val="00154559"/>
    <w:rsid w:val="001547AB"/>
    <w:rsid w:val="00154861"/>
    <w:rsid w:val="00154BAC"/>
    <w:rsid w:val="00155183"/>
    <w:rsid w:val="001553A9"/>
    <w:rsid w:val="00155667"/>
    <w:rsid w:val="0015628F"/>
    <w:rsid w:val="001565B7"/>
    <w:rsid w:val="00156A34"/>
    <w:rsid w:val="00156F8E"/>
    <w:rsid w:val="00156F8F"/>
    <w:rsid w:val="00157130"/>
    <w:rsid w:val="0015736A"/>
    <w:rsid w:val="001573FD"/>
    <w:rsid w:val="00157591"/>
    <w:rsid w:val="001576B1"/>
    <w:rsid w:val="00160125"/>
    <w:rsid w:val="0016047B"/>
    <w:rsid w:val="00160774"/>
    <w:rsid w:val="00160979"/>
    <w:rsid w:val="001609A8"/>
    <w:rsid w:val="001609C1"/>
    <w:rsid w:val="00160A4C"/>
    <w:rsid w:val="00160B68"/>
    <w:rsid w:val="00160EB9"/>
    <w:rsid w:val="00161F5F"/>
    <w:rsid w:val="00161FC0"/>
    <w:rsid w:val="001622DA"/>
    <w:rsid w:val="001628AF"/>
    <w:rsid w:val="00162913"/>
    <w:rsid w:val="00162DCA"/>
    <w:rsid w:val="00163104"/>
    <w:rsid w:val="00163481"/>
    <w:rsid w:val="001634BC"/>
    <w:rsid w:val="001635DB"/>
    <w:rsid w:val="0016394C"/>
    <w:rsid w:val="00163DF4"/>
    <w:rsid w:val="00163E81"/>
    <w:rsid w:val="00163EFF"/>
    <w:rsid w:val="00163F66"/>
    <w:rsid w:val="00163F8D"/>
    <w:rsid w:val="0016459F"/>
    <w:rsid w:val="001645D1"/>
    <w:rsid w:val="0016478E"/>
    <w:rsid w:val="0016496B"/>
    <w:rsid w:val="00164D6C"/>
    <w:rsid w:val="0016518B"/>
    <w:rsid w:val="00165ADC"/>
    <w:rsid w:val="00165EC4"/>
    <w:rsid w:val="001661FB"/>
    <w:rsid w:val="00166C0A"/>
    <w:rsid w:val="001670D3"/>
    <w:rsid w:val="001671A0"/>
    <w:rsid w:val="00167238"/>
    <w:rsid w:val="00167242"/>
    <w:rsid w:val="0016767F"/>
    <w:rsid w:val="001678B9"/>
    <w:rsid w:val="001703EB"/>
    <w:rsid w:val="001708CF"/>
    <w:rsid w:val="00170AFC"/>
    <w:rsid w:val="00171554"/>
    <w:rsid w:val="00172052"/>
    <w:rsid w:val="0017238E"/>
    <w:rsid w:val="0017249A"/>
    <w:rsid w:val="00172506"/>
    <w:rsid w:val="0017262C"/>
    <w:rsid w:val="00172664"/>
    <w:rsid w:val="00172715"/>
    <w:rsid w:val="001727C6"/>
    <w:rsid w:val="00172EDD"/>
    <w:rsid w:val="0017354E"/>
    <w:rsid w:val="00173565"/>
    <w:rsid w:val="00173B07"/>
    <w:rsid w:val="00173E66"/>
    <w:rsid w:val="00175068"/>
    <w:rsid w:val="001751FA"/>
    <w:rsid w:val="00175388"/>
    <w:rsid w:val="0017582B"/>
    <w:rsid w:val="00176177"/>
    <w:rsid w:val="0017658B"/>
    <w:rsid w:val="00176796"/>
    <w:rsid w:val="00177322"/>
    <w:rsid w:val="00177C45"/>
    <w:rsid w:val="001804C0"/>
    <w:rsid w:val="001805B7"/>
    <w:rsid w:val="00180A21"/>
    <w:rsid w:val="00180B9A"/>
    <w:rsid w:val="00180D9A"/>
    <w:rsid w:val="00181019"/>
    <w:rsid w:val="00181303"/>
    <w:rsid w:val="001815F4"/>
    <w:rsid w:val="00181812"/>
    <w:rsid w:val="00181C10"/>
    <w:rsid w:val="00181CFD"/>
    <w:rsid w:val="00181D9C"/>
    <w:rsid w:val="00181EF4"/>
    <w:rsid w:val="001824E6"/>
    <w:rsid w:val="00182605"/>
    <w:rsid w:val="00183234"/>
    <w:rsid w:val="001834E7"/>
    <w:rsid w:val="0018377E"/>
    <w:rsid w:val="001837FF"/>
    <w:rsid w:val="00183970"/>
    <w:rsid w:val="001839A0"/>
    <w:rsid w:val="00184077"/>
    <w:rsid w:val="0018420F"/>
    <w:rsid w:val="00184364"/>
    <w:rsid w:val="00184368"/>
    <w:rsid w:val="001847A9"/>
    <w:rsid w:val="00184B0E"/>
    <w:rsid w:val="00184E3C"/>
    <w:rsid w:val="00184F6A"/>
    <w:rsid w:val="00185109"/>
    <w:rsid w:val="00185A60"/>
    <w:rsid w:val="0018631C"/>
    <w:rsid w:val="001868EA"/>
    <w:rsid w:val="00186C49"/>
    <w:rsid w:val="00186FC4"/>
    <w:rsid w:val="00187116"/>
    <w:rsid w:val="00187461"/>
    <w:rsid w:val="001874F0"/>
    <w:rsid w:val="0018752F"/>
    <w:rsid w:val="001877EE"/>
    <w:rsid w:val="00187CD7"/>
    <w:rsid w:val="001901A2"/>
    <w:rsid w:val="00190624"/>
    <w:rsid w:val="00191353"/>
    <w:rsid w:val="00191740"/>
    <w:rsid w:val="001917A5"/>
    <w:rsid w:val="001918A7"/>
    <w:rsid w:val="001924EA"/>
    <w:rsid w:val="00193065"/>
    <w:rsid w:val="0019337D"/>
    <w:rsid w:val="001935C7"/>
    <w:rsid w:val="00193634"/>
    <w:rsid w:val="00193838"/>
    <w:rsid w:val="00193E8A"/>
    <w:rsid w:val="00193F60"/>
    <w:rsid w:val="00194AD8"/>
    <w:rsid w:val="00195222"/>
    <w:rsid w:val="00195452"/>
    <w:rsid w:val="00195696"/>
    <w:rsid w:val="001958D0"/>
    <w:rsid w:val="001959C4"/>
    <w:rsid w:val="001961AF"/>
    <w:rsid w:val="00196A75"/>
    <w:rsid w:val="00196BEE"/>
    <w:rsid w:val="00196D60"/>
    <w:rsid w:val="00196DBD"/>
    <w:rsid w:val="001970C6"/>
    <w:rsid w:val="001975D8"/>
    <w:rsid w:val="00197718"/>
    <w:rsid w:val="00197D62"/>
    <w:rsid w:val="00197D73"/>
    <w:rsid w:val="00197F1B"/>
    <w:rsid w:val="001A0DDD"/>
    <w:rsid w:val="001A11B6"/>
    <w:rsid w:val="001A1775"/>
    <w:rsid w:val="001A178E"/>
    <w:rsid w:val="001A1DBD"/>
    <w:rsid w:val="001A1ED3"/>
    <w:rsid w:val="001A23A4"/>
    <w:rsid w:val="001A2623"/>
    <w:rsid w:val="001A3042"/>
    <w:rsid w:val="001A3626"/>
    <w:rsid w:val="001A362B"/>
    <w:rsid w:val="001A3AB4"/>
    <w:rsid w:val="001A3E29"/>
    <w:rsid w:val="001A43FA"/>
    <w:rsid w:val="001A444B"/>
    <w:rsid w:val="001A47C5"/>
    <w:rsid w:val="001A4EE4"/>
    <w:rsid w:val="001A520F"/>
    <w:rsid w:val="001A531C"/>
    <w:rsid w:val="001A568E"/>
    <w:rsid w:val="001A59D3"/>
    <w:rsid w:val="001A59FB"/>
    <w:rsid w:val="001A5E9E"/>
    <w:rsid w:val="001A5EF8"/>
    <w:rsid w:val="001A61AB"/>
    <w:rsid w:val="001A6354"/>
    <w:rsid w:val="001A6366"/>
    <w:rsid w:val="001A6F5F"/>
    <w:rsid w:val="001A6F71"/>
    <w:rsid w:val="001A763F"/>
    <w:rsid w:val="001A773D"/>
    <w:rsid w:val="001A7AE8"/>
    <w:rsid w:val="001A7C09"/>
    <w:rsid w:val="001B0101"/>
    <w:rsid w:val="001B130B"/>
    <w:rsid w:val="001B1869"/>
    <w:rsid w:val="001B1921"/>
    <w:rsid w:val="001B1C9F"/>
    <w:rsid w:val="001B1DC2"/>
    <w:rsid w:val="001B204E"/>
    <w:rsid w:val="001B2266"/>
    <w:rsid w:val="001B2372"/>
    <w:rsid w:val="001B2764"/>
    <w:rsid w:val="001B2A1C"/>
    <w:rsid w:val="001B2F03"/>
    <w:rsid w:val="001B2FF5"/>
    <w:rsid w:val="001B3080"/>
    <w:rsid w:val="001B308B"/>
    <w:rsid w:val="001B342B"/>
    <w:rsid w:val="001B3443"/>
    <w:rsid w:val="001B3540"/>
    <w:rsid w:val="001B41C4"/>
    <w:rsid w:val="001B422A"/>
    <w:rsid w:val="001B4392"/>
    <w:rsid w:val="001B43B9"/>
    <w:rsid w:val="001B4BE8"/>
    <w:rsid w:val="001B4D20"/>
    <w:rsid w:val="001B508D"/>
    <w:rsid w:val="001B519C"/>
    <w:rsid w:val="001B5DAD"/>
    <w:rsid w:val="001B5F0F"/>
    <w:rsid w:val="001B6504"/>
    <w:rsid w:val="001B65F0"/>
    <w:rsid w:val="001B6ACA"/>
    <w:rsid w:val="001B6B3C"/>
    <w:rsid w:val="001B6C42"/>
    <w:rsid w:val="001B7A0A"/>
    <w:rsid w:val="001B7C16"/>
    <w:rsid w:val="001B7F84"/>
    <w:rsid w:val="001C0259"/>
    <w:rsid w:val="001C0A0A"/>
    <w:rsid w:val="001C1401"/>
    <w:rsid w:val="001C15A5"/>
    <w:rsid w:val="001C18C2"/>
    <w:rsid w:val="001C1A39"/>
    <w:rsid w:val="001C1F9B"/>
    <w:rsid w:val="001C1FEA"/>
    <w:rsid w:val="001C2522"/>
    <w:rsid w:val="001C2623"/>
    <w:rsid w:val="001C282F"/>
    <w:rsid w:val="001C2A9B"/>
    <w:rsid w:val="001C2D09"/>
    <w:rsid w:val="001C3490"/>
    <w:rsid w:val="001C3837"/>
    <w:rsid w:val="001C3A40"/>
    <w:rsid w:val="001C3ACD"/>
    <w:rsid w:val="001C3C0B"/>
    <w:rsid w:val="001C3DD6"/>
    <w:rsid w:val="001C3F74"/>
    <w:rsid w:val="001C4042"/>
    <w:rsid w:val="001C4299"/>
    <w:rsid w:val="001C45AE"/>
    <w:rsid w:val="001C4874"/>
    <w:rsid w:val="001C48ED"/>
    <w:rsid w:val="001C49B9"/>
    <w:rsid w:val="001C510E"/>
    <w:rsid w:val="001C541E"/>
    <w:rsid w:val="001C5928"/>
    <w:rsid w:val="001C59C3"/>
    <w:rsid w:val="001C5A2B"/>
    <w:rsid w:val="001C5F94"/>
    <w:rsid w:val="001C625C"/>
    <w:rsid w:val="001C6778"/>
    <w:rsid w:val="001C6D07"/>
    <w:rsid w:val="001C6E66"/>
    <w:rsid w:val="001C7108"/>
    <w:rsid w:val="001C76E6"/>
    <w:rsid w:val="001C782E"/>
    <w:rsid w:val="001C7A02"/>
    <w:rsid w:val="001C7B01"/>
    <w:rsid w:val="001D0069"/>
    <w:rsid w:val="001D062D"/>
    <w:rsid w:val="001D0E63"/>
    <w:rsid w:val="001D1100"/>
    <w:rsid w:val="001D11AD"/>
    <w:rsid w:val="001D1391"/>
    <w:rsid w:val="001D1F40"/>
    <w:rsid w:val="001D22F2"/>
    <w:rsid w:val="001D25D7"/>
    <w:rsid w:val="001D3382"/>
    <w:rsid w:val="001D39C3"/>
    <w:rsid w:val="001D3C2C"/>
    <w:rsid w:val="001D3E55"/>
    <w:rsid w:val="001D40D7"/>
    <w:rsid w:val="001D432F"/>
    <w:rsid w:val="001D4476"/>
    <w:rsid w:val="001D4610"/>
    <w:rsid w:val="001D4813"/>
    <w:rsid w:val="001D4A0D"/>
    <w:rsid w:val="001D4A2E"/>
    <w:rsid w:val="001D50B2"/>
    <w:rsid w:val="001D5470"/>
    <w:rsid w:val="001D54D7"/>
    <w:rsid w:val="001D54F4"/>
    <w:rsid w:val="001D5709"/>
    <w:rsid w:val="001D5A3C"/>
    <w:rsid w:val="001D5B61"/>
    <w:rsid w:val="001D5EE6"/>
    <w:rsid w:val="001D640D"/>
    <w:rsid w:val="001D6642"/>
    <w:rsid w:val="001D6D8F"/>
    <w:rsid w:val="001D71F4"/>
    <w:rsid w:val="001D7645"/>
    <w:rsid w:val="001D797D"/>
    <w:rsid w:val="001E04DE"/>
    <w:rsid w:val="001E058C"/>
    <w:rsid w:val="001E0612"/>
    <w:rsid w:val="001E061D"/>
    <w:rsid w:val="001E07B2"/>
    <w:rsid w:val="001E0B65"/>
    <w:rsid w:val="001E0DC0"/>
    <w:rsid w:val="001E1332"/>
    <w:rsid w:val="001E18D6"/>
    <w:rsid w:val="001E1AB9"/>
    <w:rsid w:val="001E1E86"/>
    <w:rsid w:val="001E216E"/>
    <w:rsid w:val="001E238E"/>
    <w:rsid w:val="001E2483"/>
    <w:rsid w:val="001E24FC"/>
    <w:rsid w:val="001E2B1E"/>
    <w:rsid w:val="001E2B90"/>
    <w:rsid w:val="001E2CFF"/>
    <w:rsid w:val="001E2F00"/>
    <w:rsid w:val="001E2F24"/>
    <w:rsid w:val="001E3072"/>
    <w:rsid w:val="001E30D4"/>
    <w:rsid w:val="001E347A"/>
    <w:rsid w:val="001E34DF"/>
    <w:rsid w:val="001E353F"/>
    <w:rsid w:val="001E3737"/>
    <w:rsid w:val="001E3746"/>
    <w:rsid w:val="001E4849"/>
    <w:rsid w:val="001E484C"/>
    <w:rsid w:val="001E4AB3"/>
    <w:rsid w:val="001E500A"/>
    <w:rsid w:val="001E52EB"/>
    <w:rsid w:val="001E559C"/>
    <w:rsid w:val="001E568B"/>
    <w:rsid w:val="001E580F"/>
    <w:rsid w:val="001E5A24"/>
    <w:rsid w:val="001E5A59"/>
    <w:rsid w:val="001E61D2"/>
    <w:rsid w:val="001E65BD"/>
    <w:rsid w:val="001E6619"/>
    <w:rsid w:val="001E68F7"/>
    <w:rsid w:val="001E7064"/>
    <w:rsid w:val="001E740C"/>
    <w:rsid w:val="001E75AC"/>
    <w:rsid w:val="001E7AEF"/>
    <w:rsid w:val="001F03CC"/>
    <w:rsid w:val="001F07D3"/>
    <w:rsid w:val="001F0B2F"/>
    <w:rsid w:val="001F0D2F"/>
    <w:rsid w:val="001F1235"/>
    <w:rsid w:val="001F1B93"/>
    <w:rsid w:val="001F1CB3"/>
    <w:rsid w:val="001F1CD5"/>
    <w:rsid w:val="001F2046"/>
    <w:rsid w:val="001F2185"/>
    <w:rsid w:val="001F21E8"/>
    <w:rsid w:val="001F2277"/>
    <w:rsid w:val="001F2683"/>
    <w:rsid w:val="001F2DCA"/>
    <w:rsid w:val="001F3893"/>
    <w:rsid w:val="001F38B5"/>
    <w:rsid w:val="001F3A51"/>
    <w:rsid w:val="001F3E63"/>
    <w:rsid w:val="001F3E8B"/>
    <w:rsid w:val="001F3F7A"/>
    <w:rsid w:val="001F4081"/>
    <w:rsid w:val="001F432C"/>
    <w:rsid w:val="001F4841"/>
    <w:rsid w:val="001F54F6"/>
    <w:rsid w:val="001F5758"/>
    <w:rsid w:val="001F6425"/>
    <w:rsid w:val="001F6602"/>
    <w:rsid w:val="001F7361"/>
    <w:rsid w:val="001F739C"/>
    <w:rsid w:val="001F7681"/>
    <w:rsid w:val="001F7AF3"/>
    <w:rsid w:val="001F7BAA"/>
    <w:rsid w:val="001F7E26"/>
    <w:rsid w:val="00200073"/>
    <w:rsid w:val="00200103"/>
    <w:rsid w:val="002004D2"/>
    <w:rsid w:val="0020095C"/>
    <w:rsid w:val="00200F0B"/>
    <w:rsid w:val="002011B0"/>
    <w:rsid w:val="00201282"/>
    <w:rsid w:val="002012E5"/>
    <w:rsid w:val="00201A6B"/>
    <w:rsid w:val="00202925"/>
    <w:rsid w:val="00202C9F"/>
    <w:rsid w:val="0020315A"/>
    <w:rsid w:val="00203181"/>
    <w:rsid w:val="002036E8"/>
    <w:rsid w:val="00203783"/>
    <w:rsid w:val="0020385F"/>
    <w:rsid w:val="002038EE"/>
    <w:rsid w:val="0020429A"/>
    <w:rsid w:val="002043FD"/>
    <w:rsid w:val="00204661"/>
    <w:rsid w:val="0020487D"/>
    <w:rsid w:val="002048FD"/>
    <w:rsid w:val="00205257"/>
    <w:rsid w:val="00205686"/>
    <w:rsid w:val="002061C6"/>
    <w:rsid w:val="00206810"/>
    <w:rsid w:val="002068A0"/>
    <w:rsid w:val="002069D7"/>
    <w:rsid w:val="00207021"/>
    <w:rsid w:val="0020720A"/>
    <w:rsid w:val="0020732F"/>
    <w:rsid w:val="00207C2C"/>
    <w:rsid w:val="00207D00"/>
    <w:rsid w:val="00207ED2"/>
    <w:rsid w:val="002105C1"/>
    <w:rsid w:val="00210AFF"/>
    <w:rsid w:val="0021108F"/>
    <w:rsid w:val="00211221"/>
    <w:rsid w:val="002116FD"/>
    <w:rsid w:val="00211C1D"/>
    <w:rsid w:val="002129E3"/>
    <w:rsid w:val="00212BE0"/>
    <w:rsid w:val="002132CB"/>
    <w:rsid w:val="00213EF5"/>
    <w:rsid w:val="0021403E"/>
    <w:rsid w:val="002145FD"/>
    <w:rsid w:val="00214A2B"/>
    <w:rsid w:val="00214BAA"/>
    <w:rsid w:val="002159FB"/>
    <w:rsid w:val="00215CC3"/>
    <w:rsid w:val="0021647D"/>
    <w:rsid w:val="00216566"/>
    <w:rsid w:val="002165F0"/>
    <w:rsid w:val="00216BF5"/>
    <w:rsid w:val="00216C7A"/>
    <w:rsid w:val="00217083"/>
    <w:rsid w:val="0021745E"/>
    <w:rsid w:val="002179DD"/>
    <w:rsid w:val="00217D8F"/>
    <w:rsid w:val="00220014"/>
    <w:rsid w:val="002208FE"/>
    <w:rsid w:val="00220C79"/>
    <w:rsid w:val="00221DE5"/>
    <w:rsid w:val="002223F6"/>
    <w:rsid w:val="00222473"/>
    <w:rsid w:val="002227CB"/>
    <w:rsid w:val="0022302C"/>
    <w:rsid w:val="0022343F"/>
    <w:rsid w:val="00223981"/>
    <w:rsid w:val="00223B49"/>
    <w:rsid w:val="00223D5A"/>
    <w:rsid w:val="00223DD7"/>
    <w:rsid w:val="00223E63"/>
    <w:rsid w:val="00224171"/>
    <w:rsid w:val="002243C1"/>
    <w:rsid w:val="002248D9"/>
    <w:rsid w:val="002248FF"/>
    <w:rsid w:val="00224BCF"/>
    <w:rsid w:val="00224DD4"/>
    <w:rsid w:val="002250EA"/>
    <w:rsid w:val="00225B80"/>
    <w:rsid w:val="00225BCA"/>
    <w:rsid w:val="00226053"/>
    <w:rsid w:val="00226D07"/>
    <w:rsid w:val="0022746F"/>
    <w:rsid w:val="0022763C"/>
    <w:rsid w:val="002278A0"/>
    <w:rsid w:val="002278F1"/>
    <w:rsid w:val="00227908"/>
    <w:rsid w:val="00227CE0"/>
    <w:rsid w:val="00227D58"/>
    <w:rsid w:val="002309CC"/>
    <w:rsid w:val="00230C3D"/>
    <w:rsid w:val="00230E0E"/>
    <w:rsid w:val="00231851"/>
    <w:rsid w:val="00231BA9"/>
    <w:rsid w:val="0023209F"/>
    <w:rsid w:val="002320AE"/>
    <w:rsid w:val="002325F6"/>
    <w:rsid w:val="00232EC8"/>
    <w:rsid w:val="00233017"/>
    <w:rsid w:val="0023349E"/>
    <w:rsid w:val="00233699"/>
    <w:rsid w:val="002337AA"/>
    <w:rsid w:val="00233C01"/>
    <w:rsid w:val="00233D84"/>
    <w:rsid w:val="00233FF6"/>
    <w:rsid w:val="0023413C"/>
    <w:rsid w:val="002346F0"/>
    <w:rsid w:val="00234968"/>
    <w:rsid w:val="00234BFA"/>
    <w:rsid w:val="00234C3E"/>
    <w:rsid w:val="00234E8F"/>
    <w:rsid w:val="002353A5"/>
    <w:rsid w:val="00235D2F"/>
    <w:rsid w:val="0023629D"/>
    <w:rsid w:val="00236302"/>
    <w:rsid w:val="00237085"/>
    <w:rsid w:val="002370A2"/>
    <w:rsid w:val="00237255"/>
    <w:rsid w:val="00237683"/>
    <w:rsid w:val="00237813"/>
    <w:rsid w:val="00237A16"/>
    <w:rsid w:val="00237EF8"/>
    <w:rsid w:val="0024010B"/>
    <w:rsid w:val="0024021F"/>
    <w:rsid w:val="002402C2"/>
    <w:rsid w:val="00240A97"/>
    <w:rsid w:val="00240F9A"/>
    <w:rsid w:val="00241733"/>
    <w:rsid w:val="00241C5F"/>
    <w:rsid w:val="00241D8B"/>
    <w:rsid w:val="002422A1"/>
    <w:rsid w:val="002424AF"/>
    <w:rsid w:val="002431BC"/>
    <w:rsid w:val="002432BB"/>
    <w:rsid w:val="0024343C"/>
    <w:rsid w:val="00243450"/>
    <w:rsid w:val="00243488"/>
    <w:rsid w:val="002437FA"/>
    <w:rsid w:val="002439DC"/>
    <w:rsid w:val="00243D9F"/>
    <w:rsid w:val="002441D2"/>
    <w:rsid w:val="0024447E"/>
    <w:rsid w:val="00244750"/>
    <w:rsid w:val="002449A2"/>
    <w:rsid w:val="00244BBE"/>
    <w:rsid w:val="00244DC8"/>
    <w:rsid w:val="002452EE"/>
    <w:rsid w:val="00245585"/>
    <w:rsid w:val="002458BA"/>
    <w:rsid w:val="00245A87"/>
    <w:rsid w:val="00245C49"/>
    <w:rsid w:val="00245CE9"/>
    <w:rsid w:val="0024636C"/>
    <w:rsid w:val="00246835"/>
    <w:rsid w:val="00246B4B"/>
    <w:rsid w:val="0024743F"/>
    <w:rsid w:val="002474BD"/>
    <w:rsid w:val="002477DD"/>
    <w:rsid w:val="00247925"/>
    <w:rsid w:val="00247A32"/>
    <w:rsid w:val="0025069A"/>
    <w:rsid w:val="002506FD"/>
    <w:rsid w:val="00250C02"/>
    <w:rsid w:val="00250C79"/>
    <w:rsid w:val="00250F7A"/>
    <w:rsid w:val="00251006"/>
    <w:rsid w:val="00251811"/>
    <w:rsid w:val="002518B8"/>
    <w:rsid w:val="002522A5"/>
    <w:rsid w:val="002524D5"/>
    <w:rsid w:val="00252E3F"/>
    <w:rsid w:val="0025311C"/>
    <w:rsid w:val="0025329D"/>
    <w:rsid w:val="00253475"/>
    <w:rsid w:val="00253767"/>
    <w:rsid w:val="00253B1D"/>
    <w:rsid w:val="00253F32"/>
    <w:rsid w:val="0025400F"/>
    <w:rsid w:val="00254DCF"/>
    <w:rsid w:val="002552E7"/>
    <w:rsid w:val="0025534B"/>
    <w:rsid w:val="00255573"/>
    <w:rsid w:val="002555A6"/>
    <w:rsid w:val="002558E7"/>
    <w:rsid w:val="00255BB7"/>
    <w:rsid w:val="00255C8B"/>
    <w:rsid w:val="00256604"/>
    <w:rsid w:val="00256DB4"/>
    <w:rsid w:val="00256E35"/>
    <w:rsid w:val="00257541"/>
    <w:rsid w:val="00257881"/>
    <w:rsid w:val="0025788B"/>
    <w:rsid w:val="00257A39"/>
    <w:rsid w:val="00257AC4"/>
    <w:rsid w:val="00257BBE"/>
    <w:rsid w:val="00257F0E"/>
    <w:rsid w:val="00257FDD"/>
    <w:rsid w:val="0026008C"/>
    <w:rsid w:val="0026019D"/>
    <w:rsid w:val="00260E22"/>
    <w:rsid w:val="00260FB5"/>
    <w:rsid w:val="00261209"/>
    <w:rsid w:val="0026159C"/>
    <w:rsid w:val="00261EEF"/>
    <w:rsid w:val="002620B7"/>
    <w:rsid w:val="002620FC"/>
    <w:rsid w:val="00262137"/>
    <w:rsid w:val="00262147"/>
    <w:rsid w:val="00262872"/>
    <w:rsid w:val="00262A1A"/>
    <w:rsid w:val="00262A87"/>
    <w:rsid w:val="00262FC3"/>
    <w:rsid w:val="0026327D"/>
    <w:rsid w:val="0026355D"/>
    <w:rsid w:val="00263816"/>
    <w:rsid w:val="0026383B"/>
    <w:rsid w:val="002638BE"/>
    <w:rsid w:val="00263E7F"/>
    <w:rsid w:val="00264702"/>
    <w:rsid w:val="00264D26"/>
    <w:rsid w:val="0026500A"/>
    <w:rsid w:val="0026516B"/>
    <w:rsid w:val="0026517B"/>
    <w:rsid w:val="00265263"/>
    <w:rsid w:val="00265400"/>
    <w:rsid w:val="00265772"/>
    <w:rsid w:val="002659E3"/>
    <w:rsid w:val="00266622"/>
    <w:rsid w:val="00266751"/>
    <w:rsid w:val="00266FEA"/>
    <w:rsid w:val="00267054"/>
    <w:rsid w:val="00267304"/>
    <w:rsid w:val="002674BC"/>
    <w:rsid w:val="00267642"/>
    <w:rsid w:val="0026783A"/>
    <w:rsid w:val="00267AEA"/>
    <w:rsid w:val="00267FF9"/>
    <w:rsid w:val="002700E6"/>
    <w:rsid w:val="002705C6"/>
    <w:rsid w:val="00270693"/>
    <w:rsid w:val="002709CA"/>
    <w:rsid w:val="00271329"/>
    <w:rsid w:val="00271467"/>
    <w:rsid w:val="00271560"/>
    <w:rsid w:val="00271568"/>
    <w:rsid w:val="00271910"/>
    <w:rsid w:val="00271930"/>
    <w:rsid w:val="00271BD2"/>
    <w:rsid w:val="00271EF6"/>
    <w:rsid w:val="002720D5"/>
    <w:rsid w:val="002720DA"/>
    <w:rsid w:val="002721B0"/>
    <w:rsid w:val="002728DD"/>
    <w:rsid w:val="0027294B"/>
    <w:rsid w:val="00272B0E"/>
    <w:rsid w:val="0027338F"/>
    <w:rsid w:val="002733A2"/>
    <w:rsid w:val="002734C7"/>
    <w:rsid w:val="00273BC8"/>
    <w:rsid w:val="00273BD8"/>
    <w:rsid w:val="00273EB4"/>
    <w:rsid w:val="00274180"/>
    <w:rsid w:val="00274682"/>
    <w:rsid w:val="002747A7"/>
    <w:rsid w:val="00275158"/>
    <w:rsid w:val="00275643"/>
    <w:rsid w:val="00275B2F"/>
    <w:rsid w:val="00275C5A"/>
    <w:rsid w:val="002766DA"/>
    <w:rsid w:val="00276782"/>
    <w:rsid w:val="00277223"/>
    <w:rsid w:val="002778BD"/>
    <w:rsid w:val="002778C1"/>
    <w:rsid w:val="00277955"/>
    <w:rsid w:val="00277A87"/>
    <w:rsid w:val="00277BCC"/>
    <w:rsid w:val="00277DC9"/>
    <w:rsid w:val="00277E21"/>
    <w:rsid w:val="0028001D"/>
    <w:rsid w:val="00281014"/>
    <w:rsid w:val="002814A4"/>
    <w:rsid w:val="002816A4"/>
    <w:rsid w:val="002817AC"/>
    <w:rsid w:val="002824BA"/>
    <w:rsid w:val="00282531"/>
    <w:rsid w:val="002826B1"/>
    <w:rsid w:val="00282DD7"/>
    <w:rsid w:val="00283015"/>
    <w:rsid w:val="00283B6D"/>
    <w:rsid w:val="00283E50"/>
    <w:rsid w:val="002842FE"/>
    <w:rsid w:val="002843B1"/>
    <w:rsid w:val="002843D8"/>
    <w:rsid w:val="00284538"/>
    <w:rsid w:val="00284B18"/>
    <w:rsid w:val="00284BF7"/>
    <w:rsid w:val="002853A8"/>
    <w:rsid w:val="00285BCE"/>
    <w:rsid w:val="00285E30"/>
    <w:rsid w:val="0028623B"/>
    <w:rsid w:val="00286494"/>
    <w:rsid w:val="0028665D"/>
    <w:rsid w:val="00286991"/>
    <w:rsid w:val="00287440"/>
    <w:rsid w:val="002877BD"/>
    <w:rsid w:val="00287A55"/>
    <w:rsid w:val="00287BBB"/>
    <w:rsid w:val="00290183"/>
    <w:rsid w:val="002902B3"/>
    <w:rsid w:val="002903EA"/>
    <w:rsid w:val="00290483"/>
    <w:rsid w:val="002905A3"/>
    <w:rsid w:val="0029082B"/>
    <w:rsid w:val="00291034"/>
    <w:rsid w:val="00291121"/>
    <w:rsid w:val="0029137C"/>
    <w:rsid w:val="00291A8F"/>
    <w:rsid w:val="00291BFD"/>
    <w:rsid w:val="0029230C"/>
    <w:rsid w:val="00292682"/>
    <w:rsid w:val="00293AE2"/>
    <w:rsid w:val="00293B31"/>
    <w:rsid w:val="00293FBB"/>
    <w:rsid w:val="002941C8"/>
    <w:rsid w:val="00294805"/>
    <w:rsid w:val="00294AA1"/>
    <w:rsid w:val="00296087"/>
    <w:rsid w:val="00297354"/>
    <w:rsid w:val="00297421"/>
    <w:rsid w:val="002978B0"/>
    <w:rsid w:val="00297C97"/>
    <w:rsid w:val="00297E28"/>
    <w:rsid w:val="002A0728"/>
    <w:rsid w:val="002A0ADF"/>
    <w:rsid w:val="002A14AB"/>
    <w:rsid w:val="002A1659"/>
    <w:rsid w:val="002A2586"/>
    <w:rsid w:val="002A2ADE"/>
    <w:rsid w:val="002A2BD1"/>
    <w:rsid w:val="002A2CCD"/>
    <w:rsid w:val="002A2F50"/>
    <w:rsid w:val="002A3ED0"/>
    <w:rsid w:val="002A4651"/>
    <w:rsid w:val="002A476C"/>
    <w:rsid w:val="002A4D09"/>
    <w:rsid w:val="002A4E67"/>
    <w:rsid w:val="002A56B0"/>
    <w:rsid w:val="002A57B8"/>
    <w:rsid w:val="002A58EC"/>
    <w:rsid w:val="002A5DC8"/>
    <w:rsid w:val="002A6920"/>
    <w:rsid w:val="002A6D77"/>
    <w:rsid w:val="002A70ED"/>
    <w:rsid w:val="002A70FE"/>
    <w:rsid w:val="002A7943"/>
    <w:rsid w:val="002B0107"/>
    <w:rsid w:val="002B05A1"/>
    <w:rsid w:val="002B09A4"/>
    <w:rsid w:val="002B0D7E"/>
    <w:rsid w:val="002B0EF3"/>
    <w:rsid w:val="002B1C1F"/>
    <w:rsid w:val="002B1D80"/>
    <w:rsid w:val="002B21D2"/>
    <w:rsid w:val="002B24A8"/>
    <w:rsid w:val="002B2EE8"/>
    <w:rsid w:val="002B319A"/>
    <w:rsid w:val="002B4329"/>
    <w:rsid w:val="002B432F"/>
    <w:rsid w:val="002B4381"/>
    <w:rsid w:val="002B43AC"/>
    <w:rsid w:val="002B4CA3"/>
    <w:rsid w:val="002B4CEE"/>
    <w:rsid w:val="002B4F96"/>
    <w:rsid w:val="002B501D"/>
    <w:rsid w:val="002B54AA"/>
    <w:rsid w:val="002B5CBC"/>
    <w:rsid w:val="002B5DDD"/>
    <w:rsid w:val="002B5E2B"/>
    <w:rsid w:val="002B62B3"/>
    <w:rsid w:val="002B6754"/>
    <w:rsid w:val="002B6CCE"/>
    <w:rsid w:val="002B720F"/>
    <w:rsid w:val="002B743B"/>
    <w:rsid w:val="002B7840"/>
    <w:rsid w:val="002B7A4A"/>
    <w:rsid w:val="002B7DDC"/>
    <w:rsid w:val="002B7E17"/>
    <w:rsid w:val="002C0645"/>
    <w:rsid w:val="002C0915"/>
    <w:rsid w:val="002C2510"/>
    <w:rsid w:val="002C251E"/>
    <w:rsid w:val="002C2775"/>
    <w:rsid w:val="002C27C1"/>
    <w:rsid w:val="002C2AB2"/>
    <w:rsid w:val="002C2C1F"/>
    <w:rsid w:val="002C2F8B"/>
    <w:rsid w:val="002C309D"/>
    <w:rsid w:val="002C34B0"/>
    <w:rsid w:val="002C36E3"/>
    <w:rsid w:val="002C3762"/>
    <w:rsid w:val="002C38CA"/>
    <w:rsid w:val="002C3D8E"/>
    <w:rsid w:val="002C4433"/>
    <w:rsid w:val="002C45F0"/>
    <w:rsid w:val="002C4B65"/>
    <w:rsid w:val="002C4F75"/>
    <w:rsid w:val="002C5099"/>
    <w:rsid w:val="002C56CF"/>
    <w:rsid w:val="002C582F"/>
    <w:rsid w:val="002C5867"/>
    <w:rsid w:val="002C5889"/>
    <w:rsid w:val="002C5914"/>
    <w:rsid w:val="002C5A17"/>
    <w:rsid w:val="002C5A3E"/>
    <w:rsid w:val="002C5EB4"/>
    <w:rsid w:val="002C617E"/>
    <w:rsid w:val="002C69D8"/>
    <w:rsid w:val="002C6F7B"/>
    <w:rsid w:val="002C71CE"/>
    <w:rsid w:val="002C7AC2"/>
    <w:rsid w:val="002D0254"/>
    <w:rsid w:val="002D08F8"/>
    <w:rsid w:val="002D098C"/>
    <w:rsid w:val="002D0FBC"/>
    <w:rsid w:val="002D1B8B"/>
    <w:rsid w:val="002D1E48"/>
    <w:rsid w:val="002D20B9"/>
    <w:rsid w:val="002D2267"/>
    <w:rsid w:val="002D26DE"/>
    <w:rsid w:val="002D2C0C"/>
    <w:rsid w:val="002D32C0"/>
    <w:rsid w:val="002D38CF"/>
    <w:rsid w:val="002D3F24"/>
    <w:rsid w:val="002D4AB0"/>
    <w:rsid w:val="002D4CC9"/>
    <w:rsid w:val="002D53B0"/>
    <w:rsid w:val="002D577C"/>
    <w:rsid w:val="002D5C93"/>
    <w:rsid w:val="002D69C5"/>
    <w:rsid w:val="002D6C3D"/>
    <w:rsid w:val="002D6FED"/>
    <w:rsid w:val="002D7832"/>
    <w:rsid w:val="002D7868"/>
    <w:rsid w:val="002D79A3"/>
    <w:rsid w:val="002D7A2C"/>
    <w:rsid w:val="002D7C6E"/>
    <w:rsid w:val="002D7D95"/>
    <w:rsid w:val="002D7EDB"/>
    <w:rsid w:val="002E009F"/>
    <w:rsid w:val="002E00F2"/>
    <w:rsid w:val="002E03D0"/>
    <w:rsid w:val="002E094F"/>
    <w:rsid w:val="002E0ADA"/>
    <w:rsid w:val="002E0FD1"/>
    <w:rsid w:val="002E1071"/>
    <w:rsid w:val="002E10D9"/>
    <w:rsid w:val="002E112D"/>
    <w:rsid w:val="002E1219"/>
    <w:rsid w:val="002E127F"/>
    <w:rsid w:val="002E128C"/>
    <w:rsid w:val="002E14EF"/>
    <w:rsid w:val="002E15B9"/>
    <w:rsid w:val="002E1AB8"/>
    <w:rsid w:val="002E1E71"/>
    <w:rsid w:val="002E2158"/>
    <w:rsid w:val="002E29C7"/>
    <w:rsid w:val="002E2A06"/>
    <w:rsid w:val="002E2B64"/>
    <w:rsid w:val="002E2B90"/>
    <w:rsid w:val="002E32DA"/>
    <w:rsid w:val="002E341E"/>
    <w:rsid w:val="002E39A8"/>
    <w:rsid w:val="002E3E20"/>
    <w:rsid w:val="002E4079"/>
    <w:rsid w:val="002E4987"/>
    <w:rsid w:val="002E4B24"/>
    <w:rsid w:val="002E4F02"/>
    <w:rsid w:val="002E50F9"/>
    <w:rsid w:val="002E5222"/>
    <w:rsid w:val="002E56B1"/>
    <w:rsid w:val="002E578C"/>
    <w:rsid w:val="002E58DA"/>
    <w:rsid w:val="002E5E0B"/>
    <w:rsid w:val="002E5E26"/>
    <w:rsid w:val="002E5EE3"/>
    <w:rsid w:val="002E5FC5"/>
    <w:rsid w:val="002E6182"/>
    <w:rsid w:val="002E6BC3"/>
    <w:rsid w:val="002E6ED2"/>
    <w:rsid w:val="002E7152"/>
    <w:rsid w:val="002E7722"/>
    <w:rsid w:val="002E7759"/>
    <w:rsid w:val="002E7FDC"/>
    <w:rsid w:val="002F01CA"/>
    <w:rsid w:val="002F02A0"/>
    <w:rsid w:val="002F04B6"/>
    <w:rsid w:val="002F07BA"/>
    <w:rsid w:val="002F09A7"/>
    <w:rsid w:val="002F0DA9"/>
    <w:rsid w:val="002F0F3B"/>
    <w:rsid w:val="002F1014"/>
    <w:rsid w:val="002F11AA"/>
    <w:rsid w:val="002F153C"/>
    <w:rsid w:val="002F1A79"/>
    <w:rsid w:val="002F1E3B"/>
    <w:rsid w:val="002F219B"/>
    <w:rsid w:val="002F3147"/>
    <w:rsid w:val="002F39A3"/>
    <w:rsid w:val="002F4086"/>
    <w:rsid w:val="002F4348"/>
    <w:rsid w:val="002F4642"/>
    <w:rsid w:val="002F483C"/>
    <w:rsid w:val="002F4BD9"/>
    <w:rsid w:val="002F4E21"/>
    <w:rsid w:val="002F5117"/>
    <w:rsid w:val="002F51F3"/>
    <w:rsid w:val="002F55BF"/>
    <w:rsid w:val="002F5B3B"/>
    <w:rsid w:val="002F5DC5"/>
    <w:rsid w:val="002F5ED6"/>
    <w:rsid w:val="002F6029"/>
    <w:rsid w:val="002F643C"/>
    <w:rsid w:val="002F6F81"/>
    <w:rsid w:val="002F6FCA"/>
    <w:rsid w:val="002F71C0"/>
    <w:rsid w:val="002F74F1"/>
    <w:rsid w:val="002F7846"/>
    <w:rsid w:val="002F78B4"/>
    <w:rsid w:val="00300134"/>
    <w:rsid w:val="003004AF"/>
    <w:rsid w:val="00300778"/>
    <w:rsid w:val="00300EB7"/>
    <w:rsid w:val="00301017"/>
    <w:rsid w:val="00301500"/>
    <w:rsid w:val="0030155F"/>
    <w:rsid w:val="0030220B"/>
    <w:rsid w:val="0030239A"/>
    <w:rsid w:val="0030250B"/>
    <w:rsid w:val="0030258C"/>
    <w:rsid w:val="0030286A"/>
    <w:rsid w:val="00303074"/>
    <w:rsid w:val="003046D2"/>
    <w:rsid w:val="00304D3F"/>
    <w:rsid w:val="00305453"/>
    <w:rsid w:val="0030587B"/>
    <w:rsid w:val="003058EB"/>
    <w:rsid w:val="0030645F"/>
    <w:rsid w:val="003066DF"/>
    <w:rsid w:val="00306A38"/>
    <w:rsid w:val="00306D98"/>
    <w:rsid w:val="0030786C"/>
    <w:rsid w:val="00307888"/>
    <w:rsid w:val="00307EE9"/>
    <w:rsid w:val="00307F87"/>
    <w:rsid w:val="0031018E"/>
    <w:rsid w:val="0031031A"/>
    <w:rsid w:val="0031082A"/>
    <w:rsid w:val="00310981"/>
    <w:rsid w:val="00310B04"/>
    <w:rsid w:val="00310E9A"/>
    <w:rsid w:val="00311D53"/>
    <w:rsid w:val="00311D9B"/>
    <w:rsid w:val="00312048"/>
    <w:rsid w:val="003121DC"/>
    <w:rsid w:val="003124D9"/>
    <w:rsid w:val="00312594"/>
    <w:rsid w:val="003127CF"/>
    <w:rsid w:val="00313312"/>
    <w:rsid w:val="00313B3F"/>
    <w:rsid w:val="00314E88"/>
    <w:rsid w:val="00315185"/>
    <w:rsid w:val="00315469"/>
    <w:rsid w:val="00315498"/>
    <w:rsid w:val="00315B72"/>
    <w:rsid w:val="0031630D"/>
    <w:rsid w:val="00316474"/>
    <w:rsid w:val="00316AA9"/>
    <w:rsid w:val="00317114"/>
    <w:rsid w:val="003173B3"/>
    <w:rsid w:val="0031749C"/>
    <w:rsid w:val="003174B2"/>
    <w:rsid w:val="003175C1"/>
    <w:rsid w:val="00317986"/>
    <w:rsid w:val="00317EC3"/>
    <w:rsid w:val="00320595"/>
    <w:rsid w:val="00320EF8"/>
    <w:rsid w:val="0032113C"/>
    <w:rsid w:val="003212C9"/>
    <w:rsid w:val="003219D4"/>
    <w:rsid w:val="00321E5F"/>
    <w:rsid w:val="00322107"/>
    <w:rsid w:val="00322355"/>
    <w:rsid w:val="00322846"/>
    <w:rsid w:val="0032314F"/>
    <w:rsid w:val="003235F1"/>
    <w:rsid w:val="003239D1"/>
    <w:rsid w:val="00323BC5"/>
    <w:rsid w:val="00323C90"/>
    <w:rsid w:val="00323D33"/>
    <w:rsid w:val="0032408D"/>
    <w:rsid w:val="00324330"/>
    <w:rsid w:val="003244AF"/>
    <w:rsid w:val="0032510A"/>
    <w:rsid w:val="003257B2"/>
    <w:rsid w:val="0032597D"/>
    <w:rsid w:val="003260B7"/>
    <w:rsid w:val="003260E4"/>
    <w:rsid w:val="00326643"/>
    <w:rsid w:val="003267DD"/>
    <w:rsid w:val="00326CF9"/>
    <w:rsid w:val="00326DA7"/>
    <w:rsid w:val="003270E4"/>
    <w:rsid w:val="003274D8"/>
    <w:rsid w:val="003274D9"/>
    <w:rsid w:val="00327515"/>
    <w:rsid w:val="003279E2"/>
    <w:rsid w:val="00330028"/>
    <w:rsid w:val="003300DD"/>
    <w:rsid w:val="003300F7"/>
    <w:rsid w:val="003301CC"/>
    <w:rsid w:val="00330DAA"/>
    <w:rsid w:val="00330F16"/>
    <w:rsid w:val="00330F5C"/>
    <w:rsid w:val="0033135A"/>
    <w:rsid w:val="003318CA"/>
    <w:rsid w:val="00331EE1"/>
    <w:rsid w:val="00332A51"/>
    <w:rsid w:val="00332E10"/>
    <w:rsid w:val="00333A2B"/>
    <w:rsid w:val="00333C70"/>
    <w:rsid w:val="00333DA5"/>
    <w:rsid w:val="0033426D"/>
    <w:rsid w:val="003346AE"/>
    <w:rsid w:val="003346B3"/>
    <w:rsid w:val="00334835"/>
    <w:rsid w:val="003348C9"/>
    <w:rsid w:val="003350FD"/>
    <w:rsid w:val="003351B0"/>
    <w:rsid w:val="00335558"/>
    <w:rsid w:val="003356DE"/>
    <w:rsid w:val="00335D10"/>
    <w:rsid w:val="00336516"/>
    <w:rsid w:val="003366C9"/>
    <w:rsid w:val="003369FD"/>
    <w:rsid w:val="0033706D"/>
    <w:rsid w:val="003370B6"/>
    <w:rsid w:val="003371B0"/>
    <w:rsid w:val="00337A7E"/>
    <w:rsid w:val="00337D1B"/>
    <w:rsid w:val="003406B5"/>
    <w:rsid w:val="00340A4E"/>
    <w:rsid w:val="00340B65"/>
    <w:rsid w:val="00340CAF"/>
    <w:rsid w:val="00340DF1"/>
    <w:rsid w:val="00341365"/>
    <w:rsid w:val="003415F0"/>
    <w:rsid w:val="00341CA1"/>
    <w:rsid w:val="00342080"/>
    <w:rsid w:val="00342746"/>
    <w:rsid w:val="00342D92"/>
    <w:rsid w:val="0034376D"/>
    <w:rsid w:val="0034395B"/>
    <w:rsid w:val="00343BF1"/>
    <w:rsid w:val="00343E45"/>
    <w:rsid w:val="0034452E"/>
    <w:rsid w:val="00345439"/>
    <w:rsid w:val="00346176"/>
    <w:rsid w:val="00346BA3"/>
    <w:rsid w:val="00346D16"/>
    <w:rsid w:val="00346D18"/>
    <w:rsid w:val="003471CD"/>
    <w:rsid w:val="00347208"/>
    <w:rsid w:val="003476C7"/>
    <w:rsid w:val="003479DA"/>
    <w:rsid w:val="00347E1B"/>
    <w:rsid w:val="0035145E"/>
    <w:rsid w:val="003517F9"/>
    <w:rsid w:val="00351BA9"/>
    <w:rsid w:val="00352869"/>
    <w:rsid w:val="00352D05"/>
    <w:rsid w:val="003535A4"/>
    <w:rsid w:val="003536FE"/>
    <w:rsid w:val="003539DE"/>
    <w:rsid w:val="0035402B"/>
    <w:rsid w:val="00354186"/>
    <w:rsid w:val="00354939"/>
    <w:rsid w:val="00354BFF"/>
    <w:rsid w:val="00354ECA"/>
    <w:rsid w:val="00354F64"/>
    <w:rsid w:val="00354F8B"/>
    <w:rsid w:val="0035512C"/>
    <w:rsid w:val="0035524D"/>
    <w:rsid w:val="00355655"/>
    <w:rsid w:val="00355760"/>
    <w:rsid w:val="00356110"/>
    <w:rsid w:val="00356160"/>
    <w:rsid w:val="0035620E"/>
    <w:rsid w:val="00356366"/>
    <w:rsid w:val="00356C74"/>
    <w:rsid w:val="00357304"/>
    <w:rsid w:val="003575BE"/>
    <w:rsid w:val="00357D67"/>
    <w:rsid w:val="00357DC6"/>
    <w:rsid w:val="00360345"/>
    <w:rsid w:val="00360514"/>
    <w:rsid w:val="00360555"/>
    <w:rsid w:val="00361020"/>
    <w:rsid w:val="003610FA"/>
    <w:rsid w:val="0036120C"/>
    <w:rsid w:val="003615C3"/>
    <w:rsid w:val="003616D6"/>
    <w:rsid w:val="00361A05"/>
    <w:rsid w:val="00361A36"/>
    <w:rsid w:val="00361A8E"/>
    <w:rsid w:val="00361F4C"/>
    <w:rsid w:val="003624C4"/>
    <w:rsid w:val="003626DB"/>
    <w:rsid w:val="00362B89"/>
    <w:rsid w:val="00362FFC"/>
    <w:rsid w:val="0036391D"/>
    <w:rsid w:val="00363B00"/>
    <w:rsid w:val="00363FEA"/>
    <w:rsid w:val="003640B3"/>
    <w:rsid w:val="003645F4"/>
    <w:rsid w:val="003645F5"/>
    <w:rsid w:val="00364AC4"/>
    <w:rsid w:val="00364E84"/>
    <w:rsid w:val="00365220"/>
    <w:rsid w:val="00365275"/>
    <w:rsid w:val="003654AC"/>
    <w:rsid w:val="003659FB"/>
    <w:rsid w:val="00365BC3"/>
    <w:rsid w:val="00366095"/>
    <w:rsid w:val="0036624E"/>
    <w:rsid w:val="00366C6F"/>
    <w:rsid w:val="00366D19"/>
    <w:rsid w:val="00366D2F"/>
    <w:rsid w:val="003676E7"/>
    <w:rsid w:val="003679F0"/>
    <w:rsid w:val="00367C6A"/>
    <w:rsid w:val="0037016F"/>
    <w:rsid w:val="00370267"/>
    <w:rsid w:val="00370765"/>
    <w:rsid w:val="003709FB"/>
    <w:rsid w:val="00370CEF"/>
    <w:rsid w:val="00370DF9"/>
    <w:rsid w:val="00370F51"/>
    <w:rsid w:val="003710CF"/>
    <w:rsid w:val="003712F6"/>
    <w:rsid w:val="003715FB"/>
    <w:rsid w:val="00371622"/>
    <w:rsid w:val="00371EC3"/>
    <w:rsid w:val="00371F97"/>
    <w:rsid w:val="003727AA"/>
    <w:rsid w:val="00372877"/>
    <w:rsid w:val="00373457"/>
    <w:rsid w:val="0037358A"/>
    <w:rsid w:val="00373B31"/>
    <w:rsid w:val="0037412D"/>
    <w:rsid w:val="003741D3"/>
    <w:rsid w:val="00374E18"/>
    <w:rsid w:val="00374F5C"/>
    <w:rsid w:val="003750F6"/>
    <w:rsid w:val="00375220"/>
    <w:rsid w:val="00375D68"/>
    <w:rsid w:val="003760FC"/>
    <w:rsid w:val="0037680D"/>
    <w:rsid w:val="003768BC"/>
    <w:rsid w:val="00376BDA"/>
    <w:rsid w:val="003776DD"/>
    <w:rsid w:val="00377A5A"/>
    <w:rsid w:val="00377EDA"/>
    <w:rsid w:val="00377F3D"/>
    <w:rsid w:val="003801A2"/>
    <w:rsid w:val="003801B8"/>
    <w:rsid w:val="0038025A"/>
    <w:rsid w:val="0038056F"/>
    <w:rsid w:val="00380995"/>
    <w:rsid w:val="00380BD2"/>
    <w:rsid w:val="003811EE"/>
    <w:rsid w:val="00381C70"/>
    <w:rsid w:val="00381DB8"/>
    <w:rsid w:val="0038257A"/>
    <w:rsid w:val="00382917"/>
    <w:rsid w:val="00382B4A"/>
    <w:rsid w:val="00382F18"/>
    <w:rsid w:val="00382FFC"/>
    <w:rsid w:val="00383586"/>
    <w:rsid w:val="0038365C"/>
    <w:rsid w:val="0038369B"/>
    <w:rsid w:val="00383719"/>
    <w:rsid w:val="00383B78"/>
    <w:rsid w:val="003846B4"/>
    <w:rsid w:val="00384786"/>
    <w:rsid w:val="00384DB6"/>
    <w:rsid w:val="00385680"/>
    <w:rsid w:val="00385A9D"/>
    <w:rsid w:val="00385C11"/>
    <w:rsid w:val="00385CD0"/>
    <w:rsid w:val="0038607F"/>
    <w:rsid w:val="00386158"/>
    <w:rsid w:val="0038642B"/>
    <w:rsid w:val="003869C5"/>
    <w:rsid w:val="00386BD5"/>
    <w:rsid w:val="00386D61"/>
    <w:rsid w:val="00386E0E"/>
    <w:rsid w:val="00387121"/>
    <w:rsid w:val="00387933"/>
    <w:rsid w:val="00387A40"/>
    <w:rsid w:val="00387AC2"/>
    <w:rsid w:val="00390193"/>
    <w:rsid w:val="003902B1"/>
    <w:rsid w:val="00390614"/>
    <w:rsid w:val="0039066F"/>
    <w:rsid w:val="00390BF8"/>
    <w:rsid w:val="00390D0F"/>
    <w:rsid w:val="003911BE"/>
    <w:rsid w:val="00391601"/>
    <w:rsid w:val="0039179C"/>
    <w:rsid w:val="00391A67"/>
    <w:rsid w:val="00392E14"/>
    <w:rsid w:val="00393312"/>
    <w:rsid w:val="003934BD"/>
    <w:rsid w:val="00393E9E"/>
    <w:rsid w:val="00393EEA"/>
    <w:rsid w:val="00394A25"/>
    <w:rsid w:val="00394BD6"/>
    <w:rsid w:val="00394C42"/>
    <w:rsid w:val="00394CD6"/>
    <w:rsid w:val="0039526E"/>
    <w:rsid w:val="00395D28"/>
    <w:rsid w:val="00396896"/>
    <w:rsid w:val="00396B16"/>
    <w:rsid w:val="00396FD0"/>
    <w:rsid w:val="003973DF"/>
    <w:rsid w:val="0039791C"/>
    <w:rsid w:val="00397DB7"/>
    <w:rsid w:val="003A138D"/>
    <w:rsid w:val="003A14C8"/>
    <w:rsid w:val="003A1618"/>
    <w:rsid w:val="003A1946"/>
    <w:rsid w:val="003A1A7A"/>
    <w:rsid w:val="003A1BD7"/>
    <w:rsid w:val="003A22A8"/>
    <w:rsid w:val="003A2392"/>
    <w:rsid w:val="003A2468"/>
    <w:rsid w:val="003A2831"/>
    <w:rsid w:val="003A2989"/>
    <w:rsid w:val="003A2D5D"/>
    <w:rsid w:val="003A354B"/>
    <w:rsid w:val="003A3C68"/>
    <w:rsid w:val="003A3C85"/>
    <w:rsid w:val="003A3CB6"/>
    <w:rsid w:val="003A3ED1"/>
    <w:rsid w:val="003A44DB"/>
    <w:rsid w:val="003A4590"/>
    <w:rsid w:val="003A489D"/>
    <w:rsid w:val="003A4A94"/>
    <w:rsid w:val="003A4B75"/>
    <w:rsid w:val="003A4C14"/>
    <w:rsid w:val="003A4F85"/>
    <w:rsid w:val="003A5956"/>
    <w:rsid w:val="003A63DB"/>
    <w:rsid w:val="003A67E2"/>
    <w:rsid w:val="003A7A07"/>
    <w:rsid w:val="003A7A7F"/>
    <w:rsid w:val="003A7B60"/>
    <w:rsid w:val="003B0CA1"/>
    <w:rsid w:val="003B0EBF"/>
    <w:rsid w:val="003B11E8"/>
    <w:rsid w:val="003B18B9"/>
    <w:rsid w:val="003B1F13"/>
    <w:rsid w:val="003B22D0"/>
    <w:rsid w:val="003B2499"/>
    <w:rsid w:val="003B2617"/>
    <w:rsid w:val="003B263A"/>
    <w:rsid w:val="003B2646"/>
    <w:rsid w:val="003B32F7"/>
    <w:rsid w:val="003B355B"/>
    <w:rsid w:val="003B35C8"/>
    <w:rsid w:val="003B3971"/>
    <w:rsid w:val="003B418A"/>
    <w:rsid w:val="003B4441"/>
    <w:rsid w:val="003B495B"/>
    <w:rsid w:val="003B4F36"/>
    <w:rsid w:val="003B4F43"/>
    <w:rsid w:val="003B4F6D"/>
    <w:rsid w:val="003B5528"/>
    <w:rsid w:val="003B55D1"/>
    <w:rsid w:val="003B567B"/>
    <w:rsid w:val="003B5B61"/>
    <w:rsid w:val="003B5E4D"/>
    <w:rsid w:val="003B5EDA"/>
    <w:rsid w:val="003B6260"/>
    <w:rsid w:val="003B6AE9"/>
    <w:rsid w:val="003B6B6C"/>
    <w:rsid w:val="003B6E88"/>
    <w:rsid w:val="003B71B0"/>
    <w:rsid w:val="003B7589"/>
    <w:rsid w:val="003C07FF"/>
    <w:rsid w:val="003C0CAB"/>
    <w:rsid w:val="003C0D6D"/>
    <w:rsid w:val="003C1243"/>
    <w:rsid w:val="003C1654"/>
    <w:rsid w:val="003C1702"/>
    <w:rsid w:val="003C1D9F"/>
    <w:rsid w:val="003C217D"/>
    <w:rsid w:val="003C24E9"/>
    <w:rsid w:val="003C2598"/>
    <w:rsid w:val="003C2742"/>
    <w:rsid w:val="003C2DE2"/>
    <w:rsid w:val="003C2E48"/>
    <w:rsid w:val="003C3129"/>
    <w:rsid w:val="003C312C"/>
    <w:rsid w:val="003C38C4"/>
    <w:rsid w:val="003C3F27"/>
    <w:rsid w:val="003C402C"/>
    <w:rsid w:val="003C4144"/>
    <w:rsid w:val="003C446A"/>
    <w:rsid w:val="003C48A0"/>
    <w:rsid w:val="003C4CF1"/>
    <w:rsid w:val="003C4DA4"/>
    <w:rsid w:val="003C5026"/>
    <w:rsid w:val="003C5542"/>
    <w:rsid w:val="003C5548"/>
    <w:rsid w:val="003C5663"/>
    <w:rsid w:val="003C5E55"/>
    <w:rsid w:val="003C64B2"/>
    <w:rsid w:val="003C72EA"/>
    <w:rsid w:val="003C7432"/>
    <w:rsid w:val="003C7AAD"/>
    <w:rsid w:val="003C7C15"/>
    <w:rsid w:val="003C7D19"/>
    <w:rsid w:val="003C7D2F"/>
    <w:rsid w:val="003D004D"/>
    <w:rsid w:val="003D0788"/>
    <w:rsid w:val="003D0C50"/>
    <w:rsid w:val="003D0C5A"/>
    <w:rsid w:val="003D0DE2"/>
    <w:rsid w:val="003D0FBA"/>
    <w:rsid w:val="003D104F"/>
    <w:rsid w:val="003D15E3"/>
    <w:rsid w:val="003D1828"/>
    <w:rsid w:val="003D18DE"/>
    <w:rsid w:val="003D1A10"/>
    <w:rsid w:val="003D1A28"/>
    <w:rsid w:val="003D1D77"/>
    <w:rsid w:val="003D1DE4"/>
    <w:rsid w:val="003D1E9A"/>
    <w:rsid w:val="003D2422"/>
    <w:rsid w:val="003D2500"/>
    <w:rsid w:val="003D267B"/>
    <w:rsid w:val="003D2C86"/>
    <w:rsid w:val="003D30BD"/>
    <w:rsid w:val="003D30E6"/>
    <w:rsid w:val="003D3813"/>
    <w:rsid w:val="003D39A1"/>
    <w:rsid w:val="003D3C39"/>
    <w:rsid w:val="003D3FBF"/>
    <w:rsid w:val="003D41E4"/>
    <w:rsid w:val="003D425D"/>
    <w:rsid w:val="003D46F7"/>
    <w:rsid w:val="003D4A30"/>
    <w:rsid w:val="003D4DB4"/>
    <w:rsid w:val="003D4EB9"/>
    <w:rsid w:val="003D5344"/>
    <w:rsid w:val="003D6857"/>
    <w:rsid w:val="003D6920"/>
    <w:rsid w:val="003D6BDF"/>
    <w:rsid w:val="003D731E"/>
    <w:rsid w:val="003D7447"/>
    <w:rsid w:val="003D7452"/>
    <w:rsid w:val="003D757E"/>
    <w:rsid w:val="003D79BB"/>
    <w:rsid w:val="003D7C98"/>
    <w:rsid w:val="003D7D9D"/>
    <w:rsid w:val="003E0543"/>
    <w:rsid w:val="003E1793"/>
    <w:rsid w:val="003E1961"/>
    <w:rsid w:val="003E1ABF"/>
    <w:rsid w:val="003E1CC3"/>
    <w:rsid w:val="003E1E47"/>
    <w:rsid w:val="003E2070"/>
    <w:rsid w:val="003E20C5"/>
    <w:rsid w:val="003E2673"/>
    <w:rsid w:val="003E2F03"/>
    <w:rsid w:val="003E2F96"/>
    <w:rsid w:val="003E409A"/>
    <w:rsid w:val="003E40DB"/>
    <w:rsid w:val="003E493F"/>
    <w:rsid w:val="003E4C4E"/>
    <w:rsid w:val="003E51A5"/>
    <w:rsid w:val="003E5603"/>
    <w:rsid w:val="003E5DEB"/>
    <w:rsid w:val="003E6AE4"/>
    <w:rsid w:val="003E70A1"/>
    <w:rsid w:val="003E749E"/>
    <w:rsid w:val="003E769C"/>
    <w:rsid w:val="003E793D"/>
    <w:rsid w:val="003E7AD6"/>
    <w:rsid w:val="003E7F5D"/>
    <w:rsid w:val="003F0C01"/>
    <w:rsid w:val="003F0C06"/>
    <w:rsid w:val="003F0E14"/>
    <w:rsid w:val="003F153E"/>
    <w:rsid w:val="003F155E"/>
    <w:rsid w:val="003F27D3"/>
    <w:rsid w:val="003F2924"/>
    <w:rsid w:val="003F2A23"/>
    <w:rsid w:val="003F2A3E"/>
    <w:rsid w:val="003F2C17"/>
    <w:rsid w:val="003F2F62"/>
    <w:rsid w:val="003F364F"/>
    <w:rsid w:val="003F3858"/>
    <w:rsid w:val="003F3BBD"/>
    <w:rsid w:val="003F3FE7"/>
    <w:rsid w:val="003F4156"/>
    <w:rsid w:val="003F4727"/>
    <w:rsid w:val="003F52E1"/>
    <w:rsid w:val="003F5531"/>
    <w:rsid w:val="003F5ADF"/>
    <w:rsid w:val="003F5D37"/>
    <w:rsid w:val="003F6408"/>
    <w:rsid w:val="003F6992"/>
    <w:rsid w:val="003F7578"/>
    <w:rsid w:val="003F79C0"/>
    <w:rsid w:val="003F79EC"/>
    <w:rsid w:val="0040032C"/>
    <w:rsid w:val="004004F0"/>
    <w:rsid w:val="0040087D"/>
    <w:rsid w:val="00400B29"/>
    <w:rsid w:val="00401B44"/>
    <w:rsid w:val="004023EC"/>
    <w:rsid w:val="00402623"/>
    <w:rsid w:val="00402812"/>
    <w:rsid w:val="0040312D"/>
    <w:rsid w:val="0040382E"/>
    <w:rsid w:val="00403919"/>
    <w:rsid w:val="004044F5"/>
    <w:rsid w:val="00404B3C"/>
    <w:rsid w:val="0040504B"/>
    <w:rsid w:val="004053B9"/>
    <w:rsid w:val="00405591"/>
    <w:rsid w:val="004057F5"/>
    <w:rsid w:val="004059F4"/>
    <w:rsid w:val="00405CDD"/>
    <w:rsid w:val="00406108"/>
    <w:rsid w:val="00406C15"/>
    <w:rsid w:val="00406ECA"/>
    <w:rsid w:val="0040740D"/>
    <w:rsid w:val="00407C1B"/>
    <w:rsid w:val="00407FE5"/>
    <w:rsid w:val="004101B0"/>
    <w:rsid w:val="00410326"/>
    <w:rsid w:val="00410708"/>
    <w:rsid w:val="00410AD2"/>
    <w:rsid w:val="00410D70"/>
    <w:rsid w:val="00410E66"/>
    <w:rsid w:val="00410EC7"/>
    <w:rsid w:val="00411188"/>
    <w:rsid w:val="00411286"/>
    <w:rsid w:val="004116E2"/>
    <w:rsid w:val="004117F3"/>
    <w:rsid w:val="00411B39"/>
    <w:rsid w:val="00411B4A"/>
    <w:rsid w:val="004125CD"/>
    <w:rsid w:val="00412616"/>
    <w:rsid w:val="004126DB"/>
    <w:rsid w:val="004127A7"/>
    <w:rsid w:val="0041288F"/>
    <w:rsid w:val="00412D41"/>
    <w:rsid w:val="00413833"/>
    <w:rsid w:val="00413A1E"/>
    <w:rsid w:val="00413D06"/>
    <w:rsid w:val="00413F2A"/>
    <w:rsid w:val="00414476"/>
    <w:rsid w:val="0041451C"/>
    <w:rsid w:val="00414933"/>
    <w:rsid w:val="00414C2E"/>
    <w:rsid w:val="00414D36"/>
    <w:rsid w:val="0041503A"/>
    <w:rsid w:val="004150DC"/>
    <w:rsid w:val="004151CF"/>
    <w:rsid w:val="004154D3"/>
    <w:rsid w:val="004159DE"/>
    <w:rsid w:val="00415A24"/>
    <w:rsid w:val="00415E60"/>
    <w:rsid w:val="00416364"/>
    <w:rsid w:val="0041678B"/>
    <w:rsid w:val="00416E03"/>
    <w:rsid w:val="00417BBB"/>
    <w:rsid w:val="00417D06"/>
    <w:rsid w:val="0042047F"/>
    <w:rsid w:val="00420AA6"/>
    <w:rsid w:val="00420B9F"/>
    <w:rsid w:val="00420C74"/>
    <w:rsid w:val="00421158"/>
    <w:rsid w:val="0042115A"/>
    <w:rsid w:val="0042128B"/>
    <w:rsid w:val="004213B6"/>
    <w:rsid w:val="004216C5"/>
    <w:rsid w:val="0042192C"/>
    <w:rsid w:val="00422260"/>
    <w:rsid w:val="00422DB2"/>
    <w:rsid w:val="00423380"/>
    <w:rsid w:val="00423807"/>
    <w:rsid w:val="00423953"/>
    <w:rsid w:val="00423DF2"/>
    <w:rsid w:val="004240F0"/>
    <w:rsid w:val="0042413F"/>
    <w:rsid w:val="004248BE"/>
    <w:rsid w:val="00425526"/>
    <w:rsid w:val="004257C2"/>
    <w:rsid w:val="004257CE"/>
    <w:rsid w:val="004258EC"/>
    <w:rsid w:val="00426019"/>
    <w:rsid w:val="004263FD"/>
    <w:rsid w:val="004267A0"/>
    <w:rsid w:val="0042697C"/>
    <w:rsid w:val="00426F04"/>
    <w:rsid w:val="00427023"/>
    <w:rsid w:val="0042747B"/>
    <w:rsid w:val="00427A30"/>
    <w:rsid w:val="00427D9B"/>
    <w:rsid w:val="0043036E"/>
    <w:rsid w:val="00430654"/>
    <w:rsid w:val="0043097D"/>
    <w:rsid w:val="00430C9D"/>
    <w:rsid w:val="00430D02"/>
    <w:rsid w:val="0043130F"/>
    <w:rsid w:val="00431623"/>
    <w:rsid w:val="004317DF"/>
    <w:rsid w:val="004319F8"/>
    <w:rsid w:val="00431E55"/>
    <w:rsid w:val="0043202C"/>
    <w:rsid w:val="004321F6"/>
    <w:rsid w:val="00432993"/>
    <w:rsid w:val="00432A32"/>
    <w:rsid w:val="00432BB4"/>
    <w:rsid w:val="00433044"/>
    <w:rsid w:val="00433678"/>
    <w:rsid w:val="00434088"/>
    <w:rsid w:val="00434D05"/>
    <w:rsid w:val="0043514D"/>
    <w:rsid w:val="004358C6"/>
    <w:rsid w:val="00435D04"/>
    <w:rsid w:val="004360F3"/>
    <w:rsid w:val="004363D7"/>
    <w:rsid w:val="004373B2"/>
    <w:rsid w:val="004375B9"/>
    <w:rsid w:val="004379A8"/>
    <w:rsid w:val="004403FF"/>
    <w:rsid w:val="004405BD"/>
    <w:rsid w:val="004407D9"/>
    <w:rsid w:val="00440D72"/>
    <w:rsid w:val="004419DD"/>
    <w:rsid w:val="00441CED"/>
    <w:rsid w:val="00442425"/>
    <w:rsid w:val="004424BB"/>
    <w:rsid w:val="004428D0"/>
    <w:rsid w:val="00442A41"/>
    <w:rsid w:val="00442F5F"/>
    <w:rsid w:val="004430BB"/>
    <w:rsid w:val="00443372"/>
    <w:rsid w:val="004437BC"/>
    <w:rsid w:val="00443CBB"/>
    <w:rsid w:val="00444185"/>
    <w:rsid w:val="004443A7"/>
    <w:rsid w:val="0044442C"/>
    <w:rsid w:val="00444955"/>
    <w:rsid w:val="00445289"/>
    <w:rsid w:val="004454B6"/>
    <w:rsid w:val="00445657"/>
    <w:rsid w:val="00445941"/>
    <w:rsid w:val="00445A51"/>
    <w:rsid w:val="00445BA0"/>
    <w:rsid w:val="00445D58"/>
    <w:rsid w:val="00445E2C"/>
    <w:rsid w:val="004464EB"/>
    <w:rsid w:val="00446E34"/>
    <w:rsid w:val="00446E7B"/>
    <w:rsid w:val="00446EBC"/>
    <w:rsid w:val="004471FD"/>
    <w:rsid w:val="004473D7"/>
    <w:rsid w:val="0044747C"/>
    <w:rsid w:val="004474BF"/>
    <w:rsid w:val="00447D26"/>
    <w:rsid w:val="00447DFC"/>
    <w:rsid w:val="00451632"/>
    <w:rsid w:val="00451FED"/>
    <w:rsid w:val="0045200D"/>
    <w:rsid w:val="004529CD"/>
    <w:rsid w:val="00452B3B"/>
    <w:rsid w:val="00452D3B"/>
    <w:rsid w:val="00452D78"/>
    <w:rsid w:val="00452DF1"/>
    <w:rsid w:val="004539B8"/>
    <w:rsid w:val="00453D90"/>
    <w:rsid w:val="00453F3A"/>
    <w:rsid w:val="00453F7E"/>
    <w:rsid w:val="00453FAD"/>
    <w:rsid w:val="00454071"/>
    <w:rsid w:val="004542AF"/>
    <w:rsid w:val="00454360"/>
    <w:rsid w:val="0045495E"/>
    <w:rsid w:val="004549E3"/>
    <w:rsid w:val="00454F92"/>
    <w:rsid w:val="0045501B"/>
    <w:rsid w:val="00455187"/>
    <w:rsid w:val="0045529B"/>
    <w:rsid w:val="004553B9"/>
    <w:rsid w:val="004559FF"/>
    <w:rsid w:val="00455C54"/>
    <w:rsid w:val="00455D45"/>
    <w:rsid w:val="00456159"/>
    <w:rsid w:val="0045707B"/>
    <w:rsid w:val="004571F3"/>
    <w:rsid w:val="0045757F"/>
    <w:rsid w:val="0045759E"/>
    <w:rsid w:val="00457B71"/>
    <w:rsid w:val="00457CA5"/>
    <w:rsid w:val="00457FC4"/>
    <w:rsid w:val="00460080"/>
    <w:rsid w:val="00460808"/>
    <w:rsid w:val="004610F4"/>
    <w:rsid w:val="004612D5"/>
    <w:rsid w:val="00461603"/>
    <w:rsid w:val="00462443"/>
    <w:rsid w:val="004628EF"/>
    <w:rsid w:val="004629DC"/>
    <w:rsid w:val="00462BD5"/>
    <w:rsid w:val="00462D42"/>
    <w:rsid w:val="00463304"/>
    <w:rsid w:val="004633BB"/>
    <w:rsid w:val="00463626"/>
    <w:rsid w:val="0046414E"/>
    <w:rsid w:val="00464415"/>
    <w:rsid w:val="00464595"/>
    <w:rsid w:val="004645DC"/>
    <w:rsid w:val="00464918"/>
    <w:rsid w:val="00464B02"/>
    <w:rsid w:val="0046501F"/>
    <w:rsid w:val="00465334"/>
    <w:rsid w:val="004656BD"/>
    <w:rsid w:val="00465749"/>
    <w:rsid w:val="004658B5"/>
    <w:rsid w:val="00465AEC"/>
    <w:rsid w:val="00465F14"/>
    <w:rsid w:val="00466587"/>
    <w:rsid w:val="00466706"/>
    <w:rsid w:val="00466716"/>
    <w:rsid w:val="0046700D"/>
    <w:rsid w:val="00467A04"/>
    <w:rsid w:val="00470184"/>
    <w:rsid w:val="004708E6"/>
    <w:rsid w:val="00471EA5"/>
    <w:rsid w:val="004724D7"/>
    <w:rsid w:val="00472795"/>
    <w:rsid w:val="00472A79"/>
    <w:rsid w:val="00472A97"/>
    <w:rsid w:val="00472DE0"/>
    <w:rsid w:val="0047334B"/>
    <w:rsid w:val="00473D02"/>
    <w:rsid w:val="00473F19"/>
    <w:rsid w:val="00474574"/>
    <w:rsid w:val="00474A1B"/>
    <w:rsid w:val="00474F60"/>
    <w:rsid w:val="0047506E"/>
    <w:rsid w:val="00475A9F"/>
    <w:rsid w:val="00475E22"/>
    <w:rsid w:val="004773CA"/>
    <w:rsid w:val="00477B77"/>
    <w:rsid w:val="00477E68"/>
    <w:rsid w:val="0048051C"/>
    <w:rsid w:val="00480676"/>
    <w:rsid w:val="0048081C"/>
    <w:rsid w:val="0048088E"/>
    <w:rsid w:val="00480A60"/>
    <w:rsid w:val="00480DCC"/>
    <w:rsid w:val="00480F2B"/>
    <w:rsid w:val="00481049"/>
    <w:rsid w:val="00481704"/>
    <w:rsid w:val="00481819"/>
    <w:rsid w:val="00481E5F"/>
    <w:rsid w:val="00482720"/>
    <w:rsid w:val="004827A7"/>
    <w:rsid w:val="00482DD4"/>
    <w:rsid w:val="00483022"/>
    <w:rsid w:val="004835E7"/>
    <w:rsid w:val="0048363A"/>
    <w:rsid w:val="00483AAF"/>
    <w:rsid w:val="00483FBE"/>
    <w:rsid w:val="00484F32"/>
    <w:rsid w:val="004851BA"/>
    <w:rsid w:val="004852B3"/>
    <w:rsid w:val="004856A8"/>
    <w:rsid w:val="00485747"/>
    <w:rsid w:val="0048583E"/>
    <w:rsid w:val="004859E1"/>
    <w:rsid w:val="00485A43"/>
    <w:rsid w:val="0048600B"/>
    <w:rsid w:val="0048627A"/>
    <w:rsid w:val="004867B5"/>
    <w:rsid w:val="004867E2"/>
    <w:rsid w:val="00487390"/>
    <w:rsid w:val="0048746A"/>
    <w:rsid w:val="0049015F"/>
    <w:rsid w:val="004904FE"/>
    <w:rsid w:val="004905CE"/>
    <w:rsid w:val="00490607"/>
    <w:rsid w:val="00490AF3"/>
    <w:rsid w:val="00490B17"/>
    <w:rsid w:val="00490B74"/>
    <w:rsid w:val="00491151"/>
    <w:rsid w:val="0049151E"/>
    <w:rsid w:val="00491867"/>
    <w:rsid w:val="00491AAA"/>
    <w:rsid w:val="00491AFB"/>
    <w:rsid w:val="00491B3A"/>
    <w:rsid w:val="00491B5F"/>
    <w:rsid w:val="00491DDE"/>
    <w:rsid w:val="00491FA2"/>
    <w:rsid w:val="004923E0"/>
    <w:rsid w:val="00492CFD"/>
    <w:rsid w:val="004931DF"/>
    <w:rsid w:val="00493D33"/>
    <w:rsid w:val="0049417F"/>
    <w:rsid w:val="00494207"/>
    <w:rsid w:val="004944E8"/>
    <w:rsid w:val="00494543"/>
    <w:rsid w:val="0049473B"/>
    <w:rsid w:val="004947F4"/>
    <w:rsid w:val="00494C2C"/>
    <w:rsid w:val="00494DD5"/>
    <w:rsid w:val="00494FCB"/>
    <w:rsid w:val="004954D6"/>
    <w:rsid w:val="00495ACA"/>
    <w:rsid w:val="00495CD8"/>
    <w:rsid w:val="0049602B"/>
    <w:rsid w:val="004962D2"/>
    <w:rsid w:val="004973F8"/>
    <w:rsid w:val="00497481"/>
    <w:rsid w:val="004A017A"/>
    <w:rsid w:val="004A08ED"/>
    <w:rsid w:val="004A0B2F"/>
    <w:rsid w:val="004A0C22"/>
    <w:rsid w:val="004A0DA1"/>
    <w:rsid w:val="004A1011"/>
    <w:rsid w:val="004A13D6"/>
    <w:rsid w:val="004A1691"/>
    <w:rsid w:val="004A20AF"/>
    <w:rsid w:val="004A20CD"/>
    <w:rsid w:val="004A2488"/>
    <w:rsid w:val="004A3182"/>
    <w:rsid w:val="004A3924"/>
    <w:rsid w:val="004A3DD5"/>
    <w:rsid w:val="004A3FCA"/>
    <w:rsid w:val="004A4106"/>
    <w:rsid w:val="004A4489"/>
    <w:rsid w:val="004A51B7"/>
    <w:rsid w:val="004A52E9"/>
    <w:rsid w:val="004A58F1"/>
    <w:rsid w:val="004A597D"/>
    <w:rsid w:val="004A6040"/>
    <w:rsid w:val="004A60D4"/>
    <w:rsid w:val="004A61CC"/>
    <w:rsid w:val="004A6597"/>
    <w:rsid w:val="004A6F1C"/>
    <w:rsid w:val="004A71C2"/>
    <w:rsid w:val="004A7848"/>
    <w:rsid w:val="004A793B"/>
    <w:rsid w:val="004A7B09"/>
    <w:rsid w:val="004A7E44"/>
    <w:rsid w:val="004B1BA3"/>
    <w:rsid w:val="004B1BD3"/>
    <w:rsid w:val="004B1CB4"/>
    <w:rsid w:val="004B1FE8"/>
    <w:rsid w:val="004B231B"/>
    <w:rsid w:val="004B2BB9"/>
    <w:rsid w:val="004B2D39"/>
    <w:rsid w:val="004B2F18"/>
    <w:rsid w:val="004B320F"/>
    <w:rsid w:val="004B3392"/>
    <w:rsid w:val="004B3D5C"/>
    <w:rsid w:val="004B3DDB"/>
    <w:rsid w:val="004B3E0B"/>
    <w:rsid w:val="004B4282"/>
    <w:rsid w:val="004B4440"/>
    <w:rsid w:val="004B44FD"/>
    <w:rsid w:val="004B4529"/>
    <w:rsid w:val="004B46DC"/>
    <w:rsid w:val="004B53D7"/>
    <w:rsid w:val="004B5CFC"/>
    <w:rsid w:val="004B6941"/>
    <w:rsid w:val="004B6A6B"/>
    <w:rsid w:val="004B6F79"/>
    <w:rsid w:val="004B7133"/>
    <w:rsid w:val="004B73E7"/>
    <w:rsid w:val="004B774D"/>
    <w:rsid w:val="004B7C1A"/>
    <w:rsid w:val="004C0400"/>
    <w:rsid w:val="004C059F"/>
    <w:rsid w:val="004C05C3"/>
    <w:rsid w:val="004C0BE0"/>
    <w:rsid w:val="004C0C07"/>
    <w:rsid w:val="004C11CB"/>
    <w:rsid w:val="004C1A3D"/>
    <w:rsid w:val="004C2543"/>
    <w:rsid w:val="004C2AC2"/>
    <w:rsid w:val="004C3749"/>
    <w:rsid w:val="004C3957"/>
    <w:rsid w:val="004C3E15"/>
    <w:rsid w:val="004C4079"/>
    <w:rsid w:val="004C4708"/>
    <w:rsid w:val="004C4783"/>
    <w:rsid w:val="004C48FA"/>
    <w:rsid w:val="004C4A40"/>
    <w:rsid w:val="004C4AED"/>
    <w:rsid w:val="004C59AC"/>
    <w:rsid w:val="004C5B85"/>
    <w:rsid w:val="004C5BA0"/>
    <w:rsid w:val="004C5C04"/>
    <w:rsid w:val="004C5DBD"/>
    <w:rsid w:val="004C5F21"/>
    <w:rsid w:val="004C67D5"/>
    <w:rsid w:val="004C7B38"/>
    <w:rsid w:val="004D0ADE"/>
    <w:rsid w:val="004D0E82"/>
    <w:rsid w:val="004D0F91"/>
    <w:rsid w:val="004D1017"/>
    <w:rsid w:val="004D1031"/>
    <w:rsid w:val="004D1243"/>
    <w:rsid w:val="004D1F03"/>
    <w:rsid w:val="004D2144"/>
    <w:rsid w:val="004D215C"/>
    <w:rsid w:val="004D24D8"/>
    <w:rsid w:val="004D2B0F"/>
    <w:rsid w:val="004D2C2D"/>
    <w:rsid w:val="004D2EC0"/>
    <w:rsid w:val="004D3325"/>
    <w:rsid w:val="004D3440"/>
    <w:rsid w:val="004D3CD7"/>
    <w:rsid w:val="004D5CCF"/>
    <w:rsid w:val="004D5D51"/>
    <w:rsid w:val="004D6048"/>
    <w:rsid w:val="004D655B"/>
    <w:rsid w:val="004D6570"/>
    <w:rsid w:val="004D69B5"/>
    <w:rsid w:val="004D6AE2"/>
    <w:rsid w:val="004D6DDE"/>
    <w:rsid w:val="004D7227"/>
    <w:rsid w:val="004D772C"/>
    <w:rsid w:val="004D7764"/>
    <w:rsid w:val="004D7B5E"/>
    <w:rsid w:val="004E0306"/>
    <w:rsid w:val="004E03A2"/>
    <w:rsid w:val="004E08E8"/>
    <w:rsid w:val="004E0E7F"/>
    <w:rsid w:val="004E0EB8"/>
    <w:rsid w:val="004E0F56"/>
    <w:rsid w:val="004E18E9"/>
    <w:rsid w:val="004E2222"/>
    <w:rsid w:val="004E2ADC"/>
    <w:rsid w:val="004E2DE6"/>
    <w:rsid w:val="004E2FB1"/>
    <w:rsid w:val="004E30D3"/>
    <w:rsid w:val="004E3303"/>
    <w:rsid w:val="004E3A5A"/>
    <w:rsid w:val="004E3A9B"/>
    <w:rsid w:val="004E3C7D"/>
    <w:rsid w:val="004E3F9C"/>
    <w:rsid w:val="004E43B2"/>
    <w:rsid w:val="004E46F2"/>
    <w:rsid w:val="004E5294"/>
    <w:rsid w:val="004E579B"/>
    <w:rsid w:val="004E57C6"/>
    <w:rsid w:val="004E57EF"/>
    <w:rsid w:val="004E5E0B"/>
    <w:rsid w:val="004E6C7E"/>
    <w:rsid w:val="004E6F5E"/>
    <w:rsid w:val="004E71CB"/>
    <w:rsid w:val="004E72D6"/>
    <w:rsid w:val="004E7337"/>
    <w:rsid w:val="004E7D1E"/>
    <w:rsid w:val="004F020E"/>
    <w:rsid w:val="004F088F"/>
    <w:rsid w:val="004F0DAE"/>
    <w:rsid w:val="004F126E"/>
    <w:rsid w:val="004F15B1"/>
    <w:rsid w:val="004F1D02"/>
    <w:rsid w:val="004F234C"/>
    <w:rsid w:val="004F2679"/>
    <w:rsid w:val="004F27CB"/>
    <w:rsid w:val="004F2998"/>
    <w:rsid w:val="004F2F21"/>
    <w:rsid w:val="004F3164"/>
    <w:rsid w:val="004F33B9"/>
    <w:rsid w:val="004F3DE5"/>
    <w:rsid w:val="004F3EE7"/>
    <w:rsid w:val="004F3FFB"/>
    <w:rsid w:val="004F4E8D"/>
    <w:rsid w:val="004F5334"/>
    <w:rsid w:val="004F5F68"/>
    <w:rsid w:val="004F6491"/>
    <w:rsid w:val="004F6806"/>
    <w:rsid w:val="004F6913"/>
    <w:rsid w:val="004F6B6C"/>
    <w:rsid w:val="004F7235"/>
    <w:rsid w:val="004F7281"/>
    <w:rsid w:val="004F73E0"/>
    <w:rsid w:val="004F7865"/>
    <w:rsid w:val="004F7F0C"/>
    <w:rsid w:val="005002B9"/>
    <w:rsid w:val="0050043E"/>
    <w:rsid w:val="0050053F"/>
    <w:rsid w:val="00500B5C"/>
    <w:rsid w:val="005010F8"/>
    <w:rsid w:val="00501167"/>
    <w:rsid w:val="005013F1"/>
    <w:rsid w:val="00501617"/>
    <w:rsid w:val="0050174E"/>
    <w:rsid w:val="00501854"/>
    <w:rsid w:val="00501A00"/>
    <w:rsid w:val="00502071"/>
    <w:rsid w:val="0050219B"/>
    <w:rsid w:val="0050243B"/>
    <w:rsid w:val="005027DA"/>
    <w:rsid w:val="00502D8B"/>
    <w:rsid w:val="0050339B"/>
    <w:rsid w:val="00503A18"/>
    <w:rsid w:val="00503C99"/>
    <w:rsid w:val="00503F17"/>
    <w:rsid w:val="00503F3A"/>
    <w:rsid w:val="00504521"/>
    <w:rsid w:val="005045B4"/>
    <w:rsid w:val="0050479B"/>
    <w:rsid w:val="005049C4"/>
    <w:rsid w:val="00504CEA"/>
    <w:rsid w:val="0050521F"/>
    <w:rsid w:val="005055A8"/>
    <w:rsid w:val="00505A2D"/>
    <w:rsid w:val="00505CFA"/>
    <w:rsid w:val="005060D9"/>
    <w:rsid w:val="005061B1"/>
    <w:rsid w:val="00506653"/>
    <w:rsid w:val="00506820"/>
    <w:rsid w:val="00506928"/>
    <w:rsid w:val="00506937"/>
    <w:rsid w:val="00506E6B"/>
    <w:rsid w:val="00506F2C"/>
    <w:rsid w:val="00506FA0"/>
    <w:rsid w:val="005074E4"/>
    <w:rsid w:val="005077EF"/>
    <w:rsid w:val="00507B78"/>
    <w:rsid w:val="00507E5A"/>
    <w:rsid w:val="00510203"/>
    <w:rsid w:val="00510462"/>
    <w:rsid w:val="00510B94"/>
    <w:rsid w:val="00510BBB"/>
    <w:rsid w:val="00510CEE"/>
    <w:rsid w:val="00510FBE"/>
    <w:rsid w:val="00511760"/>
    <w:rsid w:val="00511AD5"/>
    <w:rsid w:val="00511B44"/>
    <w:rsid w:val="00511D5F"/>
    <w:rsid w:val="00511DC7"/>
    <w:rsid w:val="005129CA"/>
    <w:rsid w:val="00512A87"/>
    <w:rsid w:val="00513175"/>
    <w:rsid w:val="00513184"/>
    <w:rsid w:val="0051324A"/>
    <w:rsid w:val="00513EE0"/>
    <w:rsid w:val="00513F69"/>
    <w:rsid w:val="005142C4"/>
    <w:rsid w:val="005142C5"/>
    <w:rsid w:val="00514E83"/>
    <w:rsid w:val="00514F7B"/>
    <w:rsid w:val="0051501B"/>
    <w:rsid w:val="005152B5"/>
    <w:rsid w:val="005156FC"/>
    <w:rsid w:val="00515886"/>
    <w:rsid w:val="00515953"/>
    <w:rsid w:val="00515D62"/>
    <w:rsid w:val="00515E0F"/>
    <w:rsid w:val="00515E17"/>
    <w:rsid w:val="00516442"/>
    <w:rsid w:val="00516E3B"/>
    <w:rsid w:val="00516EDD"/>
    <w:rsid w:val="00516F0C"/>
    <w:rsid w:val="00516FFA"/>
    <w:rsid w:val="00520359"/>
    <w:rsid w:val="005208DA"/>
    <w:rsid w:val="00520A43"/>
    <w:rsid w:val="00520C82"/>
    <w:rsid w:val="00520FF0"/>
    <w:rsid w:val="005210CF"/>
    <w:rsid w:val="0052123C"/>
    <w:rsid w:val="00521319"/>
    <w:rsid w:val="00522085"/>
    <w:rsid w:val="005220F1"/>
    <w:rsid w:val="005221CD"/>
    <w:rsid w:val="00522580"/>
    <w:rsid w:val="00522587"/>
    <w:rsid w:val="00522A7D"/>
    <w:rsid w:val="00522BC8"/>
    <w:rsid w:val="005232A5"/>
    <w:rsid w:val="005235A1"/>
    <w:rsid w:val="00523768"/>
    <w:rsid w:val="0052389B"/>
    <w:rsid w:val="00523C28"/>
    <w:rsid w:val="00523FA1"/>
    <w:rsid w:val="0052486D"/>
    <w:rsid w:val="00524ADB"/>
    <w:rsid w:val="00524B0A"/>
    <w:rsid w:val="0052500B"/>
    <w:rsid w:val="005258AD"/>
    <w:rsid w:val="005259DE"/>
    <w:rsid w:val="00525A82"/>
    <w:rsid w:val="005261D6"/>
    <w:rsid w:val="005263E3"/>
    <w:rsid w:val="00526B10"/>
    <w:rsid w:val="00526BE1"/>
    <w:rsid w:val="00526FCC"/>
    <w:rsid w:val="00527157"/>
    <w:rsid w:val="005276F9"/>
    <w:rsid w:val="005278EB"/>
    <w:rsid w:val="00527CEF"/>
    <w:rsid w:val="00527EC5"/>
    <w:rsid w:val="005302D2"/>
    <w:rsid w:val="00531031"/>
    <w:rsid w:val="005311DA"/>
    <w:rsid w:val="00531402"/>
    <w:rsid w:val="0053176B"/>
    <w:rsid w:val="00532B4B"/>
    <w:rsid w:val="00532C20"/>
    <w:rsid w:val="00532F2C"/>
    <w:rsid w:val="00533A3B"/>
    <w:rsid w:val="00533A8E"/>
    <w:rsid w:val="00533AE9"/>
    <w:rsid w:val="005341B3"/>
    <w:rsid w:val="005342BA"/>
    <w:rsid w:val="00534553"/>
    <w:rsid w:val="0053473C"/>
    <w:rsid w:val="00535270"/>
    <w:rsid w:val="00535D15"/>
    <w:rsid w:val="005366DB"/>
    <w:rsid w:val="005368C1"/>
    <w:rsid w:val="00536A63"/>
    <w:rsid w:val="00536D2F"/>
    <w:rsid w:val="00536EF1"/>
    <w:rsid w:val="00536F42"/>
    <w:rsid w:val="00536FF5"/>
    <w:rsid w:val="00537182"/>
    <w:rsid w:val="00537324"/>
    <w:rsid w:val="0053766B"/>
    <w:rsid w:val="005378FF"/>
    <w:rsid w:val="00540072"/>
    <w:rsid w:val="005406A6"/>
    <w:rsid w:val="00540703"/>
    <w:rsid w:val="0054081D"/>
    <w:rsid w:val="0054089E"/>
    <w:rsid w:val="0054150A"/>
    <w:rsid w:val="00541A84"/>
    <w:rsid w:val="00541D2C"/>
    <w:rsid w:val="00541EDD"/>
    <w:rsid w:val="00541F85"/>
    <w:rsid w:val="0054200D"/>
    <w:rsid w:val="0054211B"/>
    <w:rsid w:val="00542238"/>
    <w:rsid w:val="00542307"/>
    <w:rsid w:val="00542421"/>
    <w:rsid w:val="00542732"/>
    <w:rsid w:val="00542743"/>
    <w:rsid w:val="00542C2D"/>
    <w:rsid w:val="0054307B"/>
    <w:rsid w:val="00543247"/>
    <w:rsid w:val="0054324F"/>
    <w:rsid w:val="005436F6"/>
    <w:rsid w:val="00543CB5"/>
    <w:rsid w:val="00543F23"/>
    <w:rsid w:val="00543F60"/>
    <w:rsid w:val="005448B5"/>
    <w:rsid w:val="005449CB"/>
    <w:rsid w:val="00544BD0"/>
    <w:rsid w:val="00544E74"/>
    <w:rsid w:val="00545CFD"/>
    <w:rsid w:val="00546083"/>
    <w:rsid w:val="00546634"/>
    <w:rsid w:val="005468ED"/>
    <w:rsid w:val="00547198"/>
    <w:rsid w:val="005478BD"/>
    <w:rsid w:val="005479E3"/>
    <w:rsid w:val="00550474"/>
    <w:rsid w:val="005508CB"/>
    <w:rsid w:val="00550F5D"/>
    <w:rsid w:val="005510FF"/>
    <w:rsid w:val="00551232"/>
    <w:rsid w:val="0055126A"/>
    <w:rsid w:val="00551593"/>
    <w:rsid w:val="00551985"/>
    <w:rsid w:val="00551BB8"/>
    <w:rsid w:val="005520FD"/>
    <w:rsid w:val="00552231"/>
    <w:rsid w:val="005525CF"/>
    <w:rsid w:val="005528AF"/>
    <w:rsid w:val="00552BD3"/>
    <w:rsid w:val="00552BE0"/>
    <w:rsid w:val="005532A0"/>
    <w:rsid w:val="005535AC"/>
    <w:rsid w:val="00553678"/>
    <w:rsid w:val="00553EF5"/>
    <w:rsid w:val="005544AD"/>
    <w:rsid w:val="00554531"/>
    <w:rsid w:val="00554FEB"/>
    <w:rsid w:val="0055500F"/>
    <w:rsid w:val="005550DF"/>
    <w:rsid w:val="00555109"/>
    <w:rsid w:val="005551CE"/>
    <w:rsid w:val="005555D6"/>
    <w:rsid w:val="00555639"/>
    <w:rsid w:val="00555A23"/>
    <w:rsid w:val="00555BA7"/>
    <w:rsid w:val="00555CEB"/>
    <w:rsid w:val="005565F0"/>
    <w:rsid w:val="005566EB"/>
    <w:rsid w:val="00556915"/>
    <w:rsid w:val="00556B35"/>
    <w:rsid w:val="0055704B"/>
    <w:rsid w:val="0055715E"/>
    <w:rsid w:val="0055741A"/>
    <w:rsid w:val="0055797B"/>
    <w:rsid w:val="00557C3E"/>
    <w:rsid w:val="005602D9"/>
    <w:rsid w:val="00560404"/>
    <w:rsid w:val="0056040B"/>
    <w:rsid w:val="00560980"/>
    <w:rsid w:val="00561116"/>
    <w:rsid w:val="00561126"/>
    <w:rsid w:val="005611B7"/>
    <w:rsid w:val="00561327"/>
    <w:rsid w:val="005614A7"/>
    <w:rsid w:val="005618D4"/>
    <w:rsid w:val="005619D3"/>
    <w:rsid w:val="00561ADE"/>
    <w:rsid w:val="00562925"/>
    <w:rsid w:val="00562A4D"/>
    <w:rsid w:val="00562A4E"/>
    <w:rsid w:val="00562DB4"/>
    <w:rsid w:val="0056338D"/>
    <w:rsid w:val="00563581"/>
    <w:rsid w:val="005642B8"/>
    <w:rsid w:val="00564499"/>
    <w:rsid w:val="00564867"/>
    <w:rsid w:val="00565162"/>
    <w:rsid w:val="00565523"/>
    <w:rsid w:val="0056559B"/>
    <w:rsid w:val="00565ACD"/>
    <w:rsid w:val="00565C79"/>
    <w:rsid w:val="00565CEB"/>
    <w:rsid w:val="00565DF0"/>
    <w:rsid w:val="005660FE"/>
    <w:rsid w:val="00566774"/>
    <w:rsid w:val="0056696F"/>
    <w:rsid w:val="0056774F"/>
    <w:rsid w:val="00567BBD"/>
    <w:rsid w:val="00570782"/>
    <w:rsid w:val="005707A5"/>
    <w:rsid w:val="005708EA"/>
    <w:rsid w:val="00570D6D"/>
    <w:rsid w:val="00570D6E"/>
    <w:rsid w:val="00570F6A"/>
    <w:rsid w:val="005712F4"/>
    <w:rsid w:val="00571A8B"/>
    <w:rsid w:val="00571BED"/>
    <w:rsid w:val="00572269"/>
    <w:rsid w:val="0057244A"/>
    <w:rsid w:val="00572E36"/>
    <w:rsid w:val="00572F26"/>
    <w:rsid w:val="00572F6C"/>
    <w:rsid w:val="0057343B"/>
    <w:rsid w:val="00573692"/>
    <w:rsid w:val="005739FD"/>
    <w:rsid w:val="00573AAD"/>
    <w:rsid w:val="00573D5E"/>
    <w:rsid w:val="0057408A"/>
    <w:rsid w:val="005741B1"/>
    <w:rsid w:val="005742A7"/>
    <w:rsid w:val="00574747"/>
    <w:rsid w:val="00574F60"/>
    <w:rsid w:val="005750C5"/>
    <w:rsid w:val="005752DE"/>
    <w:rsid w:val="0057553C"/>
    <w:rsid w:val="00575D60"/>
    <w:rsid w:val="00575D8D"/>
    <w:rsid w:val="00576426"/>
    <w:rsid w:val="00576972"/>
    <w:rsid w:val="005769E6"/>
    <w:rsid w:val="00577248"/>
    <w:rsid w:val="005777AA"/>
    <w:rsid w:val="00577BA8"/>
    <w:rsid w:val="00577D46"/>
    <w:rsid w:val="00577D8B"/>
    <w:rsid w:val="00577F98"/>
    <w:rsid w:val="00580618"/>
    <w:rsid w:val="00580706"/>
    <w:rsid w:val="00580986"/>
    <w:rsid w:val="005813A6"/>
    <w:rsid w:val="005816AA"/>
    <w:rsid w:val="005816C2"/>
    <w:rsid w:val="005816E1"/>
    <w:rsid w:val="00581775"/>
    <w:rsid w:val="005820B2"/>
    <w:rsid w:val="00582799"/>
    <w:rsid w:val="00582B84"/>
    <w:rsid w:val="00582BC2"/>
    <w:rsid w:val="00582D24"/>
    <w:rsid w:val="0058300B"/>
    <w:rsid w:val="00583041"/>
    <w:rsid w:val="00583699"/>
    <w:rsid w:val="00583E3C"/>
    <w:rsid w:val="005843D3"/>
    <w:rsid w:val="0058463F"/>
    <w:rsid w:val="0058468F"/>
    <w:rsid w:val="005848B1"/>
    <w:rsid w:val="005849EC"/>
    <w:rsid w:val="00584B19"/>
    <w:rsid w:val="0058524F"/>
    <w:rsid w:val="00585A1E"/>
    <w:rsid w:val="00585B6D"/>
    <w:rsid w:val="00585CDD"/>
    <w:rsid w:val="00585F17"/>
    <w:rsid w:val="005863AD"/>
    <w:rsid w:val="00586736"/>
    <w:rsid w:val="005869D2"/>
    <w:rsid w:val="00587058"/>
    <w:rsid w:val="005874DF"/>
    <w:rsid w:val="00587925"/>
    <w:rsid w:val="0059085D"/>
    <w:rsid w:val="0059094E"/>
    <w:rsid w:val="00590D57"/>
    <w:rsid w:val="0059109D"/>
    <w:rsid w:val="00591374"/>
    <w:rsid w:val="00591752"/>
    <w:rsid w:val="00591957"/>
    <w:rsid w:val="00591C31"/>
    <w:rsid w:val="00591DCA"/>
    <w:rsid w:val="00591ED2"/>
    <w:rsid w:val="0059209A"/>
    <w:rsid w:val="005924DB"/>
    <w:rsid w:val="00592ADA"/>
    <w:rsid w:val="00592B96"/>
    <w:rsid w:val="00592FAC"/>
    <w:rsid w:val="005940B4"/>
    <w:rsid w:val="005943C3"/>
    <w:rsid w:val="00594403"/>
    <w:rsid w:val="00594FE3"/>
    <w:rsid w:val="00595070"/>
    <w:rsid w:val="00595099"/>
    <w:rsid w:val="005957F7"/>
    <w:rsid w:val="005961C7"/>
    <w:rsid w:val="00596258"/>
    <w:rsid w:val="00596525"/>
    <w:rsid w:val="00596A70"/>
    <w:rsid w:val="00596A78"/>
    <w:rsid w:val="00596D67"/>
    <w:rsid w:val="00596D6D"/>
    <w:rsid w:val="005979E4"/>
    <w:rsid w:val="00597B7D"/>
    <w:rsid w:val="00597BF9"/>
    <w:rsid w:val="005A0422"/>
    <w:rsid w:val="005A0604"/>
    <w:rsid w:val="005A0811"/>
    <w:rsid w:val="005A0BF3"/>
    <w:rsid w:val="005A0C11"/>
    <w:rsid w:val="005A10E5"/>
    <w:rsid w:val="005A128E"/>
    <w:rsid w:val="005A1633"/>
    <w:rsid w:val="005A24E7"/>
    <w:rsid w:val="005A2BBD"/>
    <w:rsid w:val="005A309A"/>
    <w:rsid w:val="005A30C6"/>
    <w:rsid w:val="005A33B8"/>
    <w:rsid w:val="005A33E0"/>
    <w:rsid w:val="005A373D"/>
    <w:rsid w:val="005A459D"/>
    <w:rsid w:val="005A4770"/>
    <w:rsid w:val="005A5E0A"/>
    <w:rsid w:val="005A5E75"/>
    <w:rsid w:val="005A69EB"/>
    <w:rsid w:val="005A6F01"/>
    <w:rsid w:val="005A6FE8"/>
    <w:rsid w:val="005A73A5"/>
    <w:rsid w:val="005A7A09"/>
    <w:rsid w:val="005A7A55"/>
    <w:rsid w:val="005A7C2E"/>
    <w:rsid w:val="005A7F44"/>
    <w:rsid w:val="005B02F3"/>
    <w:rsid w:val="005B0478"/>
    <w:rsid w:val="005B0B58"/>
    <w:rsid w:val="005B117D"/>
    <w:rsid w:val="005B1267"/>
    <w:rsid w:val="005B148C"/>
    <w:rsid w:val="005B1634"/>
    <w:rsid w:val="005B18F7"/>
    <w:rsid w:val="005B1E4C"/>
    <w:rsid w:val="005B24DC"/>
    <w:rsid w:val="005B24EA"/>
    <w:rsid w:val="005B2B13"/>
    <w:rsid w:val="005B2EFB"/>
    <w:rsid w:val="005B2F82"/>
    <w:rsid w:val="005B30D2"/>
    <w:rsid w:val="005B3261"/>
    <w:rsid w:val="005B3597"/>
    <w:rsid w:val="005B3D06"/>
    <w:rsid w:val="005B4025"/>
    <w:rsid w:val="005B44D6"/>
    <w:rsid w:val="005B4546"/>
    <w:rsid w:val="005B4C7E"/>
    <w:rsid w:val="005B4E53"/>
    <w:rsid w:val="005B4F77"/>
    <w:rsid w:val="005B53F8"/>
    <w:rsid w:val="005B5857"/>
    <w:rsid w:val="005B58E7"/>
    <w:rsid w:val="005B5ABD"/>
    <w:rsid w:val="005B5C24"/>
    <w:rsid w:val="005B6C09"/>
    <w:rsid w:val="005B715D"/>
    <w:rsid w:val="005B730F"/>
    <w:rsid w:val="005B78C0"/>
    <w:rsid w:val="005B78F9"/>
    <w:rsid w:val="005C00C7"/>
    <w:rsid w:val="005C034C"/>
    <w:rsid w:val="005C0EC2"/>
    <w:rsid w:val="005C0FE6"/>
    <w:rsid w:val="005C1753"/>
    <w:rsid w:val="005C18F0"/>
    <w:rsid w:val="005C19C4"/>
    <w:rsid w:val="005C1B83"/>
    <w:rsid w:val="005C1D5F"/>
    <w:rsid w:val="005C25FF"/>
    <w:rsid w:val="005C2795"/>
    <w:rsid w:val="005C28D1"/>
    <w:rsid w:val="005C2D55"/>
    <w:rsid w:val="005C346B"/>
    <w:rsid w:val="005C3A94"/>
    <w:rsid w:val="005C40B5"/>
    <w:rsid w:val="005C4242"/>
    <w:rsid w:val="005C4B49"/>
    <w:rsid w:val="005C5693"/>
    <w:rsid w:val="005C5ABC"/>
    <w:rsid w:val="005C5C3A"/>
    <w:rsid w:val="005C6078"/>
    <w:rsid w:val="005C6324"/>
    <w:rsid w:val="005C6492"/>
    <w:rsid w:val="005C6539"/>
    <w:rsid w:val="005C6620"/>
    <w:rsid w:val="005C6CC4"/>
    <w:rsid w:val="005C7C95"/>
    <w:rsid w:val="005D0097"/>
    <w:rsid w:val="005D044D"/>
    <w:rsid w:val="005D0ABD"/>
    <w:rsid w:val="005D0CF5"/>
    <w:rsid w:val="005D0E92"/>
    <w:rsid w:val="005D11DD"/>
    <w:rsid w:val="005D15EE"/>
    <w:rsid w:val="005D1687"/>
    <w:rsid w:val="005D1736"/>
    <w:rsid w:val="005D1833"/>
    <w:rsid w:val="005D18AD"/>
    <w:rsid w:val="005D198F"/>
    <w:rsid w:val="005D1CCF"/>
    <w:rsid w:val="005D1E4E"/>
    <w:rsid w:val="005D23BA"/>
    <w:rsid w:val="005D265B"/>
    <w:rsid w:val="005D26B4"/>
    <w:rsid w:val="005D299A"/>
    <w:rsid w:val="005D2A9E"/>
    <w:rsid w:val="005D2ADF"/>
    <w:rsid w:val="005D3148"/>
    <w:rsid w:val="005D3955"/>
    <w:rsid w:val="005D3BCE"/>
    <w:rsid w:val="005D3EA6"/>
    <w:rsid w:val="005D3EBB"/>
    <w:rsid w:val="005D4086"/>
    <w:rsid w:val="005D44C4"/>
    <w:rsid w:val="005D49C9"/>
    <w:rsid w:val="005D4AB8"/>
    <w:rsid w:val="005D51B2"/>
    <w:rsid w:val="005D5867"/>
    <w:rsid w:val="005D599C"/>
    <w:rsid w:val="005D5EF6"/>
    <w:rsid w:val="005D67E5"/>
    <w:rsid w:val="005D6854"/>
    <w:rsid w:val="005D738D"/>
    <w:rsid w:val="005D7806"/>
    <w:rsid w:val="005D7D0C"/>
    <w:rsid w:val="005E0B1A"/>
    <w:rsid w:val="005E0DB4"/>
    <w:rsid w:val="005E1051"/>
    <w:rsid w:val="005E1623"/>
    <w:rsid w:val="005E1764"/>
    <w:rsid w:val="005E177D"/>
    <w:rsid w:val="005E1877"/>
    <w:rsid w:val="005E1995"/>
    <w:rsid w:val="005E19C5"/>
    <w:rsid w:val="005E1DD1"/>
    <w:rsid w:val="005E2558"/>
    <w:rsid w:val="005E2E52"/>
    <w:rsid w:val="005E3274"/>
    <w:rsid w:val="005E34A5"/>
    <w:rsid w:val="005E350E"/>
    <w:rsid w:val="005E42C3"/>
    <w:rsid w:val="005E4802"/>
    <w:rsid w:val="005E484B"/>
    <w:rsid w:val="005E4B2C"/>
    <w:rsid w:val="005E4B84"/>
    <w:rsid w:val="005E4D52"/>
    <w:rsid w:val="005E52A8"/>
    <w:rsid w:val="005E5BBB"/>
    <w:rsid w:val="005E61BB"/>
    <w:rsid w:val="005E6CBC"/>
    <w:rsid w:val="005E6D8E"/>
    <w:rsid w:val="005E712F"/>
    <w:rsid w:val="005E72FF"/>
    <w:rsid w:val="005E73C0"/>
    <w:rsid w:val="005E7B1D"/>
    <w:rsid w:val="005E7B8A"/>
    <w:rsid w:val="005E7D19"/>
    <w:rsid w:val="005F02D4"/>
    <w:rsid w:val="005F0501"/>
    <w:rsid w:val="005F07ED"/>
    <w:rsid w:val="005F0B86"/>
    <w:rsid w:val="005F0F5A"/>
    <w:rsid w:val="005F1835"/>
    <w:rsid w:val="005F1C58"/>
    <w:rsid w:val="005F1DF1"/>
    <w:rsid w:val="005F2706"/>
    <w:rsid w:val="005F2932"/>
    <w:rsid w:val="005F2EA3"/>
    <w:rsid w:val="005F301E"/>
    <w:rsid w:val="005F3222"/>
    <w:rsid w:val="005F3617"/>
    <w:rsid w:val="005F368F"/>
    <w:rsid w:val="005F36F5"/>
    <w:rsid w:val="005F4412"/>
    <w:rsid w:val="005F442A"/>
    <w:rsid w:val="005F49F8"/>
    <w:rsid w:val="005F54A1"/>
    <w:rsid w:val="005F5839"/>
    <w:rsid w:val="005F5CD7"/>
    <w:rsid w:val="005F66C1"/>
    <w:rsid w:val="005F69F7"/>
    <w:rsid w:val="005F6A8F"/>
    <w:rsid w:val="005F6AAF"/>
    <w:rsid w:val="005F6BB7"/>
    <w:rsid w:val="005F700E"/>
    <w:rsid w:val="005F7588"/>
    <w:rsid w:val="005F777B"/>
    <w:rsid w:val="005F7903"/>
    <w:rsid w:val="005F7AF0"/>
    <w:rsid w:val="005F7DBA"/>
    <w:rsid w:val="00600269"/>
    <w:rsid w:val="00601FD0"/>
    <w:rsid w:val="0060255C"/>
    <w:rsid w:val="006025C3"/>
    <w:rsid w:val="00603248"/>
    <w:rsid w:val="006033DF"/>
    <w:rsid w:val="00603DB9"/>
    <w:rsid w:val="00603DFC"/>
    <w:rsid w:val="006040ED"/>
    <w:rsid w:val="0060416D"/>
    <w:rsid w:val="006041C8"/>
    <w:rsid w:val="00604669"/>
    <w:rsid w:val="00604994"/>
    <w:rsid w:val="00604C9B"/>
    <w:rsid w:val="00605155"/>
    <w:rsid w:val="00606064"/>
    <w:rsid w:val="00606067"/>
    <w:rsid w:val="006061A2"/>
    <w:rsid w:val="006064C7"/>
    <w:rsid w:val="006066E8"/>
    <w:rsid w:val="00606779"/>
    <w:rsid w:val="00606F9B"/>
    <w:rsid w:val="00606FBA"/>
    <w:rsid w:val="00607669"/>
    <w:rsid w:val="006076F4"/>
    <w:rsid w:val="00607AFD"/>
    <w:rsid w:val="00607B92"/>
    <w:rsid w:val="00607BF0"/>
    <w:rsid w:val="00607C10"/>
    <w:rsid w:val="00607E2C"/>
    <w:rsid w:val="00607FB1"/>
    <w:rsid w:val="00610E64"/>
    <w:rsid w:val="00610FC9"/>
    <w:rsid w:val="00610FCE"/>
    <w:rsid w:val="00611536"/>
    <w:rsid w:val="00611559"/>
    <w:rsid w:val="00611884"/>
    <w:rsid w:val="006119ED"/>
    <w:rsid w:val="00611A6B"/>
    <w:rsid w:val="00611B12"/>
    <w:rsid w:val="00611B32"/>
    <w:rsid w:val="006120F2"/>
    <w:rsid w:val="00612226"/>
    <w:rsid w:val="0061237F"/>
    <w:rsid w:val="0061246A"/>
    <w:rsid w:val="0061258F"/>
    <w:rsid w:val="00612A01"/>
    <w:rsid w:val="00612F97"/>
    <w:rsid w:val="0061345D"/>
    <w:rsid w:val="00613723"/>
    <w:rsid w:val="0061397B"/>
    <w:rsid w:val="00613D45"/>
    <w:rsid w:val="0061466C"/>
    <w:rsid w:val="00614983"/>
    <w:rsid w:val="00614C40"/>
    <w:rsid w:val="006150C5"/>
    <w:rsid w:val="006152DE"/>
    <w:rsid w:val="0061549B"/>
    <w:rsid w:val="006156E4"/>
    <w:rsid w:val="0061608A"/>
    <w:rsid w:val="00616124"/>
    <w:rsid w:val="00616315"/>
    <w:rsid w:val="00616802"/>
    <w:rsid w:val="00616E67"/>
    <w:rsid w:val="00617202"/>
    <w:rsid w:val="00617546"/>
    <w:rsid w:val="006175C2"/>
    <w:rsid w:val="00617AE0"/>
    <w:rsid w:val="00617E12"/>
    <w:rsid w:val="006204CD"/>
    <w:rsid w:val="006208EB"/>
    <w:rsid w:val="00620C25"/>
    <w:rsid w:val="00621477"/>
    <w:rsid w:val="00621588"/>
    <w:rsid w:val="00621ADA"/>
    <w:rsid w:val="00621EA8"/>
    <w:rsid w:val="00621F6D"/>
    <w:rsid w:val="0062263F"/>
    <w:rsid w:val="00623D09"/>
    <w:rsid w:val="00623F7B"/>
    <w:rsid w:val="006244CD"/>
    <w:rsid w:val="006245A9"/>
    <w:rsid w:val="0062488E"/>
    <w:rsid w:val="00624BD4"/>
    <w:rsid w:val="006250F4"/>
    <w:rsid w:val="00625578"/>
    <w:rsid w:val="00625BAC"/>
    <w:rsid w:val="00625CE1"/>
    <w:rsid w:val="00625FE9"/>
    <w:rsid w:val="00626058"/>
    <w:rsid w:val="006267CB"/>
    <w:rsid w:val="006274B2"/>
    <w:rsid w:val="00627571"/>
    <w:rsid w:val="00627DAC"/>
    <w:rsid w:val="00630290"/>
    <w:rsid w:val="006308AD"/>
    <w:rsid w:val="00630A27"/>
    <w:rsid w:val="00631260"/>
    <w:rsid w:val="0063158F"/>
    <w:rsid w:val="006315AD"/>
    <w:rsid w:val="00631D6B"/>
    <w:rsid w:val="00631DE1"/>
    <w:rsid w:val="00632183"/>
    <w:rsid w:val="006325C2"/>
    <w:rsid w:val="006325EC"/>
    <w:rsid w:val="00632BAB"/>
    <w:rsid w:val="006330A1"/>
    <w:rsid w:val="006345E1"/>
    <w:rsid w:val="0063479F"/>
    <w:rsid w:val="00634BD8"/>
    <w:rsid w:val="00634CE1"/>
    <w:rsid w:val="00634DE9"/>
    <w:rsid w:val="00634E5F"/>
    <w:rsid w:val="00634EA6"/>
    <w:rsid w:val="00635140"/>
    <w:rsid w:val="006353F0"/>
    <w:rsid w:val="0063546E"/>
    <w:rsid w:val="006357B5"/>
    <w:rsid w:val="00635906"/>
    <w:rsid w:val="00635FCB"/>
    <w:rsid w:val="00636354"/>
    <w:rsid w:val="006363E8"/>
    <w:rsid w:val="006364A1"/>
    <w:rsid w:val="006364A6"/>
    <w:rsid w:val="0063678E"/>
    <w:rsid w:val="00636FB4"/>
    <w:rsid w:val="00637B0B"/>
    <w:rsid w:val="00637BFD"/>
    <w:rsid w:val="00637C07"/>
    <w:rsid w:val="00637C5C"/>
    <w:rsid w:val="006401CB"/>
    <w:rsid w:val="00640CAC"/>
    <w:rsid w:val="00641BCA"/>
    <w:rsid w:val="00641C4E"/>
    <w:rsid w:val="00641FB3"/>
    <w:rsid w:val="00642435"/>
    <w:rsid w:val="0064254F"/>
    <w:rsid w:val="0064287D"/>
    <w:rsid w:val="00642E1C"/>
    <w:rsid w:val="0064338D"/>
    <w:rsid w:val="0064365F"/>
    <w:rsid w:val="00643A76"/>
    <w:rsid w:val="0064434C"/>
    <w:rsid w:val="00644A48"/>
    <w:rsid w:val="006453B0"/>
    <w:rsid w:val="0064567A"/>
    <w:rsid w:val="006459E8"/>
    <w:rsid w:val="00645B23"/>
    <w:rsid w:val="0064648A"/>
    <w:rsid w:val="0064667E"/>
    <w:rsid w:val="006467B5"/>
    <w:rsid w:val="00646B54"/>
    <w:rsid w:val="00646B9B"/>
    <w:rsid w:val="006471CC"/>
    <w:rsid w:val="006472FE"/>
    <w:rsid w:val="00647A29"/>
    <w:rsid w:val="00647F2A"/>
    <w:rsid w:val="00647F8D"/>
    <w:rsid w:val="006503BA"/>
    <w:rsid w:val="006505AE"/>
    <w:rsid w:val="0065079F"/>
    <w:rsid w:val="006509C6"/>
    <w:rsid w:val="00651199"/>
    <w:rsid w:val="00651272"/>
    <w:rsid w:val="00651551"/>
    <w:rsid w:val="006515BB"/>
    <w:rsid w:val="00651E0E"/>
    <w:rsid w:val="00651FB5"/>
    <w:rsid w:val="00651FF1"/>
    <w:rsid w:val="00652754"/>
    <w:rsid w:val="0065275C"/>
    <w:rsid w:val="00652A28"/>
    <w:rsid w:val="00652DBF"/>
    <w:rsid w:val="006536C0"/>
    <w:rsid w:val="0065379F"/>
    <w:rsid w:val="00653B73"/>
    <w:rsid w:val="00654346"/>
    <w:rsid w:val="006545FC"/>
    <w:rsid w:val="00654AA0"/>
    <w:rsid w:val="00654DBD"/>
    <w:rsid w:val="006554EF"/>
    <w:rsid w:val="006556A4"/>
    <w:rsid w:val="00655B2A"/>
    <w:rsid w:val="00656188"/>
    <w:rsid w:val="00656740"/>
    <w:rsid w:val="00656973"/>
    <w:rsid w:val="00656E1C"/>
    <w:rsid w:val="00656F2B"/>
    <w:rsid w:val="0065715A"/>
    <w:rsid w:val="0065787A"/>
    <w:rsid w:val="00657A45"/>
    <w:rsid w:val="00657D3B"/>
    <w:rsid w:val="00657E44"/>
    <w:rsid w:val="00657F8D"/>
    <w:rsid w:val="00657FA8"/>
    <w:rsid w:val="006601F2"/>
    <w:rsid w:val="00660349"/>
    <w:rsid w:val="00660711"/>
    <w:rsid w:val="00660D87"/>
    <w:rsid w:val="006610F1"/>
    <w:rsid w:val="00661528"/>
    <w:rsid w:val="00661C6B"/>
    <w:rsid w:val="006621E7"/>
    <w:rsid w:val="0066240F"/>
    <w:rsid w:val="00662958"/>
    <w:rsid w:val="00662B7B"/>
    <w:rsid w:val="00662C06"/>
    <w:rsid w:val="00662D3E"/>
    <w:rsid w:val="00662EF2"/>
    <w:rsid w:val="006635C6"/>
    <w:rsid w:val="00663617"/>
    <w:rsid w:val="00663BE5"/>
    <w:rsid w:val="00664181"/>
    <w:rsid w:val="00664379"/>
    <w:rsid w:val="0066450A"/>
    <w:rsid w:val="006645BC"/>
    <w:rsid w:val="00664795"/>
    <w:rsid w:val="00665012"/>
    <w:rsid w:val="0066548B"/>
    <w:rsid w:val="00665533"/>
    <w:rsid w:val="00665776"/>
    <w:rsid w:val="00665B47"/>
    <w:rsid w:val="00665D47"/>
    <w:rsid w:val="006660F6"/>
    <w:rsid w:val="00666153"/>
    <w:rsid w:val="006661A3"/>
    <w:rsid w:val="0066628A"/>
    <w:rsid w:val="006666B2"/>
    <w:rsid w:val="00666742"/>
    <w:rsid w:val="00667743"/>
    <w:rsid w:val="00667BE3"/>
    <w:rsid w:val="00671004"/>
    <w:rsid w:val="006711A6"/>
    <w:rsid w:val="006711E7"/>
    <w:rsid w:val="00671533"/>
    <w:rsid w:val="00671B03"/>
    <w:rsid w:val="00671C87"/>
    <w:rsid w:val="00672646"/>
    <w:rsid w:val="00672932"/>
    <w:rsid w:val="00672A68"/>
    <w:rsid w:val="00672F07"/>
    <w:rsid w:val="0067311F"/>
    <w:rsid w:val="006734CB"/>
    <w:rsid w:val="00673967"/>
    <w:rsid w:val="00674078"/>
    <w:rsid w:val="006746E3"/>
    <w:rsid w:val="0067484C"/>
    <w:rsid w:val="00674E42"/>
    <w:rsid w:val="00674EC4"/>
    <w:rsid w:val="00675238"/>
    <w:rsid w:val="006759C2"/>
    <w:rsid w:val="00675AB7"/>
    <w:rsid w:val="0067654C"/>
    <w:rsid w:val="00676563"/>
    <w:rsid w:val="006769B8"/>
    <w:rsid w:val="00676AB6"/>
    <w:rsid w:val="00677241"/>
    <w:rsid w:val="00677552"/>
    <w:rsid w:val="00677F17"/>
    <w:rsid w:val="00680628"/>
    <w:rsid w:val="00680AAD"/>
    <w:rsid w:val="00680F00"/>
    <w:rsid w:val="0068121C"/>
    <w:rsid w:val="006813F8"/>
    <w:rsid w:val="00681435"/>
    <w:rsid w:val="006816CF"/>
    <w:rsid w:val="00681A73"/>
    <w:rsid w:val="00682112"/>
    <w:rsid w:val="006821EC"/>
    <w:rsid w:val="00682289"/>
    <w:rsid w:val="006826FA"/>
    <w:rsid w:val="006827EC"/>
    <w:rsid w:val="0068288F"/>
    <w:rsid w:val="00682BA6"/>
    <w:rsid w:val="00682BEE"/>
    <w:rsid w:val="00682D3B"/>
    <w:rsid w:val="006833A4"/>
    <w:rsid w:val="00683489"/>
    <w:rsid w:val="00683666"/>
    <w:rsid w:val="00683E5E"/>
    <w:rsid w:val="00683F2A"/>
    <w:rsid w:val="0068480E"/>
    <w:rsid w:val="00684E49"/>
    <w:rsid w:val="0068580F"/>
    <w:rsid w:val="00685FD5"/>
    <w:rsid w:val="006860AC"/>
    <w:rsid w:val="00686957"/>
    <w:rsid w:val="00686E9D"/>
    <w:rsid w:val="006872BA"/>
    <w:rsid w:val="0068765E"/>
    <w:rsid w:val="00687736"/>
    <w:rsid w:val="0068799F"/>
    <w:rsid w:val="006906EC"/>
    <w:rsid w:val="00690795"/>
    <w:rsid w:val="00690B5F"/>
    <w:rsid w:val="00690C5C"/>
    <w:rsid w:val="00691251"/>
    <w:rsid w:val="00691648"/>
    <w:rsid w:val="006917D7"/>
    <w:rsid w:val="00691A5E"/>
    <w:rsid w:val="00691A61"/>
    <w:rsid w:val="00692193"/>
    <w:rsid w:val="006921E5"/>
    <w:rsid w:val="00692316"/>
    <w:rsid w:val="00692405"/>
    <w:rsid w:val="00692898"/>
    <w:rsid w:val="00692943"/>
    <w:rsid w:val="00692C5A"/>
    <w:rsid w:val="00692FB1"/>
    <w:rsid w:val="0069303F"/>
    <w:rsid w:val="00693162"/>
    <w:rsid w:val="006939A7"/>
    <w:rsid w:val="00693BC9"/>
    <w:rsid w:val="00693E15"/>
    <w:rsid w:val="00693FC2"/>
    <w:rsid w:val="00694042"/>
    <w:rsid w:val="006940F9"/>
    <w:rsid w:val="0069434C"/>
    <w:rsid w:val="006945FB"/>
    <w:rsid w:val="00694CF2"/>
    <w:rsid w:val="00694F44"/>
    <w:rsid w:val="00694F62"/>
    <w:rsid w:val="006952E5"/>
    <w:rsid w:val="006959FE"/>
    <w:rsid w:val="00695C7E"/>
    <w:rsid w:val="00695D17"/>
    <w:rsid w:val="006961E7"/>
    <w:rsid w:val="00696394"/>
    <w:rsid w:val="00696914"/>
    <w:rsid w:val="00696CB3"/>
    <w:rsid w:val="00696EF9"/>
    <w:rsid w:val="00696F51"/>
    <w:rsid w:val="00697605"/>
    <w:rsid w:val="00697832"/>
    <w:rsid w:val="006978CF"/>
    <w:rsid w:val="006979A5"/>
    <w:rsid w:val="00697A17"/>
    <w:rsid w:val="00697F24"/>
    <w:rsid w:val="006A016F"/>
    <w:rsid w:val="006A0263"/>
    <w:rsid w:val="006A0363"/>
    <w:rsid w:val="006A0914"/>
    <w:rsid w:val="006A0DF7"/>
    <w:rsid w:val="006A1034"/>
    <w:rsid w:val="006A156A"/>
    <w:rsid w:val="006A2097"/>
    <w:rsid w:val="006A2518"/>
    <w:rsid w:val="006A2879"/>
    <w:rsid w:val="006A2A0B"/>
    <w:rsid w:val="006A2E2B"/>
    <w:rsid w:val="006A3470"/>
    <w:rsid w:val="006A3622"/>
    <w:rsid w:val="006A3799"/>
    <w:rsid w:val="006A3B25"/>
    <w:rsid w:val="006A3F61"/>
    <w:rsid w:val="006A412B"/>
    <w:rsid w:val="006A4321"/>
    <w:rsid w:val="006A43D9"/>
    <w:rsid w:val="006A452F"/>
    <w:rsid w:val="006A474A"/>
    <w:rsid w:val="006A4789"/>
    <w:rsid w:val="006A47AC"/>
    <w:rsid w:val="006A52C7"/>
    <w:rsid w:val="006A53EB"/>
    <w:rsid w:val="006A5540"/>
    <w:rsid w:val="006A5A26"/>
    <w:rsid w:val="006A5C0C"/>
    <w:rsid w:val="006A62DF"/>
    <w:rsid w:val="006A6410"/>
    <w:rsid w:val="006A686C"/>
    <w:rsid w:val="006A6B99"/>
    <w:rsid w:val="006A6C6A"/>
    <w:rsid w:val="006A6FBF"/>
    <w:rsid w:val="006A74CB"/>
    <w:rsid w:val="006A7B01"/>
    <w:rsid w:val="006A7B93"/>
    <w:rsid w:val="006A7E5F"/>
    <w:rsid w:val="006B08D6"/>
    <w:rsid w:val="006B0920"/>
    <w:rsid w:val="006B128E"/>
    <w:rsid w:val="006B15D5"/>
    <w:rsid w:val="006B1685"/>
    <w:rsid w:val="006B1BC6"/>
    <w:rsid w:val="006B261B"/>
    <w:rsid w:val="006B26B2"/>
    <w:rsid w:val="006B2890"/>
    <w:rsid w:val="006B2C90"/>
    <w:rsid w:val="006B33FD"/>
    <w:rsid w:val="006B3405"/>
    <w:rsid w:val="006B35E6"/>
    <w:rsid w:val="006B369E"/>
    <w:rsid w:val="006B3A82"/>
    <w:rsid w:val="006B3F56"/>
    <w:rsid w:val="006B463F"/>
    <w:rsid w:val="006B465A"/>
    <w:rsid w:val="006B4CAD"/>
    <w:rsid w:val="006B4E6A"/>
    <w:rsid w:val="006B5815"/>
    <w:rsid w:val="006B5908"/>
    <w:rsid w:val="006B5D87"/>
    <w:rsid w:val="006B6454"/>
    <w:rsid w:val="006B6B9F"/>
    <w:rsid w:val="006B6D6B"/>
    <w:rsid w:val="006B6DD0"/>
    <w:rsid w:val="006B6E52"/>
    <w:rsid w:val="006B714D"/>
    <w:rsid w:val="006B7367"/>
    <w:rsid w:val="006B74FE"/>
    <w:rsid w:val="006B771F"/>
    <w:rsid w:val="006B7B22"/>
    <w:rsid w:val="006C0399"/>
    <w:rsid w:val="006C06C7"/>
    <w:rsid w:val="006C1416"/>
    <w:rsid w:val="006C1630"/>
    <w:rsid w:val="006C16F3"/>
    <w:rsid w:val="006C1DE3"/>
    <w:rsid w:val="006C1E55"/>
    <w:rsid w:val="006C20B2"/>
    <w:rsid w:val="006C217D"/>
    <w:rsid w:val="006C270D"/>
    <w:rsid w:val="006C2A8E"/>
    <w:rsid w:val="006C2CEA"/>
    <w:rsid w:val="006C3112"/>
    <w:rsid w:val="006C31FC"/>
    <w:rsid w:val="006C3255"/>
    <w:rsid w:val="006C34A8"/>
    <w:rsid w:val="006C34F7"/>
    <w:rsid w:val="006C38D2"/>
    <w:rsid w:val="006C39F3"/>
    <w:rsid w:val="006C3C67"/>
    <w:rsid w:val="006C3D3C"/>
    <w:rsid w:val="006C3F26"/>
    <w:rsid w:val="006C3F65"/>
    <w:rsid w:val="006C41FC"/>
    <w:rsid w:val="006C4311"/>
    <w:rsid w:val="006C4810"/>
    <w:rsid w:val="006C4BCF"/>
    <w:rsid w:val="006C5556"/>
    <w:rsid w:val="006C5675"/>
    <w:rsid w:val="006C5B97"/>
    <w:rsid w:val="006C608F"/>
    <w:rsid w:val="006C650E"/>
    <w:rsid w:val="006C6D0D"/>
    <w:rsid w:val="006C70B7"/>
    <w:rsid w:val="006C76ED"/>
    <w:rsid w:val="006C7C20"/>
    <w:rsid w:val="006C7DDE"/>
    <w:rsid w:val="006D007B"/>
    <w:rsid w:val="006D0212"/>
    <w:rsid w:val="006D080C"/>
    <w:rsid w:val="006D0B5B"/>
    <w:rsid w:val="006D0CAE"/>
    <w:rsid w:val="006D0D17"/>
    <w:rsid w:val="006D12AB"/>
    <w:rsid w:val="006D12E3"/>
    <w:rsid w:val="006D1853"/>
    <w:rsid w:val="006D1B92"/>
    <w:rsid w:val="006D1CD4"/>
    <w:rsid w:val="006D1DAA"/>
    <w:rsid w:val="006D1E56"/>
    <w:rsid w:val="006D1FEF"/>
    <w:rsid w:val="006D2779"/>
    <w:rsid w:val="006D297A"/>
    <w:rsid w:val="006D2AA5"/>
    <w:rsid w:val="006D2B45"/>
    <w:rsid w:val="006D2C1D"/>
    <w:rsid w:val="006D2DAF"/>
    <w:rsid w:val="006D3C1E"/>
    <w:rsid w:val="006D3C7D"/>
    <w:rsid w:val="006D3E3F"/>
    <w:rsid w:val="006D3EB3"/>
    <w:rsid w:val="006D4367"/>
    <w:rsid w:val="006D43A0"/>
    <w:rsid w:val="006D44C0"/>
    <w:rsid w:val="006D4659"/>
    <w:rsid w:val="006D4E09"/>
    <w:rsid w:val="006D506E"/>
    <w:rsid w:val="006D5447"/>
    <w:rsid w:val="006D5999"/>
    <w:rsid w:val="006D5C1E"/>
    <w:rsid w:val="006D5D5F"/>
    <w:rsid w:val="006D5ED4"/>
    <w:rsid w:val="006D60AB"/>
    <w:rsid w:val="006D687F"/>
    <w:rsid w:val="006D68A1"/>
    <w:rsid w:val="006D68FB"/>
    <w:rsid w:val="006D698D"/>
    <w:rsid w:val="006D74BB"/>
    <w:rsid w:val="006D75BE"/>
    <w:rsid w:val="006D764F"/>
    <w:rsid w:val="006D7C92"/>
    <w:rsid w:val="006D7D20"/>
    <w:rsid w:val="006E00B2"/>
    <w:rsid w:val="006E062E"/>
    <w:rsid w:val="006E0B68"/>
    <w:rsid w:val="006E0EE0"/>
    <w:rsid w:val="006E1422"/>
    <w:rsid w:val="006E1DC9"/>
    <w:rsid w:val="006E274E"/>
    <w:rsid w:val="006E2868"/>
    <w:rsid w:val="006E2AA5"/>
    <w:rsid w:val="006E2EAA"/>
    <w:rsid w:val="006E3120"/>
    <w:rsid w:val="006E3353"/>
    <w:rsid w:val="006E3841"/>
    <w:rsid w:val="006E39FA"/>
    <w:rsid w:val="006E3A25"/>
    <w:rsid w:val="006E3C32"/>
    <w:rsid w:val="006E3D34"/>
    <w:rsid w:val="006E40A4"/>
    <w:rsid w:val="006E4A86"/>
    <w:rsid w:val="006E59A3"/>
    <w:rsid w:val="006E5FD1"/>
    <w:rsid w:val="006E6278"/>
    <w:rsid w:val="006E6646"/>
    <w:rsid w:val="006E76B2"/>
    <w:rsid w:val="006E774C"/>
    <w:rsid w:val="006E79CE"/>
    <w:rsid w:val="006E7D67"/>
    <w:rsid w:val="006E7EF1"/>
    <w:rsid w:val="006F00C6"/>
    <w:rsid w:val="006F02C8"/>
    <w:rsid w:val="006F03D4"/>
    <w:rsid w:val="006F0CF5"/>
    <w:rsid w:val="006F0E61"/>
    <w:rsid w:val="006F0F72"/>
    <w:rsid w:val="006F13D0"/>
    <w:rsid w:val="006F17DF"/>
    <w:rsid w:val="006F18B7"/>
    <w:rsid w:val="006F1959"/>
    <w:rsid w:val="006F2391"/>
    <w:rsid w:val="006F2669"/>
    <w:rsid w:val="006F2772"/>
    <w:rsid w:val="006F2900"/>
    <w:rsid w:val="006F2B2F"/>
    <w:rsid w:val="006F306C"/>
    <w:rsid w:val="006F3130"/>
    <w:rsid w:val="006F3B91"/>
    <w:rsid w:val="006F403F"/>
    <w:rsid w:val="006F4146"/>
    <w:rsid w:val="006F4150"/>
    <w:rsid w:val="006F41BC"/>
    <w:rsid w:val="006F4692"/>
    <w:rsid w:val="006F4A4F"/>
    <w:rsid w:val="006F4C30"/>
    <w:rsid w:val="006F556D"/>
    <w:rsid w:val="006F57B8"/>
    <w:rsid w:val="006F5D9C"/>
    <w:rsid w:val="006F63A5"/>
    <w:rsid w:val="006F680E"/>
    <w:rsid w:val="006F68E6"/>
    <w:rsid w:val="006F6F67"/>
    <w:rsid w:val="006F7611"/>
    <w:rsid w:val="006F7AF0"/>
    <w:rsid w:val="0070084B"/>
    <w:rsid w:val="0070142B"/>
    <w:rsid w:val="00701946"/>
    <w:rsid w:val="00701E1F"/>
    <w:rsid w:val="007022CE"/>
    <w:rsid w:val="007025D3"/>
    <w:rsid w:val="0070276E"/>
    <w:rsid w:val="007029DA"/>
    <w:rsid w:val="00702B2B"/>
    <w:rsid w:val="00702D01"/>
    <w:rsid w:val="00702F8F"/>
    <w:rsid w:val="00703259"/>
    <w:rsid w:val="00703EDF"/>
    <w:rsid w:val="00704249"/>
    <w:rsid w:val="007046DF"/>
    <w:rsid w:val="00704CCD"/>
    <w:rsid w:val="00704E64"/>
    <w:rsid w:val="0070566C"/>
    <w:rsid w:val="0070588C"/>
    <w:rsid w:val="0070643F"/>
    <w:rsid w:val="007066B0"/>
    <w:rsid w:val="00706813"/>
    <w:rsid w:val="00707339"/>
    <w:rsid w:val="00707655"/>
    <w:rsid w:val="007076B1"/>
    <w:rsid w:val="00707899"/>
    <w:rsid w:val="007079FC"/>
    <w:rsid w:val="00707CFA"/>
    <w:rsid w:val="00707F85"/>
    <w:rsid w:val="0071000B"/>
    <w:rsid w:val="0071044A"/>
    <w:rsid w:val="00710716"/>
    <w:rsid w:val="00710D67"/>
    <w:rsid w:val="00710F8F"/>
    <w:rsid w:val="00710FF2"/>
    <w:rsid w:val="00711A36"/>
    <w:rsid w:val="00711F68"/>
    <w:rsid w:val="00712268"/>
    <w:rsid w:val="007123A7"/>
    <w:rsid w:val="007125D3"/>
    <w:rsid w:val="007136EF"/>
    <w:rsid w:val="007142A3"/>
    <w:rsid w:val="0071431C"/>
    <w:rsid w:val="00714876"/>
    <w:rsid w:val="00714C26"/>
    <w:rsid w:val="00714EAC"/>
    <w:rsid w:val="00715247"/>
    <w:rsid w:val="0071529C"/>
    <w:rsid w:val="0071580D"/>
    <w:rsid w:val="00715A3F"/>
    <w:rsid w:val="00715C58"/>
    <w:rsid w:val="00716839"/>
    <w:rsid w:val="00716C9B"/>
    <w:rsid w:val="00716CD6"/>
    <w:rsid w:val="007170DA"/>
    <w:rsid w:val="007172AD"/>
    <w:rsid w:val="00717546"/>
    <w:rsid w:val="007177FA"/>
    <w:rsid w:val="00717C80"/>
    <w:rsid w:val="00720801"/>
    <w:rsid w:val="0072087B"/>
    <w:rsid w:val="00721EA3"/>
    <w:rsid w:val="00722B1B"/>
    <w:rsid w:val="00722BAD"/>
    <w:rsid w:val="00722D76"/>
    <w:rsid w:val="00722DC7"/>
    <w:rsid w:val="007232F8"/>
    <w:rsid w:val="007233EC"/>
    <w:rsid w:val="00723A04"/>
    <w:rsid w:val="00723B7A"/>
    <w:rsid w:val="00723FD8"/>
    <w:rsid w:val="0072416F"/>
    <w:rsid w:val="007241D5"/>
    <w:rsid w:val="00724F52"/>
    <w:rsid w:val="00725413"/>
    <w:rsid w:val="007261D1"/>
    <w:rsid w:val="00726C74"/>
    <w:rsid w:val="00726DF5"/>
    <w:rsid w:val="00727C94"/>
    <w:rsid w:val="00727D8B"/>
    <w:rsid w:val="00727F83"/>
    <w:rsid w:val="007301EC"/>
    <w:rsid w:val="0073044A"/>
    <w:rsid w:val="007305D0"/>
    <w:rsid w:val="0073069C"/>
    <w:rsid w:val="00730843"/>
    <w:rsid w:val="00730EFB"/>
    <w:rsid w:val="00730FAE"/>
    <w:rsid w:val="00730FF9"/>
    <w:rsid w:val="00731002"/>
    <w:rsid w:val="00731133"/>
    <w:rsid w:val="007315AB"/>
    <w:rsid w:val="007319E9"/>
    <w:rsid w:val="00731A04"/>
    <w:rsid w:val="00731B0A"/>
    <w:rsid w:val="00731EAE"/>
    <w:rsid w:val="00732315"/>
    <w:rsid w:val="00732606"/>
    <w:rsid w:val="00732F40"/>
    <w:rsid w:val="00733073"/>
    <w:rsid w:val="0073361C"/>
    <w:rsid w:val="0073399F"/>
    <w:rsid w:val="00733A20"/>
    <w:rsid w:val="00733C38"/>
    <w:rsid w:val="00733CB3"/>
    <w:rsid w:val="00733E62"/>
    <w:rsid w:val="007341BA"/>
    <w:rsid w:val="00734499"/>
    <w:rsid w:val="00734BA6"/>
    <w:rsid w:val="00734F64"/>
    <w:rsid w:val="00735033"/>
    <w:rsid w:val="00735328"/>
    <w:rsid w:val="0073532A"/>
    <w:rsid w:val="0073572B"/>
    <w:rsid w:val="007357B5"/>
    <w:rsid w:val="00735B6D"/>
    <w:rsid w:val="00736842"/>
    <w:rsid w:val="0073685B"/>
    <w:rsid w:val="007371AC"/>
    <w:rsid w:val="007374C3"/>
    <w:rsid w:val="00737BE2"/>
    <w:rsid w:val="00737FF0"/>
    <w:rsid w:val="00740690"/>
    <w:rsid w:val="0074085C"/>
    <w:rsid w:val="00740DAF"/>
    <w:rsid w:val="007423DB"/>
    <w:rsid w:val="007428CE"/>
    <w:rsid w:val="00743D35"/>
    <w:rsid w:val="00744127"/>
    <w:rsid w:val="00744841"/>
    <w:rsid w:val="00744936"/>
    <w:rsid w:val="007449BF"/>
    <w:rsid w:val="007454F0"/>
    <w:rsid w:val="00745764"/>
    <w:rsid w:val="007457CD"/>
    <w:rsid w:val="00745CF8"/>
    <w:rsid w:val="00745D3B"/>
    <w:rsid w:val="00745EC9"/>
    <w:rsid w:val="007462B8"/>
    <w:rsid w:val="007462DC"/>
    <w:rsid w:val="007463FE"/>
    <w:rsid w:val="00746670"/>
    <w:rsid w:val="00746908"/>
    <w:rsid w:val="00746B07"/>
    <w:rsid w:val="00746BC0"/>
    <w:rsid w:val="00746FAE"/>
    <w:rsid w:val="007471E8"/>
    <w:rsid w:val="0074780F"/>
    <w:rsid w:val="00747B13"/>
    <w:rsid w:val="00747CA9"/>
    <w:rsid w:val="00747F1D"/>
    <w:rsid w:val="007504C2"/>
    <w:rsid w:val="00750C76"/>
    <w:rsid w:val="00750CF4"/>
    <w:rsid w:val="007510B4"/>
    <w:rsid w:val="007512D7"/>
    <w:rsid w:val="0075158D"/>
    <w:rsid w:val="007516E9"/>
    <w:rsid w:val="00751FAF"/>
    <w:rsid w:val="00752088"/>
    <w:rsid w:val="00752142"/>
    <w:rsid w:val="007523F9"/>
    <w:rsid w:val="007527B8"/>
    <w:rsid w:val="00752D8B"/>
    <w:rsid w:val="0075357E"/>
    <w:rsid w:val="00753876"/>
    <w:rsid w:val="00753908"/>
    <w:rsid w:val="00753B29"/>
    <w:rsid w:val="00753D46"/>
    <w:rsid w:val="00754049"/>
    <w:rsid w:val="00754798"/>
    <w:rsid w:val="0075506B"/>
    <w:rsid w:val="0075533D"/>
    <w:rsid w:val="007554B9"/>
    <w:rsid w:val="00755C0A"/>
    <w:rsid w:val="00755F19"/>
    <w:rsid w:val="00755FD6"/>
    <w:rsid w:val="007564CD"/>
    <w:rsid w:val="00757047"/>
    <w:rsid w:val="007570EB"/>
    <w:rsid w:val="00757348"/>
    <w:rsid w:val="007573E8"/>
    <w:rsid w:val="00757C2F"/>
    <w:rsid w:val="007603D0"/>
    <w:rsid w:val="007607A7"/>
    <w:rsid w:val="00760C4E"/>
    <w:rsid w:val="00760ED1"/>
    <w:rsid w:val="00760F1A"/>
    <w:rsid w:val="00760F9E"/>
    <w:rsid w:val="007616E6"/>
    <w:rsid w:val="00761C04"/>
    <w:rsid w:val="00762094"/>
    <w:rsid w:val="007626EC"/>
    <w:rsid w:val="00762723"/>
    <w:rsid w:val="007627BE"/>
    <w:rsid w:val="007629EB"/>
    <w:rsid w:val="00762DFE"/>
    <w:rsid w:val="00763716"/>
    <w:rsid w:val="0076404D"/>
    <w:rsid w:val="00764180"/>
    <w:rsid w:val="007643CB"/>
    <w:rsid w:val="00764646"/>
    <w:rsid w:val="007647C2"/>
    <w:rsid w:val="00764A17"/>
    <w:rsid w:val="00764D02"/>
    <w:rsid w:val="00764F03"/>
    <w:rsid w:val="00765083"/>
    <w:rsid w:val="00765492"/>
    <w:rsid w:val="0076557E"/>
    <w:rsid w:val="00765A46"/>
    <w:rsid w:val="00765B1A"/>
    <w:rsid w:val="00765DC1"/>
    <w:rsid w:val="00765FEC"/>
    <w:rsid w:val="007662DE"/>
    <w:rsid w:val="00766379"/>
    <w:rsid w:val="00766508"/>
    <w:rsid w:val="00766F3E"/>
    <w:rsid w:val="007670F2"/>
    <w:rsid w:val="00767341"/>
    <w:rsid w:val="00771361"/>
    <w:rsid w:val="007714CF"/>
    <w:rsid w:val="00771B35"/>
    <w:rsid w:val="007728C6"/>
    <w:rsid w:val="007728E1"/>
    <w:rsid w:val="0077294E"/>
    <w:rsid w:val="00773019"/>
    <w:rsid w:val="00773427"/>
    <w:rsid w:val="007737A8"/>
    <w:rsid w:val="00773AF3"/>
    <w:rsid w:val="00773B48"/>
    <w:rsid w:val="00773C3D"/>
    <w:rsid w:val="00773EB1"/>
    <w:rsid w:val="0077458B"/>
    <w:rsid w:val="007746BF"/>
    <w:rsid w:val="0077476D"/>
    <w:rsid w:val="007747CE"/>
    <w:rsid w:val="00774825"/>
    <w:rsid w:val="007751DD"/>
    <w:rsid w:val="0077527D"/>
    <w:rsid w:val="00775806"/>
    <w:rsid w:val="00775D43"/>
    <w:rsid w:val="00775E3A"/>
    <w:rsid w:val="00775EF4"/>
    <w:rsid w:val="00776188"/>
    <w:rsid w:val="007766B7"/>
    <w:rsid w:val="00776729"/>
    <w:rsid w:val="00776D51"/>
    <w:rsid w:val="00777335"/>
    <w:rsid w:val="00777791"/>
    <w:rsid w:val="00777E67"/>
    <w:rsid w:val="00777FE6"/>
    <w:rsid w:val="007803B7"/>
    <w:rsid w:val="0078041C"/>
    <w:rsid w:val="00780798"/>
    <w:rsid w:val="00780A16"/>
    <w:rsid w:val="00780E3A"/>
    <w:rsid w:val="00781AE6"/>
    <w:rsid w:val="00781BE0"/>
    <w:rsid w:val="00781D6D"/>
    <w:rsid w:val="00782713"/>
    <w:rsid w:val="00782BEB"/>
    <w:rsid w:val="00783000"/>
    <w:rsid w:val="007830C2"/>
    <w:rsid w:val="00783732"/>
    <w:rsid w:val="00783832"/>
    <w:rsid w:val="00783B58"/>
    <w:rsid w:val="00783BCD"/>
    <w:rsid w:val="00783D8C"/>
    <w:rsid w:val="0078403C"/>
    <w:rsid w:val="007843F2"/>
    <w:rsid w:val="007846FA"/>
    <w:rsid w:val="0078478A"/>
    <w:rsid w:val="007847F7"/>
    <w:rsid w:val="0078550D"/>
    <w:rsid w:val="00785812"/>
    <w:rsid w:val="00785A9F"/>
    <w:rsid w:val="0078656D"/>
    <w:rsid w:val="00786B5A"/>
    <w:rsid w:val="007872AE"/>
    <w:rsid w:val="0078734B"/>
    <w:rsid w:val="00787AE2"/>
    <w:rsid w:val="00787B66"/>
    <w:rsid w:val="00787DDD"/>
    <w:rsid w:val="00790D4C"/>
    <w:rsid w:val="00790F80"/>
    <w:rsid w:val="007911F4"/>
    <w:rsid w:val="007919CB"/>
    <w:rsid w:val="00791A57"/>
    <w:rsid w:val="00792414"/>
    <w:rsid w:val="007925DF"/>
    <w:rsid w:val="00792932"/>
    <w:rsid w:val="00792F4E"/>
    <w:rsid w:val="0079342C"/>
    <w:rsid w:val="00793DED"/>
    <w:rsid w:val="007949F2"/>
    <w:rsid w:val="00794BC2"/>
    <w:rsid w:val="00794D6D"/>
    <w:rsid w:val="007951B4"/>
    <w:rsid w:val="00795387"/>
    <w:rsid w:val="00795F87"/>
    <w:rsid w:val="0079607F"/>
    <w:rsid w:val="0079618D"/>
    <w:rsid w:val="0079667D"/>
    <w:rsid w:val="00797886"/>
    <w:rsid w:val="00797AE2"/>
    <w:rsid w:val="00797F09"/>
    <w:rsid w:val="007A033A"/>
    <w:rsid w:val="007A08AA"/>
    <w:rsid w:val="007A0A12"/>
    <w:rsid w:val="007A0D98"/>
    <w:rsid w:val="007A132D"/>
    <w:rsid w:val="007A1345"/>
    <w:rsid w:val="007A20F5"/>
    <w:rsid w:val="007A219E"/>
    <w:rsid w:val="007A2900"/>
    <w:rsid w:val="007A29DC"/>
    <w:rsid w:val="007A2BC6"/>
    <w:rsid w:val="007A2DDB"/>
    <w:rsid w:val="007A3277"/>
    <w:rsid w:val="007A34B1"/>
    <w:rsid w:val="007A3744"/>
    <w:rsid w:val="007A3AC5"/>
    <w:rsid w:val="007A3FE9"/>
    <w:rsid w:val="007A4045"/>
    <w:rsid w:val="007A42A9"/>
    <w:rsid w:val="007A458B"/>
    <w:rsid w:val="007A49B3"/>
    <w:rsid w:val="007A4EE2"/>
    <w:rsid w:val="007A52F4"/>
    <w:rsid w:val="007A54C0"/>
    <w:rsid w:val="007A59A0"/>
    <w:rsid w:val="007A59C9"/>
    <w:rsid w:val="007A616E"/>
    <w:rsid w:val="007A64FC"/>
    <w:rsid w:val="007A6B46"/>
    <w:rsid w:val="007A6B78"/>
    <w:rsid w:val="007A6C97"/>
    <w:rsid w:val="007A6E41"/>
    <w:rsid w:val="007A6E64"/>
    <w:rsid w:val="007A6E82"/>
    <w:rsid w:val="007A6E9D"/>
    <w:rsid w:val="007A70BA"/>
    <w:rsid w:val="007A7AEC"/>
    <w:rsid w:val="007A7CFA"/>
    <w:rsid w:val="007B02C7"/>
    <w:rsid w:val="007B0443"/>
    <w:rsid w:val="007B058D"/>
    <w:rsid w:val="007B094D"/>
    <w:rsid w:val="007B0A82"/>
    <w:rsid w:val="007B0D0D"/>
    <w:rsid w:val="007B0D68"/>
    <w:rsid w:val="007B1512"/>
    <w:rsid w:val="007B152B"/>
    <w:rsid w:val="007B15DF"/>
    <w:rsid w:val="007B17B9"/>
    <w:rsid w:val="007B18DE"/>
    <w:rsid w:val="007B2396"/>
    <w:rsid w:val="007B2422"/>
    <w:rsid w:val="007B251D"/>
    <w:rsid w:val="007B2988"/>
    <w:rsid w:val="007B2A9B"/>
    <w:rsid w:val="007B2C28"/>
    <w:rsid w:val="007B3083"/>
    <w:rsid w:val="007B3336"/>
    <w:rsid w:val="007B3533"/>
    <w:rsid w:val="007B38A4"/>
    <w:rsid w:val="007B3B72"/>
    <w:rsid w:val="007B4D59"/>
    <w:rsid w:val="007B4F58"/>
    <w:rsid w:val="007B528D"/>
    <w:rsid w:val="007B59EB"/>
    <w:rsid w:val="007B5C8F"/>
    <w:rsid w:val="007B5CBE"/>
    <w:rsid w:val="007B5E44"/>
    <w:rsid w:val="007B6377"/>
    <w:rsid w:val="007B63CA"/>
    <w:rsid w:val="007B6A98"/>
    <w:rsid w:val="007B73CF"/>
    <w:rsid w:val="007B7552"/>
    <w:rsid w:val="007B7788"/>
    <w:rsid w:val="007B77D1"/>
    <w:rsid w:val="007C03B0"/>
    <w:rsid w:val="007C04F8"/>
    <w:rsid w:val="007C07C7"/>
    <w:rsid w:val="007C0BA9"/>
    <w:rsid w:val="007C0F6B"/>
    <w:rsid w:val="007C11B7"/>
    <w:rsid w:val="007C1580"/>
    <w:rsid w:val="007C16D7"/>
    <w:rsid w:val="007C1CD9"/>
    <w:rsid w:val="007C254F"/>
    <w:rsid w:val="007C2770"/>
    <w:rsid w:val="007C30FA"/>
    <w:rsid w:val="007C32B4"/>
    <w:rsid w:val="007C32EF"/>
    <w:rsid w:val="007C34B0"/>
    <w:rsid w:val="007C359E"/>
    <w:rsid w:val="007C361D"/>
    <w:rsid w:val="007C3795"/>
    <w:rsid w:val="007C40C7"/>
    <w:rsid w:val="007C48A8"/>
    <w:rsid w:val="007C4B84"/>
    <w:rsid w:val="007C4E21"/>
    <w:rsid w:val="007C52FD"/>
    <w:rsid w:val="007C543F"/>
    <w:rsid w:val="007C5942"/>
    <w:rsid w:val="007C5A45"/>
    <w:rsid w:val="007C5AB2"/>
    <w:rsid w:val="007C5D82"/>
    <w:rsid w:val="007C5F85"/>
    <w:rsid w:val="007C60A0"/>
    <w:rsid w:val="007C67E0"/>
    <w:rsid w:val="007C694B"/>
    <w:rsid w:val="007C6F96"/>
    <w:rsid w:val="007C70FF"/>
    <w:rsid w:val="007C71C1"/>
    <w:rsid w:val="007C7393"/>
    <w:rsid w:val="007C7870"/>
    <w:rsid w:val="007C79D3"/>
    <w:rsid w:val="007C7B16"/>
    <w:rsid w:val="007C7C25"/>
    <w:rsid w:val="007D004F"/>
    <w:rsid w:val="007D0066"/>
    <w:rsid w:val="007D011A"/>
    <w:rsid w:val="007D0203"/>
    <w:rsid w:val="007D035F"/>
    <w:rsid w:val="007D044D"/>
    <w:rsid w:val="007D06B2"/>
    <w:rsid w:val="007D0B06"/>
    <w:rsid w:val="007D0B38"/>
    <w:rsid w:val="007D0DEC"/>
    <w:rsid w:val="007D1147"/>
    <w:rsid w:val="007D16A6"/>
    <w:rsid w:val="007D1EC5"/>
    <w:rsid w:val="007D2354"/>
    <w:rsid w:val="007D24EB"/>
    <w:rsid w:val="007D2957"/>
    <w:rsid w:val="007D2D4A"/>
    <w:rsid w:val="007D2FE7"/>
    <w:rsid w:val="007D30F0"/>
    <w:rsid w:val="007D320D"/>
    <w:rsid w:val="007D3412"/>
    <w:rsid w:val="007D382F"/>
    <w:rsid w:val="007D3CB6"/>
    <w:rsid w:val="007D415F"/>
    <w:rsid w:val="007D46DE"/>
    <w:rsid w:val="007D48A8"/>
    <w:rsid w:val="007D4AFD"/>
    <w:rsid w:val="007D4E6A"/>
    <w:rsid w:val="007D529B"/>
    <w:rsid w:val="007D53CF"/>
    <w:rsid w:val="007D5440"/>
    <w:rsid w:val="007D5856"/>
    <w:rsid w:val="007D6012"/>
    <w:rsid w:val="007D63BE"/>
    <w:rsid w:val="007D63D2"/>
    <w:rsid w:val="007D653A"/>
    <w:rsid w:val="007D69EB"/>
    <w:rsid w:val="007D6C95"/>
    <w:rsid w:val="007D6F74"/>
    <w:rsid w:val="007D729F"/>
    <w:rsid w:val="007D73ED"/>
    <w:rsid w:val="007D770B"/>
    <w:rsid w:val="007D7A0D"/>
    <w:rsid w:val="007D7DAA"/>
    <w:rsid w:val="007E01EF"/>
    <w:rsid w:val="007E0345"/>
    <w:rsid w:val="007E0ECF"/>
    <w:rsid w:val="007E0ED9"/>
    <w:rsid w:val="007E0F79"/>
    <w:rsid w:val="007E128F"/>
    <w:rsid w:val="007E129F"/>
    <w:rsid w:val="007E143D"/>
    <w:rsid w:val="007E15AB"/>
    <w:rsid w:val="007E1754"/>
    <w:rsid w:val="007E1F02"/>
    <w:rsid w:val="007E2166"/>
    <w:rsid w:val="007E2624"/>
    <w:rsid w:val="007E29AB"/>
    <w:rsid w:val="007E29B1"/>
    <w:rsid w:val="007E2D72"/>
    <w:rsid w:val="007E301F"/>
    <w:rsid w:val="007E3429"/>
    <w:rsid w:val="007E3595"/>
    <w:rsid w:val="007E36B0"/>
    <w:rsid w:val="007E3BF3"/>
    <w:rsid w:val="007E3D24"/>
    <w:rsid w:val="007E3DD2"/>
    <w:rsid w:val="007E3E2E"/>
    <w:rsid w:val="007E463F"/>
    <w:rsid w:val="007E47FD"/>
    <w:rsid w:val="007E489A"/>
    <w:rsid w:val="007E6827"/>
    <w:rsid w:val="007E7454"/>
    <w:rsid w:val="007F00BC"/>
    <w:rsid w:val="007F0540"/>
    <w:rsid w:val="007F059B"/>
    <w:rsid w:val="007F0850"/>
    <w:rsid w:val="007F1017"/>
    <w:rsid w:val="007F167F"/>
    <w:rsid w:val="007F1693"/>
    <w:rsid w:val="007F1B5B"/>
    <w:rsid w:val="007F1BDA"/>
    <w:rsid w:val="007F20B1"/>
    <w:rsid w:val="007F2A08"/>
    <w:rsid w:val="007F2C0F"/>
    <w:rsid w:val="007F2CDE"/>
    <w:rsid w:val="007F2D98"/>
    <w:rsid w:val="007F385E"/>
    <w:rsid w:val="007F3B26"/>
    <w:rsid w:val="007F3F1F"/>
    <w:rsid w:val="007F4172"/>
    <w:rsid w:val="007F4A3F"/>
    <w:rsid w:val="007F4A61"/>
    <w:rsid w:val="007F5255"/>
    <w:rsid w:val="007F55D9"/>
    <w:rsid w:val="007F56CC"/>
    <w:rsid w:val="007F5758"/>
    <w:rsid w:val="007F5921"/>
    <w:rsid w:val="007F599D"/>
    <w:rsid w:val="007F61C2"/>
    <w:rsid w:val="007F6676"/>
    <w:rsid w:val="007F67E0"/>
    <w:rsid w:val="007F6C66"/>
    <w:rsid w:val="007F73D2"/>
    <w:rsid w:val="007F77AB"/>
    <w:rsid w:val="007F79E8"/>
    <w:rsid w:val="0080082A"/>
    <w:rsid w:val="00800AC4"/>
    <w:rsid w:val="00800C35"/>
    <w:rsid w:val="00801A25"/>
    <w:rsid w:val="00801CF5"/>
    <w:rsid w:val="00802322"/>
    <w:rsid w:val="00802512"/>
    <w:rsid w:val="0080277F"/>
    <w:rsid w:val="00803281"/>
    <w:rsid w:val="008038F1"/>
    <w:rsid w:val="00804A21"/>
    <w:rsid w:val="00804A75"/>
    <w:rsid w:val="00805142"/>
    <w:rsid w:val="0080515F"/>
    <w:rsid w:val="0080578C"/>
    <w:rsid w:val="00805FCE"/>
    <w:rsid w:val="0080622F"/>
    <w:rsid w:val="0080623F"/>
    <w:rsid w:val="008065F7"/>
    <w:rsid w:val="008069A6"/>
    <w:rsid w:val="008069FE"/>
    <w:rsid w:val="00806E12"/>
    <w:rsid w:val="00806EDE"/>
    <w:rsid w:val="00807234"/>
    <w:rsid w:val="00807A8B"/>
    <w:rsid w:val="00807BAA"/>
    <w:rsid w:val="0081022E"/>
    <w:rsid w:val="0081061C"/>
    <w:rsid w:val="00810BE5"/>
    <w:rsid w:val="00811383"/>
    <w:rsid w:val="00811497"/>
    <w:rsid w:val="00811AA4"/>
    <w:rsid w:val="00811E9F"/>
    <w:rsid w:val="00811F5C"/>
    <w:rsid w:val="00811F8E"/>
    <w:rsid w:val="0081212E"/>
    <w:rsid w:val="00812149"/>
    <w:rsid w:val="00812961"/>
    <w:rsid w:val="00812ABE"/>
    <w:rsid w:val="00812AE1"/>
    <w:rsid w:val="00812AF8"/>
    <w:rsid w:val="00812CAC"/>
    <w:rsid w:val="008133FF"/>
    <w:rsid w:val="00813692"/>
    <w:rsid w:val="00813A62"/>
    <w:rsid w:val="00813D80"/>
    <w:rsid w:val="00814227"/>
    <w:rsid w:val="00814BDD"/>
    <w:rsid w:val="00814D3E"/>
    <w:rsid w:val="00815410"/>
    <w:rsid w:val="008156B7"/>
    <w:rsid w:val="00815900"/>
    <w:rsid w:val="00815F1E"/>
    <w:rsid w:val="0081623C"/>
    <w:rsid w:val="00816361"/>
    <w:rsid w:val="008166EF"/>
    <w:rsid w:val="00816E4B"/>
    <w:rsid w:val="00816FAB"/>
    <w:rsid w:val="00816FEF"/>
    <w:rsid w:val="00817368"/>
    <w:rsid w:val="008173AE"/>
    <w:rsid w:val="00817722"/>
    <w:rsid w:val="00817CC2"/>
    <w:rsid w:val="00817E75"/>
    <w:rsid w:val="00820A8C"/>
    <w:rsid w:val="00820B24"/>
    <w:rsid w:val="008215FB"/>
    <w:rsid w:val="00821DB1"/>
    <w:rsid w:val="008220CC"/>
    <w:rsid w:val="00822E67"/>
    <w:rsid w:val="00823174"/>
    <w:rsid w:val="00823293"/>
    <w:rsid w:val="0082356D"/>
    <w:rsid w:val="008235C4"/>
    <w:rsid w:val="00824471"/>
    <w:rsid w:val="00824556"/>
    <w:rsid w:val="00824873"/>
    <w:rsid w:val="00824946"/>
    <w:rsid w:val="00824BD1"/>
    <w:rsid w:val="00825016"/>
    <w:rsid w:val="008255A9"/>
    <w:rsid w:val="00825751"/>
    <w:rsid w:val="00825A98"/>
    <w:rsid w:val="00825B8E"/>
    <w:rsid w:val="00825C10"/>
    <w:rsid w:val="00825D53"/>
    <w:rsid w:val="008264EB"/>
    <w:rsid w:val="008268CE"/>
    <w:rsid w:val="008268F4"/>
    <w:rsid w:val="00826BD1"/>
    <w:rsid w:val="00826EF3"/>
    <w:rsid w:val="008270A1"/>
    <w:rsid w:val="0082767B"/>
    <w:rsid w:val="00827943"/>
    <w:rsid w:val="00827B74"/>
    <w:rsid w:val="00827C23"/>
    <w:rsid w:val="00830267"/>
    <w:rsid w:val="0083141C"/>
    <w:rsid w:val="0083144A"/>
    <w:rsid w:val="008315C4"/>
    <w:rsid w:val="0083224C"/>
    <w:rsid w:val="00832629"/>
    <w:rsid w:val="008327AB"/>
    <w:rsid w:val="00832FD1"/>
    <w:rsid w:val="008330CC"/>
    <w:rsid w:val="00833663"/>
    <w:rsid w:val="00833B05"/>
    <w:rsid w:val="00834367"/>
    <w:rsid w:val="00834725"/>
    <w:rsid w:val="00834DBF"/>
    <w:rsid w:val="008351AE"/>
    <w:rsid w:val="008355A3"/>
    <w:rsid w:val="008359C0"/>
    <w:rsid w:val="00835C09"/>
    <w:rsid w:val="00835FEA"/>
    <w:rsid w:val="008362B4"/>
    <w:rsid w:val="00836373"/>
    <w:rsid w:val="008368A1"/>
    <w:rsid w:val="00836FBC"/>
    <w:rsid w:val="00837554"/>
    <w:rsid w:val="008375FA"/>
    <w:rsid w:val="008376D6"/>
    <w:rsid w:val="008377E4"/>
    <w:rsid w:val="008378B2"/>
    <w:rsid w:val="00840070"/>
    <w:rsid w:val="008403EF"/>
    <w:rsid w:val="00840454"/>
    <w:rsid w:val="00840CA2"/>
    <w:rsid w:val="00842052"/>
    <w:rsid w:val="008421D8"/>
    <w:rsid w:val="00842798"/>
    <w:rsid w:val="0084287F"/>
    <w:rsid w:val="00842BE4"/>
    <w:rsid w:val="00842D6A"/>
    <w:rsid w:val="0084374F"/>
    <w:rsid w:val="008438BF"/>
    <w:rsid w:val="00843FA7"/>
    <w:rsid w:val="00844514"/>
    <w:rsid w:val="00844560"/>
    <w:rsid w:val="008449BE"/>
    <w:rsid w:val="00844A22"/>
    <w:rsid w:val="00844AF9"/>
    <w:rsid w:val="00844D58"/>
    <w:rsid w:val="00844FB0"/>
    <w:rsid w:val="008452F2"/>
    <w:rsid w:val="0084555D"/>
    <w:rsid w:val="00845710"/>
    <w:rsid w:val="0084582A"/>
    <w:rsid w:val="00845B09"/>
    <w:rsid w:val="00845E22"/>
    <w:rsid w:val="00846405"/>
    <w:rsid w:val="00846DF6"/>
    <w:rsid w:val="00846EEB"/>
    <w:rsid w:val="00847169"/>
    <w:rsid w:val="00847703"/>
    <w:rsid w:val="00847979"/>
    <w:rsid w:val="00847D4B"/>
    <w:rsid w:val="00847DF5"/>
    <w:rsid w:val="00850156"/>
    <w:rsid w:val="008513D3"/>
    <w:rsid w:val="00851AE4"/>
    <w:rsid w:val="0085284B"/>
    <w:rsid w:val="00852A5B"/>
    <w:rsid w:val="0085309D"/>
    <w:rsid w:val="00853188"/>
    <w:rsid w:val="0085336F"/>
    <w:rsid w:val="00854338"/>
    <w:rsid w:val="00854DBF"/>
    <w:rsid w:val="00855436"/>
    <w:rsid w:val="00855A86"/>
    <w:rsid w:val="00855D07"/>
    <w:rsid w:val="00856897"/>
    <w:rsid w:val="00856E9A"/>
    <w:rsid w:val="008570A2"/>
    <w:rsid w:val="0085727C"/>
    <w:rsid w:val="008574B1"/>
    <w:rsid w:val="008602E5"/>
    <w:rsid w:val="0086075D"/>
    <w:rsid w:val="00860A3B"/>
    <w:rsid w:val="00861045"/>
    <w:rsid w:val="00861285"/>
    <w:rsid w:val="00861459"/>
    <w:rsid w:val="0086168D"/>
    <w:rsid w:val="00862502"/>
    <w:rsid w:val="0086263B"/>
    <w:rsid w:val="00862762"/>
    <w:rsid w:val="00862CC1"/>
    <w:rsid w:val="00863034"/>
    <w:rsid w:val="0086303C"/>
    <w:rsid w:val="008636CB"/>
    <w:rsid w:val="00863FDC"/>
    <w:rsid w:val="008642A7"/>
    <w:rsid w:val="00864459"/>
    <w:rsid w:val="00864745"/>
    <w:rsid w:val="00864A95"/>
    <w:rsid w:val="00864BB6"/>
    <w:rsid w:val="00864C18"/>
    <w:rsid w:val="00864D22"/>
    <w:rsid w:val="00865598"/>
    <w:rsid w:val="00865739"/>
    <w:rsid w:val="008657B4"/>
    <w:rsid w:val="00865919"/>
    <w:rsid w:val="00865926"/>
    <w:rsid w:val="008659FB"/>
    <w:rsid w:val="00865A58"/>
    <w:rsid w:val="00865A70"/>
    <w:rsid w:val="008660D4"/>
    <w:rsid w:val="00866606"/>
    <w:rsid w:val="008667DB"/>
    <w:rsid w:val="0086682F"/>
    <w:rsid w:val="0086703D"/>
    <w:rsid w:val="0086727B"/>
    <w:rsid w:val="008672C0"/>
    <w:rsid w:val="00867412"/>
    <w:rsid w:val="00867467"/>
    <w:rsid w:val="00867BE4"/>
    <w:rsid w:val="0087029C"/>
    <w:rsid w:val="008703F5"/>
    <w:rsid w:val="0087149C"/>
    <w:rsid w:val="00871548"/>
    <w:rsid w:val="00871691"/>
    <w:rsid w:val="00871AB0"/>
    <w:rsid w:val="00871FA9"/>
    <w:rsid w:val="00872139"/>
    <w:rsid w:val="0087220A"/>
    <w:rsid w:val="008728E9"/>
    <w:rsid w:val="00873535"/>
    <w:rsid w:val="0087372F"/>
    <w:rsid w:val="008739A9"/>
    <w:rsid w:val="008739D7"/>
    <w:rsid w:val="0087496E"/>
    <w:rsid w:val="00874BAF"/>
    <w:rsid w:val="00875676"/>
    <w:rsid w:val="00875826"/>
    <w:rsid w:val="008758A8"/>
    <w:rsid w:val="0087594E"/>
    <w:rsid w:val="008762A6"/>
    <w:rsid w:val="008767F0"/>
    <w:rsid w:val="00876B67"/>
    <w:rsid w:val="00876CE0"/>
    <w:rsid w:val="008770E4"/>
    <w:rsid w:val="00877737"/>
    <w:rsid w:val="0088015B"/>
    <w:rsid w:val="008804EE"/>
    <w:rsid w:val="0088057B"/>
    <w:rsid w:val="00880824"/>
    <w:rsid w:val="00881015"/>
    <w:rsid w:val="008812BB"/>
    <w:rsid w:val="00881676"/>
    <w:rsid w:val="0088173A"/>
    <w:rsid w:val="008826C0"/>
    <w:rsid w:val="00882874"/>
    <w:rsid w:val="00882BF8"/>
    <w:rsid w:val="00882D24"/>
    <w:rsid w:val="00882E3C"/>
    <w:rsid w:val="0088308A"/>
    <w:rsid w:val="00883452"/>
    <w:rsid w:val="0088348B"/>
    <w:rsid w:val="00883787"/>
    <w:rsid w:val="00883FAB"/>
    <w:rsid w:val="0088406B"/>
    <w:rsid w:val="00884817"/>
    <w:rsid w:val="00884C40"/>
    <w:rsid w:val="0088507A"/>
    <w:rsid w:val="008855D1"/>
    <w:rsid w:val="008855E4"/>
    <w:rsid w:val="00885604"/>
    <w:rsid w:val="008859D0"/>
    <w:rsid w:val="00885A42"/>
    <w:rsid w:val="00886448"/>
    <w:rsid w:val="00886826"/>
    <w:rsid w:val="00886B53"/>
    <w:rsid w:val="00886CD2"/>
    <w:rsid w:val="008876A1"/>
    <w:rsid w:val="00887733"/>
    <w:rsid w:val="008878CC"/>
    <w:rsid w:val="00887909"/>
    <w:rsid w:val="00887A86"/>
    <w:rsid w:val="00887E3B"/>
    <w:rsid w:val="008901A0"/>
    <w:rsid w:val="0089087A"/>
    <w:rsid w:val="00890CAF"/>
    <w:rsid w:val="00890DC1"/>
    <w:rsid w:val="00891017"/>
    <w:rsid w:val="008914A8"/>
    <w:rsid w:val="00891E6F"/>
    <w:rsid w:val="00891E99"/>
    <w:rsid w:val="00891F91"/>
    <w:rsid w:val="008921C1"/>
    <w:rsid w:val="008926E4"/>
    <w:rsid w:val="0089275D"/>
    <w:rsid w:val="00892A36"/>
    <w:rsid w:val="00892FAF"/>
    <w:rsid w:val="00893239"/>
    <w:rsid w:val="008933D2"/>
    <w:rsid w:val="00893482"/>
    <w:rsid w:val="00893880"/>
    <w:rsid w:val="00893AE4"/>
    <w:rsid w:val="00893DDE"/>
    <w:rsid w:val="00893F3E"/>
    <w:rsid w:val="00893FCE"/>
    <w:rsid w:val="008943B8"/>
    <w:rsid w:val="00894489"/>
    <w:rsid w:val="008944B9"/>
    <w:rsid w:val="00894632"/>
    <w:rsid w:val="00894779"/>
    <w:rsid w:val="00894CD6"/>
    <w:rsid w:val="00894E87"/>
    <w:rsid w:val="0089507A"/>
    <w:rsid w:val="008952B1"/>
    <w:rsid w:val="008955F7"/>
    <w:rsid w:val="0089589D"/>
    <w:rsid w:val="00895AD5"/>
    <w:rsid w:val="00895C25"/>
    <w:rsid w:val="008963A5"/>
    <w:rsid w:val="00896414"/>
    <w:rsid w:val="00896B42"/>
    <w:rsid w:val="00896D5D"/>
    <w:rsid w:val="00896D7D"/>
    <w:rsid w:val="0089796D"/>
    <w:rsid w:val="00897C67"/>
    <w:rsid w:val="00897C79"/>
    <w:rsid w:val="008A02CA"/>
    <w:rsid w:val="008A0577"/>
    <w:rsid w:val="008A068C"/>
    <w:rsid w:val="008A0C22"/>
    <w:rsid w:val="008A1443"/>
    <w:rsid w:val="008A153A"/>
    <w:rsid w:val="008A187E"/>
    <w:rsid w:val="008A273A"/>
    <w:rsid w:val="008A3158"/>
    <w:rsid w:val="008A3363"/>
    <w:rsid w:val="008A3371"/>
    <w:rsid w:val="008A3760"/>
    <w:rsid w:val="008A392A"/>
    <w:rsid w:val="008A3C3E"/>
    <w:rsid w:val="008A3CAB"/>
    <w:rsid w:val="008A3D57"/>
    <w:rsid w:val="008A3DCB"/>
    <w:rsid w:val="008A41BC"/>
    <w:rsid w:val="008A42F6"/>
    <w:rsid w:val="008A47F5"/>
    <w:rsid w:val="008A5009"/>
    <w:rsid w:val="008A5385"/>
    <w:rsid w:val="008A56B1"/>
    <w:rsid w:val="008A57F6"/>
    <w:rsid w:val="008A5873"/>
    <w:rsid w:val="008A5979"/>
    <w:rsid w:val="008A5B50"/>
    <w:rsid w:val="008A6359"/>
    <w:rsid w:val="008A65B2"/>
    <w:rsid w:val="008A67A2"/>
    <w:rsid w:val="008A67FB"/>
    <w:rsid w:val="008A6BAD"/>
    <w:rsid w:val="008A6D84"/>
    <w:rsid w:val="008A6FE3"/>
    <w:rsid w:val="008A754A"/>
    <w:rsid w:val="008A79DE"/>
    <w:rsid w:val="008A7A6E"/>
    <w:rsid w:val="008A7F75"/>
    <w:rsid w:val="008B01DF"/>
    <w:rsid w:val="008B041D"/>
    <w:rsid w:val="008B06FB"/>
    <w:rsid w:val="008B08AA"/>
    <w:rsid w:val="008B15E2"/>
    <w:rsid w:val="008B1757"/>
    <w:rsid w:val="008B18E7"/>
    <w:rsid w:val="008B1990"/>
    <w:rsid w:val="008B1B77"/>
    <w:rsid w:val="008B1C33"/>
    <w:rsid w:val="008B23B1"/>
    <w:rsid w:val="008B2952"/>
    <w:rsid w:val="008B29FB"/>
    <w:rsid w:val="008B2C32"/>
    <w:rsid w:val="008B306E"/>
    <w:rsid w:val="008B3284"/>
    <w:rsid w:val="008B363D"/>
    <w:rsid w:val="008B3E69"/>
    <w:rsid w:val="008B4B6F"/>
    <w:rsid w:val="008B4D02"/>
    <w:rsid w:val="008B4FCA"/>
    <w:rsid w:val="008B5114"/>
    <w:rsid w:val="008B5734"/>
    <w:rsid w:val="008B5927"/>
    <w:rsid w:val="008B5CAF"/>
    <w:rsid w:val="008B5FB2"/>
    <w:rsid w:val="008B65DE"/>
    <w:rsid w:val="008B6675"/>
    <w:rsid w:val="008B6690"/>
    <w:rsid w:val="008B68BB"/>
    <w:rsid w:val="008B690E"/>
    <w:rsid w:val="008B6A5F"/>
    <w:rsid w:val="008B6B8A"/>
    <w:rsid w:val="008B7185"/>
    <w:rsid w:val="008B761F"/>
    <w:rsid w:val="008B7992"/>
    <w:rsid w:val="008B7D7E"/>
    <w:rsid w:val="008C001C"/>
    <w:rsid w:val="008C0483"/>
    <w:rsid w:val="008C0F33"/>
    <w:rsid w:val="008C102A"/>
    <w:rsid w:val="008C149E"/>
    <w:rsid w:val="008C14AF"/>
    <w:rsid w:val="008C196E"/>
    <w:rsid w:val="008C1D83"/>
    <w:rsid w:val="008C2009"/>
    <w:rsid w:val="008C27D1"/>
    <w:rsid w:val="008C3A72"/>
    <w:rsid w:val="008C40A2"/>
    <w:rsid w:val="008C4134"/>
    <w:rsid w:val="008C4176"/>
    <w:rsid w:val="008C5610"/>
    <w:rsid w:val="008C5739"/>
    <w:rsid w:val="008C57B6"/>
    <w:rsid w:val="008C5858"/>
    <w:rsid w:val="008C5A71"/>
    <w:rsid w:val="008C601C"/>
    <w:rsid w:val="008C639F"/>
    <w:rsid w:val="008C6419"/>
    <w:rsid w:val="008C6A8E"/>
    <w:rsid w:val="008C6FA3"/>
    <w:rsid w:val="008C70E7"/>
    <w:rsid w:val="008C7282"/>
    <w:rsid w:val="008C762A"/>
    <w:rsid w:val="008C77A2"/>
    <w:rsid w:val="008C7B34"/>
    <w:rsid w:val="008C7ECB"/>
    <w:rsid w:val="008D0173"/>
    <w:rsid w:val="008D031E"/>
    <w:rsid w:val="008D034C"/>
    <w:rsid w:val="008D03DF"/>
    <w:rsid w:val="008D047B"/>
    <w:rsid w:val="008D0582"/>
    <w:rsid w:val="008D0724"/>
    <w:rsid w:val="008D118E"/>
    <w:rsid w:val="008D13F4"/>
    <w:rsid w:val="008D14DE"/>
    <w:rsid w:val="008D164C"/>
    <w:rsid w:val="008D1964"/>
    <w:rsid w:val="008D21A7"/>
    <w:rsid w:val="008D24D6"/>
    <w:rsid w:val="008D2B08"/>
    <w:rsid w:val="008D2EAD"/>
    <w:rsid w:val="008D2ED8"/>
    <w:rsid w:val="008D35F8"/>
    <w:rsid w:val="008D3B86"/>
    <w:rsid w:val="008D3D43"/>
    <w:rsid w:val="008D43FD"/>
    <w:rsid w:val="008D44B0"/>
    <w:rsid w:val="008D4755"/>
    <w:rsid w:val="008D4C3D"/>
    <w:rsid w:val="008D53F8"/>
    <w:rsid w:val="008D555B"/>
    <w:rsid w:val="008D5651"/>
    <w:rsid w:val="008D59FA"/>
    <w:rsid w:val="008D5C4B"/>
    <w:rsid w:val="008D6061"/>
    <w:rsid w:val="008D60DD"/>
    <w:rsid w:val="008D638B"/>
    <w:rsid w:val="008D659F"/>
    <w:rsid w:val="008D743C"/>
    <w:rsid w:val="008D782B"/>
    <w:rsid w:val="008D7BA6"/>
    <w:rsid w:val="008E0475"/>
    <w:rsid w:val="008E06CC"/>
    <w:rsid w:val="008E09C0"/>
    <w:rsid w:val="008E0D3C"/>
    <w:rsid w:val="008E11E5"/>
    <w:rsid w:val="008E13D5"/>
    <w:rsid w:val="008E1B9E"/>
    <w:rsid w:val="008E1C4C"/>
    <w:rsid w:val="008E2A3A"/>
    <w:rsid w:val="008E2C83"/>
    <w:rsid w:val="008E34F0"/>
    <w:rsid w:val="008E3ABA"/>
    <w:rsid w:val="008E3BE2"/>
    <w:rsid w:val="008E47C9"/>
    <w:rsid w:val="008E4A31"/>
    <w:rsid w:val="008E4FE9"/>
    <w:rsid w:val="008E5014"/>
    <w:rsid w:val="008E508E"/>
    <w:rsid w:val="008E55AB"/>
    <w:rsid w:val="008E55F5"/>
    <w:rsid w:val="008E5B87"/>
    <w:rsid w:val="008E6134"/>
    <w:rsid w:val="008E6F9A"/>
    <w:rsid w:val="008E6FA5"/>
    <w:rsid w:val="008E71DD"/>
    <w:rsid w:val="008E7C62"/>
    <w:rsid w:val="008F00C0"/>
    <w:rsid w:val="008F0279"/>
    <w:rsid w:val="008F03C7"/>
    <w:rsid w:val="008F043E"/>
    <w:rsid w:val="008F0B63"/>
    <w:rsid w:val="008F120A"/>
    <w:rsid w:val="008F12F4"/>
    <w:rsid w:val="008F1B50"/>
    <w:rsid w:val="008F1D2B"/>
    <w:rsid w:val="008F1E57"/>
    <w:rsid w:val="008F202C"/>
    <w:rsid w:val="008F22F6"/>
    <w:rsid w:val="008F24DA"/>
    <w:rsid w:val="008F27E0"/>
    <w:rsid w:val="008F2A9D"/>
    <w:rsid w:val="008F3605"/>
    <w:rsid w:val="008F3C41"/>
    <w:rsid w:val="008F3CBC"/>
    <w:rsid w:val="008F428A"/>
    <w:rsid w:val="008F48EB"/>
    <w:rsid w:val="008F4F0B"/>
    <w:rsid w:val="008F58C8"/>
    <w:rsid w:val="008F691F"/>
    <w:rsid w:val="008F702F"/>
    <w:rsid w:val="008F70D4"/>
    <w:rsid w:val="008F742A"/>
    <w:rsid w:val="008F75AA"/>
    <w:rsid w:val="008F7CF2"/>
    <w:rsid w:val="008F7E8B"/>
    <w:rsid w:val="008F7F75"/>
    <w:rsid w:val="008F7F9E"/>
    <w:rsid w:val="00900074"/>
    <w:rsid w:val="009003E7"/>
    <w:rsid w:val="009007D1"/>
    <w:rsid w:val="0090089B"/>
    <w:rsid w:val="00900A62"/>
    <w:rsid w:val="009013C7"/>
    <w:rsid w:val="00901436"/>
    <w:rsid w:val="0090156A"/>
    <w:rsid w:val="0090195C"/>
    <w:rsid w:val="00901970"/>
    <w:rsid w:val="00901D3B"/>
    <w:rsid w:val="00902AF4"/>
    <w:rsid w:val="00903C43"/>
    <w:rsid w:val="0090410B"/>
    <w:rsid w:val="009046C4"/>
    <w:rsid w:val="00905233"/>
    <w:rsid w:val="00905C9C"/>
    <w:rsid w:val="00905E97"/>
    <w:rsid w:val="009062A5"/>
    <w:rsid w:val="009064CC"/>
    <w:rsid w:val="0090737D"/>
    <w:rsid w:val="00907407"/>
    <w:rsid w:val="00907699"/>
    <w:rsid w:val="00907D39"/>
    <w:rsid w:val="009101AD"/>
    <w:rsid w:val="00910264"/>
    <w:rsid w:val="009102F3"/>
    <w:rsid w:val="00910CFD"/>
    <w:rsid w:val="00910E9B"/>
    <w:rsid w:val="00910FA7"/>
    <w:rsid w:val="00911272"/>
    <w:rsid w:val="00911339"/>
    <w:rsid w:val="009117BE"/>
    <w:rsid w:val="009119A5"/>
    <w:rsid w:val="00911F9C"/>
    <w:rsid w:val="0091205B"/>
    <w:rsid w:val="009129AD"/>
    <w:rsid w:val="00912E07"/>
    <w:rsid w:val="00912FF0"/>
    <w:rsid w:val="00913273"/>
    <w:rsid w:val="009135D6"/>
    <w:rsid w:val="00914172"/>
    <w:rsid w:val="00914244"/>
    <w:rsid w:val="00914256"/>
    <w:rsid w:val="00914271"/>
    <w:rsid w:val="00914C72"/>
    <w:rsid w:val="00914C77"/>
    <w:rsid w:val="009159B3"/>
    <w:rsid w:val="00916136"/>
    <w:rsid w:val="00916324"/>
    <w:rsid w:val="009164AA"/>
    <w:rsid w:val="00916861"/>
    <w:rsid w:val="00916EB6"/>
    <w:rsid w:val="00917132"/>
    <w:rsid w:val="009173C3"/>
    <w:rsid w:val="0091740B"/>
    <w:rsid w:val="00917775"/>
    <w:rsid w:val="009202D0"/>
    <w:rsid w:val="00920B9C"/>
    <w:rsid w:val="00920C02"/>
    <w:rsid w:val="00920E7E"/>
    <w:rsid w:val="00920EDF"/>
    <w:rsid w:val="009212CC"/>
    <w:rsid w:val="0092133B"/>
    <w:rsid w:val="009218DF"/>
    <w:rsid w:val="00921ACB"/>
    <w:rsid w:val="00921D62"/>
    <w:rsid w:val="009220B1"/>
    <w:rsid w:val="009221A2"/>
    <w:rsid w:val="00922731"/>
    <w:rsid w:val="00922E6D"/>
    <w:rsid w:val="0092369B"/>
    <w:rsid w:val="00924512"/>
    <w:rsid w:val="009247C4"/>
    <w:rsid w:val="00924958"/>
    <w:rsid w:val="00924A3A"/>
    <w:rsid w:val="00924CDD"/>
    <w:rsid w:val="009255B2"/>
    <w:rsid w:val="00925DF6"/>
    <w:rsid w:val="00926033"/>
    <w:rsid w:val="0092607A"/>
    <w:rsid w:val="009270E2"/>
    <w:rsid w:val="009270FA"/>
    <w:rsid w:val="00927665"/>
    <w:rsid w:val="00927AAA"/>
    <w:rsid w:val="0093011D"/>
    <w:rsid w:val="00930ADD"/>
    <w:rsid w:val="00931EEC"/>
    <w:rsid w:val="0093254F"/>
    <w:rsid w:val="009329CA"/>
    <w:rsid w:val="00932AE7"/>
    <w:rsid w:val="00933961"/>
    <w:rsid w:val="009341A6"/>
    <w:rsid w:val="00934211"/>
    <w:rsid w:val="00934549"/>
    <w:rsid w:val="00934988"/>
    <w:rsid w:val="00934A0E"/>
    <w:rsid w:val="00934B6C"/>
    <w:rsid w:val="00934B85"/>
    <w:rsid w:val="00935219"/>
    <w:rsid w:val="00935591"/>
    <w:rsid w:val="0093571C"/>
    <w:rsid w:val="00935911"/>
    <w:rsid w:val="00935948"/>
    <w:rsid w:val="00937089"/>
    <w:rsid w:val="00937351"/>
    <w:rsid w:val="009375BF"/>
    <w:rsid w:val="00937641"/>
    <w:rsid w:val="00937968"/>
    <w:rsid w:val="00937AFD"/>
    <w:rsid w:val="00937BAF"/>
    <w:rsid w:val="00940247"/>
    <w:rsid w:val="009405F6"/>
    <w:rsid w:val="00940667"/>
    <w:rsid w:val="009409DC"/>
    <w:rsid w:val="00940DFF"/>
    <w:rsid w:val="00941080"/>
    <w:rsid w:val="0094114B"/>
    <w:rsid w:val="0094174D"/>
    <w:rsid w:val="00942514"/>
    <w:rsid w:val="00942DE1"/>
    <w:rsid w:val="0094303C"/>
    <w:rsid w:val="00943F97"/>
    <w:rsid w:val="009440A0"/>
    <w:rsid w:val="0094493B"/>
    <w:rsid w:val="00944F26"/>
    <w:rsid w:val="00944F8A"/>
    <w:rsid w:val="009452DC"/>
    <w:rsid w:val="0094585E"/>
    <w:rsid w:val="00945900"/>
    <w:rsid w:val="00945F08"/>
    <w:rsid w:val="00945F24"/>
    <w:rsid w:val="0094600D"/>
    <w:rsid w:val="009460B3"/>
    <w:rsid w:val="0094677A"/>
    <w:rsid w:val="00946816"/>
    <w:rsid w:val="00946A1F"/>
    <w:rsid w:val="00946BA4"/>
    <w:rsid w:val="00947243"/>
    <w:rsid w:val="00947267"/>
    <w:rsid w:val="0094757D"/>
    <w:rsid w:val="00947626"/>
    <w:rsid w:val="009477EC"/>
    <w:rsid w:val="00947937"/>
    <w:rsid w:val="00947A5A"/>
    <w:rsid w:val="00947B16"/>
    <w:rsid w:val="00947EFF"/>
    <w:rsid w:val="0095042A"/>
    <w:rsid w:val="00950766"/>
    <w:rsid w:val="009510A2"/>
    <w:rsid w:val="00951973"/>
    <w:rsid w:val="00951BA3"/>
    <w:rsid w:val="00951BC0"/>
    <w:rsid w:val="00951E4D"/>
    <w:rsid w:val="009529CA"/>
    <w:rsid w:val="00953257"/>
    <w:rsid w:val="00953DF1"/>
    <w:rsid w:val="00953FE8"/>
    <w:rsid w:val="009541AC"/>
    <w:rsid w:val="0095474C"/>
    <w:rsid w:val="009548D1"/>
    <w:rsid w:val="00954980"/>
    <w:rsid w:val="009549FE"/>
    <w:rsid w:val="00954BC9"/>
    <w:rsid w:val="00954EBF"/>
    <w:rsid w:val="0095519A"/>
    <w:rsid w:val="00955285"/>
    <w:rsid w:val="0095583B"/>
    <w:rsid w:val="00955F30"/>
    <w:rsid w:val="00956283"/>
    <w:rsid w:val="00956496"/>
    <w:rsid w:val="00956AB7"/>
    <w:rsid w:val="00956BFF"/>
    <w:rsid w:val="00957490"/>
    <w:rsid w:val="00957497"/>
    <w:rsid w:val="009578C1"/>
    <w:rsid w:val="00957BF4"/>
    <w:rsid w:val="00957D92"/>
    <w:rsid w:val="00957FAE"/>
    <w:rsid w:val="00960322"/>
    <w:rsid w:val="00960B03"/>
    <w:rsid w:val="00961959"/>
    <w:rsid w:val="00961AE3"/>
    <w:rsid w:val="00962594"/>
    <w:rsid w:val="00962B00"/>
    <w:rsid w:val="00962CB9"/>
    <w:rsid w:val="00962E77"/>
    <w:rsid w:val="00963274"/>
    <w:rsid w:val="009637F3"/>
    <w:rsid w:val="00964312"/>
    <w:rsid w:val="00964B70"/>
    <w:rsid w:val="00964CF8"/>
    <w:rsid w:val="00965ADF"/>
    <w:rsid w:val="00965B8A"/>
    <w:rsid w:val="00965BF2"/>
    <w:rsid w:val="00965FB3"/>
    <w:rsid w:val="0096623F"/>
    <w:rsid w:val="009671F1"/>
    <w:rsid w:val="0096740A"/>
    <w:rsid w:val="009674C2"/>
    <w:rsid w:val="00967F65"/>
    <w:rsid w:val="009704B8"/>
    <w:rsid w:val="00970627"/>
    <w:rsid w:val="009706CC"/>
    <w:rsid w:val="0097071F"/>
    <w:rsid w:val="0097178D"/>
    <w:rsid w:val="009717AC"/>
    <w:rsid w:val="009718E4"/>
    <w:rsid w:val="0097273A"/>
    <w:rsid w:val="00973627"/>
    <w:rsid w:val="00973CAC"/>
    <w:rsid w:val="0097403E"/>
    <w:rsid w:val="0097423A"/>
    <w:rsid w:val="009743A8"/>
    <w:rsid w:val="009751C1"/>
    <w:rsid w:val="0097557F"/>
    <w:rsid w:val="0097583F"/>
    <w:rsid w:val="00975BAF"/>
    <w:rsid w:val="00975EBB"/>
    <w:rsid w:val="009768DB"/>
    <w:rsid w:val="00976A82"/>
    <w:rsid w:val="00976F98"/>
    <w:rsid w:val="00977180"/>
    <w:rsid w:val="00977448"/>
    <w:rsid w:val="00977B6A"/>
    <w:rsid w:val="00977BAF"/>
    <w:rsid w:val="00980140"/>
    <w:rsid w:val="009805B5"/>
    <w:rsid w:val="0098061E"/>
    <w:rsid w:val="0098063B"/>
    <w:rsid w:val="009806EA"/>
    <w:rsid w:val="00980BCD"/>
    <w:rsid w:val="00980E77"/>
    <w:rsid w:val="009811F1"/>
    <w:rsid w:val="00981AE8"/>
    <w:rsid w:val="00981D42"/>
    <w:rsid w:val="0098219F"/>
    <w:rsid w:val="009827DF"/>
    <w:rsid w:val="00982F2D"/>
    <w:rsid w:val="0098315B"/>
    <w:rsid w:val="00983A17"/>
    <w:rsid w:val="00983E57"/>
    <w:rsid w:val="00983FB7"/>
    <w:rsid w:val="00984EDA"/>
    <w:rsid w:val="00985170"/>
    <w:rsid w:val="0098521E"/>
    <w:rsid w:val="00985493"/>
    <w:rsid w:val="0098562E"/>
    <w:rsid w:val="00985688"/>
    <w:rsid w:val="00985B5E"/>
    <w:rsid w:val="00985DE2"/>
    <w:rsid w:val="009863FB"/>
    <w:rsid w:val="0098675D"/>
    <w:rsid w:val="00987821"/>
    <w:rsid w:val="00987BA4"/>
    <w:rsid w:val="00990D18"/>
    <w:rsid w:val="00990F0D"/>
    <w:rsid w:val="00991118"/>
    <w:rsid w:val="009911FA"/>
    <w:rsid w:val="00991223"/>
    <w:rsid w:val="0099158A"/>
    <w:rsid w:val="0099158E"/>
    <w:rsid w:val="00991660"/>
    <w:rsid w:val="00991B9D"/>
    <w:rsid w:val="00991E24"/>
    <w:rsid w:val="00992336"/>
    <w:rsid w:val="009924E5"/>
    <w:rsid w:val="009926E0"/>
    <w:rsid w:val="00992874"/>
    <w:rsid w:val="00992DE4"/>
    <w:rsid w:val="00992F75"/>
    <w:rsid w:val="00993453"/>
    <w:rsid w:val="009936C5"/>
    <w:rsid w:val="00993D9E"/>
    <w:rsid w:val="00994201"/>
    <w:rsid w:val="0099451E"/>
    <w:rsid w:val="00995113"/>
    <w:rsid w:val="009951E6"/>
    <w:rsid w:val="00995472"/>
    <w:rsid w:val="009956C0"/>
    <w:rsid w:val="009959A9"/>
    <w:rsid w:val="00995B11"/>
    <w:rsid w:val="00995DC8"/>
    <w:rsid w:val="00995E18"/>
    <w:rsid w:val="00996052"/>
    <w:rsid w:val="0099654D"/>
    <w:rsid w:val="009967E3"/>
    <w:rsid w:val="009969AD"/>
    <w:rsid w:val="00996B1A"/>
    <w:rsid w:val="00996C37"/>
    <w:rsid w:val="00996DFA"/>
    <w:rsid w:val="00996E29"/>
    <w:rsid w:val="00996EAA"/>
    <w:rsid w:val="0099733D"/>
    <w:rsid w:val="00997553"/>
    <w:rsid w:val="00997C1B"/>
    <w:rsid w:val="00997DE2"/>
    <w:rsid w:val="009A0B0D"/>
    <w:rsid w:val="009A1201"/>
    <w:rsid w:val="009A146B"/>
    <w:rsid w:val="009A1535"/>
    <w:rsid w:val="009A18F6"/>
    <w:rsid w:val="009A2058"/>
    <w:rsid w:val="009A23B6"/>
    <w:rsid w:val="009A2810"/>
    <w:rsid w:val="009A2DCC"/>
    <w:rsid w:val="009A33AD"/>
    <w:rsid w:val="009A33DF"/>
    <w:rsid w:val="009A420E"/>
    <w:rsid w:val="009A42AB"/>
    <w:rsid w:val="009A43D7"/>
    <w:rsid w:val="009A4477"/>
    <w:rsid w:val="009A4852"/>
    <w:rsid w:val="009A4B66"/>
    <w:rsid w:val="009A4FCB"/>
    <w:rsid w:val="009A5A33"/>
    <w:rsid w:val="009A5ABC"/>
    <w:rsid w:val="009A5B16"/>
    <w:rsid w:val="009A650C"/>
    <w:rsid w:val="009A713F"/>
    <w:rsid w:val="009A718E"/>
    <w:rsid w:val="009A7316"/>
    <w:rsid w:val="009A73C4"/>
    <w:rsid w:val="009A77E0"/>
    <w:rsid w:val="009A7EB3"/>
    <w:rsid w:val="009A7F10"/>
    <w:rsid w:val="009A7FB0"/>
    <w:rsid w:val="009B0151"/>
    <w:rsid w:val="009B02FE"/>
    <w:rsid w:val="009B18AD"/>
    <w:rsid w:val="009B18FD"/>
    <w:rsid w:val="009B247F"/>
    <w:rsid w:val="009B249E"/>
    <w:rsid w:val="009B2CC4"/>
    <w:rsid w:val="009B30DC"/>
    <w:rsid w:val="009B3685"/>
    <w:rsid w:val="009B39A8"/>
    <w:rsid w:val="009B3DDC"/>
    <w:rsid w:val="009B3E26"/>
    <w:rsid w:val="009B3E95"/>
    <w:rsid w:val="009B45A7"/>
    <w:rsid w:val="009B494A"/>
    <w:rsid w:val="009B6037"/>
    <w:rsid w:val="009B6400"/>
    <w:rsid w:val="009B682D"/>
    <w:rsid w:val="009B6A2C"/>
    <w:rsid w:val="009B708A"/>
    <w:rsid w:val="009B753D"/>
    <w:rsid w:val="009B7BFF"/>
    <w:rsid w:val="009B7DE9"/>
    <w:rsid w:val="009B7ECB"/>
    <w:rsid w:val="009C0105"/>
    <w:rsid w:val="009C0563"/>
    <w:rsid w:val="009C1271"/>
    <w:rsid w:val="009C1595"/>
    <w:rsid w:val="009C16E7"/>
    <w:rsid w:val="009C1796"/>
    <w:rsid w:val="009C1E62"/>
    <w:rsid w:val="009C1EDD"/>
    <w:rsid w:val="009C2142"/>
    <w:rsid w:val="009C25E4"/>
    <w:rsid w:val="009C2B01"/>
    <w:rsid w:val="009C2D4D"/>
    <w:rsid w:val="009C33D2"/>
    <w:rsid w:val="009C3706"/>
    <w:rsid w:val="009C3936"/>
    <w:rsid w:val="009C3A3A"/>
    <w:rsid w:val="009C3C98"/>
    <w:rsid w:val="009C3DD7"/>
    <w:rsid w:val="009C467A"/>
    <w:rsid w:val="009C4DFB"/>
    <w:rsid w:val="009C4F96"/>
    <w:rsid w:val="009C5594"/>
    <w:rsid w:val="009C57ED"/>
    <w:rsid w:val="009C5B53"/>
    <w:rsid w:val="009C608E"/>
    <w:rsid w:val="009C666D"/>
    <w:rsid w:val="009C6CEA"/>
    <w:rsid w:val="009C7672"/>
    <w:rsid w:val="009C7782"/>
    <w:rsid w:val="009C782E"/>
    <w:rsid w:val="009C7B85"/>
    <w:rsid w:val="009C7EFD"/>
    <w:rsid w:val="009C7F21"/>
    <w:rsid w:val="009D0254"/>
    <w:rsid w:val="009D03D7"/>
    <w:rsid w:val="009D06D4"/>
    <w:rsid w:val="009D0736"/>
    <w:rsid w:val="009D173A"/>
    <w:rsid w:val="009D17DD"/>
    <w:rsid w:val="009D1A64"/>
    <w:rsid w:val="009D1BB6"/>
    <w:rsid w:val="009D1C61"/>
    <w:rsid w:val="009D223A"/>
    <w:rsid w:val="009D23E3"/>
    <w:rsid w:val="009D2694"/>
    <w:rsid w:val="009D2A3B"/>
    <w:rsid w:val="009D3BD9"/>
    <w:rsid w:val="009D3D32"/>
    <w:rsid w:val="009D49D5"/>
    <w:rsid w:val="009D4D07"/>
    <w:rsid w:val="009D4FC8"/>
    <w:rsid w:val="009D548D"/>
    <w:rsid w:val="009D5683"/>
    <w:rsid w:val="009D57E7"/>
    <w:rsid w:val="009D5B91"/>
    <w:rsid w:val="009D6609"/>
    <w:rsid w:val="009D6675"/>
    <w:rsid w:val="009D675A"/>
    <w:rsid w:val="009D68CC"/>
    <w:rsid w:val="009D6B5A"/>
    <w:rsid w:val="009D6E2E"/>
    <w:rsid w:val="009D7588"/>
    <w:rsid w:val="009D792E"/>
    <w:rsid w:val="009D7B38"/>
    <w:rsid w:val="009E00DE"/>
    <w:rsid w:val="009E024D"/>
    <w:rsid w:val="009E0859"/>
    <w:rsid w:val="009E0DFE"/>
    <w:rsid w:val="009E105E"/>
    <w:rsid w:val="009E12A1"/>
    <w:rsid w:val="009E1449"/>
    <w:rsid w:val="009E20C0"/>
    <w:rsid w:val="009E21E7"/>
    <w:rsid w:val="009E2532"/>
    <w:rsid w:val="009E3198"/>
    <w:rsid w:val="009E31F6"/>
    <w:rsid w:val="009E3796"/>
    <w:rsid w:val="009E3D13"/>
    <w:rsid w:val="009E433D"/>
    <w:rsid w:val="009E465E"/>
    <w:rsid w:val="009E46B7"/>
    <w:rsid w:val="009E498B"/>
    <w:rsid w:val="009E4A39"/>
    <w:rsid w:val="009E4C07"/>
    <w:rsid w:val="009E5111"/>
    <w:rsid w:val="009E5165"/>
    <w:rsid w:val="009E5223"/>
    <w:rsid w:val="009E5404"/>
    <w:rsid w:val="009E548D"/>
    <w:rsid w:val="009E553A"/>
    <w:rsid w:val="009E55C8"/>
    <w:rsid w:val="009E59BB"/>
    <w:rsid w:val="009E616E"/>
    <w:rsid w:val="009E6227"/>
    <w:rsid w:val="009E6366"/>
    <w:rsid w:val="009E64BF"/>
    <w:rsid w:val="009E664B"/>
    <w:rsid w:val="009E6F69"/>
    <w:rsid w:val="009E7591"/>
    <w:rsid w:val="009E777F"/>
    <w:rsid w:val="009E7850"/>
    <w:rsid w:val="009E79B4"/>
    <w:rsid w:val="009E79BE"/>
    <w:rsid w:val="009E7C03"/>
    <w:rsid w:val="009F0348"/>
    <w:rsid w:val="009F0CB4"/>
    <w:rsid w:val="009F1314"/>
    <w:rsid w:val="009F1A79"/>
    <w:rsid w:val="009F1B33"/>
    <w:rsid w:val="009F1C3B"/>
    <w:rsid w:val="009F234F"/>
    <w:rsid w:val="009F2E7A"/>
    <w:rsid w:val="009F301F"/>
    <w:rsid w:val="009F3591"/>
    <w:rsid w:val="009F373F"/>
    <w:rsid w:val="009F3776"/>
    <w:rsid w:val="009F395D"/>
    <w:rsid w:val="009F3B9D"/>
    <w:rsid w:val="009F5545"/>
    <w:rsid w:val="009F573E"/>
    <w:rsid w:val="009F596F"/>
    <w:rsid w:val="009F599A"/>
    <w:rsid w:val="009F5BAF"/>
    <w:rsid w:val="009F6120"/>
    <w:rsid w:val="009F64D6"/>
    <w:rsid w:val="009F64FD"/>
    <w:rsid w:val="009F69EA"/>
    <w:rsid w:val="009F6CCC"/>
    <w:rsid w:val="009F71C8"/>
    <w:rsid w:val="009F73C8"/>
    <w:rsid w:val="009F7430"/>
    <w:rsid w:val="009F78C3"/>
    <w:rsid w:val="009F78F8"/>
    <w:rsid w:val="009F7CDF"/>
    <w:rsid w:val="00A00AF4"/>
    <w:rsid w:val="00A00CD5"/>
    <w:rsid w:val="00A00D76"/>
    <w:rsid w:val="00A00F67"/>
    <w:rsid w:val="00A01184"/>
    <w:rsid w:val="00A0131A"/>
    <w:rsid w:val="00A01449"/>
    <w:rsid w:val="00A01A3E"/>
    <w:rsid w:val="00A01A5C"/>
    <w:rsid w:val="00A01D66"/>
    <w:rsid w:val="00A01D8E"/>
    <w:rsid w:val="00A02312"/>
    <w:rsid w:val="00A02503"/>
    <w:rsid w:val="00A02526"/>
    <w:rsid w:val="00A02608"/>
    <w:rsid w:val="00A028C3"/>
    <w:rsid w:val="00A0298D"/>
    <w:rsid w:val="00A02B46"/>
    <w:rsid w:val="00A030A7"/>
    <w:rsid w:val="00A037C2"/>
    <w:rsid w:val="00A0391D"/>
    <w:rsid w:val="00A039E6"/>
    <w:rsid w:val="00A03D43"/>
    <w:rsid w:val="00A04229"/>
    <w:rsid w:val="00A04380"/>
    <w:rsid w:val="00A04786"/>
    <w:rsid w:val="00A04C1B"/>
    <w:rsid w:val="00A04D39"/>
    <w:rsid w:val="00A05050"/>
    <w:rsid w:val="00A051A1"/>
    <w:rsid w:val="00A05472"/>
    <w:rsid w:val="00A05498"/>
    <w:rsid w:val="00A05ABB"/>
    <w:rsid w:val="00A05C32"/>
    <w:rsid w:val="00A06429"/>
    <w:rsid w:val="00A0653F"/>
    <w:rsid w:val="00A0682E"/>
    <w:rsid w:val="00A06992"/>
    <w:rsid w:val="00A06D32"/>
    <w:rsid w:val="00A06FC8"/>
    <w:rsid w:val="00A06FCC"/>
    <w:rsid w:val="00A074C4"/>
    <w:rsid w:val="00A07796"/>
    <w:rsid w:val="00A077D3"/>
    <w:rsid w:val="00A07F9B"/>
    <w:rsid w:val="00A10674"/>
    <w:rsid w:val="00A10977"/>
    <w:rsid w:val="00A11043"/>
    <w:rsid w:val="00A11A95"/>
    <w:rsid w:val="00A11C00"/>
    <w:rsid w:val="00A11C88"/>
    <w:rsid w:val="00A11C9C"/>
    <w:rsid w:val="00A11CD0"/>
    <w:rsid w:val="00A12A36"/>
    <w:rsid w:val="00A12B93"/>
    <w:rsid w:val="00A12BC0"/>
    <w:rsid w:val="00A12C46"/>
    <w:rsid w:val="00A1339B"/>
    <w:rsid w:val="00A13948"/>
    <w:rsid w:val="00A139E9"/>
    <w:rsid w:val="00A13B3A"/>
    <w:rsid w:val="00A13BE2"/>
    <w:rsid w:val="00A13FEA"/>
    <w:rsid w:val="00A14948"/>
    <w:rsid w:val="00A14B74"/>
    <w:rsid w:val="00A1555B"/>
    <w:rsid w:val="00A155C5"/>
    <w:rsid w:val="00A15D3C"/>
    <w:rsid w:val="00A16AD8"/>
    <w:rsid w:val="00A16B98"/>
    <w:rsid w:val="00A175E5"/>
    <w:rsid w:val="00A17DE0"/>
    <w:rsid w:val="00A17E77"/>
    <w:rsid w:val="00A2021E"/>
    <w:rsid w:val="00A20731"/>
    <w:rsid w:val="00A20804"/>
    <w:rsid w:val="00A20A46"/>
    <w:rsid w:val="00A20D7C"/>
    <w:rsid w:val="00A20E50"/>
    <w:rsid w:val="00A214B8"/>
    <w:rsid w:val="00A21C95"/>
    <w:rsid w:val="00A21CF3"/>
    <w:rsid w:val="00A21E57"/>
    <w:rsid w:val="00A21FD6"/>
    <w:rsid w:val="00A22303"/>
    <w:rsid w:val="00A2240F"/>
    <w:rsid w:val="00A22514"/>
    <w:rsid w:val="00A22BEC"/>
    <w:rsid w:val="00A22C4F"/>
    <w:rsid w:val="00A235EF"/>
    <w:rsid w:val="00A236A2"/>
    <w:rsid w:val="00A23C34"/>
    <w:rsid w:val="00A23E8B"/>
    <w:rsid w:val="00A24210"/>
    <w:rsid w:val="00A24299"/>
    <w:rsid w:val="00A243A9"/>
    <w:rsid w:val="00A24446"/>
    <w:rsid w:val="00A24629"/>
    <w:rsid w:val="00A24813"/>
    <w:rsid w:val="00A24D3F"/>
    <w:rsid w:val="00A24FEB"/>
    <w:rsid w:val="00A254D4"/>
    <w:rsid w:val="00A25FD4"/>
    <w:rsid w:val="00A267D0"/>
    <w:rsid w:val="00A26C42"/>
    <w:rsid w:val="00A27133"/>
    <w:rsid w:val="00A27302"/>
    <w:rsid w:val="00A27349"/>
    <w:rsid w:val="00A27AEC"/>
    <w:rsid w:val="00A27CF5"/>
    <w:rsid w:val="00A3012E"/>
    <w:rsid w:val="00A3063E"/>
    <w:rsid w:val="00A30C84"/>
    <w:rsid w:val="00A319B5"/>
    <w:rsid w:val="00A320DB"/>
    <w:rsid w:val="00A324D6"/>
    <w:rsid w:val="00A33421"/>
    <w:rsid w:val="00A33B52"/>
    <w:rsid w:val="00A33F61"/>
    <w:rsid w:val="00A34290"/>
    <w:rsid w:val="00A3430E"/>
    <w:rsid w:val="00A34AEC"/>
    <w:rsid w:val="00A35045"/>
    <w:rsid w:val="00A35542"/>
    <w:rsid w:val="00A35D16"/>
    <w:rsid w:val="00A35EC5"/>
    <w:rsid w:val="00A361E0"/>
    <w:rsid w:val="00A366FB"/>
    <w:rsid w:val="00A368FC"/>
    <w:rsid w:val="00A37166"/>
    <w:rsid w:val="00A3751E"/>
    <w:rsid w:val="00A377F1"/>
    <w:rsid w:val="00A37A0E"/>
    <w:rsid w:val="00A37BBA"/>
    <w:rsid w:val="00A37BCD"/>
    <w:rsid w:val="00A37CE0"/>
    <w:rsid w:val="00A402AF"/>
    <w:rsid w:val="00A402B6"/>
    <w:rsid w:val="00A403E8"/>
    <w:rsid w:val="00A405AA"/>
    <w:rsid w:val="00A40B01"/>
    <w:rsid w:val="00A40CB8"/>
    <w:rsid w:val="00A40DF4"/>
    <w:rsid w:val="00A40ED6"/>
    <w:rsid w:val="00A4126E"/>
    <w:rsid w:val="00A41276"/>
    <w:rsid w:val="00A41689"/>
    <w:rsid w:val="00A41791"/>
    <w:rsid w:val="00A41DF3"/>
    <w:rsid w:val="00A42592"/>
    <w:rsid w:val="00A42A47"/>
    <w:rsid w:val="00A42FF3"/>
    <w:rsid w:val="00A434DF"/>
    <w:rsid w:val="00A435ED"/>
    <w:rsid w:val="00A439C4"/>
    <w:rsid w:val="00A43C59"/>
    <w:rsid w:val="00A440AF"/>
    <w:rsid w:val="00A441D9"/>
    <w:rsid w:val="00A44F1C"/>
    <w:rsid w:val="00A44F6F"/>
    <w:rsid w:val="00A451D2"/>
    <w:rsid w:val="00A45815"/>
    <w:rsid w:val="00A45B5D"/>
    <w:rsid w:val="00A45D1C"/>
    <w:rsid w:val="00A4644F"/>
    <w:rsid w:val="00A46CC2"/>
    <w:rsid w:val="00A47158"/>
    <w:rsid w:val="00A47256"/>
    <w:rsid w:val="00A478F5"/>
    <w:rsid w:val="00A47C55"/>
    <w:rsid w:val="00A47E20"/>
    <w:rsid w:val="00A50000"/>
    <w:rsid w:val="00A50060"/>
    <w:rsid w:val="00A50302"/>
    <w:rsid w:val="00A505F4"/>
    <w:rsid w:val="00A5064B"/>
    <w:rsid w:val="00A50ECD"/>
    <w:rsid w:val="00A5134D"/>
    <w:rsid w:val="00A513A3"/>
    <w:rsid w:val="00A514DE"/>
    <w:rsid w:val="00A514E4"/>
    <w:rsid w:val="00A518BD"/>
    <w:rsid w:val="00A518F3"/>
    <w:rsid w:val="00A51E06"/>
    <w:rsid w:val="00A52131"/>
    <w:rsid w:val="00A52377"/>
    <w:rsid w:val="00A52729"/>
    <w:rsid w:val="00A5298A"/>
    <w:rsid w:val="00A52A1B"/>
    <w:rsid w:val="00A53480"/>
    <w:rsid w:val="00A53675"/>
    <w:rsid w:val="00A538C0"/>
    <w:rsid w:val="00A5398A"/>
    <w:rsid w:val="00A54255"/>
    <w:rsid w:val="00A542DA"/>
    <w:rsid w:val="00A542E1"/>
    <w:rsid w:val="00A54655"/>
    <w:rsid w:val="00A55254"/>
    <w:rsid w:val="00A55742"/>
    <w:rsid w:val="00A558E9"/>
    <w:rsid w:val="00A55B9F"/>
    <w:rsid w:val="00A55DC8"/>
    <w:rsid w:val="00A55F4D"/>
    <w:rsid w:val="00A564D7"/>
    <w:rsid w:val="00A5653B"/>
    <w:rsid w:val="00A56B6A"/>
    <w:rsid w:val="00A570C8"/>
    <w:rsid w:val="00A571E2"/>
    <w:rsid w:val="00A575F0"/>
    <w:rsid w:val="00A578DC"/>
    <w:rsid w:val="00A57C9B"/>
    <w:rsid w:val="00A57F44"/>
    <w:rsid w:val="00A604C3"/>
    <w:rsid w:val="00A60A3C"/>
    <w:rsid w:val="00A60DE8"/>
    <w:rsid w:val="00A61189"/>
    <w:rsid w:val="00A6128B"/>
    <w:rsid w:val="00A61920"/>
    <w:rsid w:val="00A61AC2"/>
    <w:rsid w:val="00A61D57"/>
    <w:rsid w:val="00A620CD"/>
    <w:rsid w:val="00A6257F"/>
    <w:rsid w:val="00A62838"/>
    <w:rsid w:val="00A62B51"/>
    <w:rsid w:val="00A633C1"/>
    <w:rsid w:val="00A633EF"/>
    <w:rsid w:val="00A6345C"/>
    <w:rsid w:val="00A63698"/>
    <w:rsid w:val="00A63ABB"/>
    <w:rsid w:val="00A63CC7"/>
    <w:rsid w:val="00A640E2"/>
    <w:rsid w:val="00A6414E"/>
    <w:rsid w:val="00A641EC"/>
    <w:rsid w:val="00A64328"/>
    <w:rsid w:val="00A646C1"/>
    <w:rsid w:val="00A64D65"/>
    <w:rsid w:val="00A65C09"/>
    <w:rsid w:val="00A65EE5"/>
    <w:rsid w:val="00A66066"/>
    <w:rsid w:val="00A6725B"/>
    <w:rsid w:val="00A67BFE"/>
    <w:rsid w:val="00A67E27"/>
    <w:rsid w:val="00A70605"/>
    <w:rsid w:val="00A70641"/>
    <w:rsid w:val="00A7158B"/>
    <w:rsid w:val="00A71674"/>
    <w:rsid w:val="00A719F5"/>
    <w:rsid w:val="00A71D7E"/>
    <w:rsid w:val="00A71E07"/>
    <w:rsid w:val="00A72555"/>
    <w:rsid w:val="00A73134"/>
    <w:rsid w:val="00A7338D"/>
    <w:rsid w:val="00A7365A"/>
    <w:rsid w:val="00A7390A"/>
    <w:rsid w:val="00A741E6"/>
    <w:rsid w:val="00A747A6"/>
    <w:rsid w:val="00A74DB6"/>
    <w:rsid w:val="00A756D6"/>
    <w:rsid w:val="00A75ABE"/>
    <w:rsid w:val="00A75F2C"/>
    <w:rsid w:val="00A76001"/>
    <w:rsid w:val="00A7621C"/>
    <w:rsid w:val="00A76511"/>
    <w:rsid w:val="00A77106"/>
    <w:rsid w:val="00A772CA"/>
    <w:rsid w:val="00A77534"/>
    <w:rsid w:val="00A776EA"/>
    <w:rsid w:val="00A777B2"/>
    <w:rsid w:val="00A77F80"/>
    <w:rsid w:val="00A77F84"/>
    <w:rsid w:val="00A80597"/>
    <w:rsid w:val="00A81840"/>
    <w:rsid w:val="00A81F0D"/>
    <w:rsid w:val="00A821AE"/>
    <w:rsid w:val="00A825D4"/>
    <w:rsid w:val="00A825D7"/>
    <w:rsid w:val="00A8283D"/>
    <w:rsid w:val="00A828F6"/>
    <w:rsid w:val="00A82B73"/>
    <w:rsid w:val="00A82E42"/>
    <w:rsid w:val="00A831B7"/>
    <w:rsid w:val="00A835F4"/>
    <w:rsid w:val="00A83B1B"/>
    <w:rsid w:val="00A844A3"/>
    <w:rsid w:val="00A84701"/>
    <w:rsid w:val="00A84D74"/>
    <w:rsid w:val="00A850CB"/>
    <w:rsid w:val="00A85134"/>
    <w:rsid w:val="00A853F7"/>
    <w:rsid w:val="00A8550D"/>
    <w:rsid w:val="00A85EFD"/>
    <w:rsid w:val="00A85FDC"/>
    <w:rsid w:val="00A86413"/>
    <w:rsid w:val="00A86857"/>
    <w:rsid w:val="00A86928"/>
    <w:rsid w:val="00A86D39"/>
    <w:rsid w:val="00A86E8B"/>
    <w:rsid w:val="00A86EAA"/>
    <w:rsid w:val="00A86EAE"/>
    <w:rsid w:val="00A86F70"/>
    <w:rsid w:val="00A87164"/>
    <w:rsid w:val="00A871A9"/>
    <w:rsid w:val="00A87DCC"/>
    <w:rsid w:val="00A900E6"/>
    <w:rsid w:val="00A90114"/>
    <w:rsid w:val="00A90D6A"/>
    <w:rsid w:val="00A90E48"/>
    <w:rsid w:val="00A91482"/>
    <w:rsid w:val="00A91EDE"/>
    <w:rsid w:val="00A9251F"/>
    <w:rsid w:val="00A92FD9"/>
    <w:rsid w:val="00A93059"/>
    <w:rsid w:val="00A93072"/>
    <w:rsid w:val="00A9335D"/>
    <w:rsid w:val="00A938BD"/>
    <w:rsid w:val="00A93953"/>
    <w:rsid w:val="00A94908"/>
    <w:rsid w:val="00A94B2D"/>
    <w:rsid w:val="00A94F5F"/>
    <w:rsid w:val="00A951FE"/>
    <w:rsid w:val="00A954D2"/>
    <w:rsid w:val="00A959D8"/>
    <w:rsid w:val="00A95E7C"/>
    <w:rsid w:val="00A95F3A"/>
    <w:rsid w:val="00A95FB5"/>
    <w:rsid w:val="00A965A3"/>
    <w:rsid w:val="00A968D2"/>
    <w:rsid w:val="00A96EB2"/>
    <w:rsid w:val="00A96EC7"/>
    <w:rsid w:val="00A97352"/>
    <w:rsid w:val="00A977A5"/>
    <w:rsid w:val="00AA0226"/>
    <w:rsid w:val="00AA098C"/>
    <w:rsid w:val="00AA0B3B"/>
    <w:rsid w:val="00AA0BB9"/>
    <w:rsid w:val="00AA0D91"/>
    <w:rsid w:val="00AA113D"/>
    <w:rsid w:val="00AA1225"/>
    <w:rsid w:val="00AA1EEE"/>
    <w:rsid w:val="00AA232A"/>
    <w:rsid w:val="00AA26A9"/>
    <w:rsid w:val="00AA2A11"/>
    <w:rsid w:val="00AA321B"/>
    <w:rsid w:val="00AA3B0C"/>
    <w:rsid w:val="00AA3C3C"/>
    <w:rsid w:val="00AA3DC1"/>
    <w:rsid w:val="00AA471B"/>
    <w:rsid w:val="00AA5086"/>
    <w:rsid w:val="00AA52BC"/>
    <w:rsid w:val="00AA57C6"/>
    <w:rsid w:val="00AA5C14"/>
    <w:rsid w:val="00AA5C5B"/>
    <w:rsid w:val="00AA63C4"/>
    <w:rsid w:val="00AA6BD5"/>
    <w:rsid w:val="00AA6BD8"/>
    <w:rsid w:val="00AA6C7D"/>
    <w:rsid w:val="00AA777A"/>
    <w:rsid w:val="00AA7FD6"/>
    <w:rsid w:val="00AB00B2"/>
    <w:rsid w:val="00AB042A"/>
    <w:rsid w:val="00AB08C8"/>
    <w:rsid w:val="00AB094D"/>
    <w:rsid w:val="00AB11AD"/>
    <w:rsid w:val="00AB19EF"/>
    <w:rsid w:val="00AB1A64"/>
    <w:rsid w:val="00AB1AEC"/>
    <w:rsid w:val="00AB1D58"/>
    <w:rsid w:val="00AB224E"/>
    <w:rsid w:val="00AB225A"/>
    <w:rsid w:val="00AB2495"/>
    <w:rsid w:val="00AB2A22"/>
    <w:rsid w:val="00AB2D34"/>
    <w:rsid w:val="00AB2DF4"/>
    <w:rsid w:val="00AB3215"/>
    <w:rsid w:val="00AB324A"/>
    <w:rsid w:val="00AB3430"/>
    <w:rsid w:val="00AB37B9"/>
    <w:rsid w:val="00AB4003"/>
    <w:rsid w:val="00AB41A6"/>
    <w:rsid w:val="00AB4AD1"/>
    <w:rsid w:val="00AB4EDC"/>
    <w:rsid w:val="00AB5E07"/>
    <w:rsid w:val="00AB5E2C"/>
    <w:rsid w:val="00AB605B"/>
    <w:rsid w:val="00AB6398"/>
    <w:rsid w:val="00AB6AF5"/>
    <w:rsid w:val="00AB6F1A"/>
    <w:rsid w:val="00AB75AC"/>
    <w:rsid w:val="00AB7985"/>
    <w:rsid w:val="00AB7BD3"/>
    <w:rsid w:val="00AB7CFA"/>
    <w:rsid w:val="00AC0233"/>
    <w:rsid w:val="00AC053C"/>
    <w:rsid w:val="00AC0542"/>
    <w:rsid w:val="00AC0636"/>
    <w:rsid w:val="00AC07EF"/>
    <w:rsid w:val="00AC0F86"/>
    <w:rsid w:val="00AC108C"/>
    <w:rsid w:val="00AC11DF"/>
    <w:rsid w:val="00AC13E9"/>
    <w:rsid w:val="00AC1705"/>
    <w:rsid w:val="00AC17EA"/>
    <w:rsid w:val="00AC1A44"/>
    <w:rsid w:val="00AC1EA4"/>
    <w:rsid w:val="00AC2023"/>
    <w:rsid w:val="00AC21EB"/>
    <w:rsid w:val="00AC278E"/>
    <w:rsid w:val="00AC2A73"/>
    <w:rsid w:val="00AC2F4D"/>
    <w:rsid w:val="00AC3101"/>
    <w:rsid w:val="00AC31DC"/>
    <w:rsid w:val="00AC34B6"/>
    <w:rsid w:val="00AC37F5"/>
    <w:rsid w:val="00AC396D"/>
    <w:rsid w:val="00AC3CBA"/>
    <w:rsid w:val="00AC3F6A"/>
    <w:rsid w:val="00AC4872"/>
    <w:rsid w:val="00AC4F7B"/>
    <w:rsid w:val="00AC5B42"/>
    <w:rsid w:val="00AC5B48"/>
    <w:rsid w:val="00AC616D"/>
    <w:rsid w:val="00AC61DC"/>
    <w:rsid w:val="00AC6D04"/>
    <w:rsid w:val="00AC6DC6"/>
    <w:rsid w:val="00AC6DEF"/>
    <w:rsid w:val="00AC6E9C"/>
    <w:rsid w:val="00AC78D9"/>
    <w:rsid w:val="00AC79DA"/>
    <w:rsid w:val="00AC7C52"/>
    <w:rsid w:val="00AD02BE"/>
    <w:rsid w:val="00AD04CB"/>
    <w:rsid w:val="00AD0801"/>
    <w:rsid w:val="00AD0AB2"/>
    <w:rsid w:val="00AD13B6"/>
    <w:rsid w:val="00AD13DC"/>
    <w:rsid w:val="00AD1450"/>
    <w:rsid w:val="00AD15E8"/>
    <w:rsid w:val="00AD1822"/>
    <w:rsid w:val="00AD20F1"/>
    <w:rsid w:val="00AD2104"/>
    <w:rsid w:val="00AD23E4"/>
    <w:rsid w:val="00AD2452"/>
    <w:rsid w:val="00AD2797"/>
    <w:rsid w:val="00AD2D64"/>
    <w:rsid w:val="00AD30F1"/>
    <w:rsid w:val="00AD356D"/>
    <w:rsid w:val="00AD4E12"/>
    <w:rsid w:val="00AD4FE5"/>
    <w:rsid w:val="00AD52C3"/>
    <w:rsid w:val="00AD57D0"/>
    <w:rsid w:val="00AD5AE7"/>
    <w:rsid w:val="00AD63FC"/>
    <w:rsid w:val="00AD6502"/>
    <w:rsid w:val="00AD6566"/>
    <w:rsid w:val="00AD683D"/>
    <w:rsid w:val="00AD6C7F"/>
    <w:rsid w:val="00AD6F0A"/>
    <w:rsid w:val="00AD7967"/>
    <w:rsid w:val="00AD7B96"/>
    <w:rsid w:val="00AD7CFE"/>
    <w:rsid w:val="00AD7DF4"/>
    <w:rsid w:val="00AD7E6C"/>
    <w:rsid w:val="00AE0695"/>
    <w:rsid w:val="00AE08FB"/>
    <w:rsid w:val="00AE0A21"/>
    <w:rsid w:val="00AE11FF"/>
    <w:rsid w:val="00AE1A1D"/>
    <w:rsid w:val="00AE1B9B"/>
    <w:rsid w:val="00AE1D94"/>
    <w:rsid w:val="00AE1F11"/>
    <w:rsid w:val="00AE21E6"/>
    <w:rsid w:val="00AE246D"/>
    <w:rsid w:val="00AE267F"/>
    <w:rsid w:val="00AE2AC7"/>
    <w:rsid w:val="00AE2C88"/>
    <w:rsid w:val="00AE346A"/>
    <w:rsid w:val="00AE3E7E"/>
    <w:rsid w:val="00AE3E9A"/>
    <w:rsid w:val="00AE3F02"/>
    <w:rsid w:val="00AE40F6"/>
    <w:rsid w:val="00AE48A7"/>
    <w:rsid w:val="00AE4B15"/>
    <w:rsid w:val="00AE4C6F"/>
    <w:rsid w:val="00AE4F6D"/>
    <w:rsid w:val="00AE54FB"/>
    <w:rsid w:val="00AE55B0"/>
    <w:rsid w:val="00AE5A69"/>
    <w:rsid w:val="00AE5D77"/>
    <w:rsid w:val="00AE5F70"/>
    <w:rsid w:val="00AE61DE"/>
    <w:rsid w:val="00AE6893"/>
    <w:rsid w:val="00AE73CE"/>
    <w:rsid w:val="00AE756A"/>
    <w:rsid w:val="00AE7A90"/>
    <w:rsid w:val="00AE7E53"/>
    <w:rsid w:val="00AF00F6"/>
    <w:rsid w:val="00AF0214"/>
    <w:rsid w:val="00AF089D"/>
    <w:rsid w:val="00AF0B22"/>
    <w:rsid w:val="00AF0BDC"/>
    <w:rsid w:val="00AF0D7D"/>
    <w:rsid w:val="00AF0F0C"/>
    <w:rsid w:val="00AF12A3"/>
    <w:rsid w:val="00AF1315"/>
    <w:rsid w:val="00AF19BF"/>
    <w:rsid w:val="00AF1A13"/>
    <w:rsid w:val="00AF1C0B"/>
    <w:rsid w:val="00AF1E41"/>
    <w:rsid w:val="00AF20BA"/>
    <w:rsid w:val="00AF21E8"/>
    <w:rsid w:val="00AF229F"/>
    <w:rsid w:val="00AF244C"/>
    <w:rsid w:val="00AF2DC3"/>
    <w:rsid w:val="00AF2FF3"/>
    <w:rsid w:val="00AF36E2"/>
    <w:rsid w:val="00AF3D89"/>
    <w:rsid w:val="00AF480E"/>
    <w:rsid w:val="00AF4D15"/>
    <w:rsid w:val="00AF4D20"/>
    <w:rsid w:val="00AF5289"/>
    <w:rsid w:val="00AF5414"/>
    <w:rsid w:val="00AF6186"/>
    <w:rsid w:val="00AF61E6"/>
    <w:rsid w:val="00AF64D5"/>
    <w:rsid w:val="00AF66E5"/>
    <w:rsid w:val="00AF67FA"/>
    <w:rsid w:val="00AF6A7A"/>
    <w:rsid w:val="00AF6C1F"/>
    <w:rsid w:val="00AF76DF"/>
    <w:rsid w:val="00AF770F"/>
    <w:rsid w:val="00B0001F"/>
    <w:rsid w:val="00B00040"/>
    <w:rsid w:val="00B006A3"/>
    <w:rsid w:val="00B00918"/>
    <w:rsid w:val="00B00B9E"/>
    <w:rsid w:val="00B00BCD"/>
    <w:rsid w:val="00B00DB0"/>
    <w:rsid w:val="00B00F62"/>
    <w:rsid w:val="00B01193"/>
    <w:rsid w:val="00B01517"/>
    <w:rsid w:val="00B01854"/>
    <w:rsid w:val="00B02472"/>
    <w:rsid w:val="00B02888"/>
    <w:rsid w:val="00B031E7"/>
    <w:rsid w:val="00B033E5"/>
    <w:rsid w:val="00B03A63"/>
    <w:rsid w:val="00B03B3E"/>
    <w:rsid w:val="00B03D46"/>
    <w:rsid w:val="00B04023"/>
    <w:rsid w:val="00B04A6F"/>
    <w:rsid w:val="00B04BBD"/>
    <w:rsid w:val="00B04C53"/>
    <w:rsid w:val="00B04D89"/>
    <w:rsid w:val="00B05AF8"/>
    <w:rsid w:val="00B060E5"/>
    <w:rsid w:val="00B067DD"/>
    <w:rsid w:val="00B068F0"/>
    <w:rsid w:val="00B06D5F"/>
    <w:rsid w:val="00B06F3E"/>
    <w:rsid w:val="00B0749B"/>
    <w:rsid w:val="00B0768B"/>
    <w:rsid w:val="00B07706"/>
    <w:rsid w:val="00B077B4"/>
    <w:rsid w:val="00B07DCB"/>
    <w:rsid w:val="00B10353"/>
    <w:rsid w:val="00B1060B"/>
    <w:rsid w:val="00B1065E"/>
    <w:rsid w:val="00B108B4"/>
    <w:rsid w:val="00B10952"/>
    <w:rsid w:val="00B10F3B"/>
    <w:rsid w:val="00B1108B"/>
    <w:rsid w:val="00B12519"/>
    <w:rsid w:val="00B129A4"/>
    <w:rsid w:val="00B12EE6"/>
    <w:rsid w:val="00B12EEB"/>
    <w:rsid w:val="00B130A8"/>
    <w:rsid w:val="00B131FF"/>
    <w:rsid w:val="00B138EE"/>
    <w:rsid w:val="00B138F1"/>
    <w:rsid w:val="00B139FC"/>
    <w:rsid w:val="00B13C71"/>
    <w:rsid w:val="00B1448E"/>
    <w:rsid w:val="00B1503E"/>
    <w:rsid w:val="00B15687"/>
    <w:rsid w:val="00B159CB"/>
    <w:rsid w:val="00B15A55"/>
    <w:rsid w:val="00B160C0"/>
    <w:rsid w:val="00B166B5"/>
    <w:rsid w:val="00B1674E"/>
    <w:rsid w:val="00B167DD"/>
    <w:rsid w:val="00B1681C"/>
    <w:rsid w:val="00B1683E"/>
    <w:rsid w:val="00B1729B"/>
    <w:rsid w:val="00B1769D"/>
    <w:rsid w:val="00B17855"/>
    <w:rsid w:val="00B17A9B"/>
    <w:rsid w:val="00B17C1A"/>
    <w:rsid w:val="00B201A4"/>
    <w:rsid w:val="00B201D1"/>
    <w:rsid w:val="00B20498"/>
    <w:rsid w:val="00B20567"/>
    <w:rsid w:val="00B205E8"/>
    <w:rsid w:val="00B2061F"/>
    <w:rsid w:val="00B20684"/>
    <w:rsid w:val="00B20785"/>
    <w:rsid w:val="00B20968"/>
    <w:rsid w:val="00B20AF6"/>
    <w:rsid w:val="00B20B0A"/>
    <w:rsid w:val="00B210AA"/>
    <w:rsid w:val="00B2115C"/>
    <w:rsid w:val="00B2138C"/>
    <w:rsid w:val="00B213A6"/>
    <w:rsid w:val="00B21B1A"/>
    <w:rsid w:val="00B226A6"/>
    <w:rsid w:val="00B2275C"/>
    <w:rsid w:val="00B22D68"/>
    <w:rsid w:val="00B2323C"/>
    <w:rsid w:val="00B235B0"/>
    <w:rsid w:val="00B24956"/>
    <w:rsid w:val="00B24975"/>
    <w:rsid w:val="00B24DF6"/>
    <w:rsid w:val="00B25760"/>
    <w:rsid w:val="00B259AA"/>
    <w:rsid w:val="00B260FE"/>
    <w:rsid w:val="00B26B71"/>
    <w:rsid w:val="00B2702D"/>
    <w:rsid w:val="00B27A61"/>
    <w:rsid w:val="00B27B64"/>
    <w:rsid w:val="00B27E7C"/>
    <w:rsid w:val="00B308A6"/>
    <w:rsid w:val="00B308C9"/>
    <w:rsid w:val="00B309E7"/>
    <w:rsid w:val="00B30BBA"/>
    <w:rsid w:val="00B313ED"/>
    <w:rsid w:val="00B31669"/>
    <w:rsid w:val="00B31AEB"/>
    <w:rsid w:val="00B32074"/>
    <w:rsid w:val="00B32A29"/>
    <w:rsid w:val="00B32AD5"/>
    <w:rsid w:val="00B32C8B"/>
    <w:rsid w:val="00B33067"/>
    <w:rsid w:val="00B332EA"/>
    <w:rsid w:val="00B33803"/>
    <w:rsid w:val="00B33902"/>
    <w:rsid w:val="00B33961"/>
    <w:rsid w:val="00B33CE1"/>
    <w:rsid w:val="00B340B0"/>
    <w:rsid w:val="00B345D2"/>
    <w:rsid w:val="00B346B2"/>
    <w:rsid w:val="00B346B6"/>
    <w:rsid w:val="00B34C9F"/>
    <w:rsid w:val="00B34F2B"/>
    <w:rsid w:val="00B34FE2"/>
    <w:rsid w:val="00B35166"/>
    <w:rsid w:val="00B357D8"/>
    <w:rsid w:val="00B35BC1"/>
    <w:rsid w:val="00B35E7C"/>
    <w:rsid w:val="00B35F23"/>
    <w:rsid w:val="00B360F4"/>
    <w:rsid w:val="00B36796"/>
    <w:rsid w:val="00B36A00"/>
    <w:rsid w:val="00B36AB5"/>
    <w:rsid w:val="00B36DA5"/>
    <w:rsid w:val="00B36E5F"/>
    <w:rsid w:val="00B36FA8"/>
    <w:rsid w:val="00B3757A"/>
    <w:rsid w:val="00B375A6"/>
    <w:rsid w:val="00B3782E"/>
    <w:rsid w:val="00B3792B"/>
    <w:rsid w:val="00B37BFC"/>
    <w:rsid w:val="00B37FE9"/>
    <w:rsid w:val="00B40358"/>
    <w:rsid w:val="00B40D4C"/>
    <w:rsid w:val="00B415B3"/>
    <w:rsid w:val="00B41614"/>
    <w:rsid w:val="00B4165C"/>
    <w:rsid w:val="00B41673"/>
    <w:rsid w:val="00B41C19"/>
    <w:rsid w:val="00B41D1A"/>
    <w:rsid w:val="00B42851"/>
    <w:rsid w:val="00B42DCA"/>
    <w:rsid w:val="00B42F80"/>
    <w:rsid w:val="00B42FA4"/>
    <w:rsid w:val="00B43343"/>
    <w:rsid w:val="00B435CB"/>
    <w:rsid w:val="00B43C6C"/>
    <w:rsid w:val="00B43F37"/>
    <w:rsid w:val="00B4402C"/>
    <w:rsid w:val="00B44457"/>
    <w:rsid w:val="00B444EB"/>
    <w:rsid w:val="00B44629"/>
    <w:rsid w:val="00B44767"/>
    <w:rsid w:val="00B449FE"/>
    <w:rsid w:val="00B451A7"/>
    <w:rsid w:val="00B45330"/>
    <w:rsid w:val="00B45927"/>
    <w:rsid w:val="00B46081"/>
    <w:rsid w:val="00B46303"/>
    <w:rsid w:val="00B4644F"/>
    <w:rsid w:val="00B465EC"/>
    <w:rsid w:val="00B4672D"/>
    <w:rsid w:val="00B468D9"/>
    <w:rsid w:val="00B469A2"/>
    <w:rsid w:val="00B46B89"/>
    <w:rsid w:val="00B46DF8"/>
    <w:rsid w:val="00B46F5D"/>
    <w:rsid w:val="00B47100"/>
    <w:rsid w:val="00B4778F"/>
    <w:rsid w:val="00B47B3A"/>
    <w:rsid w:val="00B505C8"/>
    <w:rsid w:val="00B50DB8"/>
    <w:rsid w:val="00B50F1B"/>
    <w:rsid w:val="00B51153"/>
    <w:rsid w:val="00B5116A"/>
    <w:rsid w:val="00B511F4"/>
    <w:rsid w:val="00B51CE0"/>
    <w:rsid w:val="00B523B1"/>
    <w:rsid w:val="00B52D03"/>
    <w:rsid w:val="00B531B2"/>
    <w:rsid w:val="00B53409"/>
    <w:rsid w:val="00B53654"/>
    <w:rsid w:val="00B5368E"/>
    <w:rsid w:val="00B5370E"/>
    <w:rsid w:val="00B53905"/>
    <w:rsid w:val="00B539EB"/>
    <w:rsid w:val="00B53B26"/>
    <w:rsid w:val="00B546DB"/>
    <w:rsid w:val="00B54B5B"/>
    <w:rsid w:val="00B54BF4"/>
    <w:rsid w:val="00B55179"/>
    <w:rsid w:val="00B553A1"/>
    <w:rsid w:val="00B553CA"/>
    <w:rsid w:val="00B5562E"/>
    <w:rsid w:val="00B55862"/>
    <w:rsid w:val="00B55995"/>
    <w:rsid w:val="00B55D65"/>
    <w:rsid w:val="00B5606C"/>
    <w:rsid w:val="00B56305"/>
    <w:rsid w:val="00B56C36"/>
    <w:rsid w:val="00B56CA9"/>
    <w:rsid w:val="00B56DB3"/>
    <w:rsid w:val="00B56F02"/>
    <w:rsid w:val="00B57000"/>
    <w:rsid w:val="00B57546"/>
    <w:rsid w:val="00B575F8"/>
    <w:rsid w:val="00B579DF"/>
    <w:rsid w:val="00B57FFE"/>
    <w:rsid w:val="00B600D2"/>
    <w:rsid w:val="00B60939"/>
    <w:rsid w:val="00B60AFD"/>
    <w:rsid w:val="00B60BF9"/>
    <w:rsid w:val="00B61579"/>
    <w:rsid w:val="00B619E8"/>
    <w:rsid w:val="00B61E51"/>
    <w:rsid w:val="00B62357"/>
    <w:rsid w:val="00B62715"/>
    <w:rsid w:val="00B62B2B"/>
    <w:rsid w:val="00B62C87"/>
    <w:rsid w:val="00B62C94"/>
    <w:rsid w:val="00B62C96"/>
    <w:rsid w:val="00B62F20"/>
    <w:rsid w:val="00B630EF"/>
    <w:rsid w:val="00B6329F"/>
    <w:rsid w:val="00B63380"/>
    <w:rsid w:val="00B63693"/>
    <w:rsid w:val="00B63CC4"/>
    <w:rsid w:val="00B640A2"/>
    <w:rsid w:val="00B641C0"/>
    <w:rsid w:val="00B6450F"/>
    <w:rsid w:val="00B6502E"/>
    <w:rsid w:val="00B65421"/>
    <w:rsid w:val="00B654E0"/>
    <w:rsid w:val="00B65611"/>
    <w:rsid w:val="00B65DFA"/>
    <w:rsid w:val="00B663D9"/>
    <w:rsid w:val="00B66A4E"/>
    <w:rsid w:val="00B6700D"/>
    <w:rsid w:val="00B671A8"/>
    <w:rsid w:val="00B6765E"/>
    <w:rsid w:val="00B679A2"/>
    <w:rsid w:val="00B67C5B"/>
    <w:rsid w:val="00B70135"/>
    <w:rsid w:val="00B70220"/>
    <w:rsid w:val="00B70787"/>
    <w:rsid w:val="00B70834"/>
    <w:rsid w:val="00B70DC2"/>
    <w:rsid w:val="00B70E8E"/>
    <w:rsid w:val="00B716FA"/>
    <w:rsid w:val="00B717E2"/>
    <w:rsid w:val="00B73274"/>
    <w:rsid w:val="00B7376C"/>
    <w:rsid w:val="00B7379A"/>
    <w:rsid w:val="00B73D40"/>
    <w:rsid w:val="00B73FE5"/>
    <w:rsid w:val="00B74060"/>
    <w:rsid w:val="00B74123"/>
    <w:rsid w:val="00B7434E"/>
    <w:rsid w:val="00B74619"/>
    <w:rsid w:val="00B74AC2"/>
    <w:rsid w:val="00B75E09"/>
    <w:rsid w:val="00B75F49"/>
    <w:rsid w:val="00B76020"/>
    <w:rsid w:val="00B764AE"/>
    <w:rsid w:val="00B7691D"/>
    <w:rsid w:val="00B76C92"/>
    <w:rsid w:val="00B76E89"/>
    <w:rsid w:val="00B76FE7"/>
    <w:rsid w:val="00B773E5"/>
    <w:rsid w:val="00B77ED2"/>
    <w:rsid w:val="00B77ED9"/>
    <w:rsid w:val="00B77FF8"/>
    <w:rsid w:val="00B80654"/>
    <w:rsid w:val="00B8069B"/>
    <w:rsid w:val="00B808B8"/>
    <w:rsid w:val="00B80AA9"/>
    <w:rsid w:val="00B80EFD"/>
    <w:rsid w:val="00B80FBA"/>
    <w:rsid w:val="00B80FD5"/>
    <w:rsid w:val="00B8100B"/>
    <w:rsid w:val="00B8105D"/>
    <w:rsid w:val="00B816FE"/>
    <w:rsid w:val="00B8188F"/>
    <w:rsid w:val="00B818A4"/>
    <w:rsid w:val="00B8197E"/>
    <w:rsid w:val="00B825CA"/>
    <w:rsid w:val="00B8299A"/>
    <w:rsid w:val="00B82ADC"/>
    <w:rsid w:val="00B82C9D"/>
    <w:rsid w:val="00B82D3A"/>
    <w:rsid w:val="00B82E5E"/>
    <w:rsid w:val="00B835A1"/>
    <w:rsid w:val="00B83739"/>
    <w:rsid w:val="00B84013"/>
    <w:rsid w:val="00B84117"/>
    <w:rsid w:val="00B858F0"/>
    <w:rsid w:val="00B859C6"/>
    <w:rsid w:val="00B85AA2"/>
    <w:rsid w:val="00B85C56"/>
    <w:rsid w:val="00B8649C"/>
    <w:rsid w:val="00B866DA"/>
    <w:rsid w:val="00B8681F"/>
    <w:rsid w:val="00B86891"/>
    <w:rsid w:val="00B8695D"/>
    <w:rsid w:val="00B86AB2"/>
    <w:rsid w:val="00B86AD5"/>
    <w:rsid w:val="00B8708E"/>
    <w:rsid w:val="00B8711A"/>
    <w:rsid w:val="00B8720D"/>
    <w:rsid w:val="00B875F0"/>
    <w:rsid w:val="00B87C2C"/>
    <w:rsid w:val="00B87CD9"/>
    <w:rsid w:val="00B87E34"/>
    <w:rsid w:val="00B87F0A"/>
    <w:rsid w:val="00B87F41"/>
    <w:rsid w:val="00B909E7"/>
    <w:rsid w:val="00B90AC0"/>
    <w:rsid w:val="00B91054"/>
    <w:rsid w:val="00B9105C"/>
    <w:rsid w:val="00B91148"/>
    <w:rsid w:val="00B913D7"/>
    <w:rsid w:val="00B918AD"/>
    <w:rsid w:val="00B91C6D"/>
    <w:rsid w:val="00B922CB"/>
    <w:rsid w:val="00B92480"/>
    <w:rsid w:val="00B92483"/>
    <w:rsid w:val="00B925F0"/>
    <w:rsid w:val="00B92D0B"/>
    <w:rsid w:val="00B93156"/>
    <w:rsid w:val="00B93217"/>
    <w:rsid w:val="00B93680"/>
    <w:rsid w:val="00B93805"/>
    <w:rsid w:val="00B94148"/>
    <w:rsid w:val="00B946A1"/>
    <w:rsid w:val="00B94787"/>
    <w:rsid w:val="00B94945"/>
    <w:rsid w:val="00B94DD6"/>
    <w:rsid w:val="00B94E05"/>
    <w:rsid w:val="00B953CE"/>
    <w:rsid w:val="00B95469"/>
    <w:rsid w:val="00B95873"/>
    <w:rsid w:val="00B95C94"/>
    <w:rsid w:val="00B95E3F"/>
    <w:rsid w:val="00B96677"/>
    <w:rsid w:val="00B96723"/>
    <w:rsid w:val="00B969C8"/>
    <w:rsid w:val="00B96BF6"/>
    <w:rsid w:val="00B97677"/>
    <w:rsid w:val="00B97CCA"/>
    <w:rsid w:val="00BA0444"/>
    <w:rsid w:val="00BA0B26"/>
    <w:rsid w:val="00BA1655"/>
    <w:rsid w:val="00BA177A"/>
    <w:rsid w:val="00BA223F"/>
    <w:rsid w:val="00BA2483"/>
    <w:rsid w:val="00BA2C8E"/>
    <w:rsid w:val="00BA2F95"/>
    <w:rsid w:val="00BA322D"/>
    <w:rsid w:val="00BA37EB"/>
    <w:rsid w:val="00BA406A"/>
    <w:rsid w:val="00BA416E"/>
    <w:rsid w:val="00BA46ED"/>
    <w:rsid w:val="00BA4D3A"/>
    <w:rsid w:val="00BA4E90"/>
    <w:rsid w:val="00BA4ED8"/>
    <w:rsid w:val="00BA567F"/>
    <w:rsid w:val="00BA56C3"/>
    <w:rsid w:val="00BA58FF"/>
    <w:rsid w:val="00BA5AB8"/>
    <w:rsid w:val="00BA5D0E"/>
    <w:rsid w:val="00BA5EA0"/>
    <w:rsid w:val="00BA5EED"/>
    <w:rsid w:val="00BA63FA"/>
    <w:rsid w:val="00BA6493"/>
    <w:rsid w:val="00BA6751"/>
    <w:rsid w:val="00BA7257"/>
    <w:rsid w:val="00BA757C"/>
    <w:rsid w:val="00BA7A0C"/>
    <w:rsid w:val="00BA7BA5"/>
    <w:rsid w:val="00BA7BB2"/>
    <w:rsid w:val="00BA7BD1"/>
    <w:rsid w:val="00BA7E9C"/>
    <w:rsid w:val="00BB00B3"/>
    <w:rsid w:val="00BB0874"/>
    <w:rsid w:val="00BB0905"/>
    <w:rsid w:val="00BB0B6E"/>
    <w:rsid w:val="00BB0BDD"/>
    <w:rsid w:val="00BB176C"/>
    <w:rsid w:val="00BB17D6"/>
    <w:rsid w:val="00BB22AB"/>
    <w:rsid w:val="00BB2A73"/>
    <w:rsid w:val="00BB3281"/>
    <w:rsid w:val="00BB3A45"/>
    <w:rsid w:val="00BB3C47"/>
    <w:rsid w:val="00BB4645"/>
    <w:rsid w:val="00BB4778"/>
    <w:rsid w:val="00BB4ACC"/>
    <w:rsid w:val="00BB4F7C"/>
    <w:rsid w:val="00BB56AB"/>
    <w:rsid w:val="00BB5EE6"/>
    <w:rsid w:val="00BB6060"/>
    <w:rsid w:val="00BB60FE"/>
    <w:rsid w:val="00BB67C6"/>
    <w:rsid w:val="00BB703E"/>
    <w:rsid w:val="00BB732D"/>
    <w:rsid w:val="00BB7405"/>
    <w:rsid w:val="00BB7CC6"/>
    <w:rsid w:val="00BB7CD4"/>
    <w:rsid w:val="00BC0ED9"/>
    <w:rsid w:val="00BC10A5"/>
    <w:rsid w:val="00BC1860"/>
    <w:rsid w:val="00BC19E3"/>
    <w:rsid w:val="00BC1C25"/>
    <w:rsid w:val="00BC1DCE"/>
    <w:rsid w:val="00BC23C3"/>
    <w:rsid w:val="00BC28C6"/>
    <w:rsid w:val="00BC321F"/>
    <w:rsid w:val="00BC3317"/>
    <w:rsid w:val="00BC3602"/>
    <w:rsid w:val="00BC3631"/>
    <w:rsid w:val="00BC3C68"/>
    <w:rsid w:val="00BC3D54"/>
    <w:rsid w:val="00BC42F5"/>
    <w:rsid w:val="00BC4E89"/>
    <w:rsid w:val="00BC534C"/>
    <w:rsid w:val="00BC5693"/>
    <w:rsid w:val="00BC591F"/>
    <w:rsid w:val="00BC5BEC"/>
    <w:rsid w:val="00BC63A4"/>
    <w:rsid w:val="00BC651D"/>
    <w:rsid w:val="00BC717E"/>
    <w:rsid w:val="00BC76B7"/>
    <w:rsid w:val="00BC7D6D"/>
    <w:rsid w:val="00BD0114"/>
    <w:rsid w:val="00BD08DF"/>
    <w:rsid w:val="00BD1998"/>
    <w:rsid w:val="00BD1B4B"/>
    <w:rsid w:val="00BD2108"/>
    <w:rsid w:val="00BD22A4"/>
    <w:rsid w:val="00BD29ED"/>
    <w:rsid w:val="00BD2EA9"/>
    <w:rsid w:val="00BD3733"/>
    <w:rsid w:val="00BD3A64"/>
    <w:rsid w:val="00BD3B14"/>
    <w:rsid w:val="00BD3DA6"/>
    <w:rsid w:val="00BD4139"/>
    <w:rsid w:val="00BD4386"/>
    <w:rsid w:val="00BD48D9"/>
    <w:rsid w:val="00BD4DD9"/>
    <w:rsid w:val="00BD511B"/>
    <w:rsid w:val="00BD5439"/>
    <w:rsid w:val="00BD614E"/>
    <w:rsid w:val="00BD6624"/>
    <w:rsid w:val="00BD68A3"/>
    <w:rsid w:val="00BD6938"/>
    <w:rsid w:val="00BD6A6F"/>
    <w:rsid w:val="00BD6CF3"/>
    <w:rsid w:val="00BD7028"/>
    <w:rsid w:val="00BD71BB"/>
    <w:rsid w:val="00BD76A9"/>
    <w:rsid w:val="00BD7F72"/>
    <w:rsid w:val="00BE0016"/>
    <w:rsid w:val="00BE01D9"/>
    <w:rsid w:val="00BE0ECA"/>
    <w:rsid w:val="00BE2180"/>
    <w:rsid w:val="00BE21F2"/>
    <w:rsid w:val="00BE2550"/>
    <w:rsid w:val="00BE3198"/>
    <w:rsid w:val="00BE3860"/>
    <w:rsid w:val="00BE3BDF"/>
    <w:rsid w:val="00BE3ED5"/>
    <w:rsid w:val="00BE4192"/>
    <w:rsid w:val="00BE4275"/>
    <w:rsid w:val="00BE4642"/>
    <w:rsid w:val="00BE466A"/>
    <w:rsid w:val="00BE48AD"/>
    <w:rsid w:val="00BE48F5"/>
    <w:rsid w:val="00BE52CF"/>
    <w:rsid w:val="00BE57C5"/>
    <w:rsid w:val="00BE57C9"/>
    <w:rsid w:val="00BE59F6"/>
    <w:rsid w:val="00BE5BC9"/>
    <w:rsid w:val="00BE5C76"/>
    <w:rsid w:val="00BE5DC6"/>
    <w:rsid w:val="00BE5E7B"/>
    <w:rsid w:val="00BE5FB4"/>
    <w:rsid w:val="00BE5FF5"/>
    <w:rsid w:val="00BE6202"/>
    <w:rsid w:val="00BE6972"/>
    <w:rsid w:val="00BE6A0C"/>
    <w:rsid w:val="00BE6DC5"/>
    <w:rsid w:val="00BE6FA6"/>
    <w:rsid w:val="00BE7090"/>
    <w:rsid w:val="00BE7436"/>
    <w:rsid w:val="00BE798E"/>
    <w:rsid w:val="00BE7B43"/>
    <w:rsid w:val="00BE7DA8"/>
    <w:rsid w:val="00BE7E9D"/>
    <w:rsid w:val="00BF004A"/>
    <w:rsid w:val="00BF009F"/>
    <w:rsid w:val="00BF0213"/>
    <w:rsid w:val="00BF06AE"/>
    <w:rsid w:val="00BF0F95"/>
    <w:rsid w:val="00BF10C1"/>
    <w:rsid w:val="00BF128B"/>
    <w:rsid w:val="00BF1511"/>
    <w:rsid w:val="00BF162B"/>
    <w:rsid w:val="00BF1703"/>
    <w:rsid w:val="00BF1B25"/>
    <w:rsid w:val="00BF1EE4"/>
    <w:rsid w:val="00BF23D2"/>
    <w:rsid w:val="00BF2433"/>
    <w:rsid w:val="00BF246D"/>
    <w:rsid w:val="00BF26F0"/>
    <w:rsid w:val="00BF27F8"/>
    <w:rsid w:val="00BF2C72"/>
    <w:rsid w:val="00BF2E6E"/>
    <w:rsid w:val="00BF35A5"/>
    <w:rsid w:val="00BF3A59"/>
    <w:rsid w:val="00BF3ECB"/>
    <w:rsid w:val="00BF4127"/>
    <w:rsid w:val="00BF4A1B"/>
    <w:rsid w:val="00BF4AC3"/>
    <w:rsid w:val="00BF4ACD"/>
    <w:rsid w:val="00BF501D"/>
    <w:rsid w:val="00BF5124"/>
    <w:rsid w:val="00BF53C8"/>
    <w:rsid w:val="00BF5463"/>
    <w:rsid w:val="00BF55BB"/>
    <w:rsid w:val="00BF560A"/>
    <w:rsid w:val="00BF5670"/>
    <w:rsid w:val="00BF5724"/>
    <w:rsid w:val="00BF5A97"/>
    <w:rsid w:val="00BF5E2D"/>
    <w:rsid w:val="00BF5F46"/>
    <w:rsid w:val="00BF61C9"/>
    <w:rsid w:val="00BF63E5"/>
    <w:rsid w:val="00BF66D7"/>
    <w:rsid w:val="00BF6C94"/>
    <w:rsid w:val="00BF6E41"/>
    <w:rsid w:val="00BF7A39"/>
    <w:rsid w:val="00BF7C75"/>
    <w:rsid w:val="00C00424"/>
    <w:rsid w:val="00C00A2C"/>
    <w:rsid w:val="00C00BB0"/>
    <w:rsid w:val="00C00C47"/>
    <w:rsid w:val="00C00C9B"/>
    <w:rsid w:val="00C013BA"/>
    <w:rsid w:val="00C014F0"/>
    <w:rsid w:val="00C018A6"/>
    <w:rsid w:val="00C01A1E"/>
    <w:rsid w:val="00C01E18"/>
    <w:rsid w:val="00C0288C"/>
    <w:rsid w:val="00C03AB6"/>
    <w:rsid w:val="00C03C99"/>
    <w:rsid w:val="00C042D3"/>
    <w:rsid w:val="00C0457A"/>
    <w:rsid w:val="00C04A9B"/>
    <w:rsid w:val="00C04B2A"/>
    <w:rsid w:val="00C04BF4"/>
    <w:rsid w:val="00C04F13"/>
    <w:rsid w:val="00C052FB"/>
    <w:rsid w:val="00C05643"/>
    <w:rsid w:val="00C059DE"/>
    <w:rsid w:val="00C05E18"/>
    <w:rsid w:val="00C061D0"/>
    <w:rsid w:val="00C06475"/>
    <w:rsid w:val="00C06E3A"/>
    <w:rsid w:val="00C07148"/>
    <w:rsid w:val="00C0741C"/>
    <w:rsid w:val="00C07456"/>
    <w:rsid w:val="00C10CF7"/>
    <w:rsid w:val="00C11787"/>
    <w:rsid w:val="00C1179F"/>
    <w:rsid w:val="00C11CC1"/>
    <w:rsid w:val="00C12416"/>
    <w:rsid w:val="00C12656"/>
    <w:rsid w:val="00C126A4"/>
    <w:rsid w:val="00C127B9"/>
    <w:rsid w:val="00C128FA"/>
    <w:rsid w:val="00C12924"/>
    <w:rsid w:val="00C12AA3"/>
    <w:rsid w:val="00C12C14"/>
    <w:rsid w:val="00C12EE7"/>
    <w:rsid w:val="00C1406D"/>
    <w:rsid w:val="00C141B4"/>
    <w:rsid w:val="00C141C9"/>
    <w:rsid w:val="00C1430E"/>
    <w:rsid w:val="00C143F0"/>
    <w:rsid w:val="00C1474A"/>
    <w:rsid w:val="00C14BDF"/>
    <w:rsid w:val="00C14C49"/>
    <w:rsid w:val="00C158E2"/>
    <w:rsid w:val="00C15F04"/>
    <w:rsid w:val="00C16BA7"/>
    <w:rsid w:val="00C1703D"/>
    <w:rsid w:val="00C1728A"/>
    <w:rsid w:val="00C17938"/>
    <w:rsid w:val="00C179B3"/>
    <w:rsid w:val="00C17A32"/>
    <w:rsid w:val="00C17C7C"/>
    <w:rsid w:val="00C17E3F"/>
    <w:rsid w:val="00C200AA"/>
    <w:rsid w:val="00C204E3"/>
    <w:rsid w:val="00C205CB"/>
    <w:rsid w:val="00C20B6F"/>
    <w:rsid w:val="00C20BF0"/>
    <w:rsid w:val="00C210FE"/>
    <w:rsid w:val="00C21E06"/>
    <w:rsid w:val="00C22168"/>
    <w:rsid w:val="00C22813"/>
    <w:rsid w:val="00C2282C"/>
    <w:rsid w:val="00C22AD0"/>
    <w:rsid w:val="00C22C94"/>
    <w:rsid w:val="00C231B7"/>
    <w:rsid w:val="00C233E1"/>
    <w:rsid w:val="00C237ED"/>
    <w:rsid w:val="00C23A89"/>
    <w:rsid w:val="00C23CA1"/>
    <w:rsid w:val="00C23CC4"/>
    <w:rsid w:val="00C2433D"/>
    <w:rsid w:val="00C24632"/>
    <w:rsid w:val="00C247D7"/>
    <w:rsid w:val="00C24A5F"/>
    <w:rsid w:val="00C24B42"/>
    <w:rsid w:val="00C24C56"/>
    <w:rsid w:val="00C24E2D"/>
    <w:rsid w:val="00C25038"/>
    <w:rsid w:val="00C2511C"/>
    <w:rsid w:val="00C25418"/>
    <w:rsid w:val="00C2557C"/>
    <w:rsid w:val="00C2595B"/>
    <w:rsid w:val="00C25CA6"/>
    <w:rsid w:val="00C25D9C"/>
    <w:rsid w:val="00C25F8B"/>
    <w:rsid w:val="00C25FFC"/>
    <w:rsid w:val="00C26423"/>
    <w:rsid w:val="00C26D11"/>
    <w:rsid w:val="00C26EEB"/>
    <w:rsid w:val="00C274AF"/>
    <w:rsid w:val="00C2778B"/>
    <w:rsid w:val="00C2790E"/>
    <w:rsid w:val="00C30075"/>
    <w:rsid w:val="00C30263"/>
    <w:rsid w:val="00C303AF"/>
    <w:rsid w:val="00C30647"/>
    <w:rsid w:val="00C30C4A"/>
    <w:rsid w:val="00C311EA"/>
    <w:rsid w:val="00C31266"/>
    <w:rsid w:val="00C31402"/>
    <w:rsid w:val="00C314A7"/>
    <w:rsid w:val="00C3156E"/>
    <w:rsid w:val="00C31649"/>
    <w:rsid w:val="00C31BA1"/>
    <w:rsid w:val="00C31BC1"/>
    <w:rsid w:val="00C31EB6"/>
    <w:rsid w:val="00C32ECB"/>
    <w:rsid w:val="00C32FE4"/>
    <w:rsid w:val="00C3306A"/>
    <w:rsid w:val="00C33513"/>
    <w:rsid w:val="00C336C7"/>
    <w:rsid w:val="00C336CE"/>
    <w:rsid w:val="00C33911"/>
    <w:rsid w:val="00C33949"/>
    <w:rsid w:val="00C33A2D"/>
    <w:rsid w:val="00C33F2C"/>
    <w:rsid w:val="00C3434C"/>
    <w:rsid w:val="00C3481E"/>
    <w:rsid w:val="00C34CF2"/>
    <w:rsid w:val="00C35319"/>
    <w:rsid w:val="00C35844"/>
    <w:rsid w:val="00C35881"/>
    <w:rsid w:val="00C358CF"/>
    <w:rsid w:val="00C3595E"/>
    <w:rsid w:val="00C35CB6"/>
    <w:rsid w:val="00C361F5"/>
    <w:rsid w:val="00C368EB"/>
    <w:rsid w:val="00C37345"/>
    <w:rsid w:val="00C374DC"/>
    <w:rsid w:val="00C402F6"/>
    <w:rsid w:val="00C40385"/>
    <w:rsid w:val="00C40FC6"/>
    <w:rsid w:val="00C4139B"/>
    <w:rsid w:val="00C416F6"/>
    <w:rsid w:val="00C41768"/>
    <w:rsid w:val="00C419C3"/>
    <w:rsid w:val="00C41C0D"/>
    <w:rsid w:val="00C42758"/>
    <w:rsid w:val="00C42A65"/>
    <w:rsid w:val="00C42B10"/>
    <w:rsid w:val="00C42DD6"/>
    <w:rsid w:val="00C43762"/>
    <w:rsid w:val="00C44326"/>
    <w:rsid w:val="00C44619"/>
    <w:rsid w:val="00C44F9C"/>
    <w:rsid w:val="00C45604"/>
    <w:rsid w:val="00C457E1"/>
    <w:rsid w:val="00C458B5"/>
    <w:rsid w:val="00C45D31"/>
    <w:rsid w:val="00C45FED"/>
    <w:rsid w:val="00C46F5E"/>
    <w:rsid w:val="00C473C5"/>
    <w:rsid w:val="00C475AA"/>
    <w:rsid w:val="00C47947"/>
    <w:rsid w:val="00C50EC9"/>
    <w:rsid w:val="00C51805"/>
    <w:rsid w:val="00C51DDA"/>
    <w:rsid w:val="00C5270C"/>
    <w:rsid w:val="00C527C7"/>
    <w:rsid w:val="00C52DC2"/>
    <w:rsid w:val="00C53517"/>
    <w:rsid w:val="00C53C6C"/>
    <w:rsid w:val="00C53C98"/>
    <w:rsid w:val="00C53DDA"/>
    <w:rsid w:val="00C54153"/>
    <w:rsid w:val="00C545F2"/>
    <w:rsid w:val="00C54B28"/>
    <w:rsid w:val="00C5533C"/>
    <w:rsid w:val="00C556EE"/>
    <w:rsid w:val="00C55744"/>
    <w:rsid w:val="00C55BF6"/>
    <w:rsid w:val="00C55F4B"/>
    <w:rsid w:val="00C5600F"/>
    <w:rsid w:val="00C5623A"/>
    <w:rsid w:val="00C56734"/>
    <w:rsid w:val="00C56A0C"/>
    <w:rsid w:val="00C56FCF"/>
    <w:rsid w:val="00C57183"/>
    <w:rsid w:val="00C57B6C"/>
    <w:rsid w:val="00C601EA"/>
    <w:rsid w:val="00C6158F"/>
    <w:rsid w:val="00C61A59"/>
    <w:rsid w:val="00C61F3F"/>
    <w:rsid w:val="00C6207E"/>
    <w:rsid w:val="00C620FA"/>
    <w:rsid w:val="00C62158"/>
    <w:rsid w:val="00C62387"/>
    <w:rsid w:val="00C628A6"/>
    <w:rsid w:val="00C64136"/>
    <w:rsid w:val="00C64344"/>
    <w:rsid w:val="00C646D3"/>
    <w:rsid w:val="00C64C0A"/>
    <w:rsid w:val="00C64CB0"/>
    <w:rsid w:val="00C65108"/>
    <w:rsid w:val="00C65112"/>
    <w:rsid w:val="00C65333"/>
    <w:rsid w:val="00C65576"/>
    <w:rsid w:val="00C659D7"/>
    <w:rsid w:val="00C65AF0"/>
    <w:rsid w:val="00C65E28"/>
    <w:rsid w:val="00C66035"/>
    <w:rsid w:val="00C66165"/>
    <w:rsid w:val="00C664A3"/>
    <w:rsid w:val="00C66679"/>
    <w:rsid w:val="00C66F1C"/>
    <w:rsid w:val="00C66FE4"/>
    <w:rsid w:val="00C6765E"/>
    <w:rsid w:val="00C67674"/>
    <w:rsid w:val="00C70028"/>
    <w:rsid w:val="00C7048C"/>
    <w:rsid w:val="00C7060A"/>
    <w:rsid w:val="00C71279"/>
    <w:rsid w:val="00C71323"/>
    <w:rsid w:val="00C7151A"/>
    <w:rsid w:val="00C71760"/>
    <w:rsid w:val="00C717E3"/>
    <w:rsid w:val="00C71D83"/>
    <w:rsid w:val="00C71F60"/>
    <w:rsid w:val="00C72241"/>
    <w:rsid w:val="00C72335"/>
    <w:rsid w:val="00C724CB"/>
    <w:rsid w:val="00C726F1"/>
    <w:rsid w:val="00C72955"/>
    <w:rsid w:val="00C72FBB"/>
    <w:rsid w:val="00C7334E"/>
    <w:rsid w:val="00C73C3A"/>
    <w:rsid w:val="00C73D70"/>
    <w:rsid w:val="00C74591"/>
    <w:rsid w:val="00C74665"/>
    <w:rsid w:val="00C74B8B"/>
    <w:rsid w:val="00C74DB7"/>
    <w:rsid w:val="00C750C8"/>
    <w:rsid w:val="00C7560F"/>
    <w:rsid w:val="00C75F42"/>
    <w:rsid w:val="00C75FA0"/>
    <w:rsid w:val="00C75FE0"/>
    <w:rsid w:val="00C7653A"/>
    <w:rsid w:val="00C76804"/>
    <w:rsid w:val="00C76892"/>
    <w:rsid w:val="00C76C32"/>
    <w:rsid w:val="00C76F90"/>
    <w:rsid w:val="00C76FDE"/>
    <w:rsid w:val="00C7739E"/>
    <w:rsid w:val="00C774C2"/>
    <w:rsid w:val="00C77731"/>
    <w:rsid w:val="00C77B7C"/>
    <w:rsid w:val="00C806D9"/>
    <w:rsid w:val="00C8086A"/>
    <w:rsid w:val="00C80A0E"/>
    <w:rsid w:val="00C80B80"/>
    <w:rsid w:val="00C81772"/>
    <w:rsid w:val="00C81CCC"/>
    <w:rsid w:val="00C81DE1"/>
    <w:rsid w:val="00C81FE5"/>
    <w:rsid w:val="00C8213F"/>
    <w:rsid w:val="00C824F4"/>
    <w:rsid w:val="00C82A14"/>
    <w:rsid w:val="00C8303F"/>
    <w:rsid w:val="00C830A8"/>
    <w:rsid w:val="00C837C2"/>
    <w:rsid w:val="00C84398"/>
    <w:rsid w:val="00C84616"/>
    <w:rsid w:val="00C847D0"/>
    <w:rsid w:val="00C85154"/>
    <w:rsid w:val="00C851E2"/>
    <w:rsid w:val="00C85390"/>
    <w:rsid w:val="00C856FD"/>
    <w:rsid w:val="00C85A70"/>
    <w:rsid w:val="00C866C2"/>
    <w:rsid w:val="00C868DC"/>
    <w:rsid w:val="00C869B9"/>
    <w:rsid w:val="00C8797A"/>
    <w:rsid w:val="00C87F38"/>
    <w:rsid w:val="00C900B8"/>
    <w:rsid w:val="00C90197"/>
    <w:rsid w:val="00C90255"/>
    <w:rsid w:val="00C90773"/>
    <w:rsid w:val="00C90C71"/>
    <w:rsid w:val="00C91462"/>
    <w:rsid w:val="00C91FD1"/>
    <w:rsid w:val="00C92316"/>
    <w:rsid w:val="00C9255F"/>
    <w:rsid w:val="00C92BA0"/>
    <w:rsid w:val="00C931CF"/>
    <w:rsid w:val="00C938CF"/>
    <w:rsid w:val="00C93C15"/>
    <w:rsid w:val="00C93D02"/>
    <w:rsid w:val="00C93FE5"/>
    <w:rsid w:val="00C94053"/>
    <w:rsid w:val="00C94252"/>
    <w:rsid w:val="00C946E2"/>
    <w:rsid w:val="00C947AA"/>
    <w:rsid w:val="00C94E9A"/>
    <w:rsid w:val="00C94FD5"/>
    <w:rsid w:val="00C9503B"/>
    <w:rsid w:val="00C9507A"/>
    <w:rsid w:val="00C95905"/>
    <w:rsid w:val="00C9624D"/>
    <w:rsid w:val="00C96992"/>
    <w:rsid w:val="00C969DA"/>
    <w:rsid w:val="00C96A42"/>
    <w:rsid w:val="00C96B72"/>
    <w:rsid w:val="00C96B77"/>
    <w:rsid w:val="00C9705B"/>
    <w:rsid w:val="00C975BC"/>
    <w:rsid w:val="00C97755"/>
    <w:rsid w:val="00C97B45"/>
    <w:rsid w:val="00C97B60"/>
    <w:rsid w:val="00C97F2A"/>
    <w:rsid w:val="00C97F5E"/>
    <w:rsid w:val="00CA113B"/>
    <w:rsid w:val="00CA16EA"/>
    <w:rsid w:val="00CA194B"/>
    <w:rsid w:val="00CA1C5C"/>
    <w:rsid w:val="00CA1E4D"/>
    <w:rsid w:val="00CA1E64"/>
    <w:rsid w:val="00CA1F84"/>
    <w:rsid w:val="00CA2BF1"/>
    <w:rsid w:val="00CA2C77"/>
    <w:rsid w:val="00CA3D78"/>
    <w:rsid w:val="00CA4434"/>
    <w:rsid w:val="00CA444F"/>
    <w:rsid w:val="00CA4D54"/>
    <w:rsid w:val="00CA5245"/>
    <w:rsid w:val="00CA573F"/>
    <w:rsid w:val="00CA5811"/>
    <w:rsid w:val="00CA58D1"/>
    <w:rsid w:val="00CA64B9"/>
    <w:rsid w:val="00CA6B97"/>
    <w:rsid w:val="00CA71F4"/>
    <w:rsid w:val="00CA7B09"/>
    <w:rsid w:val="00CA7C8B"/>
    <w:rsid w:val="00CA7DAD"/>
    <w:rsid w:val="00CB0ED9"/>
    <w:rsid w:val="00CB0FC2"/>
    <w:rsid w:val="00CB12A5"/>
    <w:rsid w:val="00CB1475"/>
    <w:rsid w:val="00CB1B94"/>
    <w:rsid w:val="00CB1CAC"/>
    <w:rsid w:val="00CB228A"/>
    <w:rsid w:val="00CB2499"/>
    <w:rsid w:val="00CB2926"/>
    <w:rsid w:val="00CB2E51"/>
    <w:rsid w:val="00CB2F2A"/>
    <w:rsid w:val="00CB3AAE"/>
    <w:rsid w:val="00CB4033"/>
    <w:rsid w:val="00CB47FB"/>
    <w:rsid w:val="00CB4B61"/>
    <w:rsid w:val="00CB4CDA"/>
    <w:rsid w:val="00CB4CDD"/>
    <w:rsid w:val="00CB5628"/>
    <w:rsid w:val="00CB58AB"/>
    <w:rsid w:val="00CB59C5"/>
    <w:rsid w:val="00CB5A23"/>
    <w:rsid w:val="00CB5B1A"/>
    <w:rsid w:val="00CB5CF2"/>
    <w:rsid w:val="00CB5DDD"/>
    <w:rsid w:val="00CB6B22"/>
    <w:rsid w:val="00CB6CBB"/>
    <w:rsid w:val="00CB737D"/>
    <w:rsid w:val="00CB746B"/>
    <w:rsid w:val="00CB77EF"/>
    <w:rsid w:val="00CB786E"/>
    <w:rsid w:val="00CB78DB"/>
    <w:rsid w:val="00CB7DA8"/>
    <w:rsid w:val="00CB7F5F"/>
    <w:rsid w:val="00CC01D6"/>
    <w:rsid w:val="00CC05C3"/>
    <w:rsid w:val="00CC0F2C"/>
    <w:rsid w:val="00CC1198"/>
    <w:rsid w:val="00CC12E8"/>
    <w:rsid w:val="00CC1404"/>
    <w:rsid w:val="00CC1422"/>
    <w:rsid w:val="00CC189D"/>
    <w:rsid w:val="00CC18BB"/>
    <w:rsid w:val="00CC19FA"/>
    <w:rsid w:val="00CC1B10"/>
    <w:rsid w:val="00CC1B39"/>
    <w:rsid w:val="00CC1BFA"/>
    <w:rsid w:val="00CC2082"/>
    <w:rsid w:val="00CC2368"/>
    <w:rsid w:val="00CC26F0"/>
    <w:rsid w:val="00CC2AED"/>
    <w:rsid w:val="00CC2E9F"/>
    <w:rsid w:val="00CC2EA5"/>
    <w:rsid w:val="00CC35EA"/>
    <w:rsid w:val="00CC3848"/>
    <w:rsid w:val="00CC40E8"/>
    <w:rsid w:val="00CC419E"/>
    <w:rsid w:val="00CC5200"/>
    <w:rsid w:val="00CC5243"/>
    <w:rsid w:val="00CC53CE"/>
    <w:rsid w:val="00CC581B"/>
    <w:rsid w:val="00CC5E7B"/>
    <w:rsid w:val="00CC5FC0"/>
    <w:rsid w:val="00CC626F"/>
    <w:rsid w:val="00CC6636"/>
    <w:rsid w:val="00CC674E"/>
    <w:rsid w:val="00CC6D1B"/>
    <w:rsid w:val="00CC6D5E"/>
    <w:rsid w:val="00CC6EAF"/>
    <w:rsid w:val="00CC7456"/>
    <w:rsid w:val="00CD0200"/>
    <w:rsid w:val="00CD05C1"/>
    <w:rsid w:val="00CD091A"/>
    <w:rsid w:val="00CD10DD"/>
    <w:rsid w:val="00CD12D7"/>
    <w:rsid w:val="00CD18D1"/>
    <w:rsid w:val="00CD1B57"/>
    <w:rsid w:val="00CD1DCF"/>
    <w:rsid w:val="00CD22ED"/>
    <w:rsid w:val="00CD25A8"/>
    <w:rsid w:val="00CD2859"/>
    <w:rsid w:val="00CD2A5D"/>
    <w:rsid w:val="00CD2C28"/>
    <w:rsid w:val="00CD3729"/>
    <w:rsid w:val="00CD3866"/>
    <w:rsid w:val="00CD3C17"/>
    <w:rsid w:val="00CD3F77"/>
    <w:rsid w:val="00CD4060"/>
    <w:rsid w:val="00CD43EF"/>
    <w:rsid w:val="00CD4E58"/>
    <w:rsid w:val="00CD4F22"/>
    <w:rsid w:val="00CD5370"/>
    <w:rsid w:val="00CD6507"/>
    <w:rsid w:val="00CD6543"/>
    <w:rsid w:val="00CD6899"/>
    <w:rsid w:val="00CD6ADC"/>
    <w:rsid w:val="00CD6E41"/>
    <w:rsid w:val="00CD7193"/>
    <w:rsid w:val="00CD785B"/>
    <w:rsid w:val="00CD793E"/>
    <w:rsid w:val="00CD7E72"/>
    <w:rsid w:val="00CD7F24"/>
    <w:rsid w:val="00CE0110"/>
    <w:rsid w:val="00CE09E6"/>
    <w:rsid w:val="00CE1029"/>
    <w:rsid w:val="00CE169C"/>
    <w:rsid w:val="00CE1D8F"/>
    <w:rsid w:val="00CE2001"/>
    <w:rsid w:val="00CE2147"/>
    <w:rsid w:val="00CE29B1"/>
    <w:rsid w:val="00CE2A44"/>
    <w:rsid w:val="00CE2E98"/>
    <w:rsid w:val="00CE2F65"/>
    <w:rsid w:val="00CE3041"/>
    <w:rsid w:val="00CE30E2"/>
    <w:rsid w:val="00CE347A"/>
    <w:rsid w:val="00CE38C8"/>
    <w:rsid w:val="00CE4140"/>
    <w:rsid w:val="00CE44D0"/>
    <w:rsid w:val="00CE49CE"/>
    <w:rsid w:val="00CE4A92"/>
    <w:rsid w:val="00CE4BBD"/>
    <w:rsid w:val="00CE524F"/>
    <w:rsid w:val="00CE56D1"/>
    <w:rsid w:val="00CE58CC"/>
    <w:rsid w:val="00CE6274"/>
    <w:rsid w:val="00CE6504"/>
    <w:rsid w:val="00CE68E3"/>
    <w:rsid w:val="00CE6AB8"/>
    <w:rsid w:val="00CE6DD8"/>
    <w:rsid w:val="00CE6E39"/>
    <w:rsid w:val="00CE76C9"/>
    <w:rsid w:val="00CE77B6"/>
    <w:rsid w:val="00CE7A3D"/>
    <w:rsid w:val="00CE7A75"/>
    <w:rsid w:val="00CE7C60"/>
    <w:rsid w:val="00CF013E"/>
    <w:rsid w:val="00CF0341"/>
    <w:rsid w:val="00CF05C5"/>
    <w:rsid w:val="00CF08BC"/>
    <w:rsid w:val="00CF1147"/>
    <w:rsid w:val="00CF14DB"/>
    <w:rsid w:val="00CF23FC"/>
    <w:rsid w:val="00CF2B8D"/>
    <w:rsid w:val="00CF2C2D"/>
    <w:rsid w:val="00CF30F9"/>
    <w:rsid w:val="00CF39EA"/>
    <w:rsid w:val="00CF3A1B"/>
    <w:rsid w:val="00CF439A"/>
    <w:rsid w:val="00CF4561"/>
    <w:rsid w:val="00CF4566"/>
    <w:rsid w:val="00CF456B"/>
    <w:rsid w:val="00CF4B9D"/>
    <w:rsid w:val="00CF4C85"/>
    <w:rsid w:val="00CF4DD7"/>
    <w:rsid w:val="00CF4F6A"/>
    <w:rsid w:val="00CF5016"/>
    <w:rsid w:val="00CF50D8"/>
    <w:rsid w:val="00CF5161"/>
    <w:rsid w:val="00CF5772"/>
    <w:rsid w:val="00CF5783"/>
    <w:rsid w:val="00CF5A22"/>
    <w:rsid w:val="00CF6359"/>
    <w:rsid w:val="00CF6837"/>
    <w:rsid w:val="00CF6CC3"/>
    <w:rsid w:val="00CF7078"/>
    <w:rsid w:val="00CF7A4F"/>
    <w:rsid w:val="00CF7AF6"/>
    <w:rsid w:val="00CF7B03"/>
    <w:rsid w:val="00D00245"/>
    <w:rsid w:val="00D003D8"/>
    <w:rsid w:val="00D0090C"/>
    <w:rsid w:val="00D01297"/>
    <w:rsid w:val="00D014A3"/>
    <w:rsid w:val="00D018C8"/>
    <w:rsid w:val="00D01995"/>
    <w:rsid w:val="00D01A33"/>
    <w:rsid w:val="00D01C8C"/>
    <w:rsid w:val="00D01D38"/>
    <w:rsid w:val="00D02006"/>
    <w:rsid w:val="00D0262E"/>
    <w:rsid w:val="00D02CF5"/>
    <w:rsid w:val="00D034B8"/>
    <w:rsid w:val="00D03679"/>
    <w:rsid w:val="00D037C3"/>
    <w:rsid w:val="00D04646"/>
    <w:rsid w:val="00D04894"/>
    <w:rsid w:val="00D0596C"/>
    <w:rsid w:val="00D05A65"/>
    <w:rsid w:val="00D05D41"/>
    <w:rsid w:val="00D05E3D"/>
    <w:rsid w:val="00D06139"/>
    <w:rsid w:val="00D06328"/>
    <w:rsid w:val="00D063F8"/>
    <w:rsid w:val="00D0661D"/>
    <w:rsid w:val="00D06BCF"/>
    <w:rsid w:val="00D06C76"/>
    <w:rsid w:val="00D07091"/>
    <w:rsid w:val="00D0746A"/>
    <w:rsid w:val="00D1064F"/>
    <w:rsid w:val="00D11043"/>
    <w:rsid w:val="00D110BD"/>
    <w:rsid w:val="00D11436"/>
    <w:rsid w:val="00D114E2"/>
    <w:rsid w:val="00D11956"/>
    <w:rsid w:val="00D11B14"/>
    <w:rsid w:val="00D11CC8"/>
    <w:rsid w:val="00D123C8"/>
    <w:rsid w:val="00D12D96"/>
    <w:rsid w:val="00D12DC3"/>
    <w:rsid w:val="00D13041"/>
    <w:rsid w:val="00D130A7"/>
    <w:rsid w:val="00D130FA"/>
    <w:rsid w:val="00D131C4"/>
    <w:rsid w:val="00D131CE"/>
    <w:rsid w:val="00D13434"/>
    <w:rsid w:val="00D13675"/>
    <w:rsid w:val="00D136DE"/>
    <w:rsid w:val="00D13751"/>
    <w:rsid w:val="00D13989"/>
    <w:rsid w:val="00D141E1"/>
    <w:rsid w:val="00D143C8"/>
    <w:rsid w:val="00D151D0"/>
    <w:rsid w:val="00D15314"/>
    <w:rsid w:val="00D15B48"/>
    <w:rsid w:val="00D16246"/>
    <w:rsid w:val="00D16B44"/>
    <w:rsid w:val="00D17226"/>
    <w:rsid w:val="00D17D6C"/>
    <w:rsid w:val="00D20014"/>
    <w:rsid w:val="00D2040F"/>
    <w:rsid w:val="00D206D3"/>
    <w:rsid w:val="00D20993"/>
    <w:rsid w:val="00D20E3A"/>
    <w:rsid w:val="00D21179"/>
    <w:rsid w:val="00D2155B"/>
    <w:rsid w:val="00D216DE"/>
    <w:rsid w:val="00D21D19"/>
    <w:rsid w:val="00D21FA3"/>
    <w:rsid w:val="00D2254C"/>
    <w:rsid w:val="00D2267A"/>
    <w:rsid w:val="00D22DC6"/>
    <w:rsid w:val="00D231E4"/>
    <w:rsid w:val="00D23421"/>
    <w:rsid w:val="00D23D11"/>
    <w:rsid w:val="00D23EF8"/>
    <w:rsid w:val="00D2434F"/>
    <w:rsid w:val="00D244B6"/>
    <w:rsid w:val="00D24B0B"/>
    <w:rsid w:val="00D24B9E"/>
    <w:rsid w:val="00D25229"/>
    <w:rsid w:val="00D25343"/>
    <w:rsid w:val="00D25477"/>
    <w:rsid w:val="00D25489"/>
    <w:rsid w:val="00D265A1"/>
    <w:rsid w:val="00D26B4E"/>
    <w:rsid w:val="00D26CCA"/>
    <w:rsid w:val="00D26F8D"/>
    <w:rsid w:val="00D273DB"/>
    <w:rsid w:val="00D2754D"/>
    <w:rsid w:val="00D2774E"/>
    <w:rsid w:val="00D278D6"/>
    <w:rsid w:val="00D27B27"/>
    <w:rsid w:val="00D30146"/>
    <w:rsid w:val="00D30647"/>
    <w:rsid w:val="00D307C2"/>
    <w:rsid w:val="00D308CB"/>
    <w:rsid w:val="00D30971"/>
    <w:rsid w:val="00D30C87"/>
    <w:rsid w:val="00D30D5B"/>
    <w:rsid w:val="00D3183B"/>
    <w:rsid w:val="00D3249C"/>
    <w:rsid w:val="00D324FC"/>
    <w:rsid w:val="00D32720"/>
    <w:rsid w:val="00D3323D"/>
    <w:rsid w:val="00D33318"/>
    <w:rsid w:val="00D33BE9"/>
    <w:rsid w:val="00D33F93"/>
    <w:rsid w:val="00D34340"/>
    <w:rsid w:val="00D34479"/>
    <w:rsid w:val="00D3467A"/>
    <w:rsid w:val="00D34C9D"/>
    <w:rsid w:val="00D3553D"/>
    <w:rsid w:val="00D357FF"/>
    <w:rsid w:val="00D35A91"/>
    <w:rsid w:val="00D36065"/>
    <w:rsid w:val="00D36A76"/>
    <w:rsid w:val="00D36D4E"/>
    <w:rsid w:val="00D36DF2"/>
    <w:rsid w:val="00D36E9F"/>
    <w:rsid w:val="00D3721A"/>
    <w:rsid w:val="00D376CF"/>
    <w:rsid w:val="00D37AAE"/>
    <w:rsid w:val="00D37B3D"/>
    <w:rsid w:val="00D37F61"/>
    <w:rsid w:val="00D40C55"/>
    <w:rsid w:val="00D40F45"/>
    <w:rsid w:val="00D410E4"/>
    <w:rsid w:val="00D41195"/>
    <w:rsid w:val="00D41208"/>
    <w:rsid w:val="00D4133A"/>
    <w:rsid w:val="00D416A4"/>
    <w:rsid w:val="00D417B9"/>
    <w:rsid w:val="00D42276"/>
    <w:rsid w:val="00D424C7"/>
    <w:rsid w:val="00D42E48"/>
    <w:rsid w:val="00D4334F"/>
    <w:rsid w:val="00D43629"/>
    <w:rsid w:val="00D43B2A"/>
    <w:rsid w:val="00D43CC9"/>
    <w:rsid w:val="00D43CF1"/>
    <w:rsid w:val="00D43D83"/>
    <w:rsid w:val="00D45410"/>
    <w:rsid w:val="00D455C2"/>
    <w:rsid w:val="00D463DE"/>
    <w:rsid w:val="00D46469"/>
    <w:rsid w:val="00D46A11"/>
    <w:rsid w:val="00D46D42"/>
    <w:rsid w:val="00D47575"/>
    <w:rsid w:val="00D47779"/>
    <w:rsid w:val="00D47B14"/>
    <w:rsid w:val="00D50244"/>
    <w:rsid w:val="00D505C1"/>
    <w:rsid w:val="00D50791"/>
    <w:rsid w:val="00D50F81"/>
    <w:rsid w:val="00D5169A"/>
    <w:rsid w:val="00D51C3B"/>
    <w:rsid w:val="00D52001"/>
    <w:rsid w:val="00D521CE"/>
    <w:rsid w:val="00D523D2"/>
    <w:rsid w:val="00D5243B"/>
    <w:rsid w:val="00D52651"/>
    <w:rsid w:val="00D52A03"/>
    <w:rsid w:val="00D52D99"/>
    <w:rsid w:val="00D530A5"/>
    <w:rsid w:val="00D533EC"/>
    <w:rsid w:val="00D537C4"/>
    <w:rsid w:val="00D53C8C"/>
    <w:rsid w:val="00D54765"/>
    <w:rsid w:val="00D54A89"/>
    <w:rsid w:val="00D54B43"/>
    <w:rsid w:val="00D54DA5"/>
    <w:rsid w:val="00D54E38"/>
    <w:rsid w:val="00D555D8"/>
    <w:rsid w:val="00D55C94"/>
    <w:rsid w:val="00D56876"/>
    <w:rsid w:val="00D56A95"/>
    <w:rsid w:val="00D56C1F"/>
    <w:rsid w:val="00D56F7D"/>
    <w:rsid w:val="00D5704E"/>
    <w:rsid w:val="00D57BAE"/>
    <w:rsid w:val="00D600C9"/>
    <w:rsid w:val="00D604ED"/>
    <w:rsid w:val="00D60573"/>
    <w:rsid w:val="00D6076E"/>
    <w:rsid w:val="00D60A9A"/>
    <w:rsid w:val="00D6125A"/>
    <w:rsid w:val="00D61473"/>
    <w:rsid w:val="00D614EF"/>
    <w:rsid w:val="00D61B56"/>
    <w:rsid w:val="00D61D74"/>
    <w:rsid w:val="00D62142"/>
    <w:rsid w:val="00D6287A"/>
    <w:rsid w:val="00D62BD2"/>
    <w:rsid w:val="00D6358B"/>
    <w:rsid w:val="00D63B37"/>
    <w:rsid w:val="00D63CF7"/>
    <w:rsid w:val="00D64E4B"/>
    <w:rsid w:val="00D65381"/>
    <w:rsid w:val="00D65687"/>
    <w:rsid w:val="00D6594A"/>
    <w:rsid w:val="00D65A38"/>
    <w:rsid w:val="00D65A8F"/>
    <w:rsid w:val="00D65DD4"/>
    <w:rsid w:val="00D661F3"/>
    <w:rsid w:val="00D66823"/>
    <w:rsid w:val="00D672E7"/>
    <w:rsid w:val="00D6762E"/>
    <w:rsid w:val="00D67A87"/>
    <w:rsid w:val="00D67BDE"/>
    <w:rsid w:val="00D67C10"/>
    <w:rsid w:val="00D67D8C"/>
    <w:rsid w:val="00D704BB"/>
    <w:rsid w:val="00D707CD"/>
    <w:rsid w:val="00D70B01"/>
    <w:rsid w:val="00D70B3E"/>
    <w:rsid w:val="00D70F01"/>
    <w:rsid w:val="00D70F16"/>
    <w:rsid w:val="00D71B2A"/>
    <w:rsid w:val="00D71FB3"/>
    <w:rsid w:val="00D72147"/>
    <w:rsid w:val="00D7232C"/>
    <w:rsid w:val="00D72617"/>
    <w:rsid w:val="00D72A22"/>
    <w:rsid w:val="00D72E51"/>
    <w:rsid w:val="00D72F57"/>
    <w:rsid w:val="00D7300A"/>
    <w:rsid w:val="00D73049"/>
    <w:rsid w:val="00D73081"/>
    <w:rsid w:val="00D731F4"/>
    <w:rsid w:val="00D733C1"/>
    <w:rsid w:val="00D734CD"/>
    <w:rsid w:val="00D73E78"/>
    <w:rsid w:val="00D73F29"/>
    <w:rsid w:val="00D746DD"/>
    <w:rsid w:val="00D74B49"/>
    <w:rsid w:val="00D74BC6"/>
    <w:rsid w:val="00D7508D"/>
    <w:rsid w:val="00D75272"/>
    <w:rsid w:val="00D753D0"/>
    <w:rsid w:val="00D754E8"/>
    <w:rsid w:val="00D75602"/>
    <w:rsid w:val="00D7565D"/>
    <w:rsid w:val="00D75D1B"/>
    <w:rsid w:val="00D76050"/>
    <w:rsid w:val="00D76A44"/>
    <w:rsid w:val="00D77290"/>
    <w:rsid w:val="00D8046E"/>
    <w:rsid w:val="00D80502"/>
    <w:rsid w:val="00D80817"/>
    <w:rsid w:val="00D809A1"/>
    <w:rsid w:val="00D80B2C"/>
    <w:rsid w:val="00D81000"/>
    <w:rsid w:val="00D81100"/>
    <w:rsid w:val="00D8159A"/>
    <w:rsid w:val="00D815EF"/>
    <w:rsid w:val="00D81949"/>
    <w:rsid w:val="00D81DE9"/>
    <w:rsid w:val="00D81F19"/>
    <w:rsid w:val="00D81F26"/>
    <w:rsid w:val="00D822E2"/>
    <w:rsid w:val="00D82340"/>
    <w:rsid w:val="00D82407"/>
    <w:rsid w:val="00D82537"/>
    <w:rsid w:val="00D83174"/>
    <w:rsid w:val="00D8343C"/>
    <w:rsid w:val="00D83FCE"/>
    <w:rsid w:val="00D843F2"/>
    <w:rsid w:val="00D84F29"/>
    <w:rsid w:val="00D853D4"/>
    <w:rsid w:val="00D85749"/>
    <w:rsid w:val="00D85AE3"/>
    <w:rsid w:val="00D85AF8"/>
    <w:rsid w:val="00D86231"/>
    <w:rsid w:val="00D863F0"/>
    <w:rsid w:val="00D86416"/>
    <w:rsid w:val="00D8648C"/>
    <w:rsid w:val="00D86561"/>
    <w:rsid w:val="00D86829"/>
    <w:rsid w:val="00D87256"/>
    <w:rsid w:val="00D87693"/>
    <w:rsid w:val="00D8793B"/>
    <w:rsid w:val="00D87CBA"/>
    <w:rsid w:val="00D90BA5"/>
    <w:rsid w:val="00D90C01"/>
    <w:rsid w:val="00D9110A"/>
    <w:rsid w:val="00D912AB"/>
    <w:rsid w:val="00D91923"/>
    <w:rsid w:val="00D91ADA"/>
    <w:rsid w:val="00D91F81"/>
    <w:rsid w:val="00D92CCA"/>
    <w:rsid w:val="00D92D48"/>
    <w:rsid w:val="00D933A0"/>
    <w:rsid w:val="00D93753"/>
    <w:rsid w:val="00D93B8C"/>
    <w:rsid w:val="00D94155"/>
    <w:rsid w:val="00D9450B"/>
    <w:rsid w:val="00D94CD9"/>
    <w:rsid w:val="00D9515E"/>
    <w:rsid w:val="00D95533"/>
    <w:rsid w:val="00D95A87"/>
    <w:rsid w:val="00D964CE"/>
    <w:rsid w:val="00D967AE"/>
    <w:rsid w:val="00D967EF"/>
    <w:rsid w:val="00D96AF5"/>
    <w:rsid w:val="00D96BDE"/>
    <w:rsid w:val="00D97093"/>
    <w:rsid w:val="00D9790C"/>
    <w:rsid w:val="00DA0297"/>
    <w:rsid w:val="00DA02BC"/>
    <w:rsid w:val="00DA0497"/>
    <w:rsid w:val="00DA04B9"/>
    <w:rsid w:val="00DA04CD"/>
    <w:rsid w:val="00DA05EE"/>
    <w:rsid w:val="00DA0A8B"/>
    <w:rsid w:val="00DA109A"/>
    <w:rsid w:val="00DA165D"/>
    <w:rsid w:val="00DA16B3"/>
    <w:rsid w:val="00DA1B27"/>
    <w:rsid w:val="00DA1CFA"/>
    <w:rsid w:val="00DA2093"/>
    <w:rsid w:val="00DA253B"/>
    <w:rsid w:val="00DA27B9"/>
    <w:rsid w:val="00DA3122"/>
    <w:rsid w:val="00DA3167"/>
    <w:rsid w:val="00DA35BC"/>
    <w:rsid w:val="00DA36D6"/>
    <w:rsid w:val="00DA380F"/>
    <w:rsid w:val="00DA3A23"/>
    <w:rsid w:val="00DA4590"/>
    <w:rsid w:val="00DA485A"/>
    <w:rsid w:val="00DA4C68"/>
    <w:rsid w:val="00DA4DC3"/>
    <w:rsid w:val="00DA4FDD"/>
    <w:rsid w:val="00DA5B42"/>
    <w:rsid w:val="00DA5BA9"/>
    <w:rsid w:val="00DA5BAC"/>
    <w:rsid w:val="00DA5CED"/>
    <w:rsid w:val="00DA662B"/>
    <w:rsid w:val="00DA6644"/>
    <w:rsid w:val="00DA67AB"/>
    <w:rsid w:val="00DA6960"/>
    <w:rsid w:val="00DA6985"/>
    <w:rsid w:val="00DA6B11"/>
    <w:rsid w:val="00DA76AD"/>
    <w:rsid w:val="00DA77A5"/>
    <w:rsid w:val="00DA7A1B"/>
    <w:rsid w:val="00DB0020"/>
    <w:rsid w:val="00DB021D"/>
    <w:rsid w:val="00DB0485"/>
    <w:rsid w:val="00DB04C5"/>
    <w:rsid w:val="00DB06CD"/>
    <w:rsid w:val="00DB0E36"/>
    <w:rsid w:val="00DB1A72"/>
    <w:rsid w:val="00DB1AA9"/>
    <w:rsid w:val="00DB1EEF"/>
    <w:rsid w:val="00DB1FF6"/>
    <w:rsid w:val="00DB207E"/>
    <w:rsid w:val="00DB35F0"/>
    <w:rsid w:val="00DB35F5"/>
    <w:rsid w:val="00DB3DBF"/>
    <w:rsid w:val="00DB3E1B"/>
    <w:rsid w:val="00DB4177"/>
    <w:rsid w:val="00DB418C"/>
    <w:rsid w:val="00DB484F"/>
    <w:rsid w:val="00DB49FA"/>
    <w:rsid w:val="00DB50B5"/>
    <w:rsid w:val="00DB568F"/>
    <w:rsid w:val="00DB6401"/>
    <w:rsid w:val="00DB6420"/>
    <w:rsid w:val="00DB680E"/>
    <w:rsid w:val="00DB6BE4"/>
    <w:rsid w:val="00DB7384"/>
    <w:rsid w:val="00DC04EB"/>
    <w:rsid w:val="00DC04F6"/>
    <w:rsid w:val="00DC0690"/>
    <w:rsid w:val="00DC0DCA"/>
    <w:rsid w:val="00DC143D"/>
    <w:rsid w:val="00DC150F"/>
    <w:rsid w:val="00DC1D65"/>
    <w:rsid w:val="00DC1F9E"/>
    <w:rsid w:val="00DC2283"/>
    <w:rsid w:val="00DC26B2"/>
    <w:rsid w:val="00DC26B5"/>
    <w:rsid w:val="00DC26BD"/>
    <w:rsid w:val="00DC2757"/>
    <w:rsid w:val="00DC2C25"/>
    <w:rsid w:val="00DC3217"/>
    <w:rsid w:val="00DC34F0"/>
    <w:rsid w:val="00DC38E9"/>
    <w:rsid w:val="00DC3C25"/>
    <w:rsid w:val="00DC3C57"/>
    <w:rsid w:val="00DC4366"/>
    <w:rsid w:val="00DC438C"/>
    <w:rsid w:val="00DC4536"/>
    <w:rsid w:val="00DC4CFA"/>
    <w:rsid w:val="00DC5136"/>
    <w:rsid w:val="00DC52E9"/>
    <w:rsid w:val="00DC54C2"/>
    <w:rsid w:val="00DC5501"/>
    <w:rsid w:val="00DC58BF"/>
    <w:rsid w:val="00DC5A39"/>
    <w:rsid w:val="00DC5BFA"/>
    <w:rsid w:val="00DC5C5A"/>
    <w:rsid w:val="00DC5DE4"/>
    <w:rsid w:val="00DC6174"/>
    <w:rsid w:val="00DC642A"/>
    <w:rsid w:val="00DC64AB"/>
    <w:rsid w:val="00DC6879"/>
    <w:rsid w:val="00DC7154"/>
    <w:rsid w:val="00DC72BB"/>
    <w:rsid w:val="00DC7452"/>
    <w:rsid w:val="00DC747F"/>
    <w:rsid w:val="00DC7A63"/>
    <w:rsid w:val="00DC7A7F"/>
    <w:rsid w:val="00DC7E8A"/>
    <w:rsid w:val="00DC7ED1"/>
    <w:rsid w:val="00DD00FF"/>
    <w:rsid w:val="00DD0E5B"/>
    <w:rsid w:val="00DD0F78"/>
    <w:rsid w:val="00DD154E"/>
    <w:rsid w:val="00DD1BC9"/>
    <w:rsid w:val="00DD1CDE"/>
    <w:rsid w:val="00DD1DDE"/>
    <w:rsid w:val="00DD1EC8"/>
    <w:rsid w:val="00DD264E"/>
    <w:rsid w:val="00DD273C"/>
    <w:rsid w:val="00DD2852"/>
    <w:rsid w:val="00DD2D33"/>
    <w:rsid w:val="00DD30D7"/>
    <w:rsid w:val="00DD373C"/>
    <w:rsid w:val="00DD3A92"/>
    <w:rsid w:val="00DD3D41"/>
    <w:rsid w:val="00DD3E65"/>
    <w:rsid w:val="00DD3F28"/>
    <w:rsid w:val="00DD40EA"/>
    <w:rsid w:val="00DD4446"/>
    <w:rsid w:val="00DD4537"/>
    <w:rsid w:val="00DD4A16"/>
    <w:rsid w:val="00DD4CE8"/>
    <w:rsid w:val="00DD4E01"/>
    <w:rsid w:val="00DD4E15"/>
    <w:rsid w:val="00DD4E48"/>
    <w:rsid w:val="00DD53D0"/>
    <w:rsid w:val="00DD585A"/>
    <w:rsid w:val="00DD59AC"/>
    <w:rsid w:val="00DD5AB9"/>
    <w:rsid w:val="00DD5F1F"/>
    <w:rsid w:val="00DD6847"/>
    <w:rsid w:val="00DD6CCB"/>
    <w:rsid w:val="00DD6D08"/>
    <w:rsid w:val="00DD6E81"/>
    <w:rsid w:val="00DD6F21"/>
    <w:rsid w:val="00DD7634"/>
    <w:rsid w:val="00DD79FD"/>
    <w:rsid w:val="00DD7C4C"/>
    <w:rsid w:val="00DD7C6B"/>
    <w:rsid w:val="00DE0BFE"/>
    <w:rsid w:val="00DE0E18"/>
    <w:rsid w:val="00DE1720"/>
    <w:rsid w:val="00DE2019"/>
    <w:rsid w:val="00DE2111"/>
    <w:rsid w:val="00DE2230"/>
    <w:rsid w:val="00DE22F7"/>
    <w:rsid w:val="00DE2304"/>
    <w:rsid w:val="00DE2544"/>
    <w:rsid w:val="00DE3138"/>
    <w:rsid w:val="00DE3277"/>
    <w:rsid w:val="00DE37DC"/>
    <w:rsid w:val="00DE37F8"/>
    <w:rsid w:val="00DE39B6"/>
    <w:rsid w:val="00DE3D12"/>
    <w:rsid w:val="00DE4273"/>
    <w:rsid w:val="00DE448D"/>
    <w:rsid w:val="00DE46DA"/>
    <w:rsid w:val="00DE4758"/>
    <w:rsid w:val="00DE4833"/>
    <w:rsid w:val="00DE4FAD"/>
    <w:rsid w:val="00DE4FCB"/>
    <w:rsid w:val="00DE524A"/>
    <w:rsid w:val="00DE5282"/>
    <w:rsid w:val="00DE5408"/>
    <w:rsid w:val="00DE550D"/>
    <w:rsid w:val="00DE586E"/>
    <w:rsid w:val="00DE5BD5"/>
    <w:rsid w:val="00DE5CBB"/>
    <w:rsid w:val="00DE5D07"/>
    <w:rsid w:val="00DE65FB"/>
    <w:rsid w:val="00DE72A7"/>
    <w:rsid w:val="00DE73BE"/>
    <w:rsid w:val="00DE7832"/>
    <w:rsid w:val="00DE784F"/>
    <w:rsid w:val="00DE7877"/>
    <w:rsid w:val="00DE78F8"/>
    <w:rsid w:val="00DE7AA7"/>
    <w:rsid w:val="00DE7BB6"/>
    <w:rsid w:val="00DE7EA7"/>
    <w:rsid w:val="00DF001D"/>
    <w:rsid w:val="00DF03B2"/>
    <w:rsid w:val="00DF0AED"/>
    <w:rsid w:val="00DF12C9"/>
    <w:rsid w:val="00DF15EB"/>
    <w:rsid w:val="00DF1778"/>
    <w:rsid w:val="00DF18FC"/>
    <w:rsid w:val="00DF1ADD"/>
    <w:rsid w:val="00DF2125"/>
    <w:rsid w:val="00DF24CB"/>
    <w:rsid w:val="00DF25BD"/>
    <w:rsid w:val="00DF2C9D"/>
    <w:rsid w:val="00DF3229"/>
    <w:rsid w:val="00DF337E"/>
    <w:rsid w:val="00DF37A2"/>
    <w:rsid w:val="00DF3A80"/>
    <w:rsid w:val="00DF3B9A"/>
    <w:rsid w:val="00DF3DC3"/>
    <w:rsid w:val="00DF4082"/>
    <w:rsid w:val="00DF4895"/>
    <w:rsid w:val="00DF4E32"/>
    <w:rsid w:val="00DF56FB"/>
    <w:rsid w:val="00DF5CBE"/>
    <w:rsid w:val="00DF5D2B"/>
    <w:rsid w:val="00DF6276"/>
    <w:rsid w:val="00DF6341"/>
    <w:rsid w:val="00DF688B"/>
    <w:rsid w:val="00DF6989"/>
    <w:rsid w:val="00DF6AE9"/>
    <w:rsid w:val="00DF748D"/>
    <w:rsid w:val="00DF749B"/>
    <w:rsid w:val="00DF74BF"/>
    <w:rsid w:val="00DF752B"/>
    <w:rsid w:val="00DF761D"/>
    <w:rsid w:val="00DF76CB"/>
    <w:rsid w:val="00DF7705"/>
    <w:rsid w:val="00DF7DF4"/>
    <w:rsid w:val="00DF7E04"/>
    <w:rsid w:val="00DF7E1F"/>
    <w:rsid w:val="00E0016C"/>
    <w:rsid w:val="00E007DC"/>
    <w:rsid w:val="00E00E8E"/>
    <w:rsid w:val="00E00F98"/>
    <w:rsid w:val="00E01612"/>
    <w:rsid w:val="00E034D4"/>
    <w:rsid w:val="00E038F7"/>
    <w:rsid w:val="00E03AE5"/>
    <w:rsid w:val="00E03DED"/>
    <w:rsid w:val="00E043C8"/>
    <w:rsid w:val="00E04549"/>
    <w:rsid w:val="00E0492B"/>
    <w:rsid w:val="00E049CE"/>
    <w:rsid w:val="00E04BA6"/>
    <w:rsid w:val="00E0516B"/>
    <w:rsid w:val="00E05630"/>
    <w:rsid w:val="00E05A0A"/>
    <w:rsid w:val="00E06DBB"/>
    <w:rsid w:val="00E06E7A"/>
    <w:rsid w:val="00E10058"/>
    <w:rsid w:val="00E10149"/>
    <w:rsid w:val="00E10D57"/>
    <w:rsid w:val="00E10EBE"/>
    <w:rsid w:val="00E1106E"/>
    <w:rsid w:val="00E110BD"/>
    <w:rsid w:val="00E111E0"/>
    <w:rsid w:val="00E11340"/>
    <w:rsid w:val="00E11486"/>
    <w:rsid w:val="00E118EB"/>
    <w:rsid w:val="00E119FB"/>
    <w:rsid w:val="00E122A1"/>
    <w:rsid w:val="00E12E4C"/>
    <w:rsid w:val="00E13B45"/>
    <w:rsid w:val="00E13B53"/>
    <w:rsid w:val="00E13B76"/>
    <w:rsid w:val="00E14662"/>
    <w:rsid w:val="00E1478A"/>
    <w:rsid w:val="00E14E47"/>
    <w:rsid w:val="00E14FD4"/>
    <w:rsid w:val="00E1525A"/>
    <w:rsid w:val="00E1531C"/>
    <w:rsid w:val="00E15BA6"/>
    <w:rsid w:val="00E15DEA"/>
    <w:rsid w:val="00E15F49"/>
    <w:rsid w:val="00E16372"/>
    <w:rsid w:val="00E164E8"/>
    <w:rsid w:val="00E16AD8"/>
    <w:rsid w:val="00E16B3C"/>
    <w:rsid w:val="00E16B41"/>
    <w:rsid w:val="00E172B8"/>
    <w:rsid w:val="00E179F9"/>
    <w:rsid w:val="00E17A5F"/>
    <w:rsid w:val="00E17A6A"/>
    <w:rsid w:val="00E17FFA"/>
    <w:rsid w:val="00E20071"/>
    <w:rsid w:val="00E209A6"/>
    <w:rsid w:val="00E20E4D"/>
    <w:rsid w:val="00E20ED6"/>
    <w:rsid w:val="00E21358"/>
    <w:rsid w:val="00E21AF2"/>
    <w:rsid w:val="00E2249B"/>
    <w:rsid w:val="00E22696"/>
    <w:rsid w:val="00E22A0D"/>
    <w:rsid w:val="00E22C47"/>
    <w:rsid w:val="00E22E0B"/>
    <w:rsid w:val="00E24466"/>
    <w:rsid w:val="00E244C6"/>
    <w:rsid w:val="00E244F6"/>
    <w:rsid w:val="00E2463F"/>
    <w:rsid w:val="00E24807"/>
    <w:rsid w:val="00E24C3A"/>
    <w:rsid w:val="00E24FEB"/>
    <w:rsid w:val="00E250CC"/>
    <w:rsid w:val="00E251DE"/>
    <w:rsid w:val="00E25415"/>
    <w:rsid w:val="00E2582E"/>
    <w:rsid w:val="00E258DB"/>
    <w:rsid w:val="00E260A5"/>
    <w:rsid w:val="00E2640A"/>
    <w:rsid w:val="00E2675F"/>
    <w:rsid w:val="00E26C0F"/>
    <w:rsid w:val="00E2771E"/>
    <w:rsid w:val="00E2779F"/>
    <w:rsid w:val="00E27F5D"/>
    <w:rsid w:val="00E3004D"/>
    <w:rsid w:val="00E30397"/>
    <w:rsid w:val="00E30485"/>
    <w:rsid w:val="00E306C0"/>
    <w:rsid w:val="00E308FC"/>
    <w:rsid w:val="00E311EF"/>
    <w:rsid w:val="00E31377"/>
    <w:rsid w:val="00E31A2C"/>
    <w:rsid w:val="00E31C1F"/>
    <w:rsid w:val="00E31D66"/>
    <w:rsid w:val="00E32180"/>
    <w:rsid w:val="00E322E4"/>
    <w:rsid w:val="00E32A1F"/>
    <w:rsid w:val="00E32BE4"/>
    <w:rsid w:val="00E33560"/>
    <w:rsid w:val="00E338A4"/>
    <w:rsid w:val="00E34331"/>
    <w:rsid w:val="00E34948"/>
    <w:rsid w:val="00E34EB3"/>
    <w:rsid w:val="00E34FF6"/>
    <w:rsid w:val="00E35007"/>
    <w:rsid w:val="00E355B5"/>
    <w:rsid w:val="00E35887"/>
    <w:rsid w:val="00E35C0D"/>
    <w:rsid w:val="00E35C71"/>
    <w:rsid w:val="00E35EDE"/>
    <w:rsid w:val="00E361DD"/>
    <w:rsid w:val="00E365F9"/>
    <w:rsid w:val="00E369B2"/>
    <w:rsid w:val="00E36D54"/>
    <w:rsid w:val="00E36F26"/>
    <w:rsid w:val="00E370B7"/>
    <w:rsid w:val="00E3732A"/>
    <w:rsid w:val="00E37569"/>
    <w:rsid w:val="00E37839"/>
    <w:rsid w:val="00E378D4"/>
    <w:rsid w:val="00E37CE4"/>
    <w:rsid w:val="00E37DBA"/>
    <w:rsid w:val="00E401B2"/>
    <w:rsid w:val="00E404E9"/>
    <w:rsid w:val="00E40AA4"/>
    <w:rsid w:val="00E40B60"/>
    <w:rsid w:val="00E40C4F"/>
    <w:rsid w:val="00E40FBA"/>
    <w:rsid w:val="00E4120D"/>
    <w:rsid w:val="00E41424"/>
    <w:rsid w:val="00E414B3"/>
    <w:rsid w:val="00E41983"/>
    <w:rsid w:val="00E41AE5"/>
    <w:rsid w:val="00E41C0F"/>
    <w:rsid w:val="00E41E30"/>
    <w:rsid w:val="00E420D5"/>
    <w:rsid w:val="00E425C1"/>
    <w:rsid w:val="00E42755"/>
    <w:rsid w:val="00E427E6"/>
    <w:rsid w:val="00E4281B"/>
    <w:rsid w:val="00E4282C"/>
    <w:rsid w:val="00E428F8"/>
    <w:rsid w:val="00E42F73"/>
    <w:rsid w:val="00E4302A"/>
    <w:rsid w:val="00E430F0"/>
    <w:rsid w:val="00E431C0"/>
    <w:rsid w:val="00E43749"/>
    <w:rsid w:val="00E43C52"/>
    <w:rsid w:val="00E43D70"/>
    <w:rsid w:val="00E43E8F"/>
    <w:rsid w:val="00E44156"/>
    <w:rsid w:val="00E45285"/>
    <w:rsid w:val="00E4557A"/>
    <w:rsid w:val="00E45952"/>
    <w:rsid w:val="00E45C95"/>
    <w:rsid w:val="00E45F1D"/>
    <w:rsid w:val="00E4631A"/>
    <w:rsid w:val="00E46386"/>
    <w:rsid w:val="00E463D8"/>
    <w:rsid w:val="00E4645D"/>
    <w:rsid w:val="00E466F3"/>
    <w:rsid w:val="00E46B5A"/>
    <w:rsid w:val="00E46F7F"/>
    <w:rsid w:val="00E4722D"/>
    <w:rsid w:val="00E47A97"/>
    <w:rsid w:val="00E47B2C"/>
    <w:rsid w:val="00E47E23"/>
    <w:rsid w:val="00E50388"/>
    <w:rsid w:val="00E508D4"/>
    <w:rsid w:val="00E508DD"/>
    <w:rsid w:val="00E50BB4"/>
    <w:rsid w:val="00E50E6F"/>
    <w:rsid w:val="00E513A2"/>
    <w:rsid w:val="00E51560"/>
    <w:rsid w:val="00E51821"/>
    <w:rsid w:val="00E51E8F"/>
    <w:rsid w:val="00E52871"/>
    <w:rsid w:val="00E52A6E"/>
    <w:rsid w:val="00E53176"/>
    <w:rsid w:val="00E531A2"/>
    <w:rsid w:val="00E53254"/>
    <w:rsid w:val="00E5375F"/>
    <w:rsid w:val="00E5378B"/>
    <w:rsid w:val="00E53FC8"/>
    <w:rsid w:val="00E54347"/>
    <w:rsid w:val="00E543B1"/>
    <w:rsid w:val="00E54867"/>
    <w:rsid w:val="00E5489D"/>
    <w:rsid w:val="00E54AEB"/>
    <w:rsid w:val="00E54C1D"/>
    <w:rsid w:val="00E54E0B"/>
    <w:rsid w:val="00E55008"/>
    <w:rsid w:val="00E55164"/>
    <w:rsid w:val="00E551FA"/>
    <w:rsid w:val="00E55424"/>
    <w:rsid w:val="00E55915"/>
    <w:rsid w:val="00E55BB5"/>
    <w:rsid w:val="00E56143"/>
    <w:rsid w:val="00E566B6"/>
    <w:rsid w:val="00E57618"/>
    <w:rsid w:val="00E5762E"/>
    <w:rsid w:val="00E57767"/>
    <w:rsid w:val="00E57FDC"/>
    <w:rsid w:val="00E607B6"/>
    <w:rsid w:val="00E60A5E"/>
    <w:rsid w:val="00E611DF"/>
    <w:rsid w:val="00E61516"/>
    <w:rsid w:val="00E61660"/>
    <w:rsid w:val="00E61791"/>
    <w:rsid w:val="00E618C5"/>
    <w:rsid w:val="00E620DA"/>
    <w:rsid w:val="00E62A11"/>
    <w:rsid w:val="00E62D6A"/>
    <w:rsid w:val="00E62DF6"/>
    <w:rsid w:val="00E62FCD"/>
    <w:rsid w:val="00E62FF2"/>
    <w:rsid w:val="00E6334A"/>
    <w:rsid w:val="00E6364E"/>
    <w:rsid w:val="00E64500"/>
    <w:rsid w:val="00E645B0"/>
    <w:rsid w:val="00E6507C"/>
    <w:rsid w:val="00E6537B"/>
    <w:rsid w:val="00E6582B"/>
    <w:rsid w:val="00E6587A"/>
    <w:rsid w:val="00E65AC3"/>
    <w:rsid w:val="00E65BD3"/>
    <w:rsid w:val="00E65E79"/>
    <w:rsid w:val="00E6640B"/>
    <w:rsid w:val="00E66431"/>
    <w:rsid w:val="00E6655C"/>
    <w:rsid w:val="00E66BA2"/>
    <w:rsid w:val="00E66D77"/>
    <w:rsid w:val="00E670CD"/>
    <w:rsid w:val="00E67341"/>
    <w:rsid w:val="00E67416"/>
    <w:rsid w:val="00E67801"/>
    <w:rsid w:val="00E67F00"/>
    <w:rsid w:val="00E70056"/>
    <w:rsid w:val="00E7048F"/>
    <w:rsid w:val="00E7062D"/>
    <w:rsid w:val="00E709D3"/>
    <w:rsid w:val="00E70D69"/>
    <w:rsid w:val="00E715DE"/>
    <w:rsid w:val="00E718B6"/>
    <w:rsid w:val="00E71CCB"/>
    <w:rsid w:val="00E71D6A"/>
    <w:rsid w:val="00E71E45"/>
    <w:rsid w:val="00E7218E"/>
    <w:rsid w:val="00E723BA"/>
    <w:rsid w:val="00E72759"/>
    <w:rsid w:val="00E729EB"/>
    <w:rsid w:val="00E72EA5"/>
    <w:rsid w:val="00E73509"/>
    <w:rsid w:val="00E73580"/>
    <w:rsid w:val="00E73581"/>
    <w:rsid w:val="00E73A9B"/>
    <w:rsid w:val="00E73D71"/>
    <w:rsid w:val="00E73FC2"/>
    <w:rsid w:val="00E74595"/>
    <w:rsid w:val="00E74D13"/>
    <w:rsid w:val="00E750C0"/>
    <w:rsid w:val="00E7560F"/>
    <w:rsid w:val="00E75B0B"/>
    <w:rsid w:val="00E75D9F"/>
    <w:rsid w:val="00E76012"/>
    <w:rsid w:val="00E76CC6"/>
    <w:rsid w:val="00E76CD1"/>
    <w:rsid w:val="00E77832"/>
    <w:rsid w:val="00E77DD7"/>
    <w:rsid w:val="00E801AA"/>
    <w:rsid w:val="00E80209"/>
    <w:rsid w:val="00E803CE"/>
    <w:rsid w:val="00E8059D"/>
    <w:rsid w:val="00E80669"/>
    <w:rsid w:val="00E806A3"/>
    <w:rsid w:val="00E8071C"/>
    <w:rsid w:val="00E81429"/>
    <w:rsid w:val="00E81506"/>
    <w:rsid w:val="00E81913"/>
    <w:rsid w:val="00E81D77"/>
    <w:rsid w:val="00E81F27"/>
    <w:rsid w:val="00E833F7"/>
    <w:rsid w:val="00E835CB"/>
    <w:rsid w:val="00E837BD"/>
    <w:rsid w:val="00E83BDF"/>
    <w:rsid w:val="00E844F2"/>
    <w:rsid w:val="00E8467F"/>
    <w:rsid w:val="00E8470D"/>
    <w:rsid w:val="00E84959"/>
    <w:rsid w:val="00E84C92"/>
    <w:rsid w:val="00E84DD5"/>
    <w:rsid w:val="00E84EBE"/>
    <w:rsid w:val="00E85157"/>
    <w:rsid w:val="00E85188"/>
    <w:rsid w:val="00E855A5"/>
    <w:rsid w:val="00E85ABE"/>
    <w:rsid w:val="00E85D58"/>
    <w:rsid w:val="00E86B87"/>
    <w:rsid w:val="00E86C88"/>
    <w:rsid w:val="00E86EC4"/>
    <w:rsid w:val="00E86FCC"/>
    <w:rsid w:val="00E87202"/>
    <w:rsid w:val="00E8782D"/>
    <w:rsid w:val="00E87A1D"/>
    <w:rsid w:val="00E87A86"/>
    <w:rsid w:val="00E9033F"/>
    <w:rsid w:val="00E90882"/>
    <w:rsid w:val="00E9094A"/>
    <w:rsid w:val="00E90A0A"/>
    <w:rsid w:val="00E90BE9"/>
    <w:rsid w:val="00E91372"/>
    <w:rsid w:val="00E91379"/>
    <w:rsid w:val="00E91444"/>
    <w:rsid w:val="00E91552"/>
    <w:rsid w:val="00E91723"/>
    <w:rsid w:val="00E91C43"/>
    <w:rsid w:val="00E91D35"/>
    <w:rsid w:val="00E926A5"/>
    <w:rsid w:val="00E92F63"/>
    <w:rsid w:val="00E938C5"/>
    <w:rsid w:val="00E93CF3"/>
    <w:rsid w:val="00E93FBA"/>
    <w:rsid w:val="00E94468"/>
    <w:rsid w:val="00E948BE"/>
    <w:rsid w:val="00E94CB2"/>
    <w:rsid w:val="00E94E5D"/>
    <w:rsid w:val="00E9529A"/>
    <w:rsid w:val="00E9548F"/>
    <w:rsid w:val="00E95A4B"/>
    <w:rsid w:val="00E95A5C"/>
    <w:rsid w:val="00E960C3"/>
    <w:rsid w:val="00E9618E"/>
    <w:rsid w:val="00E962CC"/>
    <w:rsid w:val="00E96391"/>
    <w:rsid w:val="00E9681F"/>
    <w:rsid w:val="00E96855"/>
    <w:rsid w:val="00E96931"/>
    <w:rsid w:val="00E96975"/>
    <w:rsid w:val="00E96B8F"/>
    <w:rsid w:val="00E96DE6"/>
    <w:rsid w:val="00E97308"/>
    <w:rsid w:val="00EA02FF"/>
    <w:rsid w:val="00EA03BF"/>
    <w:rsid w:val="00EA03F0"/>
    <w:rsid w:val="00EA07C1"/>
    <w:rsid w:val="00EA0C7B"/>
    <w:rsid w:val="00EA0F2B"/>
    <w:rsid w:val="00EA11A5"/>
    <w:rsid w:val="00EA17C3"/>
    <w:rsid w:val="00EA1819"/>
    <w:rsid w:val="00EA1F9F"/>
    <w:rsid w:val="00EA2275"/>
    <w:rsid w:val="00EA2CAA"/>
    <w:rsid w:val="00EA2E5D"/>
    <w:rsid w:val="00EA346F"/>
    <w:rsid w:val="00EA3864"/>
    <w:rsid w:val="00EA40EF"/>
    <w:rsid w:val="00EA4342"/>
    <w:rsid w:val="00EA48D3"/>
    <w:rsid w:val="00EA48DB"/>
    <w:rsid w:val="00EA4C43"/>
    <w:rsid w:val="00EA4E02"/>
    <w:rsid w:val="00EA564B"/>
    <w:rsid w:val="00EA5BDC"/>
    <w:rsid w:val="00EA5DBF"/>
    <w:rsid w:val="00EA5FED"/>
    <w:rsid w:val="00EA6087"/>
    <w:rsid w:val="00EA6521"/>
    <w:rsid w:val="00EA6622"/>
    <w:rsid w:val="00EA66D6"/>
    <w:rsid w:val="00EA673D"/>
    <w:rsid w:val="00EA72FD"/>
    <w:rsid w:val="00EA7333"/>
    <w:rsid w:val="00EA7BAC"/>
    <w:rsid w:val="00EA7C6F"/>
    <w:rsid w:val="00EA7F1C"/>
    <w:rsid w:val="00EB00A2"/>
    <w:rsid w:val="00EB15B6"/>
    <w:rsid w:val="00EB1776"/>
    <w:rsid w:val="00EB1A31"/>
    <w:rsid w:val="00EB1B04"/>
    <w:rsid w:val="00EB2721"/>
    <w:rsid w:val="00EB2C58"/>
    <w:rsid w:val="00EB36FE"/>
    <w:rsid w:val="00EB3A9E"/>
    <w:rsid w:val="00EB3CD7"/>
    <w:rsid w:val="00EB3D06"/>
    <w:rsid w:val="00EB4916"/>
    <w:rsid w:val="00EB4EF1"/>
    <w:rsid w:val="00EB5721"/>
    <w:rsid w:val="00EB59CE"/>
    <w:rsid w:val="00EB66CA"/>
    <w:rsid w:val="00EB66E3"/>
    <w:rsid w:val="00EB66F7"/>
    <w:rsid w:val="00EB6738"/>
    <w:rsid w:val="00EB6799"/>
    <w:rsid w:val="00EB6DD4"/>
    <w:rsid w:val="00EB6F1B"/>
    <w:rsid w:val="00EB6FFE"/>
    <w:rsid w:val="00EB708E"/>
    <w:rsid w:val="00EB7287"/>
    <w:rsid w:val="00EB77C2"/>
    <w:rsid w:val="00EB77DE"/>
    <w:rsid w:val="00EB7E8B"/>
    <w:rsid w:val="00EC0044"/>
    <w:rsid w:val="00EC00C9"/>
    <w:rsid w:val="00EC0191"/>
    <w:rsid w:val="00EC09C5"/>
    <w:rsid w:val="00EC0BC4"/>
    <w:rsid w:val="00EC0DD9"/>
    <w:rsid w:val="00EC1033"/>
    <w:rsid w:val="00EC103E"/>
    <w:rsid w:val="00EC135E"/>
    <w:rsid w:val="00EC1445"/>
    <w:rsid w:val="00EC2369"/>
    <w:rsid w:val="00EC2649"/>
    <w:rsid w:val="00EC295C"/>
    <w:rsid w:val="00EC31ED"/>
    <w:rsid w:val="00EC34FE"/>
    <w:rsid w:val="00EC37B6"/>
    <w:rsid w:val="00EC37BD"/>
    <w:rsid w:val="00EC3D76"/>
    <w:rsid w:val="00EC4362"/>
    <w:rsid w:val="00EC443B"/>
    <w:rsid w:val="00EC47C1"/>
    <w:rsid w:val="00EC4B35"/>
    <w:rsid w:val="00EC4C5A"/>
    <w:rsid w:val="00EC4ED4"/>
    <w:rsid w:val="00EC5014"/>
    <w:rsid w:val="00EC50E4"/>
    <w:rsid w:val="00EC5178"/>
    <w:rsid w:val="00EC5560"/>
    <w:rsid w:val="00EC5836"/>
    <w:rsid w:val="00EC58D7"/>
    <w:rsid w:val="00EC5AB5"/>
    <w:rsid w:val="00EC688C"/>
    <w:rsid w:val="00EC7097"/>
    <w:rsid w:val="00EC70FB"/>
    <w:rsid w:val="00EC7390"/>
    <w:rsid w:val="00EC7FEF"/>
    <w:rsid w:val="00ED014D"/>
    <w:rsid w:val="00ED0B6F"/>
    <w:rsid w:val="00ED12E3"/>
    <w:rsid w:val="00ED1891"/>
    <w:rsid w:val="00ED22C4"/>
    <w:rsid w:val="00ED23FE"/>
    <w:rsid w:val="00ED2B0C"/>
    <w:rsid w:val="00ED2CCC"/>
    <w:rsid w:val="00ED2DD3"/>
    <w:rsid w:val="00ED2F9B"/>
    <w:rsid w:val="00ED3112"/>
    <w:rsid w:val="00ED31DB"/>
    <w:rsid w:val="00ED3BD3"/>
    <w:rsid w:val="00ED4B04"/>
    <w:rsid w:val="00ED4CEF"/>
    <w:rsid w:val="00ED57EA"/>
    <w:rsid w:val="00ED59F1"/>
    <w:rsid w:val="00ED5BD4"/>
    <w:rsid w:val="00ED5D94"/>
    <w:rsid w:val="00ED5EEB"/>
    <w:rsid w:val="00ED6A53"/>
    <w:rsid w:val="00ED6ABC"/>
    <w:rsid w:val="00ED6FAB"/>
    <w:rsid w:val="00ED76BF"/>
    <w:rsid w:val="00ED7A3D"/>
    <w:rsid w:val="00ED7E2B"/>
    <w:rsid w:val="00EE07D3"/>
    <w:rsid w:val="00EE07F9"/>
    <w:rsid w:val="00EE0AF3"/>
    <w:rsid w:val="00EE0C52"/>
    <w:rsid w:val="00EE0D1A"/>
    <w:rsid w:val="00EE0FFA"/>
    <w:rsid w:val="00EE11A1"/>
    <w:rsid w:val="00EE18E3"/>
    <w:rsid w:val="00EE1914"/>
    <w:rsid w:val="00EE1922"/>
    <w:rsid w:val="00EE1996"/>
    <w:rsid w:val="00EE1B56"/>
    <w:rsid w:val="00EE1C01"/>
    <w:rsid w:val="00EE22AF"/>
    <w:rsid w:val="00EE26AC"/>
    <w:rsid w:val="00EE2D06"/>
    <w:rsid w:val="00EE2D48"/>
    <w:rsid w:val="00EE30E0"/>
    <w:rsid w:val="00EE4851"/>
    <w:rsid w:val="00EE49A4"/>
    <w:rsid w:val="00EE4CE2"/>
    <w:rsid w:val="00EE4F03"/>
    <w:rsid w:val="00EE504D"/>
    <w:rsid w:val="00EE523D"/>
    <w:rsid w:val="00EE5546"/>
    <w:rsid w:val="00EE5566"/>
    <w:rsid w:val="00EE6038"/>
    <w:rsid w:val="00EE6167"/>
    <w:rsid w:val="00EE63B9"/>
    <w:rsid w:val="00EE6A43"/>
    <w:rsid w:val="00EE6ED2"/>
    <w:rsid w:val="00EE753D"/>
    <w:rsid w:val="00EE7788"/>
    <w:rsid w:val="00EE779A"/>
    <w:rsid w:val="00EE7AF3"/>
    <w:rsid w:val="00EE7CD3"/>
    <w:rsid w:val="00EE7E48"/>
    <w:rsid w:val="00EF0171"/>
    <w:rsid w:val="00EF0706"/>
    <w:rsid w:val="00EF0A5B"/>
    <w:rsid w:val="00EF1B25"/>
    <w:rsid w:val="00EF1BBC"/>
    <w:rsid w:val="00EF1DA0"/>
    <w:rsid w:val="00EF2219"/>
    <w:rsid w:val="00EF26EB"/>
    <w:rsid w:val="00EF2966"/>
    <w:rsid w:val="00EF29D2"/>
    <w:rsid w:val="00EF2FA0"/>
    <w:rsid w:val="00EF30EC"/>
    <w:rsid w:val="00EF32BB"/>
    <w:rsid w:val="00EF3527"/>
    <w:rsid w:val="00EF3C43"/>
    <w:rsid w:val="00EF3D2C"/>
    <w:rsid w:val="00EF4747"/>
    <w:rsid w:val="00EF4765"/>
    <w:rsid w:val="00EF4BF8"/>
    <w:rsid w:val="00EF4D37"/>
    <w:rsid w:val="00EF4D92"/>
    <w:rsid w:val="00EF5192"/>
    <w:rsid w:val="00EF5CA6"/>
    <w:rsid w:val="00EF5D63"/>
    <w:rsid w:val="00EF5F96"/>
    <w:rsid w:val="00EF6D53"/>
    <w:rsid w:val="00EF729B"/>
    <w:rsid w:val="00EF766B"/>
    <w:rsid w:val="00F00236"/>
    <w:rsid w:val="00F00868"/>
    <w:rsid w:val="00F00899"/>
    <w:rsid w:val="00F00928"/>
    <w:rsid w:val="00F01137"/>
    <w:rsid w:val="00F01925"/>
    <w:rsid w:val="00F01E7E"/>
    <w:rsid w:val="00F02253"/>
    <w:rsid w:val="00F02866"/>
    <w:rsid w:val="00F02A6E"/>
    <w:rsid w:val="00F02A9B"/>
    <w:rsid w:val="00F02C91"/>
    <w:rsid w:val="00F02F37"/>
    <w:rsid w:val="00F02FCB"/>
    <w:rsid w:val="00F033DF"/>
    <w:rsid w:val="00F034EF"/>
    <w:rsid w:val="00F03C2E"/>
    <w:rsid w:val="00F03EC0"/>
    <w:rsid w:val="00F04A34"/>
    <w:rsid w:val="00F04A66"/>
    <w:rsid w:val="00F04B26"/>
    <w:rsid w:val="00F04B4B"/>
    <w:rsid w:val="00F04BE2"/>
    <w:rsid w:val="00F04C85"/>
    <w:rsid w:val="00F04D40"/>
    <w:rsid w:val="00F04DD0"/>
    <w:rsid w:val="00F0516C"/>
    <w:rsid w:val="00F0525E"/>
    <w:rsid w:val="00F05BA2"/>
    <w:rsid w:val="00F063C7"/>
    <w:rsid w:val="00F067A2"/>
    <w:rsid w:val="00F067C4"/>
    <w:rsid w:val="00F07B9E"/>
    <w:rsid w:val="00F07E0C"/>
    <w:rsid w:val="00F07E19"/>
    <w:rsid w:val="00F07EFE"/>
    <w:rsid w:val="00F105BF"/>
    <w:rsid w:val="00F10854"/>
    <w:rsid w:val="00F1089A"/>
    <w:rsid w:val="00F10BB9"/>
    <w:rsid w:val="00F1107C"/>
    <w:rsid w:val="00F1116F"/>
    <w:rsid w:val="00F113DB"/>
    <w:rsid w:val="00F114EC"/>
    <w:rsid w:val="00F11C59"/>
    <w:rsid w:val="00F1263A"/>
    <w:rsid w:val="00F13655"/>
    <w:rsid w:val="00F139C5"/>
    <w:rsid w:val="00F13F73"/>
    <w:rsid w:val="00F14DC3"/>
    <w:rsid w:val="00F15B77"/>
    <w:rsid w:val="00F15F1F"/>
    <w:rsid w:val="00F160D0"/>
    <w:rsid w:val="00F1698F"/>
    <w:rsid w:val="00F16AE8"/>
    <w:rsid w:val="00F172EE"/>
    <w:rsid w:val="00F17603"/>
    <w:rsid w:val="00F17A96"/>
    <w:rsid w:val="00F17C43"/>
    <w:rsid w:val="00F20118"/>
    <w:rsid w:val="00F203CF"/>
    <w:rsid w:val="00F20B41"/>
    <w:rsid w:val="00F20CBB"/>
    <w:rsid w:val="00F20F33"/>
    <w:rsid w:val="00F21236"/>
    <w:rsid w:val="00F215A0"/>
    <w:rsid w:val="00F22181"/>
    <w:rsid w:val="00F223F8"/>
    <w:rsid w:val="00F227D1"/>
    <w:rsid w:val="00F2289C"/>
    <w:rsid w:val="00F22999"/>
    <w:rsid w:val="00F22E6E"/>
    <w:rsid w:val="00F22EB4"/>
    <w:rsid w:val="00F231F8"/>
    <w:rsid w:val="00F233A5"/>
    <w:rsid w:val="00F233EE"/>
    <w:rsid w:val="00F234F9"/>
    <w:rsid w:val="00F23636"/>
    <w:rsid w:val="00F239DF"/>
    <w:rsid w:val="00F23B7F"/>
    <w:rsid w:val="00F23C41"/>
    <w:rsid w:val="00F23CE5"/>
    <w:rsid w:val="00F23E9C"/>
    <w:rsid w:val="00F2418F"/>
    <w:rsid w:val="00F24447"/>
    <w:rsid w:val="00F247F7"/>
    <w:rsid w:val="00F24837"/>
    <w:rsid w:val="00F24921"/>
    <w:rsid w:val="00F24B28"/>
    <w:rsid w:val="00F2575F"/>
    <w:rsid w:val="00F25A27"/>
    <w:rsid w:val="00F25A3E"/>
    <w:rsid w:val="00F25CC3"/>
    <w:rsid w:val="00F26051"/>
    <w:rsid w:val="00F26354"/>
    <w:rsid w:val="00F267BF"/>
    <w:rsid w:val="00F27085"/>
    <w:rsid w:val="00F27113"/>
    <w:rsid w:val="00F27565"/>
    <w:rsid w:val="00F275BC"/>
    <w:rsid w:val="00F279B5"/>
    <w:rsid w:val="00F27CAD"/>
    <w:rsid w:val="00F27DB9"/>
    <w:rsid w:val="00F27EB1"/>
    <w:rsid w:val="00F3011C"/>
    <w:rsid w:val="00F310D4"/>
    <w:rsid w:val="00F3158D"/>
    <w:rsid w:val="00F31D5A"/>
    <w:rsid w:val="00F31DAD"/>
    <w:rsid w:val="00F3215A"/>
    <w:rsid w:val="00F3235D"/>
    <w:rsid w:val="00F32AAB"/>
    <w:rsid w:val="00F33170"/>
    <w:rsid w:val="00F3338C"/>
    <w:rsid w:val="00F333F3"/>
    <w:rsid w:val="00F335E0"/>
    <w:rsid w:val="00F33975"/>
    <w:rsid w:val="00F339DF"/>
    <w:rsid w:val="00F33DE9"/>
    <w:rsid w:val="00F33E42"/>
    <w:rsid w:val="00F33EF3"/>
    <w:rsid w:val="00F34390"/>
    <w:rsid w:val="00F34435"/>
    <w:rsid w:val="00F344E9"/>
    <w:rsid w:val="00F35B77"/>
    <w:rsid w:val="00F35E6D"/>
    <w:rsid w:val="00F3619A"/>
    <w:rsid w:val="00F36974"/>
    <w:rsid w:val="00F37503"/>
    <w:rsid w:val="00F375F1"/>
    <w:rsid w:val="00F37725"/>
    <w:rsid w:val="00F3776F"/>
    <w:rsid w:val="00F37888"/>
    <w:rsid w:val="00F400B1"/>
    <w:rsid w:val="00F401AE"/>
    <w:rsid w:val="00F40220"/>
    <w:rsid w:val="00F40417"/>
    <w:rsid w:val="00F40A82"/>
    <w:rsid w:val="00F40AAA"/>
    <w:rsid w:val="00F40BA7"/>
    <w:rsid w:val="00F40D1D"/>
    <w:rsid w:val="00F40F9D"/>
    <w:rsid w:val="00F41ACD"/>
    <w:rsid w:val="00F42D39"/>
    <w:rsid w:val="00F43613"/>
    <w:rsid w:val="00F43C95"/>
    <w:rsid w:val="00F43DD7"/>
    <w:rsid w:val="00F44159"/>
    <w:rsid w:val="00F442B6"/>
    <w:rsid w:val="00F4466A"/>
    <w:rsid w:val="00F44CA0"/>
    <w:rsid w:val="00F451F2"/>
    <w:rsid w:val="00F45375"/>
    <w:rsid w:val="00F459D3"/>
    <w:rsid w:val="00F45D63"/>
    <w:rsid w:val="00F46530"/>
    <w:rsid w:val="00F466D3"/>
    <w:rsid w:val="00F46CB6"/>
    <w:rsid w:val="00F47093"/>
    <w:rsid w:val="00F4756D"/>
    <w:rsid w:val="00F475F5"/>
    <w:rsid w:val="00F47DE8"/>
    <w:rsid w:val="00F47E65"/>
    <w:rsid w:val="00F5083A"/>
    <w:rsid w:val="00F50A90"/>
    <w:rsid w:val="00F5214B"/>
    <w:rsid w:val="00F5253B"/>
    <w:rsid w:val="00F52722"/>
    <w:rsid w:val="00F52791"/>
    <w:rsid w:val="00F52ACF"/>
    <w:rsid w:val="00F534B1"/>
    <w:rsid w:val="00F53A54"/>
    <w:rsid w:val="00F53B76"/>
    <w:rsid w:val="00F53BFB"/>
    <w:rsid w:val="00F542C1"/>
    <w:rsid w:val="00F5453D"/>
    <w:rsid w:val="00F54F07"/>
    <w:rsid w:val="00F550E3"/>
    <w:rsid w:val="00F552E0"/>
    <w:rsid w:val="00F55658"/>
    <w:rsid w:val="00F55E70"/>
    <w:rsid w:val="00F55E72"/>
    <w:rsid w:val="00F55E73"/>
    <w:rsid w:val="00F55EDA"/>
    <w:rsid w:val="00F56C80"/>
    <w:rsid w:val="00F56CC2"/>
    <w:rsid w:val="00F56D7F"/>
    <w:rsid w:val="00F5744E"/>
    <w:rsid w:val="00F5780A"/>
    <w:rsid w:val="00F57930"/>
    <w:rsid w:val="00F57A23"/>
    <w:rsid w:val="00F57CA0"/>
    <w:rsid w:val="00F57D9A"/>
    <w:rsid w:val="00F60092"/>
    <w:rsid w:val="00F60756"/>
    <w:rsid w:val="00F60849"/>
    <w:rsid w:val="00F61145"/>
    <w:rsid w:val="00F61340"/>
    <w:rsid w:val="00F61761"/>
    <w:rsid w:val="00F617A0"/>
    <w:rsid w:val="00F61C18"/>
    <w:rsid w:val="00F62E72"/>
    <w:rsid w:val="00F63BE5"/>
    <w:rsid w:val="00F63D0F"/>
    <w:rsid w:val="00F64095"/>
    <w:rsid w:val="00F643DE"/>
    <w:rsid w:val="00F649E2"/>
    <w:rsid w:val="00F64B45"/>
    <w:rsid w:val="00F65231"/>
    <w:rsid w:val="00F65F4B"/>
    <w:rsid w:val="00F663FA"/>
    <w:rsid w:val="00F6678E"/>
    <w:rsid w:val="00F66BC4"/>
    <w:rsid w:val="00F66DC7"/>
    <w:rsid w:val="00F67366"/>
    <w:rsid w:val="00F674F7"/>
    <w:rsid w:val="00F67774"/>
    <w:rsid w:val="00F67A69"/>
    <w:rsid w:val="00F67B2F"/>
    <w:rsid w:val="00F70895"/>
    <w:rsid w:val="00F70AC8"/>
    <w:rsid w:val="00F70BFF"/>
    <w:rsid w:val="00F70C9D"/>
    <w:rsid w:val="00F71076"/>
    <w:rsid w:val="00F71094"/>
    <w:rsid w:val="00F71193"/>
    <w:rsid w:val="00F71B82"/>
    <w:rsid w:val="00F72C37"/>
    <w:rsid w:val="00F73434"/>
    <w:rsid w:val="00F73A21"/>
    <w:rsid w:val="00F73E08"/>
    <w:rsid w:val="00F73E55"/>
    <w:rsid w:val="00F73F51"/>
    <w:rsid w:val="00F742EB"/>
    <w:rsid w:val="00F744F9"/>
    <w:rsid w:val="00F74CD9"/>
    <w:rsid w:val="00F74DA3"/>
    <w:rsid w:val="00F75263"/>
    <w:rsid w:val="00F75576"/>
    <w:rsid w:val="00F75A1A"/>
    <w:rsid w:val="00F75AF8"/>
    <w:rsid w:val="00F75E61"/>
    <w:rsid w:val="00F762BE"/>
    <w:rsid w:val="00F7678B"/>
    <w:rsid w:val="00F76E88"/>
    <w:rsid w:val="00F770B9"/>
    <w:rsid w:val="00F77243"/>
    <w:rsid w:val="00F77737"/>
    <w:rsid w:val="00F77BF9"/>
    <w:rsid w:val="00F77EEE"/>
    <w:rsid w:val="00F800FA"/>
    <w:rsid w:val="00F8059C"/>
    <w:rsid w:val="00F80698"/>
    <w:rsid w:val="00F80967"/>
    <w:rsid w:val="00F80A7B"/>
    <w:rsid w:val="00F80AAF"/>
    <w:rsid w:val="00F80D26"/>
    <w:rsid w:val="00F80E5D"/>
    <w:rsid w:val="00F81204"/>
    <w:rsid w:val="00F81560"/>
    <w:rsid w:val="00F81BE2"/>
    <w:rsid w:val="00F81E78"/>
    <w:rsid w:val="00F8252F"/>
    <w:rsid w:val="00F82870"/>
    <w:rsid w:val="00F8296F"/>
    <w:rsid w:val="00F82B8B"/>
    <w:rsid w:val="00F830EB"/>
    <w:rsid w:val="00F833D9"/>
    <w:rsid w:val="00F83596"/>
    <w:rsid w:val="00F836EE"/>
    <w:rsid w:val="00F837D5"/>
    <w:rsid w:val="00F83916"/>
    <w:rsid w:val="00F841CD"/>
    <w:rsid w:val="00F842AE"/>
    <w:rsid w:val="00F84583"/>
    <w:rsid w:val="00F84F85"/>
    <w:rsid w:val="00F851CE"/>
    <w:rsid w:val="00F857F3"/>
    <w:rsid w:val="00F85857"/>
    <w:rsid w:val="00F85C25"/>
    <w:rsid w:val="00F85D32"/>
    <w:rsid w:val="00F8648F"/>
    <w:rsid w:val="00F867C5"/>
    <w:rsid w:val="00F86A19"/>
    <w:rsid w:val="00F86E79"/>
    <w:rsid w:val="00F8722D"/>
    <w:rsid w:val="00F87761"/>
    <w:rsid w:val="00F87C44"/>
    <w:rsid w:val="00F905CF"/>
    <w:rsid w:val="00F908CC"/>
    <w:rsid w:val="00F90E66"/>
    <w:rsid w:val="00F91219"/>
    <w:rsid w:val="00F91751"/>
    <w:rsid w:val="00F91A9D"/>
    <w:rsid w:val="00F91B03"/>
    <w:rsid w:val="00F91C90"/>
    <w:rsid w:val="00F91CFC"/>
    <w:rsid w:val="00F92199"/>
    <w:rsid w:val="00F92312"/>
    <w:rsid w:val="00F92444"/>
    <w:rsid w:val="00F92462"/>
    <w:rsid w:val="00F927BA"/>
    <w:rsid w:val="00F92BF5"/>
    <w:rsid w:val="00F92E2B"/>
    <w:rsid w:val="00F9393E"/>
    <w:rsid w:val="00F94159"/>
    <w:rsid w:val="00F94CB6"/>
    <w:rsid w:val="00F94EF8"/>
    <w:rsid w:val="00F95AED"/>
    <w:rsid w:val="00F96504"/>
    <w:rsid w:val="00F96FD0"/>
    <w:rsid w:val="00F97136"/>
    <w:rsid w:val="00F97A78"/>
    <w:rsid w:val="00F97BC9"/>
    <w:rsid w:val="00F97C9D"/>
    <w:rsid w:val="00FA075C"/>
    <w:rsid w:val="00FA0B20"/>
    <w:rsid w:val="00FA13B8"/>
    <w:rsid w:val="00FA14E0"/>
    <w:rsid w:val="00FA1D21"/>
    <w:rsid w:val="00FA24C7"/>
    <w:rsid w:val="00FA24E7"/>
    <w:rsid w:val="00FA2674"/>
    <w:rsid w:val="00FA2A2C"/>
    <w:rsid w:val="00FA2A5E"/>
    <w:rsid w:val="00FA2EED"/>
    <w:rsid w:val="00FA316F"/>
    <w:rsid w:val="00FA36B7"/>
    <w:rsid w:val="00FA3871"/>
    <w:rsid w:val="00FA4279"/>
    <w:rsid w:val="00FA472E"/>
    <w:rsid w:val="00FA50D9"/>
    <w:rsid w:val="00FA5B8B"/>
    <w:rsid w:val="00FA5EE6"/>
    <w:rsid w:val="00FA65D1"/>
    <w:rsid w:val="00FA6652"/>
    <w:rsid w:val="00FA6AE0"/>
    <w:rsid w:val="00FA6F70"/>
    <w:rsid w:val="00FA739C"/>
    <w:rsid w:val="00FA75BC"/>
    <w:rsid w:val="00FA7726"/>
    <w:rsid w:val="00FA7956"/>
    <w:rsid w:val="00FA7A0B"/>
    <w:rsid w:val="00FA7CA8"/>
    <w:rsid w:val="00FA7E7E"/>
    <w:rsid w:val="00FB0148"/>
    <w:rsid w:val="00FB026A"/>
    <w:rsid w:val="00FB040C"/>
    <w:rsid w:val="00FB04B1"/>
    <w:rsid w:val="00FB0824"/>
    <w:rsid w:val="00FB0A8C"/>
    <w:rsid w:val="00FB15F3"/>
    <w:rsid w:val="00FB2734"/>
    <w:rsid w:val="00FB27A4"/>
    <w:rsid w:val="00FB2853"/>
    <w:rsid w:val="00FB28DA"/>
    <w:rsid w:val="00FB2ABD"/>
    <w:rsid w:val="00FB2EBC"/>
    <w:rsid w:val="00FB2FCB"/>
    <w:rsid w:val="00FB3200"/>
    <w:rsid w:val="00FB3529"/>
    <w:rsid w:val="00FB3993"/>
    <w:rsid w:val="00FB3DEB"/>
    <w:rsid w:val="00FB4C3D"/>
    <w:rsid w:val="00FB4C9C"/>
    <w:rsid w:val="00FB5315"/>
    <w:rsid w:val="00FB5651"/>
    <w:rsid w:val="00FB5914"/>
    <w:rsid w:val="00FB59D8"/>
    <w:rsid w:val="00FB5DAD"/>
    <w:rsid w:val="00FB5DDF"/>
    <w:rsid w:val="00FB601E"/>
    <w:rsid w:val="00FB64FF"/>
    <w:rsid w:val="00FB6CA1"/>
    <w:rsid w:val="00FB6DC7"/>
    <w:rsid w:val="00FB6FCA"/>
    <w:rsid w:val="00FB7002"/>
    <w:rsid w:val="00FB721E"/>
    <w:rsid w:val="00FB728E"/>
    <w:rsid w:val="00FB72FC"/>
    <w:rsid w:val="00FB746E"/>
    <w:rsid w:val="00FB7591"/>
    <w:rsid w:val="00FB7C55"/>
    <w:rsid w:val="00FB7F54"/>
    <w:rsid w:val="00FC002A"/>
    <w:rsid w:val="00FC0ED0"/>
    <w:rsid w:val="00FC0F73"/>
    <w:rsid w:val="00FC1074"/>
    <w:rsid w:val="00FC10A7"/>
    <w:rsid w:val="00FC1299"/>
    <w:rsid w:val="00FC1884"/>
    <w:rsid w:val="00FC1F3C"/>
    <w:rsid w:val="00FC2433"/>
    <w:rsid w:val="00FC2462"/>
    <w:rsid w:val="00FC271D"/>
    <w:rsid w:val="00FC27E1"/>
    <w:rsid w:val="00FC28A9"/>
    <w:rsid w:val="00FC2902"/>
    <w:rsid w:val="00FC2AD3"/>
    <w:rsid w:val="00FC30BE"/>
    <w:rsid w:val="00FC371D"/>
    <w:rsid w:val="00FC38EC"/>
    <w:rsid w:val="00FC4079"/>
    <w:rsid w:val="00FC4AC8"/>
    <w:rsid w:val="00FC4B30"/>
    <w:rsid w:val="00FC5863"/>
    <w:rsid w:val="00FC5A4F"/>
    <w:rsid w:val="00FC5F0B"/>
    <w:rsid w:val="00FC615C"/>
    <w:rsid w:val="00FC61A8"/>
    <w:rsid w:val="00FC6B10"/>
    <w:rsid w:val="00FC6E33"/>
    <w:rsid w:val="00FC6E69"/>
    <w:rsid w:val="00FC7288"/>
    <w:rsid w:val="00FC7928"/>
    <w:rsid w:val="00FD1457"/>
    <w:rsid w:val="00FD2100"/>
    <w:rsid w:val="00FD2458"/>
    <w:rsid w:val="00FD289C"/>
    <w:rsid w:val="00FD2EAB"/>
    <w:rsid w:val="00FD2EE3"/>
    <w:rsid w:val="00FD334D"/>
    <w:rsid w:val="00FD39C6"/>
    <w:rsid w:val="00FD3BE0"/>
    <w:rsid w:val="00FD3E8A"/>
    <w:rsid w:val="00FD3F3E"/>
    <w:rsid w:val="00FD40E4"/>
    <w:rsid w:val="00FD436C"/>
    <w:rsid w:val="00FD446D"/>
    <w:rsid w:val="00FD4560"/>
    <w:rsid w:val="00FD4649"/>
    <w:rsid w:val="00FD46EE"/>
    <w:rsid w:val="00FD4ED6"/>
    <w:rsid w:val="00FD4F2C"/>
    <w:rsid w:val="00FD50B6"/>
    <w:rsid w:val="00FD5317"/>
    <w:rsid w:val="00FD53D4"/>
    <w:rsid w:val="00FD5CEE"/>
    <w:rsid w:val="00FD61BC"/>
    <w:rsid w:val="00FD6394"/>
    <w:rsid w:val="00FD6437"/>
    <w:rsid w:val="00FD64B4"/>
    <w:rsid w:val="00FD68F1"/>
    <w:rsid w:val="00FD69EE"/>
    <w:rsid w:val="00FD6E51"/>
    <w:rsid w:val="00FD7114"/>
    <w:rsid w:val="00FD7250"/>
    <w:rsid w:val="00FD7A0E"/>
    <w:rsid w:val="00FD7D67"/>
    <w:rsid w:val="00FE0696"/>
    <w:rsid w:val="00FE076C"/>
    <w:rsid w:val="00FE0D90"/>
    <w:rsid w:val="00FE0E6C"/>
    <w:rsid w:val="00FE11D6"/>
    <w:rsid w:val="00FE1329"/>
    <w:rsid w:val="00FE134D"/>
    <w:rsid w:val="00FE1A39"/>
    <w:rsid w:val="00FE1CDC"/>
    <w:rsid w:val="00FE2156"/>
    <w:rsid w:val="00FE2454"/>
    <w:rsid w:val="00FE2D90"/>
    <w:rsid w:val="00FE2DA6"/>
    <w:rsid w:val="00FE4455"/>
    <w:rsid w:val="00FE4C5A"/>
    <w:rsid w:val="00FE5038"/>
    <w:rsid w:val="00FE5280"/>
    <w:rsid w:val="00FE6890"/>
    <w:rsid w:val="00FE68EE"/>
    <w:rsid w:val="00FE6A2F"/>
    <w:rsid w:val="00FE6BF4"/>
    <w:rsid w:val="00FE6C89"/>
    <w:rsid w:val="00FE6E3D"/>
    <w:rsid w:val="00FE70C3"/>
    <w:rsid w:val="00FE76D1"/>
    <w:rsid w:val="00FF032C"/>
    <w:rsid w:val="00FF03A0"/>
    <w:rsid w:val="00FF0548"/>
    <w:rsid w:val="00FF08A9"/>
    <w:rsid w:val="00FF0A03"/>
    <w:rsid w:val="00FF11F4"/>
    <w:rsid w:val="00FF1A8B"/>
    <w:rsid w:val="00FF1EB2"/>
    <w:rsid w:val="00FF1EB4"/>
    <w:rsid w:val="00FF2218"/>
    <w:rsid w:val="00FF2520"/>
    <w:rsid w:val="00FF2AD9"/>
    <w:rsid w:val="00FF359F"/>
    <w:rsid w:val="00FF386E"/>
    <w:rsid w:val="00FF3874"/>
    <w:rsid w:val="00FF3958"/>
    <w:rsid w:val="00FF3DCF"/>
    <w:rsid w:val="00FF3F8A"/>
    <w:rsid w:val="00FF4371"/>
    <w:rsid w:val="00FF442F"/>
    <w:rsid w:val="00FF44C6"/>
    <w:rsid w:val="00FF46E5"/>
    <w:rsid w:val="00FF492C"/>
    <w:rsid w:val="00FF4A21"/>
    <w:rsid w:val="00FF4C5D"/>
    <w:rsid w:val="00FF4DA9"/>
    <w:rsid w:val="00FF5398"/>
    <w:rsid w:val="00FF539D"/>
    <w:rsid w:val="00FF55EE"/>
    <w:rsid w:val="00FF5A2D"/>
    <w:rsid w:val="00FF5AA3"/>
    <w:rsid w:val="00FF5AD8"/>
    <w:rsid w:val="00FF6001"/>
    <w:rsid w:val="00FF6E9D"/>
    <w:rsid w:val="00FF716A"/>
    <w:rsid w:val="00FF71A5"/>
    <w:rsid w:val="00FF732F"/>
    <w:rsid w:val="00FF758C"/>
    <w:rsid w:val="00FF7BB5"/>
    <w:rsid w:val="00FF7D8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2499"/>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next w:val="Normal"/>
    <w:link w:val="Heading2Char"/>
    <w:rsid w:val="00D410E4"/>
    <w:pPr>
      <w:outlineLvl w:val="1"/>
    </w:pPr>
    <w:rPr>
      <w:rFonts w:ascii="Calibri" w:hAnsi="Calibri" w:cs="Arial"/>
      <w:b/>
      <w:i/>
      <w:sz w:val="28"/>
      <w:szCs w:val="24"/>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410E4"/>
    <w:rPr>
      <w:rFonts w:ascii="Calibri" w:hAnsi="Calibri" w:cs="Arial"/>
      <w:b/>
      <w:i/>
      <w:sz w:val="28"/>
      <w:szCs w:val="24"/>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COMexecsummbulletlist">
    <w:name w:val="COM exec summ bullet list"/>
    <w:basedOn w:val="ListParagraph"/>
    <w:link w:val="COMexecsummbulletlistChar"/>
    <w:qFormat/>
    <w:rsid w:val="00DB0020"/>
    <w:pPr>
      <w:ind w:left="1134"/>
    </w:pPr>
  </w:style>
  <w:style w:type="paragraph" w:customStyle="1" w:styleId="COMexecsummmainissuesbullets">
    <w:name w:val="COM exec summ main issues bullets"/>
    <w:basedOn w:val="ListParagraph"/>
    <w:link w:val="COMexecsummmainissuesbulletsChar"/>
    <w:qFormat/>
    <w:rsid w:val="00023AB6"/>
    <w:pPr>
      <w:numPr>
        <w:numId w:val="7"/>
      </w:numPr>
    </w:pPr>
    <w:rPr>
      <w:color w:val="0066FF"/>
    </w:rPr>
  </w:style>
  <w:style w:type="character" w:customStyle="1" w:styleId="COMexecsummbulletlistChar">
    <w:name w:val="COM exec summ bullet list Char"/>
    <w:basedOn w:val="ListParagraphChar"/>
    <w:link w:val="COMexecsummbulletlist"/>
    <w:rsid w:val="00DB0020"/>
    <w:rPr>
      <w:rFonts w:asciiTheme="minorHAnsi" w:hAnsiTheme="minorHAnsi" w:cs="Arial"/>
      <w:snapToGrid w:val="0"/>
      <w:sz w:val="24"/>
      <w:szCs w:val="24"/>
    </w:rPr>
  </w:style>
  <w:style w:type="paragraph" w:customStyle="1" w:styleId="COMH3">
    <w:name w:val="COM H3"/>
    <w:basedOn w:val="Normal"/>
    <w:next w:val="Normal"/>
    <w:link w:val="COMH3Char"/>
    <w:qFormat/>
    <w:rsid w:val="00996EAA"/>
    <w:pPr>
      <w:keepNext/>
      <w:spacing w:after="240"/>
      <w:outlineLvl w:val="2"/>
    </w:pPr>
    <w:rPr>
      <w:b/>
      <w:iCs/>
      <w:sz w:val="28"/>
    </w:rPr>
  </w:style>
  <w:style w:type="paragraph" w:styleId="ListParagraph">
    <w:name w:val="List Paragraph"/>
    <w:aliases w:val="BulletPoints,Numbered para,Footnote,Bullet point,List Paragraph1,List Paragraph11,Recommendation,ES Paragraph,PBAC ES Paragraph,PBAC normal points,Bullet List,Figure_name,Numbered Indented Text,Bullet- First level,List NUmber"/>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paragraph" w:styleId="ListBullet">
    <w:name w:val="List Bullet"/>
    <w:aliases w:val="zz List Bullet"/>
    <w:basedOn w:val="Normal"/>
    <w:link w:val="ListBulletChar"/>
    <w:unhideWhenUsed/>
    <w:rsid w:val="00EE1996"/>
    <w:pPr>
      <w:numPr>
        <w:numId w:val="4"/>
      </w:numPr>
      <w:contextualSpacing/>
    </w:pPr>
  </w:style>
  <w:style w:type="character" w:customStyle="1" w:styleId="ListParagraphChar">
    <w:name w:val="List Paragraph Char"/>
    <w:aliases w:val="BulletPoints Char,Numbered para Char,Footnote Char,Bullet point Char,List Paragraph1 Char,List Paragraph11 Char,Recommendation Char,ES Paragraph Char,PBAC ES Paragraph Char,PBAC normal points Char,Bullet List Char,Figure_name Char"/>
    <w:basedOn w:val="DefaultParagraphFont"/>
    <w:link w:val="ListParagraph"/>
    <w:uiPriority w:val="34"/>
    <w:qFormat/>
    <w:locked/>
    <w:rsid w:val="00BB00B3"/>
    <w:rPr>
      <w:rFonts w:asciiTheme="minorHAnsi" w:hAnsiTheme="minorHAnsi" w:cs="Arial"/>
      <w:snapToGrid w:val="0"/>
      <w:sz w:val="24"/>
      <w:szCs w:val="24"/>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H2-numbered">
    <w:name w:val="COM H2 - numbered"/>
    <w:basedOn w:val="Heading2"/>
    <w:link w:val="COMH2-numberedChar"/>
    <w:qFormat/>
    <w:rsid w:val="00721EA3"/>
    <w:pPr>
      <w:keepNext/>
      <w:spacing w:after="240"/>
    </w:pPr>
  </w:style>
  <w:style w:type="paragraph" w:styleId="TOC2">
    <w:name w:val="toc 2"/>
    <w:basedOn w:val="Normal"/>
    <w:next w:val="Normal"/>
    <w:autoRedefine/>
    <w:uiPriority w:val="39"/>
    <w:rsid w:val="008C6A8E"/>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0E04D4"/>
    <w:pPr>
      <w:tabs>
        <w:tab w:val="left" w:pos="440"/>
        <w:tab w:val="right" w:leader="dot" w:pos="9016"/>
      </w:tabs>
      <w:spacing w:after="120"/>
      <w:jc w:val="left"/>
    </w:pPr>
    <w:rPr>
      <w:bCs/>
      <w:sz w:val="20"/>
    </w:rPr>
  </w:style>
  <w:style w:type="character" w:customStyle="1" w:styleId="COMexecsummmainissuesbulletsChar">
    <w:name w:val="COM exec summ main issues bullets Char"/>
    <w:basedOn w:val="ListParagraphChar"/>
    <w:link w:val="COMexecsummmainissuesbullets"/>
    <w:rsid w:val="00023AB6"/>
    <w:rPr>
      <w:rFonts w:asciiTheme="minorHAnsi" w:hAnsiTheme="minorHAnsi" w:cs="Arial"/>
      <w:snapToGrid w:val="0"/>
      <w:color w:val="0066FF"/>
      <w:sz w:val="24"/>
      <w:szCs w:val="24"/>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character" w:customStyle="1" w:styleId="COMH2-numberedChar">
    <w:name w:val="COM H2 - numbered Char"/>
    <w:basedOn w:val="Heading2Char"/>
    <w:link w:val="COMH2-numbered"/>
    <w:rsid w:val="00721EA3"/>
    <w:rPr>
      <w:rFonts w:ascii="Calibri" w:hAnsi="Calibri" w:cs="Arial"/>
      <w:b/>
      <w:i/>
      <w:sz w:val="28"/>
      <w:szCs w:val="24"/>
    </w:rPr>
  </w:style>
  <w:style w:type="paragraph" w:customStyle="1" w:styleId="COMH4">
    <w:name w:val="COM H4"/>
    <w:basedOn w:val="Normal"/>
    <w:link w:val="COMH4Char"/>
    <w:qFormat/>
    <w:rsid w:val="00C042D3"/>
    <w:pPr>
      <w:spacing w:after="120"/>
    </w:pPr>
    <w:rPr>
      <w:b/>
      <w:i/>
    </w:rPr>
  </w:style>
  <w:style w:type="character" w:customStyle="1" w:styleId="COMH3Char">
    <w:name w:val="COM H3 Char"/>
    <w:basedOn w:val="DefaultParagraphFont"/>
    <w:link w:val="COMH3"/>
    <w:rsid w:val="00996EAA"/>
    <w:rPr>
      <w:rFonts w:ascii="Calibri" w:hAnsi="Calibri" w:cs="Arial"/>
      <w:b/>
      <w:iCs/>
      <w:sz w:val="28"/>
      <w:szCs w:val="24"/>
    </w:rPr>
  </w:style>
  <w:style w:type="paragraph" w:customStyle="1" w:styleId="COMbodybulletlist">
    <w:name w:val="COM body bullet list"/>
    <w:basedOn w:val="ListBullet"/>
    <w:link w:val="COMbodybulletlistChar"/>
    <w:qFormat/>
    <w:rsid w:val="00894E87"/>
  </w:style>
  <w:style w:type="character" w:customStyle="1" w:styleId="COMH4Char">
    <w:name w:val="COM H4 Char"/>
    <w:basedOn w:val="DefaultParagraphFont"/>
    <w:link w:val="COMH4"/>
    <w:rsid w:val="00C042D3"/>
    <w:rPr>
      <w:rFonts w:ascii="Calibri" w:hAnsi="Calibri" w:cs="Arial"/>
      <w:b/>
      <w:i/>
      <w:sz w:val="24"/>
      <w:szCs w:val="24"/>
    </w:rPr>
  </w:style>
  <w:style w:type="paragraph" w:customStyle="1" w:styleId="zzBulletpoints">
    <w:name w:val="zz Bullet points"/>
    <w:basedOn w:val="ListParagraph"/>
    <w:rsid w:val="00B70E8E"/>
    <w:pPr>
      <w:numPr>
        <w:numId w:val="2"/>
      </w:numPr>
      <w:contextualSpacing/>
    </w:pPr>
  </w:style>
  <w:style w:type="paragraph" w:customStyle="1" w:styleId="COMBody">
    <w:name w:val="COM Body"/>
    <w:basedOn w:val="Normal"/>
    <w:link w:val="COMBodyChar"/>
    <w:qFormat/>
    <w:rsid w:val="00894E87"/>
  </w:style>
  <w:style w:type="character" w:customStyle="1" w:styleId="ListBulletChar">
    <w:name w:val="List Bullet Char"/>
    <w:aliases w:val="zz List Bullet Char"/>
    <w:basedOn w:val="DefaultParagraphFont"/>
    <w:link w:val="ListBullet"/>
    <w:rsid w:val="00894E87"/>
    <w:rPr>
      <w:rFonts w:ascii="Calibri" w:hAnsi="Calibri" w:cs="Arial"/>
      <w:sz w:val="24"/>
      <w:szCs w:val="24"/>
    </w:rPr>
  </w:style>
  <w:style w:type="paragraph" w:styleId="Revision">
    <w:name w:val="Revision"/>
    <w:hidden/>
    <w:uiPriority w:val="99"/>
    <w:semiHidden/>
    <w:rsid w:val="00043C37"/>
    <w:rPr>
      <w:rFonts w:ascii="Arial" w:hAnsi="Arial" w:cs="Arial"/>
      <w:snapToGrid w:val="0"/>
      <w:sz w:val="22"/>
      <w:lang w:eastAsia="en-US"/>
    </w:rPr>
  </w:style>
  <w:style w:type="character" w:customStyle="1" w:styleId="COMbodybulletlistChar">
    <w:name w:val="COM body bullet list Char"/>
    <w:basedOn w:val="ListBulletChar"/>
    <w:link w:val="COMbodybulletlist"/>
    <w:rsid w:val="00894E87"/>
    <w:rPr>
      <w:rFonts w:ascii="Calibri" w:hAnsi="Calibri" w:cs="Arial"/>
      <w:sz w:val="24"/>
      <w:szCs w:val="24"/>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character" w:customStyle="1" w:styleId="COMBodyChar">
    <w:name w:val="COM Body Char"/>
    <w:basedOn w:val="DefaultParagraphFont"/>
    <w:link w:val="COMBody"/>
    <w:rsid w:val="00894E87"/>
    <w:rPr>
      <w:rFonts w:ascii="Calibri" w:hAnsi="Calibri" w:cs="Arial"/>
      <w:sz w:val="24"/>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COMTabletext">
    <w:name w:val="COM Table text"/>
    <w:link w:val="COMTabletextChar"/>
    <w:qFormat/>
    <w:rsid w:val="00EE1996"/>
    <w:pPr>
      <w:keepNext/>
    </w:pPr>
    <w:rPr>
      <w:rFonts w:ascii="Arial Narrow" w:eastAsiaTheme="majorEastAsia" w:hAnsi="Arial Narrow" w:cstheme="majorBidi"/>
      <w:bCs/>
      <w:szCs w:val="24"/>
    </w:rPr>
  </w:style>
  <w:style w:type="character" w:customStyle="1" w:styleId="COMTabletextChar">
    <w:name w:val="COM Table text Char"/>
    <w:basedOn w:val="DefaultParagraphFont"/>
    <w:link w:val="COMTabletext"/>
    <w:rsid w:val="00EE1996"/>
    <w:rPr>
      <w:rFonts w:ascii="Arial Narrow" w:eastAsiaTheme="majorEastAsia" w:hAnsi="Arial Narrow" w:cstheme="majorBidi"/>
      <w:bCs/>
      <w:szCs w:val="24"/>
    </w:rPr>
  </w:style>
  <w:style w:type="paragraph" w:customStyle="1" w:styleId="COMTableheadingrow">
    <w:name w:val="COM Table heading row"/>
    <w:qFormat/>
    <w:rsid w:val="00EE1996"/>
    <w:pPr>
      <w:keepNext/>
    </w:pPr>
    <w:rPr>
      <w:rFonts w:ascii="Arial Narrow" w:eastAsiaTheme="majorEastAsia" w:hAnsi="Arial Narrow"/>
      <w:b/>
      <w:szCs w:val="24"/>
      <w:lang w:val="en-US"/>
    </w:rPr>
  </w:style>
  <w:style w:type="paragraph" w:customStyle="1" w:styleId="COMH1numbered">
    <w:name w:val="COM H1 numbered"/>
    <w:next w:val="Normal"/>
    <w:link w:val="COMH1numberedChar"/>
    <w:qFormat/>
    <w:rsid w:val="00163E81"/>
    <w:pPr>
      <w:keepNext/>
      <w:numPr>
        <w:numId w:val="5"/>
      </w:numPr>
      <w:spacing w:before="240" w:after="120"/>
      <w:outlineLvl w:val="0"/>
    </w:pPr>
    <w:rPr>
      <w:rFonts w:asciiTheme="minorHAnsi" w:hAnsiTheme="minorHAnsi" w:cs="Arial"/>
      <w:b/>
      <w:snapToGrid w:val="0"/>
      <w:sz w:val="32"/>
      <w:szCs w:val="32"/>
    </w:rPr>
  </w:style>
  <w:style w:type="paragraph" w:customStyle="1" w:styleId="COMH1-non-numbered">
    <w:name w:val="COM H1 - non-numbered"/>
    <w:next w:val="Normal"/>
    <w:link w:val="COMH1-non-numberedChar"/>
    <w:qFormat/>
    <w:rsid w:val="00603248"/>
    <w:pPr>
      <w:keepNext/>
      <w:spacing w:before="120" w:after="160"/>
      <w:ind w:left="720" w:hanging="720"/>
      <w:outlineLvl w:val="0"/>
    </w:pPr>
    <w:rPr>
      <w:rFonts w:asciiTheme="minorHAnsi" w:eastAsiaTheme="majorEastAsia" w:hAnsiTheme="minorHAnsi" w:cstheme="majorBidi"/>
      <w:b/>
      <w:spacing w:val="5"/>
      <w:kern w:val="28"/>
      <w:sz w:val="32"/>
      <w:szCs w:val="36"/>
    </w:rPr>
  </w:style>
  <w:style w:type="character" w:customStyle="1" w:styleId="COMH1-non-numberedChar">
    <w:name w:val="COM H1 - non-numbered Char"/>
    <w:basedOn w:val="DefaultParagraphFont"/>
    <w:link w:val="COMH1-non-numbered"/>
    <w:rsid w:val="00603248"/>
    <w:rPr>
      <w:rFonts w:asciiTheme="minorHAnsi" w:eastAsiaTheme="majorEastAsia" w:hAnsiTheme="minorHAnsi" w:cstheme="majorBidi"/>
      <w:b/>
      <w:spacing w:val="5"/>
      <w:kern w:val="28"/>
      <w:sz w:val="32"/>
      <w:szCs w:val="36"/>
    </w:rPr>
  </w:style>
  <w:style w:type="paragraph" w:customStyle="1" w:styleId="COMtablefigcaption">
    <w:name w:val="COM table/fig caption"/>
    <w:next w:val="COMTableheadingrow"/>
    <w:link w:val="COMtablefigcaptionChar"/>
    <w:qFormat/>
    <w:rsid w:val="005478BD"/>
    <w:pPr>
      <w:keepNext/>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5478BD"/>
    <w:rPr>
      <w:rFonts w:ascii="Arial Narrow" w:eastAsiaTheme="majorEastAsia" w:hAnsi="Arial Narrow" w:cstheme="majorBidi"/>
      <w:b/>
      <w:bCs/>
      <w:szCs w:val="24"/>
    </w:rPr>
  </w:style>
  <w:style w:type="paragraph" w:customStyle="1" w:styleId="COMexecsumnumberedpara">
    <w:name w:val="COM exec sum numbered para"/>
    <w:basedOn w:val="ListParagraph"/>
    <w:link w:val="COMexecsumnumberedparaChar"/>
    <w:qFormat/>
    <w:rsid w:val="00B5370E"/>
    <w:pPr>
      <w:numPr>
        <w:ilvl w:val="1"/>
        <w:numId w:val="5"/>
      </w:numPr>
    </w:pPr>
  </w:style>
  <w:style w:type="character" w:customStyle="1" w:styleId="COMexecsumnumberedparaChar">
    <w:name w:val="COM exec sum numbered para Char"/>
    <w:basedOn w:val="ListParagraphChar"/>
    <w:link w:val="COMexecsumnumberedpara"/>
    <w:rsid w:val="00B5370E"/>
    <w:rPr>
      <w:rFonts w:asciiTheme="minorHAnsi" w:hAnsiTheme="minorHAnsi" w:cs="Arial"/>
      <w:snapToGrid w:val="0"/>
      <w:sz w:val="24"/>
      <w:szCs w:val="24"/>
    </w:rPr>
  </w:style>
  <w:style w:type="paragraph" w:customStyle="1" w:styleId="COMTablefooter">
    <w:name w:val="COM Table footer"/>
    <w:basedOn w:val="Normal"/>
    <w:next w:val="Normal"/>
    <w:link w:val="COMTablefooterChar"/>
    <w:qFormat/>
    <w:rsid w:val="00EC5836"/>
    <w:pPr>
      <w:spacing w:after="120"/>
      <w:contextualSpacing/>
    </w:pPr>
    <w:rPr>
      <w:rFonts w:ascii="Arial Narrow" w:hAnsi="Arial Narrow"/>
      <w:snapToGrid w:val="0"/>
      <w:sz w:val="18"/>
      <w:szCs w:val="22"/>
    </w:rPr>
  </w:style>
  <w:style w:type="character" w:customStyle="1" w:styleId="COMTablefooterChar">
    <w:name w:val="COM Table footer Char"/>
    <w:link w:val="COMTablefooter"/>
    <w:rsid w:val="00EC5836"/>
    <w:rPr>
      <w:rFonts w:ascii="Arial Narrow" w:hAnsi="Arial Narrow" w:cs="Arial"/>
      <w:snapToGrid w:val="0"/>
      <w:sz w:val="18"/>
      <w:szCs w:val="22"/>
    </w:rPr>
  </w:style>
  <w:style w:type="paragraph" w:customStyle="1" w:styleId="COMH2-non-numbered">
    <w:name w:val="COM H2 - non-numbered"/>
    <w:basedOn w:val="Heading2"/>
    <w:next w:val="Normal"/>
    <w:link w:val="COMH2-non-numbered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COMH2-non-numberedChar">
    <w:name w:val="COM H2 - non-numbered Char"/>
    <w:basedOn w:val="Heading2Char"/>
    <w:link w:val="COMH2-non-numbered"/>
    <w:rsid w:val="00EE1996"/>
    <w:rPr>
      <w:rFonts w:asciiTheme="minorHAnsi" w:eastAsiaTheme="majorEastAsia" w:hAnsiTheme="minorHAnsi" w:cstheme="majorBidi"/>
      <w:b/>
      <w:i/>
      <w:snapToGrid w:val="0"/>
      <w:spacing w:val="5"/>
      <w:kern w:val="28"/>
      <w:sz w:val="28"/>
      <w:szCs w:val="36"/>
      <w:lang w:eastAsia="en-US"/>
    </w:rPr>
  </w:style>
  <w:style w:type="character" w:customStyle="1" w:styleId="COMH1numberedChar">
    <w:name w:val="COM H1 numbered Char"/>
    <w:basedOn w:val="DefaultParagraphFont"/>
    <w:link w:val="COMH1numbered"/>
    <w:rsid w:val="00163E81"/>
    <w:rPr>
      <w:rFonts w:asciiTheme="minorHAnsi" w:hAnsiTheme="minorHAnsi" w:cs="Arial"/>
      <w:b/>
      <w:snapToGrid w:val="0"/>
      <w:sz w:val="32"/>
      <w:szCs w:val="32"/>
    </w:rPr>
  </w:style>
  <w:style w:type="character" w:styleId="Hyperlink">
    <w:name w:val="Hyperlink"/>
    <w:basedOn w:val="DefaultParagraphFont"/>
    <w:uiPriority w:val="99"/>
    <w:unhideWhenUsed/>
    <w:rsid w:val="006A74CB"/>
    <w:rPr>
      <w:color w:val="0000FF" w:themeColor="hyperlink"/>
      <w:u w:val="single"/>
    </w:rPr>
  </w:style>
  <w:style w:type="paragraph" w:styleId="TOC4">
    <w:name w:val="toc 4"/>
    <w:basedOn w:val="Normal"/>
    <w:next w:val="Normal"/>
    <w:autoRedefine/>
    <w:uiPriority w:val="39"/>
    <w:unhideWhenUsed/>
    <w:rsid w:val="006A74CB"/>
    <w:pPr>
      <w:spacing w:after="100" w:line="259" w:lineRule="auto"/>
      <w:ind w:left="66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6A74CB"/>
    <w:pPr>
      <w:spacing w:after="100" w:line="259" w:lineRule="auto"/>
      <w:ind w:left="88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6A74CB"/>
    <w:pPr>
      <w:spacing w:after="100" w:line="259" w:lineRule="auto"/>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6A74CB"/>
    <w:pPr>
      <w:spacing w:after="100" w:line="259"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6A74CB"/>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6A74CB"/>
    <w:pPr>
      <w:spacing w:after="100" w:line="259" w:lineRule="auto"/>
      <w:ind w:left="1760"/>
      <w:jc w:val="left"/>
    </w:pPr>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6A74CB"/>
    <w:rPr>
      <w:color w:val="605E5C"/>
      <w:shd w:val="clear" w:color="auto" w:fill="E1DFDD"/>
    </w:rPr>
  </w:style>
  <w:style w:type="paragraph" w:customStyle="1" w:styleId="TableText">
    <w:name w:val="Table Text"/>
    <w:link w:val="TableTextChar"/>
    <w:qFormat/>
    <w:rsid w:val="00582B84"/>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582B84"/>
    <w:rPr>
      <w:rFonts w:ascii="Arial Narrow" w:eastAsiaTheme="majorEastAsia" w:hAnsi="Arial Narrow" w:cstheme="majorBidi"/>
      <w:bCs/>
      <w:szCs w:val="24"/>
    </w:rPr>
  </w:style>
  <w:style w:type="paragraph" w:customStyle="1" w:styleId="Tableheadingrow">
    <w:name w:val="Table heading row"/>
    <w:qFormat/>
    <w:rsid w:val="00582B84"/>
    <w:pPr>
      <w:keepNext/>
    </w:pPr>
    <w:rPr>
      <w:rFonts w:ascii="Arial Narrow" w:eastAsiaTheme="majorEastAsia" w:hAnsi="Arial Narrow"/>
      <w:b/>
      <w:szCs w:val="24"/>
      <w:lang w:val="en-US"/>
    </w:rPr>
  </w:style>
  <w:style w:type="paragraph" w:customStyle="1" w:styleId="TableFigureCaption">
    <w:name w:val="Table/Figure Caption"/>
    <w:next w:val="Tableheadingrow"/>
    <w:link w:val="TableFigureCaptionChar"/>
    <w:qFormat/>
    <w:rsid w:val="00582B84"/>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582B84"/>
    <w:rPr>
      <w:rFonts w:ascii="Arial Narrow" w:eastAsiaTheme="majorEastAsia" w:hAnsi="Arial Narrow" w:cstheme="majorBidi"/>
      <w:b/>
      <w:bCs/>
      <w:szCs w:val="24"/>
    </w:rPr>
  </w:style>
  <w:style w:type="paragraph" w:customStyle="1" w:styleId="PBACTabletext">
    <w:name w:val="PBAC Table text"/>
    <w:qFormat/>
    <w:rsid w:val="006E4A86"/>
    <w:pPr>
      <w:keepNext/>
      <w:keepLines/>
      <w:suppressLineNumbers/>
      <w:spacing w:after="20"/>
      <w:textboxTightWrap w:val="allLines"/>
    </w:pPr>
    <w:rPr>
      <w:rFonts w:asciiTheme="minorHAnsi" w:hAnsiTheme="minorHAnsi" w:cs="Arial"/>
      <w:szCs w:val="24"/>
      <w:lang w:eastAsia="en-GB"/>
    </w:rPr>
  </w:style>
  <w:style w:type="paragraph" w:styleId="Header">
    <w:name w:val="header"/>
    <w:aliases w:val="Page Header,Header title,he=header,cntr/bld"/>
    <w:basedOn w:val="Normal"/>
    <w:link w:val="HeaderChar"/>
    <w:uiPriority w:val="99"/>
    <w:unhideWhenUsed/>
    <w:qFormat/>
    <w:rsid w:val="009A2810"/>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9A2810"/>
    <w:rPr>
      <w:rFonts w:ascii="Calibri" w:hAnsi="Calibri" w:cs="Arial"/>
      <w:sz w:val="24"/>
      <w:szCs w:val="24"/>
    </w:rPr>
  </w:style>
  <w:style w:type="paragraph" w:styleId="Footer">
    <w:name w:val="footer"/>
    <w:basedOn w:val="Normal"/>
    <w:link w:val="FooterChar"/>
    <w:uiPriority w:val="99"/>
    <w:unhideWhenUsed/>
    <w:rsid w:val="009A2810"/>
    <w:pPr>
      <w:tabs>
        <w:tab w:val="center" w:pos="4513"/>
        <w:tab w:val="right" w:pos="9026"/>
      </w:tabs>
    </w:pPr>
  </w:style>
  <w:style w:type="character" w:customStyle="1" w:styleId="FooterChar">
    <w:name w:val="Footer Char"/>
    <w:basedOn w:val="DefaultParagraphFont"/>
    <w:link w:val="Footer"/>
    <w:uiPriority w:val="99"/>
    <w:rsid w:val="009A2810"/>
    <w:rPr>
      <w:rFonts w:ascii="Calibri" w:hAnsi="Calibri" w:cs="Arial"/>
      <w:sz w:val="24"/>
      <w:szCs w:val="24"/>
    </w:rPr>
  </w:style>
  <w:style w:type="character" w:styleId="CommentReference">
    <w:name w:val="annotation reference"/>
    <w:basedOn w:val="DefaultParagraphFont"/>
    <w:uiPriority w:val="99"/>
    <w:semiHidden/>
    <w:unhideWhenUsed/>
    <w:rsid w:val="005F1C58"/>
    <w:rPr>
      <w:sz w:val="16"/>
      <w:szCs w:val="16"/>
    </w:rPr>
  </w:style>
  <w:style w:type="paragraph" w:styleId="CommentText">
    <w:name w:val="annotation text"/>
    <w:basedOn w:val="Normal"/>
    <w:link w:val="CommentTextChar"/>
    <w:uiPriority w:val="99"/>
    <w:unhideWhenUsed/>
    <w:rsid w:val="005F1C58"/>
    <w:rPr>
      <w:sz w:val="20"/>
      <w:szCs w:val="20"/>
    </w:rPr>
  </w:style>
  <w:style w:type="character" w:customStyle="1" w:styleId="CommentTextChar">
    <w:name w:val="Comment Text Char"/>
    <w:basedOn w:val="DefaultParagraphFont"/>
    <w:link w:val="CommentText"/>
    <w:uiPriority w:val="99"/>
    <w:rsid w:val="005F1C58"/>
    <w:rPr>
      <w:rFonts w:ascii="Calibri" w:hAnsi="Calibri" w:cs="Arial"/>
    </w:rPr>
  </w:style>
  <w:style w:type="paragraph" w:styleId="CommentSubject">
    <w:name w:val="annotation subject"/>
    <w:basedOn w:val="CommentText"/>
    <w:next w:val="CommentText"/>
    <w:link w:val="CommentSubjectChar"/>
    <w:uiPriority w:val="99"/>
    <w:semiHidden/>
    <w:unhideWhenUsed/>
    <w:rsid w:val="005F1C58"/>
    <w:rPr>
      <w:b/>
      <w:bCs/>
    </w:rPr>
  </w:style>
  <w:style w:type="character" w:customStyle="1" w:styleId="CommentSubjectChar">
    <w:name w:val="Comment Subject Char"/>
    <w:basedOn w:val="CommentTextChar"/>
    <w:link w:val="CommentSubject"/>
    <w:uiPriority w:val="99"/>
    <w:semiHidden/>
    <w:rsid w:val="005F1C58"/>
    <w:rPr>
      <w:rFonts w:ascii="Calibri" w:hAnsi="Calibri" w:cs="Arial"/>
      <w:b/>
      <w:bCs/>
    </w:rPr>
  </w:style>
  <w:style w:type="character" w:styleId="PlaceholderText">
    <w:name w:val="Placeholder Text"/>
    <w:basedOn w:val="DefaultParagraphFont"/>
    <w:uiPriority w:val="99"/>
    <w:semiHidden/>
    <w:rsid w:val="00083FB3"/>
    <w:rPr>
      <w:color w:val="808080"/>
    </w:rPr>
  </w:style>
  <w:style w:type="paragraph" w:styleId="Caption">
    <w:name w:val="caption"/>
    <w:basedOn w:val="COMtablefigcaption"/>
    <w:next w:val="Normal"/>
    <w:unhideWhenUsed/>
    <w:rsid w:val="00083FB3"/>
    <w:pPr>
      <w:jc w:val="both"/>
    </w:pPr>
  </w:style>
  <w:style w:type="paragraph" w:customStyle="1" w:styleId="TableParagraph">
    <w:name w:val="Table Paragraph"/>
    <w:basedOn w:val="Normal"/>
    <w:uiPriority w:val="1"/>
    <w:qFormat/>
    <w:rsid w:val="009E79BE"/>
    <w:pPr>
      <w:widowControl w:val="0"/>
      <w:autoSpaceDE w:val="0"/>
      <w:autoSpaceDN w:val="0"/>
      <w:spacing w:line="210" w:lineRule="exact"/>
      <w:ind w:left="268"/>
      <w:jc w:val="center"/>
    </w:pPr>
    <w:rPr>
      <w:rFonts w:ascii="Times New Roman" w:hAnsi="Times New Roman" w:cs="Times New Roman"/>
      <w:sz w:val="22"/>
      <w:szCs w:val="22"/>
      <w:lang w:val="en-US" w:eastAsia="en-US"/>
    </w:rPr>
  </w:style>
  <w:style w:type="table" w:customStyle="1" w:styleId="TableGrid1">
    <w:name w:val="Table Grid1"/>
    <w:basedOn w:val="TableNormal"/>
    <w:next w:val="TableGrid"/>
    <w:uiPriority w:val="39"/>
    <w:rsid w:val="00CC18BB"/>
    <w:rPr>
      <w:rFonts w:eastAsia="Calibri"/>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C18BB"/>
    <w:pPr>
      <w:jc w:val="left"/>
    </w:pPr>
    <w:rPr>
      <w:rFonts w:eastAsiaTheme="minorHAnsi" w:cs="Times New Roman"/>
      <w:sz w:val="20"/>
      <w:szCs w:val="20"/>
      <w:lang w:eastAsia="en-US"/>
    </w:rPr>
  </w:style>
  <w:style w:type="character" w:customStyle="1" w:styleId="FootnoteTextChar">
    <w:name w:val="Footnote Text Char"/>
    <w:basedOn w:val="DefaultParagraphFont"/>
    <w:link w:val="FootnoteText"/>
    <w:uiPriority w:val="99"/>
    <w:semiHidden/>
    <w:rsid w:val="00CC18BB"/>
    <w:rPr>
      <w:rFonts w:ascii="Calibri" w:eastAsiaTheme="minorHAnsi" w:hAnsi="Calibri"/>
      <w:lang w:eastAsia="en-US"/>
    </w:rPr>
  </w:style>
  <w:style w:type="character" w:styleId="FootnoteReference">
    <w:name w:val="footnote reference"/>
    <w:basedOn w:val="DefaultParagraphFont"/>
    <w:uiPriority w:val="99"/>
    <w:semiHidden/>
    <w:unhideWhenUsed/>
    <w:rsid w:val="00CC18BB"/>
    <w:rPr>
      <w:vertAlign w:val="superscript"/>
    </w:rPr>
  </w:style>
  <w:style w:type="paragraph" w:customStyle="1" w:styleId="PBACHeading1">
    <w:name w:val="PBAC Heading 1"/>
    <w:qFormat/>
    <w:rsid w:val="00C374DC"/>
    <w:pPr>
      <w:ind w:left="720" w:hanging="720"/>
      <w:outlineLvl w:val="0"/>
    </w:pPr>
    <w:rPr>
      <w:rFonts w:ascii="Calibri" w:hAnsi="Calibri" w:cs="Calibri"/>
      <w:b/>
      <w:snapToGrid w:val="0"/>
      <w:sz w:val="32"/>
      <w:szCs w:val="32"/>
      <w:lang w:eastAsia="en-US"/>
    </w:rPr>
  </w:style>
  <w:style w:type="paragraph" w:customStyle="1" w:styleId="Bulletpoints">
    <w:name w:val="Bullet points"/>
    <w:basedOn w:val="Normal"/>
    <w:rsid w:val="000F7A61"/>
    <w:pPr>
      <w:spacing w:after="120"/>
      <w:ind w:left="720"/>
      <w:contextualSpacing/>
    </w:pPr>
    <w:rPr>
      <w:snapToGrid w:val="0"/>
    </w:rPr>
  </w:style>
  <w:style w:type="character" w:customStyle="1" w:styleId="cf01">
    <w:name w:val="cf01"/>
    <w:basedOn w:val="DefaultParagraphFont"/>
    <w:rsid w:val="00765083"/>
    <w:rPr>
      <w:rFonts w:ascii="Segoe UI" w:hAnsi="Segoe UI" w:cs="Segoe UI" w:hint="default"/>
      <w:sz w:val="18"/>
      <w:szCs w:val="18"/>
    </w:rPr>
  </w:style>
  <w:style w:type="paragraph" w:customStyle="1" w:styleId="pf0">
    <w:name w:val="pf0"/>
    <w:basedOn w:val="Normal"/>
    <w:rsid w:val="00F40D1D"/>
    <w:pPr>
      <w:spacing w:before="100" w:beforeAutospacing="1" w:after="100" w:afterAutospacing="1"/>
      <w:jc w:val="left"/>
    </w:pPr>
    <w:rPr>
      <w:rFonts w:ascii="Times New Roman" w:hAnsi="Times New Roman" w:cs="Times New Roman"/>
    </w:rPr>
  </w:style>
  <w:style w:type="paragraph" w:customStyle="1" w:styleId="3-SubsectionHeading">
    <w:name w:val="3-Subsection Heading"/>
    <w:basedOn w:val="Heading2"/>
    <w:next w:val="Normal"/>
    <w:link w:val="3-SubsectionHeadingChar"/>
    <w:qFormat/>
    <w:rsid w:val="00051C7F"/>
    <w:pPr>
      <w:keepNext/>
      <w:spacing w:before="120" w:after="120"/>
      <w:jc w:val="both"/>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051C7F"/>
    <w:rPr>
      <w:rFonts w:asciiTheme="minorHAnsi" w:eastAsiaTheme="majorEastAsia" w:hAnsiTheme="minorHAnsi" w:cstheme="majorBidi"/>
      <w:b/>
      <w:i/>
      <w:spacing w:val="5"/>
      <w:kern w:val="28"/>
      <w:sz w:val="28"/>
      <w:szCs w:val="36"/>
      <w:lang w:eastAsia="en-US"/>
    </w:rPr>
  </w:style>
  <w:style w:type="paragraph" w:styleId="NoSpacing">
    <w:name w:val="No Spacing"/>
    <w:uiPriority w:val="1"/>
    <w:qFormat/>
    <w:rsid w:val="00324330"/>
    <w:rPr>
      <w:sz w:val="24"/>
      <w:szCs w:val="24"/>
      <w:lang w:eastAsia="en-US"/>
    </w:rPr>
  </w:style>
  <w:style w:type="paragraph" w:customStyle="1" w:styleId="2-SectionHeading">
    <w:name w:val="2-Section Heading"/>
    <w:qFormat/>
    <w:rsid w:val="00324330"/>
    <w:pPr>
      <w:keepNext/>
      <w:spacing w:before="240" w:after="120"/>
      <w:outlineLvl w:val="1"/>
    </w:pPr>
    <w:rPr>
      <w:rFonts w:asciiTheme="minorHAnsi" w:hAnsiTheme="minorHAnsi" w:cs="Arial"/>
      <w:b/>
      <w:snapToGrid w:val="0"/>
      <w:sz w:val="32"/>
      <w:szCs w:val="32"/>
    </w:rPr>
  </w:style>
  <w:style w:type="character" w:customStyle="1" w:styleId="cf11">
    <w:name w:val="cf11"/>
    <w:basedOn w:val="DefaultParagraphFont"/>
    <w:rsid w:val="00F92199"/>
    <w:rPr>
      <w:rFonts w:ascii="Segoe UI" w:hAnsi="Segoe UI" w:cs="Segoe UI" w:hint="default"/>
      <w:sz w:val="18"/>
      <w:szCs w:val="18"/>
    </w:rPr>
  </w:style>
  <w:style w:type="table" w:customStyle="1" w:styleId="TableGrid2">
    <w:name w:val="Table Grid2"/>
    <w:basedOn w:val="TableNormal"/>
    <w:next w:val="TableGrid"/>
    <w:uiPriority w:val="59"/>
    <w:rsid w:val="00206810"/>
    <w:pPr>
      <w:spacing w:after="200" w:line="276" w:lineRule="auto"/>
    </w:pPr>
    <w:rPr>
      <w:rFonts w:ascii="Calibri" w:eastAsia="MS Mincho"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bullet2">
    <w:name w:val="Number bullet 2"/>
    <w:basedOn w:val="ListBullet2"/>
    <w:qFormat/>
    <w:rsid w:val="001634BC"/>
    <w:pPr>
      <w:spacing w:before="120" w:after="180" w:line="240" w:lineRule="atLeast"/>
      <w:ind w:left="1080" w:hanging="360"/>
      <w:contextualSpacing w:val="0"/>
      <w:jc w:val="left"/>
    </w:pPr>
    <w:rPr>
      <w:rFonts w:ascii="Cambria" w:eastAsia="Cambria" w:hAnsi="Cambria" w:cs="Times New Roman"/>
      <w:sz w:val="22"/>
      <w:szCs w:val="22"/>
      <w:lang w:eastAsia="en-US"/>
    </w:rPr>
  </w:style>
  <w:style w:type="paragraph" w:customStyle="1" w:styleId="Numberbullet3">
    <w:name w:val="Number bullet 3"/>
    <w:basedOn w:val="ListBullet3"/>
    <w:qFormat/>
    <w:rsid w:val="001634BC"/>
    <w:pPr>
      <w:numPr>
        <w:numId w:val="0"/>
      </w:numPr>
      <w:spacing w:before="120" w:after="180" w:line="240" w:lineRule="atLeast"/>
      <w:ind w:left="1800" w:hanging="180"/>
      <w:contextualSpacing w:val="0"/>
      <w:jc w:val="left"/>
    </w:pPr>
    <w:rPr>
      <w:rFonts w:ascii="Cambria" w:eastAsia="Cambria" w:hAnsi="Cambria" w:cs="Times New Roman"/>
      <w:sz w:val="22"/>
      <w:szCs w:val="22"/>
      <w:lang w:eastAsia="en-US"/>
    </w:rPr>
  </w:style>
  <w:style w:type="numbering" w:customStyle="1" w:styleId="NumberBullet">
    <w:name w:val="NumberBullet"/>
    <w:uiPriority w:val="99"/>
    <w:locked/>
    <w:rsid w:val="001634BC"/>
    <w:pPr>
      <w:numPr>
        <w:numId w:val="39"/>
      </w:numPr>
    </w:pPr>
  </w:style>
  <w:style w:type="paragraph" w:styleId="ListBullet2">
    <w:name w:val="List Bullet 2"/>
    <w:basedOn w:val="Normal"/>
    <w:semiHidden/>
    <w:unhideWhenUsed/>
    <w:rsid w:val="001634BC"/>
    <w:pPr>
      <w:ind w:left="425" w:hanging="425"/>
      <w:contextualSpacing/>
    </w:pPr>
  </w:style>
  <w:style w:type="paragraph" w:styleId="ListBullet3">
    <w:name w:val="List Bullet 3"/>
    <w:basedOn w:val="Normal"/>
    <w:semiHidden/>
    <w:unhideWhenUsed/>
    <w:rsid w:val="001634BC"/>
    <w:pPr>
      <w:numPr>
        <w:numId w:val="4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14598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cbi.nlm.nih.gov/pmc/articles/PMC8709801/pdf/41687_2021_Article_404.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cbi.nlm.nih.gov/pmc/articles/PMC870980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mc/articles/PMC870980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jpro.springeropen.com/articles/10.1186/s41687-021-00404-z"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48</Pages>
  <Words>19972</Words>
  <Characters>113845</Characters>
  <Application>Microsoft Office Word</Application>
  <DocSecurity>0</DocSecurity>
  <Lines>948</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2024-02-23T06:02:00Z</dcterms:created>
  <dcterms:modified xsi:type="dcterms:W3CDTF">2024-03-01T00:56:00Z</dcterms:modified>
</cp:coreProperties>
</file>