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C449C07" w:rsidR="00B60939" w:rsidRPr="00674669" w:rsidRDefault="00CC30B7" w:rsidP="00C750B0">
      <w:pPr>
        <w:pStyle w:val="1-MainHeading"/>
      </w:pPr>
      <w:bookmarkStart w:id="0" w:name="_Toc145495055"/>
      <w:r w:rsidRPr="00674669">
        <w:t>6.04</w:t>
      </w:r>
      <w:r w:rsidR="00163F66" w:rsidRPr="00674669">
        <w:tab/>
      </w:r>
      <w:r w:rsidR="00E52C42" w:rsidRPr="00674669">
        <w:t>CEMIPLIMAB</w:t>
      </w:r>
      <w:r w:rsidR="00163F66" w:rsidRPr="00674669">
        <w:t>,</w:t>
      </w:r>
      <w:r w:rsidR="00163F66" w:rsidRPr="00674669">
        <w:br/>
      </w:r>
      <w:r w:rsidR="00E52C42" w:rsidRPr="00674669">
        <w:t xml:space="preserve">Solution for I.V. </w:t>
      </w:r>
      <w:r w:rsidRPr="00674669">
        <w:t>i</w:t>
      </w:r>
      <w:r w:rsidR="00E52C42" w:rsidRPr="00674669">
        <w:t xml:space="preserve">nfusion </w:t>
      </w:r>
      <w:r w:rsidR="00074FA3" w:rsidRPr="00674669">
        <w:t>350 mg in 7 mL</w:t>
      </w:r>
      <w:r w:rsidR="00163F66" w:rsidRPr="00674669">
        <w:t>,</w:t>
      </w:r>
      <w:r w:rsidR="00163F66" w:rsidRPr="00674669">
        <w:br/>
      </w:r>
      <w:r w:rsidR="00074FA3" w:rsidRPr="00674669">
        <w:t>Libtayo</w:t>
      </w:r>
      <w:r w:rsidR="00B60939" w:rsidRPr="00674669">
        <w:rPr>
          <w:vertAlign w:val="superscript"/>
        </w:rPr>
        <w:t>®</w:t>
      </w:r>
      <w:r w:rsidR="004A6040" w:rsidRPr="00674669">
        <w:t>,</w:t>
      </w:r>
      <w:r w:rsidR="004A6040" w:rsidRPr="00674669">
        <w:br/>
      </w:r>
      <w:r w:rsidR="00074FA3" w:rsidRPr="00674669">
        <w:t>Sanofi-Aventis Australia PTY LTD</w:t>
      </w:r>
      <w:r w:rsidR="00B60939" w:rsidRPr="00674669">
        <w:t>.</w:t>
      </w:r>
      <w:bookmarkEnd w:id="0"/>
      <w:r w:rsidR="00F73E08" w:rsidRPr="00674669">
        <w:t xml:space="preserve"> </w:t>
      </w:r>
    </w:p>
    <w:p w14:paraId="2BA79EC4" w14:textId="77777777" w:rsidR="00AD26DB" w:rsidRPr="00674669" w:rsidRDefault="00AD26DB" w:rsidP="00AD26DB">
      <w:pPr>
        <w:pStyle w:val="2-SectionHeading"/>
      </w:pPr>
      <w:bookmarkStart w:id="1" w:name="_Toc107902078"/>
      <w:bookmarkStart w:id="2" w:name="_Toc142622560"/>
      <w:bookmarkStart w:id="3" w:name="_Toc145495057"/>
      <w:bookmarkStart w:id="4" w:name="_Toc22897637"/>
      <w:bookmarkEnd w:id="1"/>
      <w:r w:rsidRPr="00674669">
        <w:t>Purpose of submission</w:t>
      </w:r>
      <w:bookmarkEnd w:id="2"/>
      <w:bookmarkEnd w:id="3"/>
    </w:p>
    <w:p w14:paraId="58829D51" w14:textId="3AF1DF16" w:rsidR="00AD26DB" w:rsidRPr="00674669" w:rsidRDefault="00AD26DB" w:rsidP="00AD26DB">
      <w:pPr>
        <w:pStyle w:val="3-BodyText"/>
      </w:pPr>
      <w:r w:rsidRPr="00674669">
        <w:t>The Category 2 submission requested Section 100 (Efficient Funding of Chemotherapy (EFC)) Authority Required (STREAMLINED) listing for cemiplimab to be used with platinum doublet chemotherapy (PDC) as a first-line treatment of adult patients with Stage IV (metastatic) non-small cell lung cancer (NSCLC) with no evidence of epidermal growth factor receptor (EGFR), anaplastic lymphoma kinase (ALK), or c-ROS-proto-oncogene 1 (ROS1) aberrations, irrespective of histology or programmed death ligand (PD-L1) expression levels.</w:t>
      </w:r>
      <w:r w:rsidR="002E0691">
        <w:t>98  .0</w:t>
      </w:r>
    </w:p>
    <w:p w14:paraId="25DA1DA5" w14:textId="7372DDB2" w:rsidR="00AD26DB" w:rsidRPr="00674669" w:rsidRDefault="00AD26DB" w:rsidP="00AD26DB">
      <w:pPr>
        <w:pStyle w:val="3-BodyText"/>
      </w:pPr>
      <w:r w:rsidRPr="00674669">
        <w:t>Listing was requested on the basis of a cost-minimisation approach (CMA) versus pembrolizumab in combination with chemotherapy. The key components of the clinical issue addressed by the submission are summarise</w:t>
      </w:r>
      <w:r w:rsidR="00CC30B7" w:rsidRPr="00674669">
        <w:t>d</w:t>
      </w:r>
      <w:r w:rsidRPr="00674669">
        <w:t xml:space="preserve"> below. </w:t>
      </w:r>
    </w:p>
    <w:p w14:paraId="3BB00807" w14:textId="15EA170C" w:rsidR="00AD26DB" w:rsidRPr="00674669" w:rsidRDefault="00AD26DB" w:rsidP="00AD26DB">
      <w:pPr>
        <w:pStyle w:val="TableFigureHeading"/>
        <w:rPr>
          <w:rStyle w:val="CommentReference"/>
          <w:b/>
          <w:szCs w:val="24"/>
        </w:rPr>
      </w:pPr>
      <w:r w:rsidRPr="00674669">
        <w:t xml:space="preserve">Table </w:t>
      </w:r>
      <w:fldSimple w:instr=" SEQ Table \* ARABIC " w:fldLock="1">
        <w:r w:rsidR="006F44A4" w:rsidRPr="00674669">
          <w:t>1</w:t>
        </w:r>
      </w:fldSimple>
      <w:r w:rsidRPr="00674669">
        <w:t>:</w:t>
      </w:r>
      <w:r w:rsidRPr="00674669">
        <w:rPr>
          <w:rStyle w:val="CommentReference"/>
          <w:b/>
          <w:szCs w:val="24"/>
        </w:rPr>
        <w:t xml:space="preserve"> Key components of the clinical issue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AD26DB" w:rsidRPr="00674669" w14:paraId="1E5F4358" w14:textId="77777777" w:rsidTr="00C521FE">
        <w:trPr>
          <w:cantSplit/>
          <w:tblHeader/>
        </w:trPr>
        <w:tc>
          <w:tcPr>
            <w:tcW w:w="924" w:type="pct"/>
            <w:shd w:val="clear" w:color="auto" w:fill="auto"/>
          </w:tcPr>
          <w:p w14:paraId="6B30BA26" w14:textId="77777777" w:rsidR="00AD26DB" w:rsidRPr="00674669" w:rsidRDefault="00AD26DB" w:rsidP="00C521FE">
            <w:pPr>
              <w:pStyle w:val="In-tableHeading"/>
              <w:rPr>
                <w:szCs w:val="20"/>
                <w:lang w:val="en-AU"/>
              </w:rPr>
            </w:pPr>
            <w:r w:rsidRPr="00674669">
              <w:rPr>
                <w:lang w:val="en-AU"/>
              </w:rPr>
              <w:t>Component</w:t>
            </w:r>
          </w:p>
        </w:tc>
        <w:tc>
          <w:tcPr>
            <w:tcW w:w="4076" w:type="pct"/>
            <w:shd w:val="clear" w:color="auto" w:fill="auto"/>
          </w:tcPr>
          <w:p w14:paraId="47623A31" w14:textId="77777777" w:rsidR="00AD26DB" w:rsidRPr="00674669" w:rsidRDefault="00AD26DB" w:rsidP="00C521FE">
            <w:pPr>
              <w:pStyle w:val="In-tableHeading"/>
              <w:rPr>
                <w:lang w:val="en-AU"/>
              </w:rPr>
            </w:pPr>
            <w:r w:rsidRPr="00674669">
              <w:rPr>
                <w:lang w:val="en-AU"/>
              </w:rPr>
              <w:t>Description</w:t>
            </w:r>
          </w:p>
        </w:tc>
      </w:tr>
      <w:tr w:rsidR="00AD26DB" w:rsidRPr="00674669" w14:paraId="3DDC6CFE" w14:textId="77777777" w:rsidTr="00C521FE">
        <w:trPr>
          <w:cantSplit/>
        </w:trPr>
        <w:tc>
          <w:tcPr>
            <w:tcW w:w="924" w:type="pct"/>
            <w:shd w:val="clear" w:color="auto" w:fill="auto"/>
          </w:tcPr>
          <w:p w14:paraId="47A73CC4" w14:textId="77777777" w:rsidR="00AD26DB" w:rsidRPr="00674669" w:rsidRDefault="00AD26DB" w:rsidP="00C521FE">
            <w:pPr>
              <w:pStyle w:val="TableText0"/>
            </w:pPr>
            <w:r w:rsidRPr="00674669">
              <w:t>Population</w:t>
            </w:r>
          </w:p>
        </w:tc>
        <w:tc>
          <w:tcPr>
            <w:tcW w:w="4076" w:type="pct"/>
            <w:shd w:val="clear" w:color="auto" w:fill="auto"/>
          </w:tcPr>
          <w:p w14:paraId="75D31513" w14:textId="77777777" w:rsidR="00AD26DB" w:rsidRPr="00674669" w:rsidRDefault="00AD26DB" w:rsidP="00C521FE">
            <w:pPr>
              <w:pStyle w:val="TableText0"/>
            </w:pPr>
            <w:r w:rsidRPr="00674669">
              <w:t>Patients with Stage IV (metastatic) NSCLC with no evidence of an activating EGFR, ALK or ROS1 gene arrangement in tumour material</w:t>
            </w:r>
          </w:p>
        </w:tc>
      </w:tr>
      <w:tr w:rsidR="00AD26DB" w:rsidRPr="00674669" w14:paraId="71F6E2A4" w14:textId="77777777" w:rsidTr="00C521FE">
        <w:trPr>
          <w:cantSplit/>
        </w:trPr>
        <w:tc>
          <w:tcPr>
            <w:tcW w:w="924" w:type="pct"/>
            <w:shd w:val="clear" w:color="auto" w:fill="auto"/>
          </w:tcPr>
          <w:p w14:paraId="4C4E261D" w14:textId="77777777" w:rsidR="00AD26DB" w:rsidRPr="00674669" w:rsidRDefault="00AD26DB" w:rsidP="00C521FE">
            <w:pPr>
              <w:pStyle w:val="TableText0"/>
            </w:pPr>
            <w:r w:rsidRPr="00674669">
              <w:t>Intervention</w:t>
            </w:r>
          </w:p>
        </w:tc>
        <w:tc>
          <w:tcPr>
            <w:tcW w:w="4076" w:type="pct"/>
            <w:shd w:val="clear" w:color="auto" w:fill="auto"/>
          </w:tcPr>
          <w:p w14:paraId="6D18F834" w14:textId="28BB2899" w:rsidR="00AD26DB" w:rsidRPr="00674669" w:rsidRDefault="00AD26DB" w:rsidP="00C521FE">
            <w:pPr>
              <w:pStyle w:val="TableText0"/>
            </w:pPr>
            <w:r w:rsidRPr="00674669">
              <w:t>Cemiplimab 350 mg Q3W administered as an IV infusion</w:t>
            </w:r>
            <w:r w:rsidR="00F152CD" w:rsidRPr="00674669">
              <w:t>+</w:t>
            </w:r>
            <w:r w:rsidRPr="00674669">
              <w:t>PDC</w:t>
            </w:r>
          </w:p>
        </w:tc>
      </w:tr>
      <w:tr w:rsidR="00AD26DB" w:rsidRPr="00674669" w14:paraId="18B1D39E" w14:textId="77777777" w:rsidTr="00C521FE">
        <w:trPr>
          <w:cantSplit/>
        </w:trPr>
        <w:tc>
          <w:tcPr>
            <w:tcW w:w="924" w:type="pct"/>
            <w:shd w:val="clear" w:color="auto" w:fill="auto"/>
          </w:tcPr>
          <w:p w14:paraId="2761A23E" w14:textId="77777777" w:rsidR="00AD26DB" w:rsidRPr="00674669" w:rsidRDefault="00AD26DB" w:rsidP="00C521FE">
            <w:pPr>
              <w:pStyle w:val="TableText0"/>
            </w:pPr>
            <w:r w:rsidRPr="00674669">
              <w:t>Comparator</w:t>
            </w:r>
          </w:p>
        </w:tc>
        <w:tc>
          <w:tcPr>
            <w:tcW w:w="4076" w:type="pct"/>
            <w:shd w:val="clear" w:color="auto" w:fill="auto"/>
          </w:tcPr>
          <w:p w14:paraId="6799F751" w14:textId="4CCF7F43" w:rsidR="00AD26DB" w:rsidRPr="00674669" w:rsidRDefault="00AD26DB" w:rsidP="00C521FE">
            <w:pPr>
              <w:pStyle w:val="TableText0"/>
            </w:pPr>
            <w:r w:rsidRPr="00674669">
              <w:t>Pembrolizumab 200 mg Q3W administered as an IV infusion</w:t>
            </w:r>
            <w:r w:rsidR="00F152CD" w:rsidRPr="00674669">
              <w:t>+</w:t>
            </w:r>
            <w:r w:rsidRPr="00674669">
              <w:t>PDC</w:t>
            </w:r>
          </w:p>
        </w:tc>
      </w:tr>
      <w:tr w:rsidR="00AD26DB" w:rsidRPr="00674669" w14:paraId="6D754F16" w14:textId="77777777" w:rsidTr="00C521FE">
        <w:trPr>
          <w:cantSplit/>
        </w:trPr>
        <w:tc>
          <w:tcPr>
            <w:tcW w:w="924" w:type="pct"/>
            <w:shd w:val="clear" w:color="auto" w:fill="auto"/>
          </w:tcPr>
          <w:p w14:paraId="79100B2B" w14:textId="77777777" w:rsidR="00AD26DB" w:rsidRPr="00674669" w:rsidRDefault="00AD26DB" w:rsidP="00C521FE">
            <w:pPr>
              <w:pStyle w:val="TableText0"/>
            </w:pPr>
            <w:r w:rsidRPr="00674669">
              <w:t>Outcomes</w:t>
            </w:r>
          </w:p>
        </w:tc>
        <w:tc>
          <w:tcPr>
            <w:tcW w:w="4076" w:type="pct"/>
            <w:shd w:val="clear" w:color="auto" w:fill="auto"/>
          </w:tcPr>
          <w:p w14:paraId="7789685A" w14:textId="77777777" w:rsidR="00AD26DB" w:rsidRPr="00674669" w:rsidRDefault="00AD26DB" w:rsidP="00C521FE">
            <w:pPr>
              <w:pStyle w:val="TableText0"/>
            </w:pPr>
            <w:r w:rsidRPr="00674669">
              <w:t>OS, PFS, ORR, quality of life and safety</w:t>
            </w:r>
          </w:p>
        </w:tc>
      </w:tr>
      <w:tr w:rsidR="00AD26DB" w:rsidRPr="00674669" w14:paraId="57B1296E" w14:textId="77777777" w:rsidTr="00C521FE">
        <w:trPr>
          <w:cantSplit/>
        </w:trPr>
        <w:tc>
          <w:tcPr>
            <w:tcW w:w="924" w:type="pct"/>
            <w:shd w:val="clear" w:color="auto" w:fill="auto"/>
          </w:tcPr>
          <w:p w14:paraId="4867EBB7" w14:textId="77777777" w:rsidR="00AD26DB" w:rsidRPr="00674669" w:rsidRDefault="00AD26DB" w:rsidP="00C521FE">
            <w:pPr>
              <w:pStyle w:val="TableText0"/>
            </w:pPr>
            <w:r w:rsidRPr="00674669">
              <w:t>Clinical claim</w:t>
            </w:r>
          </w:p>
        </w:tc>
        <w:tc>
          <w:tcPr>
            <w:tcW w:w="4076" w:type="pct"/>
            <w:shd w:val="clear" w:color="auto" w:fill="auto"/>
          </w:tcPr>
          <w:p w14:paraId="55CA9489" w14:textId="2830B0C1" w:rsidR="00AD26DB" w:rsidRPr="00674669" w:rsidRDefault="00AD26DB" w:rsidP="00C521FE">
            <w:pPr>
              <w:pStyle w:val="TableText0"/>
            </w:pPr>
            <w:r w:rsidRPr="00674669">
              <w:t>For first-line treatment of patients with Stage IV (metastatic) NSCLC, cemiplimab</w:t>
            </w:r>
            <w:r w:rsidR="00F152CD" w:rsidRPr="00674669">
              <w:t>+</w:t>
            </w:r>
            <w:r w:rsidRPr="00674669">
              <w:t>PDC is non-inferior to pembrolizumab</w:t>
            </w:r>
            <w:r w:rsidR="00F152CD" w:rsidRPr="00674669">
              <w:t>+</w:t>
            </w:r>
            <w:r w:rsidRPr="00674669">
              <w:t>PDC in terms of comparative effectiveness and safety</w:t>
            </w:r>
          </w:p>
        </w:tc>
      </w:tr>
    </w:tbl>
    <w:p w14:paraId="428F3CC0" w14:textId="77777777" w:rsidR="00AD26DB" w:rsidRPr="00674669" w:rsidRDefault="00AD26DB" w:rsidP="00AD26DB">
      <w:pPr>
        <w:pStyle w:val="FooterTableFigure"/>
      </w:pPr>
      <w:r w:rsidRPr="00674669">
        <w:t>Source: Table 1-1, p2 of the submission.</w:t>
      </w:r>
    </w:p>
    <w:p w14:paraId="0C1A58C9" w14:textId="298C9A01" w:rsidR="00AD26DB" w:rsidRPr="00674669" w:rsidRDefault="00AD26DB" w:rsidP="00AD26DB">
      <w:pPr>
        <w:pStyle w:val="FooterTableFigure"/>
        <w:rPr>
          <w:sz w:val="20"/>
        </w:rPr>
      </w:pPr>
      <w:r w:rsidRPr="00674669">
        <w:t>ALK = anaplastic lymphoma kinase; EGFR = epidermal growth factor receptor; IV = intravenous; NSCLC = non-small cell lung cancer; ORR = objective response rate; OS = overall survival; PDC = platinum</w:t>
      </w:r>
      <w:r w:rsidR="0008214D" w:rsidRPr="00674669">
        <w:t xml:space="preserve"> </w:t>
      </w:r>
      <w:r w:rsidRPr="00674669">
        <w:t>doublet chemotherapy; PFS = progression free survival; Q3W = every 3 weeks; ROS1 = cROS proto oncogene 1.</w:t>
      </w:r>
    </w:p>
    <w:p w14:paraId="69CCD1FC" w14:textId="77777777" w:rsidR="00AD26DB" w:rsidRPr="00674669" w:rsidRDefault="00AD26DB" w:rsidP="00AD26DB">
      <w:pPr>
        <w:pStyle w:val="2-SectionHeading"/>
      </w:pPr>
      <w:bookmarkStart w:id="5" w:name="_Toc142622561"/>
      <w:bookmarkStart w:id="6" w:name="_Toc145495058"/>
      <w:r w:rsidRPr="00674669">
        <w:t>Background</w:t>
      </w:r>
      <w:bookmarkEnd w:id="5"/>
      <w:bookmarkEnd w:id="6"/>
    </w:p>
    <w:p w14:paraId="71A0AEE0" w14:textId="77777777" w:rsidR="00AD26DB" w:rsidRPr="00674669" w:rsidRDefault="00AD26DB" w:rsidP="00AD26DB">
      <w:pPr>
        <w:pStyle w:val="4-SubsectionHeading"/>
      </w:pPr>
      <w:bookmarkStart w:id="7" w:name="_Toc22897638"/>
      <w:bookmarkStart w:id="8" w:name="_Toc142622562"/>
      <w:bookmarkStart w:id="9" w:name="_Toc145495059"/>
      <w:r w:rsidRPr="00674669">
        <w:t>Registration status</w:t>
      </w:r>
      <w:bookmarkEnd w:id="7"/>
      <w:bookmarkEnd w:id="8"/>
      <w:bookmarkEnd w:id="9"/>
    </w:p>
    <w:p w14:paraId="3C61AAA8" w14:textId="77777777" w:rsidR="00AD26DB" w:rsidRPr="00674669" w:rsidRDefault="00AD26DB" w:rsidP="00AD26DB">
      <w:pPr>
        <w:pStyle w:val="3-BodyText"/>
      </w:pPr>
      <w:r w:rsidRPr="00674669">
        <w:t xml:space="preserve">Cemiplimab was TGA registered on 5 June 2023 for the following indication: Cemiplimab in combination with platinum‐based chemotherapy is indicated for the first‐line treatment of patients with NSCLC whose tumours have no EGFR, ALK or ROS1 aberrations and is: </w:t>
      </w:r>
    </w:p>
    <w:p w14:paraId="09DCBC70" w14:textId="77777777" w:rsidR="00AD26DB" w:rsidRPr="00674669" w:rsidRDefault="00AD26DB" w:rsidP="00AD26DB">
      <w:pPr>
        <w:pStyle w:val="ListParagraph"/>
        <w:spacing w:after="0"/>
      </w:pPr>
      <w:r w:rsidRPr="00674669">
        <w:t xml:space="preserve">locally advanced where patients are not candidates for surgical resection or definitive chemoradiation, or </w:t>
      </w:r>
    </w:p>
    <w:p w14:paraId="7435BA26" w14:textId="77777777" w:rsidR="00AD26DB" w:rsidRPr="00674669" w:rsidRDefault="00AD26DB" w:rsidP="002C0753">
      <w:pPr>
        <w:pStyle w:val="ListParagraph"/>
      </w:pPr>
      <w:r w:rsidRPr="00674669">
        <w:t>metastatic.</w:t>
      </w:r>
    </w:p>
    <w:p w14:paraId="625A1C69" w14:textId="394CB181" w:rsidR="00F7273E" w:rsidRPr="00674669" w:rsidRDefault="00AD26DB" w:rsidP="00F7273E">
      <w:pPr>
        <w:pStyle w:val="3-BodyText"/>
      </w:pPr>
      <w:r w:rsidRPr="00674669">
        <w:lastRenderedPageBreak/>
        <w:t>Cemiplimab is also TGA approved as monotherapy for the first-line treatment of adult patients with NSCLC expressing PD-L1 tumour proportion score (TPS) ≥50% as determined by a validated test, with no EGFR, ALK or ROS1 aberrations, who have locally advanced NSCLC and who are not candidates for surgical resection or definitive chemoradiation; or metastatic NSCLC.</w:t>
      </w:r>
    </w:p>
    <w:p w14:paraId="297D3E60" w14:textId="31046395" w:rsidR="00AD26DB" w:rsidRPr="00674669" w:rsidRDefault="00AD26DB" w:rsidP="00594865">
      <w:pPr>
        <w:pStyle w:val="2-SectionHeading"/>
      </w:pPr>
      <w:bookmarkStart w:id="10" w:name="_Toc144901803"/>
      <w:bookmarkStart w:id="11" w:name="_Toc142622563"/>
      <w:bookmarkStart w:id="12" w:name="_Toc145495060"/>
      <w:bookmarkEnd w:id="10"/>
      <w:r w:rsidRPr="00674669">
        <w:t>Requested listing</w:t>
      </w:r>
      <w:bookmarkEnd w:id="11"/>
      <w:bookmarkEnd w:id="12"/>
    </w:p>
    <w:p w14:paraId="1B39469C" w14:textId="77777777" w:rsidR="00385F13" w:rsidRPr="00674669" w:rsidRDefault="00385F13" w:rsidP="00385F13">
      <w:pPr>
        <w:pStyle w:val="3-BodyText"/>
        <w:rPr>
          <w:rFonts w:cs="Calibri"/>
          <w:bCs/>
        </w:rPr>
      </w:pPr>
      <w:bookmarkStart w:id="13" w:name="_Ref87964878"/>
      <w:bookmarkStart w:id="14" w:name="_Hlk104809082"/>
      <w:r w:rsidRPr="00674669">
        <w:t>Suggestions and additions proposed by the Secretariat are added in italics and suggested deletions are crossed out with strikethrough.</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843"/>
        <w:gridCol w:w="1986"/>
        <w:gridCol w:w="1417"/>
        <w:gridCol w:w="1508"/>
      </w:tblGrid>
      <w:tr w:rsidR="0029674B" w:rsidRPr="00674669" w14:paraId="4E655EC6" w14:textId="77777777" w:rsidTr="00AA51FF">
        <w:trPr>
          <w:cantSplit/>
          <w:trHeight w:val="20"/>
        </w:trPr>
        <w:tc>
          <w:tcPr>
            <w:tcW w:w="1255" w:type="pct"/>
            <w:vAlign w:val="center"/>
          </w:tcPr>
          <w:p w14:paraId="305EB364" w14:textId="75515E82" w:rsidR="0029674B" w:rsidRPr="000A0CE0" w:rsidRDefault="0029674B" w:rsidP="00C521FE">
            <w:pPr>
              <w:pStyle w:val="In-tableHeading"/>
              <w:keepLines/>
              <w:rPr>
                <w:lang w:val="en-AU"/>
              </w:rPr>
            </w:pPr>
            <w:r w:rsidRPr="000A0CE0">
              <w:rPr>
                <w:lang w:val="en-AU"/>
              </w:rPr>
              <w:t>MEDICINAL PRODUCT Form</w:t>
            </w:r>
          </w:p>
        </w:tc>
        <w:tc>
          <w:tcPr>
            <w:tcW w:w="1022" w:type="pct"/>
            <w:vAlign w:val="center"/>
          </w:tcPr>
          <w:p w14:paraId="094D9FEC" w14:textId="5F4AFC00" w:rsidR="0029674B" w:rsidRPr="000A0CE0" w:rsidRDefault="0029674B" w:rsidP="00C521FE">
            <w:pPr>
              <w:pStyle w:val="In-tableHeading"/>
              <w:keepLines/>
              <w:rPr>
                <w:lang w:val="en-AU"/>
              </w:rPr>
            </w:pPr>
            <w:r w:rsidRPr="000A0CE0">
              <w:rPr>
                <w:lang w:val="en-AU"/>
              </w:rPr>
              <w:t>PBS item codes</w:t>
            </w:r>
          </w:p>
        </w:tc>
        <w:tc>
          <w:tcPr>
            <w:tcW w:w="1101" w:type="pct"/>
            <w:vAlign w:val="center"/>
          </w:tcPr>
          <w:p w14:paraId="01FCDCC2" w14:textId="77777777" w:rsidR="0029674B" w:rsidRPr="000A0CE0" w:rsidRDefault="0029674B" w:rsidP="00C521FE">
            <w:pPr>
              <w:pStyle w:val="In-tableHeading"/>
              <w:keepLines/>
              <w:jc w:val="center"/>
              <w:rPr>
                <w:lang w:val="en-AU"/>
              </w:rPr>
            </w:pPr>
            <w:r w:rsidRPr="000A0CE0">
              <w:rPr>
                <w:lang w:val="en-AU"/>
              </w:rPr>
              <w:t>Dispensed Price Max Amt</w:t>
            </w:r>
          </w:p>
        </w:tc>
        <w:tc>
          <w:tcPr>
            <w:tcW w:w="786" w:type="pct"/>
            <w:vAlign w:val="center"/>
          </w:tcPr>
          <w:p w14:paraId="5CAD9E8B" w14:textId="77777777" w:rsidR="0029674B" w:rsidRPr="000A0CE0" w:rsidRDefault="0029674B" w:rsidP="00C521FE">
            <w:pPr>
              <w:pStyle w:val="In-tableHeading"/>
              <w:keepLines/>
              <w:jc w:val="center"/>
              <w:rPr>
                <w:lang w:val="en-AU"/>
              </w:rPr>
            </w:pPr>
            <w:r w:rsidRPr="000A0CE0">
              <w:rPr>
                <w:lang w:val="en-AU"/>
              </w:rPr>
              <w:t>Max. Amount</w:t>
            </w:r>
          </w:p>
        </w:tc>
        <w:tc>
          <w:tcPr>
            <w:tcW w:w="836" w:type="pct"/>
            <w:vAlign w:val="center"/>
          </w:tcPr>
          <w:p w14:paraId="0BA830D0" w14:textId="77777777" w:rsidR="0029674B" w:rsidRPr="000A0CE0" w:rsidRDefault="0029674B" w:rsidP="00C521FE">
            <w:pPr>
              <w:pStyle w:val="In-tableHeading"/>
              <w:keepLines/>
              <w:jc w:val="center"/>
              <w:rPr>
                <w:lang w:val="en-AU"/>
              </w:rPr>
            </w:pPr>
            <w:r w:rsidRPr="000A0CE0">
              <w:rPr>
                <w:lang w:val="en-AU"/>
              </w:rPr>
              <w:t>№.of Rpts</w:t>
            </w:r>
          </w:p>
        </w:tc>
      </w:tr>
      <w:tr w:rsidR="0029674B" w:rsidRPr="00674669" w14:paraId="3D7F9927" w14:textId="77777777" w:rsidTr="00AA51FF">
        <w:trPr>
          <w:cantSplit/>
          <w:trHeight w:val="20"/>
        </w:trPr>
        <w:tc>
          <w:tcPr>
            <w:tcW w:w="1255" w:type="pct"/>
            <w:vAlign w:val="center"/>
          </w:tcPr>
          <w:p w14:paraId="31C424E5" w14:textId="77777777" w:rsidR="0029674B" w:rsidRPr="000A0CE0" w:rsidRDefault="0029674B" w:rsidP="00C521FE">
            <w:pPr>
              <w:pStyle w:val="TableText0"/>
              <w:keepLines/>
            </w:pPr>
            <w:r w:rsidRPr="000A0CE0">
              <w:t xml:space="preserve">Cemiplimab </w:t>
            </w:r>
          </w:p>
        </w:tc>
        <w:tc>
          <w:tcPr>
            <w:tcW w:w="1022" w:type="pct"/>
            <w:vAlign w:val="center"/>
          </w:tcPr>
          <w:p w14:paraId="7F9E7930" w14:textId="2F621220" w:rsidR="0029674B" w:rsidRPr="000A0CE0" w:rsidRDefault="009679BD" w:rsidP="009679BD">
            <w:pPr>
              <w:pStyle w:val="TableText0"/>
              <w:keepLines/>
              <w:jc w:val="center"/>
            </w:pPr>
            <w:r w:rsidRPr="000A0CE0">
              <w:t>13169D (Public)</w:t>
            </w:r>
          </w:p>
          <w:p w14:paraId="42E0E908" w14:textId="77777777" w:rsidR="009679BD" w:rsidRPr="000A0CE0" w:rsidRDefault="009679BD" w:rsidP="009679BD">
            <w:pPr>
              <w:pStyle w:val="TableText0"/>
              <w:keepLines/>
              <w:jc w:val="center"/>
              <w:rPr>
                <w:sz w:val="16"/>
                <w:szCs w:val="16"/>
              </w:rPr>
            </w:pPr>
            <w:r w:rsidRPr="000A0CE0">
              <w:rPr>
                <w:sz w:val="16"/>
                <w:szCs w:val="16"/>
              </w:rPr>
              <w:t>MP</w:t>
            </w:r>
          </w:p>
          <w:p w14:paraId="6FBA0A73" w14:textId="77777777" w:rsidR="009679BD" w:rsidRPr="000A0CE0" w:rsidRDefault="009679BD" w:rsidP="009679BD">
            <w:pPr>
              <w:pStyle w:val="TableText0"/>
              <w:keepLines/>
              <w:jc w:val="center"/>
              <w:rPr>
                <w:sz w:val="16"/>
                <w:szCs w:val="16"/>
              </w:rPr>
            </w:pPr>
          </w:p>
          <w:p w14:paraId="17FBB4EF" w14:textId="0FB3F441" w:rsidR="009679BD" w:rsidRPr="000A0CE0" w:rsidRDefault="009679BD" w:rsidP="009679BD">
            <w:pPr>
              <w:pStyle w:val="TableText0"/>
              <w:keepLines/>
              <w:jc w:val="center"/>
              <w:rPr>
                <w:szCs w:val="20"/>
              </w:rPr>
            </w:pPr>
            <w:r w:rsidRPr="000A0CE0">
              <w:rPr>
                <w:szCs w:val="20"/>
              </w:rPr>
              <w:t>13160P (Private)</w:t>
            </w:r>
          </w:p>
          <w:p w14:paraId="21F1A926" w14:textId="0B48D9BE" w:rsidR="009679BD" w:rsidRPr="000A0CE0" w:rsidRDefault="009679BD" w:rsidP="009679BD">
            <w:pPr>
              <w:pStyle w:val="TableText0"/>
              <w:keepLines/>
              <w:jc w:val="center"/>
              <w:rPr>
                <w:sz w:val="16"/>
                <w:szCs w:val="16"/>
              </w:rPr>
            </w:pPr>
            <w:r w:rsidRPr="000A0CE0">
              <w:rPr>
                <w:sz w:val="16"/>
                <w:szCs w:val="16"/>
              </w:rPr>
              <w:t>MP</w:t>
            </w:r>
          </w:p>
        </w:tc>
        <w:tc>
          <w:tcPr>
            <w:tcW w:w="1101" w:type="pct"/>
            <w:vAlign w:val="center"/>
          </w:tcPr>
          <w:p w14:paraId="4EF2DAC4" w14:textId="77777777" w:rsidR="0029674B" w:rsidRPr="000A0CE0" w:rsidRDefault="0029674B" w:rsidP="00C521FE">
            <w:pPr>
              <w:pStyle w:val="TableText0"/>
              <w:jc w:val="center"/>
            </w:pPr>
            <w:r w:rsidRPr="000A0CE0">
              <w:t>$7,378.39 published price (public)</w:t>
            </w:r>
          </w:p>
          <w:p w14:paraId="2A07875A" w14:textId="307CF24F" w:rsidR="0029674B" w:rsidRPr="000A0CE0" w:rsidRDefault="0029674B" w:rsidP="00986298">
            <w:pPr>
              <w:pStyle w:val="TableText0"/>
              <w:jc w:val="center"/>
            </w:pPr>
            <w:r w:rsidRPr="000A0CE0">
              <w:t>$7,523.58 published price (private)</w:t>
            </w:r>
          </w:p>
        </w:tc>
        <w:tc>
          <w:tcPr>
            <w:tcW w:w="786" w:type="pct"/>
            <w:vAlign w:val="center"/>
          </w:tcPr>
          <w:p w14:paraId="7DE05B9D" w14:textId="77777777" w:rsidR="0029674B" w:rsidRPr="000A0CE0" w:rsidRDefault="0029674B" w:rsidP="00C521FE">
            <w:pPr>
              <w:pStyle w:val="TableText0"/>
              <w:keepLines/>
              <w:jc w:val="center"/>
            </w:pPr>
            <w:r w:rsidRPr="000A0CE0">
              <w:t>350 mg</w:t>
            </w:r>
          </w:p>
        </w:tc>
        <w:tc>
          <w:tcPr>
            <w:tcW w:w="836" w:type="pct"/>
            <w:vAlign w:val="center"/>
          </w:tcPr>
          <w:p w14:paraId="232780A9" w14:textId="77777777" w:rsidR="0029674B" w:rsidRPr="000A0CE0" w:rsidRDefault="0029674B" w:rsidP="00C521FE">
            <w:pPr>
              <w:pStyle w:val="TableText0"/>
              <w:keepLines/>
              <w:jc w:val="center"/>
            </w:pPr>
            <w:r w:rsidRPr="000A0CE0">
              <w:t>6</w:t>
            </w:r>
          </w:p>
        </w:tc>
      </w:tr>
      <w:tr w:rsidR="00385F13" w:rsidRPr="00674669" w14:paraId="5C060249" w14:textId="77777777" w:rsidTr="00AA51FF">
        <w:trPr>
          <w:cantSplit/>
          <w:trHeight w:val="20"/>
        </w:trPr>
        <w:tc>
          <w:tcPr>
            <w:tcW w:w="5000" w:type="pct"/>
            <w:gridSpan w:val="5"/>
            <w:vAlign w:val="center"/>
          </w:tcPr>
          <w:p w14:paraId="63234B20" w14:textId="77777777" w:rsidR="00385F13" w:rsidRPr="000A0CE0" w:rsidRDefault="00385F13" w:rsidP="00C521FE">
            <w:pPr>
              <w:keepNext/>
              <w:keepLines/>
              <w:rPr>
                <w:b/>
              </w:rPr>
            </w:pPr>
            <w:r w:rsidRPr="000A0CE0">
              <w:rPr>
                <w:rFonts w:ascii="Arial Narrow" w:eastAsiaTheme="majorEastAsia" w:hAnsi="Arial Narrow" w:cs="Times New Roman"/>
                <w:b/>
                <w:sz w:val="20"/>
              </w:rPr>
              <w:t>Available brands</w:t>
            </w:r>
            <w:r w:rsidRPr="000A0CE0">
              <w:rPr>
                <w:b/>
              </w:rPr>
              <w:t xml:space="preserve"> </w:t>
            </w:r>
          </w:p>
        </w:tc>
      </w:tr>
      <w:tr w:rsidR="00385F13" w:rsidRPr="00674669" w14:paraId="3F815AB3" w14:textId="77777777" w:rsidTr="00AA51FF">
        <w:trPr>
          <w:cantSplit/>
          <w:trHeight w:val="20"/>
        </w:trPr>
        <w:tc>
          <w:tcPr>
            <w:tcW w:w="5000" w:type="pct"/>
            <w:gridSpan w:val="5"/>
            <w:vAlign w:val="center"/>
          </w:tcPr>
          <w:p w14:paraId="6D92876E" w14:textId="77777777" w:rsidR="00385F13" w:rsidRPr="000A0CE0" w:rsidRDefault="00385F13" w:rsidP="00C521FE">
            <w:pPr>
              <w:jc w:val="left"/>
              <w:rPr>
                <w:rFonts w:ascii="Arial Narrow" w:eastAsiaTheme="majorEastAsia" w:hAnsi="Arial Narrow" w:cstheme="majorBidi"/>
                <w:bCs/>
                <w:sz w:val="20"/>
              </w:rPr>
            </w:pPr>
            <w:r w:rsidRPr="000A0CE0">
              <w:rPr>
                <w:rFonts w:ascii="Arial Narrow" w:eastAsiaTheme="majorEastAsia" w:hAnsi="Arial Narrow" w:cstheme="majorBidi"/>
                <w:bCs/>
                <w:sz w:val="20"/>
              </w:rPr>
              <w:t>Libtayo</w:t>
            </w:r>
          </w:p>
          <w:p w14:paraId="296269CB" w14:textId="5BB6034C" w:rsidR="00385F13" w:rsidRPr="000A0CE0" w:rsidRDefault="00385F13" w:rsidP="00C521FE">
            <w:pPr>
              <w:pStyle w:val="TableText0"/>
              <w:keepLines/>
            </w:pPr>
            <w:r w:rsidRPr="000A0CE0">
              <w:t>(Cemiplimab 350 mg/7 mL injection, 7 mL vial)</w:t>
            </w:r>
          </w:p>
        </w:tc>
      </w:tr>
    </w:tbl>
    <w:p w14:paraId="7F568272" w14:textId="13E59B6F" w:rsidR="00385F13" w:rsidRPr="00674669" w:rsidRDefault="00385F13" w:rsidP="00385F13">
      <w:pPr>
        <w:pStyle w:val="Cap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385F13" w:rsidRPr="00674669" w14:paraId="46F07537"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72749D" w14:textId="77777777" w:rsidR="00385F13" w:rsidRPr="000A0CE0" w:rsidRDefault="00385F13" w:rsidP="00C521FE">
            <w:pPr>
              <w:rPr>
                <w:rFonts w:ascii="Arial Narrow" w:hAnsi="Arial Narrow"/>
                <w:sz w:val="20"/>
                <w:szCs w:val="20"/>
              </w:rPr>
            </w:pPr>
            <w:r w:rsidRPr="000A0CE0">
              <w:rPr>
                <w:rFonts w:ascii="Arial Narrow" w:hAnsi="Arial Narrow"/>
                <w:b/>
                <w:sz w:val="20"/>
                <w:szCs w:val="20"/>
              </w:rPr>
              <w:t xml:space="preserve">Category / Program:   </w:t>
            </w:r>
            <w:r w:rsidRPr="000A0CE0">
              <w:rPr>
                <w:rFonts w:ascii="Arial Narrow" w:hAnsi="Arial Narrow"/>
                <w:sz w:val="20"/>
                <w:szCs w:val="20"/>
              </w:rPr>
              <w:t xml:space="preserve">Section 100 – Efficient Funding of Chemotherapy - Public and Private Hospitals </w:t>
            </w:r>
          </w:p>
        </w:tc>
      </w:tr>
      <w:tr w:rsidR="00385F13" w:rsidRPr="00674669" w14:paraId="74015998" w14:textId="77777777" w:rsidTr="00AA51FF">
        <w:trPr>
          <w:trHeight w:val="366"/>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69CD9A" w14:textId="77777777" w:rsidR="00385F13" w:rsidRPr="000A0CE0" w:rsidRDefault="00385F13" w:rsidP="00C521FE">
            <w:pPr>
              <w:rPr>
                <w:rFonts w:ascii="Arial Narrow" w:hAnsi="Arial Narrow"/>
                <w:sz w:val="20"/>
                <w:szCs w:val="20"/>
              </w:rPr>
            </w:pPr>
            <w:r w:rsidRPr="000A0CE0">
              <w:rPr>
                <w:rFonts w:ascii="Arial Narrow" w:hAnsi="Arial Narrow"/>
                <w:b/>
                <w:sz w:val="20"/>
                <w:szCs w:val="20"/>
              </w:rPr>
              <w:t>Prescriber type:</w:t>
            </w:r>
            <w:r w:rsidRPr="000A0CE0">
              <w:rPr>
                <w:rFonts w:ascii="Arial Narrow" w:hAnsi="Arial Narrow"/>
                <w:sz w:val="20"/>
                <w:szCs w:val="20"/>
              </w:rPr>
              <w:t xml:space="preserve"> </w:t>
            </w:r>
            <w:r w:rsidRPr="000A0CE0">
              <w:rPr>
                <w:rFonts w:ascii="Arial Narrow" w:hAnsi="Arial Narrow"/>
                <w:sz w:val="20"/>
                <w:szCs w:val="20"/>
              </w:rPr>
              <w:fldChar w:fldCharType="begin" w:fldLock="1">
                <w:ffData>
                  <w:name w:val=""/>
                  <w:enabled/>
                  <w:calcOnExit w:val="0"/>
                  <w:checkBox>
                    <w:sizeAuto/>
                    <w:default w:val="1"/>
                  </w:checkBox>
                </w:ffData>
              </w:fldChar>
            </w:r>
            <w:r w:rsidRPr="000A0CE0">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0A0CE0">
              <w:rPr>
                <w:rFonts w:ascii="Arial Narrow" w:hAnsi="Arial Narrow"/>
                <w:sz w:val="20"/>
                <w:szCs w:val="20"/>
              </w:rPr>
              <w:fldChar w:fldCharType="end"/>
            </w:r>
            <w:r w:rsidRPr="000A0CE0">
              <w:rPr>
                <w:rFonts w:ascii="Arial Narrow" w:hAnsi="Arial Narrow"/>
                <w:sz w:val="20"/>
                <w:szCs w:val="20"/>
              </w:rPr>
              <w:t xml:space="preserve">Medical Practitioners  </w:t>
            </w:r>
          </w:p>
        </w:tc>
      </w:tr>
      <w:tr w:rsidR="00385F13" w:rsidRPr="00674669" w14:paraId="11BAE1A9"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5ED915" w14:textId="2172F552" w:rsidR="00385F13" w:rsidRPr="000A0CE0" w:rsidRDefault="00385F13" w:rsidP="00C521FE">
            <w:pPr>
              <w:rPr>
                <w:rFonts w:ascii="Arial Narrow" w:hAnsi="Arial Narrow"/>
                <w:b/>
                <w:sz w:val="20"/>
                <w:szCs w:val="20"/>
              </w:rPr>
            </w:pPr>
            <w:r w:rsidRPr="000A0CE0">
              <w:rPr>
                <w:rFonts w:ascii="Arial Narrow" w:hAnsi="Arial Narrow"/>
                <w:b/>
                <w:sz w:val="20"/>
                <w:szCs w:val="20"/>
              </w:rPr>
              <w:t xml:space="preserve">Restriction type: </w:t>
            </w:r>
            <w:r w:rsidRPr="000A0CE0">
              <w:rPr>
                <w:rFonts w:ascii="Arial Narrow" w:hAnsi="Arial Narrow"/>
                <w:sz w:val="20"/>
                <w:szCs w:val="20"/>
              </w:rPr>
              <w:fldChar w:fldCharType="begin" w:fldLock="1">
                <w:ffData>
                  <w:name w:val=""/>
                  <w:enabled/>
                  <w:calcOnExit w:val="0"/>
                  <w:checkBox>
                    <w:sizeAuto/>
                    <w:default w:val="1"/>
                  </w:checkBox>
                </w:ffData>
              </w:fldChar>
            </w:r>
            <w:r w:rsidRPr="000A0CE0">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0A0CE0">
              <w:rPr>
                <w:rFonts w:ascii="Arial Narrow" w:hAnsi="Arial Narrow"/>
                <w:sz w:val="20"/>
                <w:szCs w:val="20"/>
              </w:rPr>
              <w:fldChar w:fldCharType="end"/>
            </w:r>
            <w:r w:rsidRPr="000A0CE0">
              <w:rPr>
                <w:rFonts w:ascii="Arial Narrow" w:hAnsi="Arial Narrow"/>
                <w:sz w:val="20"/>
                <w:szCs w:val="20"/>
              </w:rPr>
              <w:t xml:space="preserve">Authority Required – Streamlined </w:t>
            </w:r>
          </w:p>
        </w:tc>
      </w:tr>
      <w:tr w:rsidR="00385F13" w:rsidRPr="00674669" w14:paraId="2338C7A2"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045A2" w14:textId="77777777" w:rsidR="00385F13" w:rsidRPr="000A0CE0" w:rsidRDefault="00385F13" w:rsidP="00C521FE">
            <w:pPr>
              <w:rPr>
                <w:rFonts w:ascii="Arial Narrow" w:hAnsi="Arial Narrow"/>
                <w:i/>
                <w:iCs/>
                <w:sz w:val="20"/>
                <w:szCs w:val="20"/>
              </w:rPr>
            </w:pPr>
            <w:r w:rsidRPr="000A0CE0">
              <w:rPr>
                <w:rFonts w:ascii="Arial Narrow" w:hAnsi="Arial Narrow"/>
                <w:b/>
                <w:bCs/>
                <w:i/>
                <w:iCs/>
                <w:sz w:val="20"/>
                <w:szCs w:val="20"/>
              </w:rPr>
              <w:t>Administrative Advice:</w:t>
            </w:r>
          </w:p>
          <w:p w14:paraId="5EEC1D9C" w14:textId="77777777" w:rsidR="00385F13" w:rsidRPr="000A0CE0" w:rsidRDefault="00385F13" w:rsidP="00C521FE">
            <w:pPr>
              <w:rPr>
                <w:rFonts w:ascii="Arial Narrow" w:hAnsi="Arial Narrow"/>
                <w:i/>
                <w:iCs/>
                <w:sz w:val="20"/>
                <w:szCs w:val="20"/>
              </w:rPr>
            </w:pPr>
            <w:r w:rsidRPr="000A0CE0">
              <w:rPr>
                <w:rFonts w:ascii="Arial Narrow" w:hAnsi="Arial Narrow"/>
                <w:i/>
                <w:iCs/>
                <w:sz w:val="20"/>
                <w:szCs w:val="20"/>
              </w:rPr>
              <w:t>No increase in the maximum quantity or number of units may be authorised.</w:t>
            </w:r>
          </w:p>
        </w:tc>
      </w:tr>
      <w:tr w:rsidR="00385F13" w:rsidRPr="00674669" w14:paraId="5C7F8923"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5A04F"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Administrative Advice:</w:t>
            </w:r>
          </w:p>
          <w:p w14:paraId="1EC3E6F2" w14:textId="77777777" w:rsidR="00385F13" w:rsidRPr="000A0CE0" w:rsidRDefault="00385F13" w:rsidP="00C521FE">
            <w:pPr>
              <w:rPr>
                <w:rFonts w:ascii="Arial Narrow" w:hAnsi="Arial Narrow"/>
                <w:b/>
                <w:bCs/>
                <w:sz w:val="20"/>
                <w:szCs w:val="20"/>
              </w:rPr>
            </w:pPr>
            <w:r w:rsidRPr="000A0CE0">
              <w:rPr>
                <w:rFonts w:ascii="Arial Narrow" w:hAnsi="Arial Narrow"/>
                <w:sz w:val="20"/>
                <w:szCs w:val="20"/>
              </w:rPr>
              <w:t>No increase in the maximum number of repeats may be authorised.</w:t>
            </w:r>
          </w:p>
        </w:tc>
      </w:tr>
      <w:tr w:rsidR="00385F13" w:rsidRPr="00674669" w14:paraId="5750F3E7"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34A0B2"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Administrative Advice:</w:t>
            </w:r>
          </w:p>
          <w:p w14:paraId="7D0581C9" w14:textId="77777777" w:rsidR="00385F13" w:rsidRPr="000A0CE0" w:rsidRDefault="00385F13" w:rsidP="00C521FE">
            <w:pPr>
              <w:rPr>
                <w:rFonts w:ascii="Arial Narrow" w:hAnsi="Arial Narrow"/>
                <w:b/>
                <w:bCs/>
                <w:sz w:val="20"/>
                <w:szCs w:val="20"/>
              </w:rPr>
            </w:pPr>
            <w:r w:rsidRPr="000A0CE0">
              <w:rPr>
                <w:rFonts w:ascii="Arial Narrow" w:hAnsi="Arial Narrow"/>
                <w:sz w:val="20"/>
                <w:szCs w:val="20"/>
              </w:rPr>
              <w:t>Special Pricing Arrangements apply.</w:t>
            </w:r>
          </w:p>
        </w:tc>
      </w:tr>
      <w:tr w:rsidR="00385F13" w:rsidRPr="00674669" w14:paraId="2FF64F29"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B2EA34" w14:textId="77777777" w:rsidR="00385F13" w:rsidRPr="000A0CE0" w:rsidRDefault="00385F13" w:rsidP="00C521FE">
            <w:pPr>
              <w:rPr>
                <w:rFonts w:ascii="Arial Narrow" w:hAnsi="Arial Narrow"/>
                <w:b/>
                <w:bCs/>
                <w:strike/>
                <w:sz w:val="20"/>
                <w:szCs w:val="20"/>
              </w:rPr>
            </w:pPr>
            <w:r w:rsidRPr="000A0CE0">
              <w:rPr>
                <w:rFonts w:ascii="Arial Narrow" w:hAnsi="Arial Narrow"/>
                <w:b/>
                <w:bCs/>
                <w:strike/>
                <w:sz w:val="20"/>
                <w:szCs w:val="20"/>
              </w:rPr>
              <w:t>Administrative Advice:</w:t>
            </w:r>
          </w:p>
          <w:p w14:paraId="1ACFC647" w14:textId="77777777" w:rsidR="00385F13" w:rsidRPr="000A0CE0" w:rsidRDefault="00385F13" w:rsidP="00C521FE">
            <w:pPr>
              <w:rPr>
                <w:rFonts w:ascii="Arial Narrow" w:hAnsi="Arial Narrow"/>
                <w:strike/>
                <w:sz w:val="20"/>
                <w:szCs w:val="20"/>
              </w:rPr>
            </w:pPr>
            <w:r w:rsidRPr="000A0CE0">
              <w:rPr>
                <w:rFonts w:ascii="Arial Narrow" w:hAnsi="Arial Narrow"/>
                <w:strike/>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385F13" w:rsidRPr="00674669" w14:paraId="3352D8B7"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1E7A9E" w14:textId="77777777" w:rsidR="00385F13" w:rsidRPr="000A0CE0" w:rsidRDefault="00385F13" w:rsidP="00C521FE">
            <w:pPr>
              <w:rPr>
                <w:rFonts w:ascii="Arial Narrow" w:hAnsi="Arial Narrow"/>
                <w:b/>
                <w:bCs/>
                <w:sz w:val="20"/>
                <w:szCs w:val="20"/>
              </w:rPr>
            </w:pPr>
            <w:r w:rsidRPr="000A0CE0">
              <w:rPr>
                <w:rFonts w:ascii="Arial Narrow" w:hAnsi="Arial Narrow"/>
                <w:b/>
                <w:bCs/>
                <w:sz w:val="20"/>
                <w:szCs w:val="20"/>
              </w:rPr>
              <w:t xml:space="preserve">Severity: </w:t>
            </w:r>
            <w:r w:rsidRPr="000A0CE0">
              <w:rPr>
                <w:rFonts w:ascii="Arial Narrow" w:hAnsi="Arial Narrow"/>
                <w:sz w:val="20"/>
                <w:szCs w:val="20"/>
              </w:rPr>
              <w:t>Stage IV (metastatic)</w:t>
            </w:r>
          </w:p>
        </w:tc>
      </w:tr>
      <w:tr w:rsidR="00385F13" w:rsidRPr="00674669" w14:paraId="62B3F05F"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D94189" w14:textId="77777777" w:rsidR="00385F13" w:rsidRPr="000A0CE0" w:rsidRDefault="00385F13" w:rsidP="00C521FE">
            <w:pPr>
              <w:rPr>
                <w:rFonts w:ascii="Arial Narrow" w:hAnsi="Arial Narrow"/>
                <w:b/>
                <w:bCs/>
                <w:sz w:val="20"/>
                <w:szCs w:val="20"/>
              </w:rPr>
            </w:pPr>
            <w:r w:rsidRPr="000A0CE0">
              <w:rPr>
                <w:rFonts w:ascii="Arial Narrow" w:hAnsi="Arial Narrow"/>
                <w:b/>
                <w:bCs/>
                <w:sz w:val="20"/>
                <w:szCs w:val="20"/>
              </w:rPr>
              <w:t xml:space="preserve">Condition: </w:t>
            </w:r>
            <w:r w:rsidRPr="000A0CE0">
              <w:rPr>
                <w:rFonts w:ascii="Arial Narrow" w:hAnsi="Arial Narrow"/>
                <w:sz w:val="20"/>
                <w:szCs w:val="20"/>
              </w:rPr>
              <w:t>N</w:t>
            </w:r>
            <w:r w:rsidRPr="000A0CE0">
              <w:rPr>
                <w:rFonts w:ascii="Arial Narrow" w:hAnsi="Arial Narrow"/>
                <w:bCs/>
                <w:sz w:val="20"/>
                <w:szCs w:val="20"/>
              </w:rPr>
              <w:t>on-small cell lung cancer (NSCLC)</w:t>
            </w:r>
          </w:p>
        </w:tc>
      </w:tr>
      <w:tr w:rsidR="00385F13" w:rsidRPr="00674669" w14:paraId="1A8B8E20"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420A21"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Indication:</w:t>
            </w:r>
            <w:r w:rsidRPr="000A0CE0">
              <w:rPr>
                <w:rFonts w:ascii="Arial Narrow" w:hAnsi="Arial Narrow"/>
                <w:sz w:val="20"/>
                <w:szCs w:val="20"/>
              </w:rPr>
              <w:t xml:space="preserve"> Stage IV (metastatic) non-small cell lung cancer (NSCLC)</w:t>
            </w:r>
          </w:p>
        </w:tc>
      </w:tr>
      <w:tr w:rsidR="00385F13" w:rsidRPr="00674669" w14:paraId="335AF6F3"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A3DCD1"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Treatment Phase:</w:t>
            </w:r>
            <w:r w:rsidRPr="000A0CE0">
              <w:rPr>
                <w:rFonts w:ascii="Arial Narrow" w:hAnsi="Arial Narrow"/>
                <w:sz w:val="20"/>
                <w:szCs w:val="20"/>
              </w:rPr>
              <w:t xml:space="preserve"> Initial treatment – 3 weekly treatment regimen</w:t>
            </w:r>
          </w:p>
        </w:tc>
      </w:tr>
      <w:tr w:rsidR="00385F13" w:rsidRPr="00674669" w14:paraId="2380999E"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8BDA7"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385F13" w:rsidRPr="00674669" w14:paraId="265AD6BC"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666C6F"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Patient must not have previously been treated for this condition in the metastatic setting; OR</w:t>
            </w:r>
          </w:p>
        </w:tc>
      </w:tr>
      <w:tr w:rsidR="00385F13" w:rsidRPr="00674669" w14:paraId="7A117725"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4EB3D"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The condition must have progressed after treatment with tepotinib,</w:t>
            </w:r>
          </w:p>
        </w:tc>
      </w:tr>
      <w:tr w:rsidR="00385F13" w:rsidRPr="00674669" w14:paraId="6F38433C"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1DEDCA"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AND</w:t>
            </w:r>
          </w:p>
        </w:tc>
      </w:tr>
      <w:tr w:rsidR="00385F13" w:rsidRPr="00674669" w14:paraId="5602CA64"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7094A2"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385F13" w:rsidRPr="00674669" w14:paraId="0B2703E4"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49939"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Patient must not have received prior treatment with a programmed cell death-1 (PD-1) inhibitor or a programmed cell death ligand-1 (PD-L1) inhibitor for non-small cell lung cancer,</w:t>
            </w:r>
          </w:p>
        </w:tc>
      </w:tr>
      <w:tr w:rsidR="00385F13" w:rsidRPr="00674669" w14:paraId="066CB765"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13ECB5"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AND</w:t>
            </w:r>
          </w:p>
        </w:tc>
      </w:tr>
      <w:tr w:rsidR="00385F13" w:rsidRPr="00674669" w14:paraId="7F9B0C6F"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424697"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385F13" w:rsidRPr="00674669" w14:paraId="21E927BE"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41F88D"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Patient must have a WHO performance status of 0 or 1,</w:t>
            </w:r>
          </w:p>
        </w:tc>
      </w:tr>
      <w:tr w:rsidR="00385F13" w:rsidRPr="00674669" w14:paraId="095BFCC5"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C45E21" w14:textId="77777777" w:rsidR="00385F13" w:rsidRPr="000A0CE0" w:rsidRDefault="00385F13" w:rsidP="00C521FE">
            <w:pPr>
              <w:rPr>
                <w:rFonts w:ascii="Arial Narrow" w:hAnsi="Arial Narrow"/>
                <w:strike/>
                <w:sz w:val="20"/>
                <w:szCs w:val="20"/>
              </w:rPr>
            </w:pPr>
            <w:r w:rsidRPr="000A0CE0">
              <w:rPr>
                <w:rFonts w:ascii="Arial Narrow" w:hAnsi="Arial Narrow"/>
                <w:b/>
                <w:bCs/>
                <w:strike/>
                <w:sz w:val="20"/>
                <w:szCs w:val="20"/>
              </w:rPr>
              <w:t>AND</w:t>
            </w:r>
          </w:p>
        </w:tc>
      </w:tr>
      <w:tr w:rsidR="00385F13" w:rsidRPr="00674669" w14:paraId="6B6EBC3C"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E6343D" w14:textId="77777777" w:rsidR="00385F13" w:rsidRPr="000A0CE0" w:rsidRDefault="00385F13" w:rsidP="00C521FE">
            <w:pPr>
              <w:rPr>
                <w:rFonts w:ascii="Arial Narrow" w:hAnsi="Arial Narrow"/>
                <w:strike/>
                <w:sz w:val="20"/>
                <w:szCs w:val="20"/>
              </w:rPr>
            </w:pPr>
            <w:r w:rsidRPr="000A0CE0">
              <w:rPr>
                <w:rFonts w:ascii="Arial Narrow" w:hAnsi="Arial Narrow"/>
                <w:b/>
                <w:bCs/>
                <w:strike/>
                <w:sz w:val="20"/>
                <w:szCs w:val="20"/>
              </w:rPr>
              <w:lastRenderedPageBreak/>
              <w:t>Clinical criteria:</w:t>
            </w:r>
          </w:p>
        </w:tc>
      </w:tr>
      <w:tr w:rsidR="00385F13" w:rsidRPr="00674669" w14:paraId="57AF7F25"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1D8622" w14:textId="77777777" w:rsidR="00385F13" w:rsidRPr="000A0CE0" w:rsidRDefault="00385F13" w:rsidP="00C521FE">
            <w:pPr>
              <w:rPr>
                <w:rFonts w:ascii="Arial Narrow" w:hAnsi="Arial Narrow"/>
                <w:strike/>
                <w:sz w:val="20"/>
                <w:szCs w:val="20"/>
              </w:rPr>
            </w:pPr>
            <w:r w:rsidRPr="000A0CE0">
              <w:rPr>
                <w:rFonts w:ascii="Arial Narrow" w:hAnsi="Arial Narrow"/>
                <w:strike/>
                <w:sz w:val="20"/>
                <w:szCs w:val="20"/>
              </w:rPr>
              <w:t>The condition must express programmed cell death ligand 1 (PD-L1) with a tumour proportion score (TPS) of at least 50% in the tumour sample.</w:t>
            </w:r>
          </w:p>
        </w:tc>
      </w:tr>
      <w:tr w:rsidR="00385F13" w:rsidRPr="00674669" w14:paraId="67AE7B23"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401690"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AND</w:t>
            </w:r>
          </w:p>
        </w:tc>
      </w:tr>
      <w:tr w:rsidR="00385F13" w:rsidRPr="00674669" w14:paraId="55CABB96"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487559"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385F13" w:rsidRPr="00674669" w14:paraId="33853851"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CD716E"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The condition must not have evidence of an activating epidermal growth factor receptor (EGFR) gene or an anaplastic lymphoma kinase (ALK) gene rearrangement or a c-ROS proto-oncogene 1 (ROS1) gene arrangement in tumour material,</w:t>
            </w:r>
          </w:p>
        </w:tc>
      </w:tr>
      <w:tr w:rsidR="00385F13" w:rsidRPr="00674669" w14:paraId="49E9AEA3"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EF0D3" w14:textId="77777777" w:rsidR="00385F13" w:rsidRPr="000A0CE0" w:rsidRDefault="00385F13" w:rsidP="00C521FE">
            <w:pPr>
              <w:rPr>
                <w:rFonts w:ascii="Arial Narrow" w:hAnsi="Arial Narrow"/>
                <w:strike/>
                <w:sz w:val="20"/>
                <w:szCs w:val="20"/>
              </w:rPr>
            </w:pPr>
            <w:r w:rsidRPr="000A0CE0">
              <w:rPr>
                <w:rFonts w:ascii="Arial Narrow" w:hAnsi="Arial Narrow"/>
                <w:b/>
                <w:bCs/>
                <w:strike/>
                <w:sz w:val="20"/>
                <w:szCs w:val="20"/>
              </w:rPr>
              <w:t>AND</w:t>
            </w:r>
          </w:p>
        </w:tc>
      </w:tr>
      <w:tr w:rsidR="00385F13" w:rsidRPr="00674669" w14:paraId="29ABA6B1"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3EC8D6" w14:textId="77777777" w:rsidR="00385F13" w:rsidRPr="000A0CE0" w:rsidRDefault="00385F13" w:rsidP="00C521FE">
            <w:pPr>
              <w:rPr>
                <w:rFonts w:ascii="Arial Narrow" w:hAnsi="Arial Narrow"/>
                <w:sz w:val="20"/>
                <w:szCs w:val="20"/>
              </w:rPr>
            </w:pPr>
            <w:r w:rsidRPr="000A0CE0">
              <w:rPr>
                <w:rFonts w:ascii="Arial Narrow" w:hAnsi="Arial Narrow"/>
                <w:b/>
                <w:bCs/>
                <w:strike/>
                <w:sz w:val="20"/>
                <w:szCs w:val="20"/>
              </w:rPr>
              <w:t>Clinical criteria</w:t>
            </w:r>
            <w:r w:rsidRPr="000A0CE0">
              <w:rPr>
                <w:rFonts w:ascii="Arial Narrow" w:hAnsi="Arial Narrow"/>
                <w:b/>
                <w:bCs/>
                <w:sz w:val="20"/>
                <w:szCs w:val="20"/>
              </w:rPr>
              <w:t>:</w:t>
            </w:r>
          </w:p>
        </w:tc>
      </w:tr>
      <w:tr w:rsidR="00385F13" w:rsidRPr="00674669" w14:paraId="1AA66938"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CEE7FC" w14:textId="77777777" w:rsidR="00385F13" w:rsidRPr="000A0CE0" w:rsidRDefault="00385F13" w:rsidP="00C521FE">
            <w:pPr>
              <w:rPr>
                <w:rFonts w:ascii="Arial Narrow" w:hAnsi="Arial Narrow"/>
                <w:strike/>
                <w:sz w:val="20"/>
                <w:szCs w:val="20"/>
              </w:rPr>
            </w:pPr>
            <w:r w:rsidRPr="000A0CE0">
              <w:rPr>
                <w:rFonts w:ascii="Arial Narrow" w:hAnsi="Arial Narrow"/>
                <w:strike/>
                <w:sz w:val="20"/>
                <w:szCs w:val="20"/>
              </w:rPr>
              <w:t>The treatment must be the sole PBS-subsidised systemic anti-cancer therapy for this condition</w:t>
            </w:r>
          </w:p>
        </w:tc>
      </w:tr>
      <w:tr w:rsidR="00385F13" w:rsidRPr="00674669" w14:paraId="2791E942"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B7A717"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AND</w:t>
            </w:r>
          </w:p>
        </w:tc>
      </w:tr>
      <w:tr w:rsidR="00385F13" w:rsidRPr="00674669" w14:paraId="55E9D9DC"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149D77"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385F13" w:rsidRPr="00674669" w14:paraId="5660032E" w14:textId="77777777" w:rsidTr="00AA51FF">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BBA970"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The treatment must not exceed a total of 7 doses under this restriction.</w:t>
            </w:r>
          </w:p>
        </w:tc>
      </w:tr>
    </w:tbl>
    <w:p w14:paraId="518E2336" w14:textId="0288937A" w:rsidR="00385F13" w:rsidRPr="00674669" w:rsidRDefault="00385F13" w:rsidP="00385F13">
      <w:pPr>
        <w:jc w:val="left"/>
        <w:rPr>
          <w:rFonts w:ascii="Arial Narrow" w:hAnsi="Arial Narrow"/>
          <w:b/>
          <w:bCs/>
          <w:sz w:val="20"/>
          <w:szCs w:val="18"/>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842"/>
        <w:gridCol w:w="1986"/>
        <w:gridCol w:w="1416"/>
        <w:gridCol w:w="1560"/>
      </w:tblGrid>
      <w:tr w:rsidR="000A0CE0" w:rsidRPr="000A0CE0" w14:paraId="3C9EE188" w14:textId="77777777" w:rsidTr="00FE4AC7">
        <w:trPr>
          <w:cantSplit/>
          <w:trHeight w:val="20"/>
        </w:trPr>
        <w:tc>
          <w:tcPr>
            <w:tcW w:w="1248" w:type="pct"/>
            <w:vAlign w:val="center"/>
          </w:tcPr>
          <w:p w14:paraId="29E9E0DC" w14:textId="77777777" w:rsidR="009679BD" w:rsidRPr="000A0CE0" w:rsidRDefault="009679BD" w:rsidP="00C521FE">
            <w:pPr>
              <w:pStyle w:val="In-tableHeading"/>
              <w:keepLines/>
              <w:rPr>
                <w:lang w:val="en-AU"/>
              </w:rPr>
            </w:pPr>
            <w:r w:rsidRPr="000A0CE0">
              <w:rPr>
                <w:lang w:val="en-AU"/>
              </w:rPr>
              <w:t>MEDICINAL PRODUCT Form</w:t>
            </w:r>
          </w:p>
        </w:tc>
        <w:tc>
          <w:tcPr>
            <w:tcW w:w="1016" w:type="pct"/>
            <w:vAlign w:val="center"/>
          </w:tcPr>
          <w:p w14:paraId="0C642B65" w14:textId="77777777" w:rsidR="009679BD" w:rsidRPr="000A0CE0" w:rsidRDefault="009679BD" w:rsidP="00C521FE">
            <w:pPr>
              <w:pStyle w:val="In-tableHeading"/>
              <w:keepLines/>
              <w:rPr>
                <w:lang w:val="en-AU"/>
              </w:rPr>
            </w:pPr>
            <w:r w:rsidRPr="000A0CE0">
              <w:rPr>
                <w:lang w:val="en-AU"/>
              </w:rPr>
              <w:t>PBS item codes</w:t>
            </w:r>
          </w:p>
        </w:tc>
        <w:tc>
          <w:tcPr>
            <w:tcW w:w="1095" w:type="pct"/>
            <w:vAlign w:val="center"/>
          </w:tcPr>
          <w:p w14:paraId="79E18280" w14:textId="77777777" w:rsidR="009679BD" w:rsidRPr="000A0CE0" w:rsidRDefault="009679BD" w:rsidP="00C521FE">
            <w:pPr>
              <w:pStyle w:val="In-tableHeading"/>
              <w:keepLines/>
              <w:jc w:val="center"/>
              <w:rPr>
                <w:lang w:val="en-AU"/>
              </w:rPr>
            </w:pPr>
            <w:r w:rsidRPr="000A0CE0">
              <w:rPr>
                <w:lang w:val="en-AU"/>
              </w:rPr>
              <w:t>Dispensed Price Max Amt</w:t>
            </w:r>
          </w:p>
        </w:tc>
        <w:tc>
          <w:tcPr>
            <w:tcW w:w="781" w:type="pct"/>
            <w:vAlign w:val="center"/>
          </w:tcPr>
          <w:p w14:paraId="5B586D46" w14:textId="77777777" w:rsidR="009679BD" w:rsidRPr="000A0CE0" w:rsidRDefault="009679BD" w:rsidP="00C521FE">
            <w:pPr>
              <w:pStyle w:val="In-tableHeading"/>
              <w:keepLines/>
              <w:jc w:val="center"/>
              <w:rPr>
                <w:lang w:val="en-AU"/>
              </w:rPr>
            </w:pPr>
            <w:r w:rsidRPr="000A0CE0">
              <w:rPr>
                <w:lang w:val="en-AU"/>
              </w:rPr>
              <w:t>Max. Amount</w:t>
            </w:r>
          </w:p>
        </w:tc>
        <w:tc>
          <w:tcPr>
            <w:tcW w:w="859" w:type="pct"/>
            <w:vAlign w:val="center"/>
          </w:tcPr>
          <w:p w14:paraId="6A64EB2C" w14:textId="77777777" w:rsidR="009679BD" w:rsidRPr="000A0CE0" w:rsidRDefault="009679BD" w:rsidP="00C521FE">
            <w:pPr>
              <w:pStyle w:val="In-tableHeading"/>
              <w:keepLines/>
              <w:jc w:val="center"/>
              <w:rPr>
                <w:lang w:val="en-AU"/>
              </w:rPr>
            </w:pPr>
            <w:r w:rsidRPr="000A0CE0">
              <w:rPr>
                <w:lang w:val="en-AU"/>
              </w:rPr>
              <w:t>№.of Rpts</w:t>
            </w:r>
          </w:p>
        </w:tc>
      </w:tr>
      <w:tr w:rsidR="000A0CE0" w:rsidRPr="000A0CE0" w14:paraId="4FE1A835" w14:textId="77777777" w:rsidTr="00FE4AC7">
        <w:trPr>
          <w:cantSplit/>
          <w:trHeight w:val="20"/>
        </w:trPr>
        <w:tc>
          <w:tcPr>
            <w:tcW w:w="1248" w:type="pct"/>
            <w:vAlign w:val="center"/>
          </w:tcPr>
          <w:p w14:paraId="363F037C" w14:textId="77777777" w:rsidR="009679BD" w:rsidRPr="000A0CE0" w:rsidRDefault="009679BD" w:rsidP="00C521FE">
            <w:pPr>
              <w:pStyle w:val="TableText0"/>
              <w:keepLines/>
            </w:pPr>
            <w:r w:rsidRPr="000A0CE0">
              <w:t xml:space="preserve">Cemiplimab </w:t>
            </w:r>
          </w:p>
        </w:tc>
        <w:tc>
          <w:tcPr>
            <w:tcW w:w="1016" w:type="pct"/>
            <w:vAlign w:val="center"/>
          </w:tcPr>
          <w:p w14:paraId="2A758729" w14:textId="3EBDFF41" w:rsidR="009679BD" w:rsidRPr="000A0CE0" w:rsidRDefault="009679BD" w:rsidP="00C521FE">
            <w:pPr>
              <w:pStyle w:val="TableText0"/>
              <w:keepLines/>
              <w:jc w:val="center"/>
            </w:pPr>
            <w:r w:rsidRPr="000A0CE0">
              <w:t>13161Q (Public)</w:t>
            </w:r>
          </w:p>
          <w:p w14:paraId="79CF04EF" w14:textId="77777777" w:rsidR="009679BD" w:rsidRPr="000A0CE0" w:rsidRDefault="009679BD" w:rsidP="00C521FE">
            <w:pPr>
              <w:pStyle w:val="TableText0"/>
              <w:keepLines/>
              <w:jc w:val="center"/>
              <w:rPr>
                <w:sz w:val="16"/>
                <w:szCs w:val="16"/>
              </w:rPr>
            </w:pPr>
            <w:r w:rsidRPr="000A0CE0">
              <w:rPr>
                <w:sz w:val="16"/>
                <w:szCs w:val="16"/>
              </w:rPr>
              <w:t>MP</w:t>
            </w:r>
          </w:p>
          <w:p w14:paraId="15FD4B40" w14:textId="77777777" w:rsidR="009679BD" w:rsidRPr="000A0CE0" w:rsidRDefault="009679BD" w:rsidP="00C521FE">
            <w:pPr>
              <w:pStyle w:val="TableText0"/>
              <w:keepLines/>
              <w:jc w:val="center"/>
              <w:rPr>
                <w:sz w:val="16"/>
                <w:szCs w:val="16"/>
              </w:rPr>
            </w:pPr>
          </w:p>
          <w:p w14:paraId="313C84A2" w14:textId="1C626F38" w:rsidR="009679BD" w:rsidRPr="000A0CE0" w:rsidRDefault="009679BD" w:rsidP="00C521FE">
            <w:pPr>
              <w:pStyle w:val="TableText0"/>
              <w:keepLines/>
              <w:jc w:val="center"/>
              <w:rPr>
                <w:szCs w:val="20"/>
              </w:rPr>
            </w:pPr>
            <w:r w:rsidRPr="000A0CE0">
              <w:rPr>
                <w:szCs w:val="20"/>
              </w:rPr>
              <w:t>1</w:t>
            </w:r>
            <w:r w:rsidRPr="000A0CE0">
              <w:t>3162R</w:t>
            </w:r>
            <w:r w:rsidRPr="000A0CE0">
              <w:rPr>
                <w:szCs w:val="20"/>
              </w:rPr>
              <w:t xml:space="preserve"> (Private)</w:t>
            </w:r>
          </w:p>
          <w:p w14:paraId="79B8FF08" w14:textId="77777777" w:rsidR="009679BD" w:rsidRPr="000A0CE0" w:rsidRDefault="009679BD" w:rsidP="00C521FE">
            <w:pPr>
              <w:pStyle w:val="TableText0"/>
              <w:keepLines/>
              <w:jc w:val="center"/>
              <w:rPr>
                <w:sz w:val="16"/>
                <w:szCs w:val="16"/>
              </w:rPr>
            </w:pPr>
            <w:r w:rsidRPr="000A0CE0">
              <w:rPr>
                <w:sz w:val="16"/>
                <w:szCs w:val="16"/>
              </w:rPr>
              <w:t>MP</w:t>
            </w:r>
          </w:p>
        </w:tc>
        <w:tc>
          <w:tcPr>
            <w:tcW w:w="1095" w:type="pct"/>
            <w:vAlign w:val="center"/>
          </w:tcPr>
          <w:p w14:paraId="491CE159" w14:textId="77777777" w:rsidR="009679BD" w:rsidRPr="000A0CE0" w:rsidRDefault="009679BD" w:rsidP="00C521FE">
            <w:pPr>
              <w:pStyle w:val="TableText0"/>
              <w:jc w:val="center"/>
            </w:pPr>
            <w:r w:rsidRPr="000A0CE0">
              <w:t>$7,378.39 published price (public)</w:t>
            </w:r>
          </w:p>
          <w:p w14:paraId="73FDEE84" w14:textId="77777777" w:rsidR="009679BD" w:rsidRPr="000A0CE0" w:rsidRDefault="009679BD" w:rsidP="00C521FE">
            <w:pPr>
              <w:pStyle w:val="TableText0"/>
              <w:jc w:val="center"/>
            </w:pPr>
            <w:r w:rsidRPr="000A0CE0">
              <w:t>$7,523.58 published price (private)</w:t>
            </w:r>
          </w:p>
          <w:p w14:paraId="6FB44053" w14:textId="77777777" w:rsidR="009679BD" w:rsidRPr="000A0CE0" w:rsidRDefault="009679BD" w:rsidP="00C521FE">
            <w:pPr>
              <w:pStyle w:val="TableText0"/>
              <w:keepLines/>
              <w:jc w:val="center"/>
            </w:pPr>
          </w:p>
        </w:tc>
        <w:tc>
          <w:tcPr>
            <w:tcW w:w="781" w:type="pct"/>
            <w:vAlign w:val="center"/>
          </w:tcPr>
          <w:p w14:paraId="7114B273" w14:textId="77777777" w:rsidR="009679BD" w:rsidRPr="000A0CE0" w:rsidRDefault="009679BD" w:rsidP="00C521FE">
            <w:pPr>
              <w:pStyle w:val="TableText0"/>
              <w:keepLines/>
              <w:jc w:val="center"/>
            </w:pPr>
            <w:r w:rsidRPr="000A0CE0">
              <w:t>350 mg</w:t>
            </w:r>
          </w:p>
        </w:tc>
        <w:tc>
          <w:tcPr>
            <w:tcW w:w="859" w:type="pct"/>
            <w:vAlign w:val="center"/>
          </w:tcPr>
          <w:p w14:paraId="420EE12F" w14:textId="77777777" w:rsidR="009679BD" w:rsidRPr="000A0CE0" w:rsidRDefault="009679BD" w:rsidP="00C521FE">
            <w:pPr>
              <w:pStyle w:val="TableText0"/>
              <w:keepLines/>
              <w:jc w:val="center"/>
            </w:pPr>
            <w:r w:rsidRPr="000A0CE0">
              <w:t>6</w:t>
            </w:r>
          </w:p>
        </w:tc>
      </w:tr>
      <w:tr w:rsidR="000A0CE0" w:rsidRPr="000A0CE0" w14:paraId="31372E6B" w14:textId="77777777" w:rsidTr="00FE4AC7">
        <w:trPr>
          <w:cantSplit/>
          <w:trHeight w:val="20"/>
        </w:trPr>
        <w:tc>
          <w:tcPr>
            <w:tcW w:w="5000" w:type="pct"/>
            <w:gridSpan w:val="5"/>
            <w:vAlign w:val="center"/>
          </w:tcPr>
          <w:p w14:paraId="1EFED4D2" w14:textId="77777777" w:rsidR="009679BD" w:rsidRPr="000A0CE0" w:rsidRDefault="009679BD" w:rsidP="00C521FE">
            <w:pPr>
              <w:keepNext/>
              <w:keepLines/>
              <w:rPr>
                <w:b/>
              </w:rPr>
            </w:pPr>
            <w:r w:rsidRPr="000A0CE0">
              <w:rPr>
                <w:rFonts w:ascii="Arial Narrow" w:eastAsiaTheme="majorEastAsia" w:hAnsi="Arial Narrow" w:cs="Times New Roman"/>
                <w:b/>
                <w:sz w:val="20"/>
              </w:rPr>
              <w:t>Available brands</w:t>
            </w:r>
            <w:r w:rsidRPr="000A0CE0">
              <w:rPr>
                <w:b/>
              </w:rPr>
              <w:t xml:space="preserve"> </w:t>
            </w:r>
          </w:p>
        </w:tc>
      </w:tr>
      <w:tr w:rsidR="009679BD" w:rsidRPr="000A0CE0" w14:paraId="3CC0A6C7" w14:textId="77777777" w:rsidTr="00FE4AC7">
        <w:trPr>
          <w:cantSplit/>
          <w:trHeight w:val="20"/>
        </w:trPr>
        <w:tc>
          <w:tcPr>
            <w:tcW w:w="5000" w:type="pct"/>
            <w:gridSpan w:val="5"/>
            <w:vAlign w:val="center"/>
          </w:tcPr>
          <w:p w14:paraId="2CFC8634" w14:textId="77777777" w:rsidR="009679BD" w:rsidRPr="000A0CE0" w:rsidRDefault="009679BD" w:rsidP="00C521FE">
            <w:pPr>
              <w:jc w:val="left"/>
              <w:rPr>
                <w:rFonts w:ascii="Arial Narrow" w:eastAsiaTheme="majorEastAsia" w:hAnsi="Arial Narrow" w:cstheme="majorBidi"/>
                <w:bCs/>
                <w:sz w:val="20"/>
              </w:rPr>
            </w:pPr>
            <w:r w:rsidRPr="000A0CE0">
              <w:rPr>
                <w:rFonts w:ascii="Arial Narrow" w:eastAsiaTheme="majorEastAsia" w:hAnsi="Arial Narrow" w:cstheme="majorBidi"/>
                <w:bCs/>
                <w:sz w:val="20"/>
              </w:rPr>
              <w:t>Libtayo</w:t>
            </w:r>
          </w:p>
          <w:p w14:paraId="6EB54FBB" w14:textId="77777777" w:rsidR="009679BD" w:rsidRPr="000A0CE0" w:rsidRDefault="009679BD" w:rsidP="00C521FE">
            <w:pPr>
              <w:pStyle w:val="TableText0"/>
              <w:keepLines/>
            </w:pPr>
            <w:r w:rsidRPr="000A0CE0">
              <w:t>(Cemiplimab 350 mg/7 mL injection, 7 mL vial)</w:t>
            </w:r>
          </w:p>
        </w:tc>
      </w:tr>
    </w:tbl>
    <w:p w14:paraId="534061C8" w14:textId="1B7BB05C" w:rsidR="00385F13" w:rsidRPr="000A0CE0" w:rsidRDefault="00385F13" w:rsidP="00385F13">
      <w:pPr>
        <w:rPr>
          <w:rFonts w:ascii="Arial Narrow" w:hAnsi="Arial Narrow"/>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0A0CE0" w:rsidRPr="000A0CE0" w14:paraId="731646F0"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C0EB79" w14:textId="77777777" w:rsidR="00385F13" w:rsidRPr="000A0CE0" w:rsidRDefault="00385F13" w:rsidP="00C521FE">
            <w:pPr>
              <w:rPr>
                <w:rFonts w:ascii="Arial Narrow" w:hAnsi="Arial Narrow"/>
                <w:sz w:val="20"/>
                <w:szCs w:val="20"/>
              </w:rPr>
            </w:pPr>
            <w:r w:rsidRPr="000A0CE0">
              <w:rPr>
                <w:rFonts w:ascii="Arial Narrow" w:hAnsi="Arial Narrow"/>
                <w:b/>
                <w:sz w:val="20"/>
                <w:szCs w:val="20"/>
              </w:rPr>
              <w:t xml:space="preserve">Category / Program: </w:t>
            </w:r>
            <w:r w:rsidRPr="000A0CE0">
              <w:rPr>
                <w:rFonts w:ascii="Arial Narrow" w:hAnsi="Arial Narrow"/>
                <w:sz w:val="20"/>
                <w:szCs w:val="20"/>
              </w:rPr>
              <w:t xml:space="preserve">Section 100 – Efficient Funding of Chemotherapy - Public and Private Hospitals </w:t>
            </w:r>
          </w:p>
        </w:tc>
      </w:tr>
      <w:tr w:rsidR="000A0CE0" w:rsidRPr="000A0CE0" w14:paraId="08B43BBA" w14:textId="77777777" w:rsidTr="00FE4AC7">
        <w:trPr>
          <w:trHeight w:val="366"/>
        </w:trPr>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BAD618" w14:textId="77777777" w:rsidR="00385F13" w:rsidRPr="000A0CE0" w:rsidRDefault="00385F13" w:rsidP="00C521FE">
            <w:pPr>
              <w:rPr>
                <w:rFonts w:ascii="Arial Narrow" w:hAnsi="Arial Narrow"/>
                <w:sz w:val="20"/>
                <w:szCs w:val="20"/>
              </w:rPr>
            </w:pPr>
            <w:r w:rsidRPr="000A0CE0">
              <w:rPr>
                <w:rFonts w:ascii="Arial Narrow" w:hAnsi="Arial Narrow"/>
                <w:b/>
                <w:sz w:val="20"/>
                <w:szCs w:val="20"/>
              </w:rPr>
              <w:t>Prescriber type:</w:t>
            </w:r>
            <w:r w:rsidRPr="000A0CE0">
              <w:rPr>
                <w:rFonts w:ascii="Arial Narrow" w:hAnsi="Arial Narrow"/>
                <w:sz w:val="20"/>
                <w:szCs w:val="20"/>
              </w:rPr>
              <w:t xml:space="preserve"> </w:t>
            </w:r>
            <w:r w:rsidRPr="000A0CE0">
              <w:rPr>
                <w:rFonts w:ascii="Arial Narrow" w:hAnsi="Arial Narrow"/>
                <w:sz w:val="20"/>
                <w:szCs w:val="20"/>
              </w:rPr>
              <w:fldChar w:fldCharType="begin" w:fldLock="1">
                <w:ffData>
                  <w:name w:val=""/>
                  <w:enabled/>
                  <w:calcOnExit w:val="0"/>
                  <w:checkBox>
                    <w:sizeAuto/>
                    <w:default w:val="1"/>
                  </w:checkBox>
                </w:ffData>
              </w:fldChar>
            </w:r>
            <w:r w:rsidRPr="000A0CE0">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0A0CE0">
              <w:rPr>
                <w:rFonts w:ascii="Arial Narrow" w:hAnsi="Arial Narrow"/>
                <w:sz w:val="20"/>
                <w:szCs w:val="20"/>
              </w:rPr>
              <w:fldChar w:fldCharType="end"/>
            </w:r>
            <w:r w:rsidRPr="000A0CE0">
              <w:rPr>
                <w:rFonts w:ascii="Arial Narrow" w:hAnsi="Arial Narrow"/>
                <w:sz w:val="20"/>
                <w:szCs w:val="20"/>
              </w:rPr>
              <w:t xml:space="preserve">Medical Practitioners  </w:t>
            </w:r>
          </w:p>
        </w:tc>
      </w:tr>
      <w:tr w:rsidR="000A0CE0" w:rsidRPr="000A0CE0" w14:paraId="57F6D66C"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E9949A" w14:textId="41AEA6AF" w:rsidR="00385F13" w:rsidRPr="000A0CE0" w:rsidRDefault="00385F13" w:rsidP="00C521FE">
            <w:pPr>
              <w:rPr>
                <w:rFonts w:ascii="Arial Narrow" w:hAnsi="Arial Narrow"/>
                <w:b/>
                <w:sz w:val="20"/>
                <w:szCs w:val="20"/>
              </w:rPr>
            </w:pPr>
            <w:r w:rsidRPr="000A0CE0">
              <w:rPr>
                <w:rFonts w:ascii="Arial Narrow" w:hAnsi="Arial Narrow"/>
                <w:b/>
                <w:sz w:val="20"/>
                <w:szCs w:val="20"/>
              </w:rPr>
              <w:t xml:space="preserve">Restriction type: </w:t>
            </w:r>
            <w:r w:rsidRPr="000A0CE0">
              <w:rPr>
                <w:rFonts w:ascii="Arial Narrow" w:hAnsi="Arial Narrow"/>
                <w:sz w:val="20"/>
                <w:szCs w:val="20"/>
              </w:rPr>
              <w:fldChar w:fldCharType="begin" w:fldLock="1">
                <w:ffData>
                  <w:name w:val=""/>
                  <w:enabled/>
                  <w:calcOnExit w:val="0"/>
                  <w:checkBox>
                    <w:sizeAuto/>
                    <w:default w:val="1"/>
                  </w:checkBox>
                </w:ffData>
              </w:fldChar>
            </w:r>
            <w:r w:rsidRPr="000A0CE0">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0A0CE0">
              <w:rPr>
                <w:rFonts w:ascii="Arial Narrow" w:hAnsi="Arial Narrow"/>
                <w:sz w:val="20"/>
                <w:szCs w:val="20"/>
              </w:rPr>
              <w:fldChar w:fldCharType="end"/>
            </w:r>
            <w:r w:rsidRPr="000A0CE0">
              <w:rPr>
                <w:rFonts w:ascii="Arial Narrow" w:hAnsi="Arial Narrow"/>
                <w:sz w:val="20"/>
                <w:szCs w:val="20"/>
              </w:rPr>
              <w:t xml:space="preserve">Authority Required – Streamlined </w:t>
            </w:r>
          </w:p>
        </w:tc>
      </w:tr>
      <w:tr w:rsidR="000A0CE0" w:rsidRPr="000A0CE0" w14:paraId="2241F557"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53EFAF" w14:textId="77777777" w:rsidR="00385F13" w:rsidRPr="000A0CE0" w:rsidRDefault="00385F13" w:rsidP="00C521FE">
            <w:pPr>
              <w:rPr>
                <w:rFonts w:ascii="Arial Narrow" w:hAnsi="Arial Narrow"/>
                <w:i/>
                <w:iCs/>
                <w:sz w:val="20"/>
                <w:szCs w:val="20"/>
              </w:rPr>
            </w:pPr>
            <w:r w:rsidRPr="000A0CE0">
              <w:rPr>
                <w:rFonts w:ascii="Arial Narrow" w:hAnsi="Arial Narrow"/>
                <w:b/>
                <w:bCs/>
                <w:i/>
                <w:iCs/>
                <w:sz w:val="20"/>
                <w:szCs w:val="20"/>
              </w:rPr>
              <w:t>Administrative Advice:</w:t>
            </w:r>
          </w:p>
          <w:p w14:paraId="511EB63C" w14:textId="77777777" w:rsidR="00385F13" w:rsidRPr="000A0CE0" w:rsidRDefault="00385F13" w:rsidP="00C521FE">
            <w:pPr>
              <w:rPr>
                <w:rFonts w:ascii="Arial Narrow" w:hAnsi="Arial Narrow"/>
                <w:i/>
                <w:iCs/>
                <w:sz w:val="20"/>
                <w:szCs w:val="20"/>
              </w:rPr>
            </w:pPr>
            <w:r w:rsidRPr="000A0CE0">
              <w:rPr>
                <w:rFonts w:ascii="Arial Narrow" w:hAnsi="Arial Narrow"/>
                <w:i/>
                <w:iCs/>
                <w:sz w:val="20"/>
                <w:szCs w:val="20"/>
              </w:rPr>
              <w:t>No increase in the maximum quantity or number of units may be authorised.</w:t>
            </w:r>
          </w:p>
        </w:tc>
      </w:tr>
      <w:tr w:rsidR="000A0CE0" w:rsidRPr="000A0CE0" w14:paraId="3B010548"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861EFA"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Administrative Advice:</w:t>
            </w:r>
          </w:p>
          <w:p w14:paraId="555F104C" w14:textId="77777777" w:rsidR="00385F13" w:rsidRPr="000A0CE0" w:rsidRDefault="00385F13" w:rsidP="00C521FE">
            <w:pPr>
              <w:rPr>
                <w:rFonts w:ascii="Arial Narrow" w:hAnsi="Arial Narrow"/>
                <w:b/>
                <w:bCs/>
                <w:sz w:val="20"/>
                <w:szCs w:val="20"/>
              </w:rPr>
            </w:pPr>
            <w:r w:rsidRPr="000A0CE0">
              <w:rPr>
                <w:rFonts w:ascii="Arial Narrow" w:hAnsi="Arial Narrow"/>
                <w:sz w:val="20"/>
                <w:szCs w:val="20"/>
              </w:rPr>
              <w:t>No increase in the maximum number of repeats may be authorised.</w:t>
            </w:r>
          </w:p>
        </w:tc>
      </w:tr>
      <w:tr w:rsidR="000A0CE0" w:rsidRPr="000A0CE0" w14:paraId="46D55FAB"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FF30BE"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Administrative Advice:</w:t>
            </w:r>
          </w:p>
          <w:p w14:paraId="15FDDB5E" w14:textId="77777777" w:rsidR="00385F13" w:rsidRPr="000A0CE0" w:rsidRDefault="00385F13" w:rsidP="00C521FE">
            <w:pPr>
              <w:rPr>
                <w:rFonts w:ascii="Arial Narrow" w:hAnsi="Arial Narrow"/>
                <w:b/>
                <w:bCs/>
                <w:sz w:val="20"/>
                <w:szCs w:val="20"/>
              </w:rPr>
            </w:pPr>
            <w:r w:rsidRPr="000A0CE0">
              <w:rPr>
                <w:rFonts w:ascii="Arial Narrow" w:hAnsi="Arial Narrow"/>
                <w:sz w:val="20"/>
                <w:szCs w:val="20"/>
              </w:rPr>
              <w:t>Special Pricing Arrangements apply.</w:t>
            </w:r>
          </w:p>
        </w:tc>
      </w:tr>
      <w:tr w:rsidR="000A0CE0" w:rsidRPr="000A0CE0" w14:paraId="13B38AA3"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A69CA" w14:textId="77777777" w:rsidR="00385F13" w:rsidRPr="000A0CE0" w:rsidRDefault="00385F13" w:rsidP="00C521FE">
            <w:pPr>
              <w:rPr>
                <w:rFonts w:ascii="Arial Narrow" w:hAnsi="Arial Narrow"/>
                <w:b/>
                <w:bCs/>
                <w:strike/>
                <w:sz w:val="20"/>
                <w:szCs w:val="20"/>
              </w:rPr>
            </w:pPr>
            <w:r w:rsidRPr="000A0CE0">
              <w:rPr>
                <w:rFonts w:ascii="Arial Narrow" w:hAnsi="Arial Narrow"/>
                <w:b/>
                <w:bCs/>
                <w:strike/>
                <w:sz w:val="20"/>
                <w:szCs w:val="20"/>
              </w:rPr>
              <w:t>Administrative Advice:</w:t>
            </w:r>
          </w:p>
          <w:p w14:paraId="1E393504" w14:textId="77777777" w:rsidR="00385F13" w:rsidRPr="000A0CE0" w:rsidRDefault="00385F13" w:rsidP="00C521FE">
            <w:pPr>
              <w:rPr>
                <w:rFonts w:ascii="Arial Narrow" w:hAnsi="Arial Narrow"/>
                <w:b/>
                <w:bCs/>
                <w:strike/>
                <w:sz w:val="20"/>
                <w:szCs w:val="20"/>
              </w:rPr>
            </w:pPr>
            <w:r w:rsidRPr="000A0CE0">
              <w:rPr>
                <w:rFonts w:ascii="Arial Narrow" w:hAnsi="Arial Narrow"/>
                <w:strike/>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A0CE0" w:rsidRPr="000A0CE0" w14:paraId="119D2854"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F7F8D" w14:textId="77777777" w:rsidR="00385F13" w:rsidRPr="000A0CE0" w:rsidRDefault="00385F13" w:rsidP="00C521FE">
            <w:pPr>
              <w:rPr>
                <w:rFonts w:ascii="Arial Narrow" w:hAnsi="Arial Narrow"/>
                <w:b/>
                <w:bCs/>
                <w:sz w:val="20"/>
                <w:szCs w:val="20"/>
              </w:rPr>
            </w:pPr>
            <w:r w:rsidRPr="000A0CE0">
              <w:rPr>
                <w:rFonts w:ascii="Arial Narrow" w:hAnsi="Arial Narrow"/>
                <w:b/>
                <w:bCs/>
                <w:sz w:val="20"/>
                <w:szCs w:val="20"/>
              </w:rPr>
              <w:t xml:space="preserve">Severity: </w:t>
            </w:r>
            <w:r w:rsidRPr="000A0CE0">
              <w:rPr>
                <w:rFonts w:ascii="Arial Narrow" w:hAnsi="Arial Narrow"/>
                <w:sz w:val="20"/>
                <w:szCs w:val="20"/>
              </w:rPr>
              <w:t>Stage IV (metastatic)</w:t>
            </w:r>
          </w:p>
        </w:tc>
      </w:tr>
      <w:tr w:rsidR="000A0CE0" w:rsidRPr="000A0CE0" w14:paraId="38C23DB1"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01A274" w14:textId="77777777" w:rsidR="00385F13" w:rsidRPr="000A0CE0" w:rsidRDefault="00385F13" w:rsidP="00C521FE">
            <w:pPr>
              <w:rPr>
                <w:rFonts w:ascii="Arial Narrow" w:hAnsi="Arial Narrow"/>
                <w:b/>
                <w:bCs/>
                <w:sz w:val="20"/>
                <w:szCs w:val="20"/>
              </w:rPr>
            </w:pPr>
            <w:r w:rsidRPr="000A0CE0">
              <w:rPr>
                <w:rFonts w:ascii="Arial Narrow" w:hAnsi="Arial Narrow"/>
                <w:b/>
                <w:bCs/>
                <w:sz w:val="20"/>
                <w:szCs w:val="20"/>
              </w:rPr>
              <w:t>Condition:</w:t>
            </w:r>
            <w:r w:rsidRPr="000A0CE0">
              <w:rPr>
                <w:rFonts w:ascii="Arial Narrow" w:hAnsi="Arial Narrow"/>
                <w:sz w:val="20"/>
                <w:szCs w:val="20"/>
              </w:rPr>
              <w:t xml:space="preserve"> Non</w:t>
            </w:r>
            <w:r w:rsidRPr="000A0CE0">
              <w:rPr>
                <w:rFonts w:ascii="Arial Narrow" w:hAnsi="Arial Narrow"/>
                <w:bCs/>
                <w:sz w:val="20"/>
                <w:szCs w:val="20"/>
              </w:rPr>
              <w:t>-small cell lung cancer (NSCLC)</w:t>
            </w:r>
          </w:p>
        </w:tc>
      </w:tr>
      <w:tr w:rsidR="000A0CE0" w:rsidRPr="000A0CE0" w14:paraId="374936DC"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8137DF"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Indication:</w:t>
            </w:r>
            <w:r w:rsidRPr="000A0CE0">
              <w:rPr>
                <w:rFonts w:ascii="Arial Narrow" w:hAnsi="Arial Narrow"/>
                <w:sz w:val="20"/>
                <w:szCs w:val="20"/>
              </w:rPr>
              <w:t xml:space="preserve"> Stage IV (metastatic) non-small cell lung cancer (NSCLC)</w:t>
            </w:r>
          </w:p>
        </w:tc>
      </w:tr>
      <w:tr w:rsidR="000A0CE0" w:rsidRPr="000A0CE0" w14:paraId="274CCD21"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AD3164"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Treatment Phase:</w:t>
            </w:r>
            <w:r w:rsidRPr="000A0CE0">
              <w:rPr>
                <w:rFonts w:ascii="Arial Narrow" w:hAnsi="Arial Narrow"/>
                <w:sz w:val="20"/>
                <w:szCs w:val="20"/>
              </w:rPr>
              <w:t xml:space="preserve"> Continuing treatment – 3 weekly treatment regimen</w:t>
            </w:r>
          </w:p>
        </w:tc>
      </w:tr>
      <w:tr w:rsidR="000A0CE0" w:rsidRPr="000A0CE0" w14:paraId="1FCCDEE2"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96EB48"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0A0CE0" w:rsidRPr="000A0CE0" w14:paraId="560380D9"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FCACA"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Patient must have previously received PBS subsidised treatment with this drug for this condition,</w:t>
            </w:r>
          </w:p>
        </w:tc>
      </w:tr>
      <w:tr w:rsidR="000A0CE0" w:rsidRPr="000A0CE0" w14:paraId="5EB0B8B3" w14:textId="77777777" w:rsidTr="00FE4AC7">
        <w:trPr>
          <w:trHeight w:val="288"/>
        </w:trPr>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23062C"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AND</w:t>
            </w:r>
          </w:p>
        </w:tc>
      </w:tr>
      <w:tr w:rsidR="000A0CE0" w:rsidRPr="000A0CE0" w14:paraId="125E360B"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3F243D"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0A0CE0" w:rsidRPr="000A0CE0" w14:paraId="38764722"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47A448"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Patient must not have developed disease progression while being treated with this drug for this condition,</w:t>
            </w:r>
          </w:p>
        </w:tc>
      </w:tr>
      <w:tr w:rsidR="000A0CE0" w:rsidRPr="000A0CE0" w14:paraId="019FD48B"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CE5501" w14:textId="77777777" w:rsidR="00385F13" w:rsidRPr="000A0CE0" w:rsidRDefault="00385F13" w:rsidP="00C521FE">
            <w:pPr>
              <w:rPr>
                <w:rFonts w:ascii="Arial Narrow" w:hAnsi="Arial Narrow"/>
                <w:strike/>
                <w:sz w:val="20"/>
                <w:szCs w:val="20"/>
              </w:rPr>
            </w:pPr>
            <w:r w:rsidRPr="000A0CE0">
              <w:rPr>
                <w:rFonts w:ascii="Arial Narrow" w:hAnsi="Arial Narrow"/>
                <w:b/>
                <w:bCs/>
                <w:strike/>
                <w:sz w:val="20"/>
                <w:szCs w:val="20"/>
              </w:rPr>
              <w:t>AND</w:t>
            </w:r>
          </w:p>
        </w:tc>
      </w:tr>
      <w:tr w:rsidR="000A0CE0" w:rsidRPr="000A0CE0" w14:paraId="26B85AE4"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EFDB2E" w14:textId="77777777" w:rsidR="00385F13" w:rsidRPr="000A0CE0" w:rsidRDefault="00385F13" w:rsidP="00C521FE">
            <w:pPr>
              <w:rPr>
                <w:rFonts w:ascii="Arial Narrow" w:hAnsi="Arial Narrow"/>
                <w:strike/>
                <w:sz w:val="20"/>
                <w:szCs w:val="20"/>
              </w:rPr>
            </w:pPr>
            <w:r w:rsidRPr="000A0CE0">
              <w:rPr>
                <w:rFonts w:ascii="Arial Narrow" w:hAnsi="Arial Narrow"/>
                <w:b/>
                <w:bCs/>
                <w:strike/>
                <w:sz w:val="20"/>
                <w:szCs w:val="20"/>
              </w:rPr>
              <w:t>Clinical criteria:</w:t>
            </w:r>
          </w:p>
        </w:tc>
      </w:tr>
      <w:tr w:rsidR="000A0CE0" w:rsidRPr="000A0CE0" w14:paraId="66A3AB72"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32A1F" w14:textId="77777777" w:rsidR="00385F13" w:rsidRPr="000A0CE0" w:rsidRDefault="00385F13" w:rsidP="00C521FE">
            <w:pPr>
              <w:rPr>
                <w:rFonts w:ascii="Arial Narrow" w:hAnsi="Arial Narrow"/>
                <w:strike/>
                <w:sz w:val="20"/>
                <w:szCs w:val="20"/>
              </w:rPr>
            </w:pPr>
            <w:r w:rsidRPr="000A0CE0">
              <w:rPr>
                <w:rFonts w:ascii="Arial Narrow" w:hAnsi="Arial Narrow"/>
                <w:strike/>
                <w:sz w:val="20"/>
                <w:szCs w:val="20"/>
              </w:rPr>
              <w:t>The treatment must be the sole PBS-subsidised systemic anti-cancer therapy for this condition</w:t>
            </w:r>
          </w:p>
        </w:tc>
      </w:tr>
      <w:tr w:rsidR="000A0CE0" w:rsidRPr="000A0CE0" w14:paraId="6D83C682"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DFD1E2"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lastRenderedPageBreak/>
              <w:t>AND</w:t>
            </w:r>
          </w:p>
        </w:tc>
      </w:tr>
      <w:tr w:rsidR="000A0CE0" w:rsidRPr="000A0CE0" w14:paraId="56D0D6F6"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FF4A43" w14:textId="77777777" w:rsidR="00385F13" w:rsidRPr="000A0CE0" w:rsidRDefault="00385F13" w:rsidP="00C521FE">
            <w:pPr>
              <w:rPr>
                <w:rFonts w:ascii="Arial Narrow" w:hAnsi="Arial Narrow"/>
                <w:sz w:val="20"/>
                <w:szCs w:val="20"/>
              </w:rPr>
            </w:pPr>
            <w:r w:rsidRPr="000A0CE0">
              <w:rPr>
                <w:rFonts w:ascii="Arial Narrow" w:hAnsi="Arial Narrow"/>
                <w:b/>
                <w:bCs/>
                <w:sz w:val="20"/>
                <w:szCs w:val="20"/>
              </w:rPr>
              <w:t>Clinical criteria:</w:t>
            </w:r>
          </w:p>
        </w:tc>
      </w:tr>
      <w:tr w:rsidR="000A0CE0" w:rsidRPr="000A0CE0" w14:paraId="05C537EC" w14:textId="77777777" w:rsidTr="00FE4AC7">
        <w:tc>
          <w:tcPr>
            <w:tcW w:w="90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FEC47F" w14:textId="77777777" w:rsidR="00385F13" w:rsidRPr="000A0CE0" w:rsidRDefault="00385F13" w:rsidP="00C521FE">
            <w:pPr>
              <w:rPr>
                <w:rFonts w:ascii="Arial Narrow" w:hAnsi="Arial Narrow"/>
                <w:sz w:val="20"/>
                <w:szCs w:val="20"/>
              </w:rPr>
            </w:pPr>
            <w:r w:rsidRPr="000A0CE0">
              <w:rPr>
                <w:rFonts w:ascii="Arial Narrow" w:hAnsi="Arial Narrow"/>
                <w:sz w:val="20"/>
                <w:szCs w:val="20"/>
              </w:rPr>
              <w:t>The treatment must not exceed a total of 35 cycles or up to 24 months of treatment under both initial and continuing treatment restrictions, whichever comes first.</w:t>
            </w:r>
          </w:p>
        </w:tc>
      </w:tr>
    </w:tbl>
    <w:bookmarkEnd w:id="14"/>
    <w:p w14:paraId="144F0FDE" w14:textId="06031AD1" w:rsidR="00AD26DB" w:rsidRPr="00674669" w:rsidRDefault="00AD26DB" w:rsidP="000A0CE0">
      <w:pPr>
        <w:pStyle w:val="3-BodyText"/>
        <w:spacing w:before="120"/>
        <w:rPr>
          <w:b/>
          <w:sz w:val="32"/>
          <w:szCs w:val="32"/>
        </w:rPr>
      </w:pPr>
      <w:r w:rsidRPr="00674669">
        <w:t>The submission stated that the sponsor would seek a Special Pricing Arrangement (SPA)</w:t>
      </w:r>
      <w:r w:rsidR="00575E0A" w:rsidRPr="00674669">
        <w:t>.</w:t>
      </w:r>
      <w:r w:rsidRPr="00674669">
        <w:t xml:space="preserve"> </w:t>
      </w:r>
    </w:p>
    <w:p w14:paraId="40287B7C" w14:textId="4FCE798F" w:rsidR="00A620CB" w:rsidRPr="00674669" w:rsidRDefault="00A620CB" w:rsidP="00AD26DB">
      <w:pPr>
        <w:pStyle w:val="3-BodyText"/>
        <w:rPr>
          <w:b/>
          <w:sz w:val="32"/>
          <w:szCs w:val="32"/>
        </w:rPr>
      </w:pPr>
      <w:r w:rsidRPr="00674669">
        <w:t xml:space="preserve">The submission requested a combined listing for cemiplimab 350 mg to allow its use as a monotherapy or in combination with PDC in Stage IV NSCLC. Overall, the wording of the proposed PBS restriction for cemiplimab was similar to the listing of pembrolizumab for the treatment of Stage IV NSCLC. </w:t>
      </w:r>
      <w:r w:rsidRPr="00674669">
        <w:rPr>
          <w:iCs/>
        </w:rPr>
        <w:t>The</w:t>
      </w:r>
      <w:r w:rsidR="00386C2D">
        <w:rPr>
          <w:iCs/>
        </w:rPr>
        <w:t xml:space="preserve"> Economic Sub-Committee</w:t>
      </w:r>
      <w:r w:rsidRPr="00674669">
        <w:rPr>
          <w:iCs/>
        </w:rPr>
        <w:t xml:space="preserve"> </w:t>
      </w:r>
      <w:r w:rsidR="00386C2D">
        <w:rPr>
          <w:iCs/>
        </w:rPr>
        <w:t>(</w:t>
      </w:r>
      <w:r w:rsidRPr="00674669">
        <w:rPr>
          <w:iCs/>
        </w:rPr>
        <w:t>ESC</w:t>
      </w:r>
      <w:r w:rsidR="00386C2D">
        <w:rPr>
          <w:iCs/>
        </w:rPr>
        <w:t>)</w:t>
      </w:r>
      <w:r w:rsidRPr="00674669">
        <w:rPr>
          <w:iCs/>
        </w:rPr>
        <w:t xml:space="preserve"> considered this was appropriate.</w:t>
      </w:r>
    </w:p>
    <w:p w14:paraId="38206462" w14:textId="5456B0DE" w:rsidR="00AD26DB" w:rsidRPr="004A4602" w:rsidRDefault="00E471AD" w:rsidP="00AD26DB">
      <w:pPr>
        <w:pStyle w:val="3-BodyText"/>
        <w:rPr>
          <w:iCs/>
        </w:rPr>
      </w:pPr>
      <w:r w:rsidRPr="004A4602">
        <w:rPr>
          <w:rFonts w:ascii="Calibri" w:hAnsi="Calibri"/>
          <w:bCs/>
          <w:iCs/>
        </w:rPr>
        <w:t xml:space="preserve">The sponsor requested listing that matches the current 3-weekly treatment regimen NSCLC listing of the main comparator pembrolizumab. Previously, pembrolizumab was listed on the PBS, as monotherapy, for treatment of NSCLC patients with high expression of PD-L1 (i.e., TPS ≥ 50%). Following the positive </w:t>
      </w:r>
      <w:r w:rsidR="00386C2D">
        <w:rPr>
          <w:rFonts w:ascii="Calibri" w:hAnsi="Calibri"/>
          <w:bCs/>
          <w:iCs/>
        </w:rPr>
        <w:t>Pharmaceutical Benefits Advisory Committee (</w:t>
      </w:r>
      <w:r w:rsidRPr="004A4602">
        <w:rPr>
          <w:rFonts w:ascii="Calibri" w:hAnsi="Calibri"/>
          <w:bCs/>
          <w:iCs/>
        </w:rPr>
        <w:t>PBAC</w:t>
      </w:r>
      <w:r w:rsidR="00386C2D">
        <w:rPr>
          <w:rFonts w:ascii="Calibri" w:hAnsi="Calibri"/>
          <w:bCs/>
          <w:iCs/>
        </w:rPr>
        <w:t>)</w:t>
      </w:r>
      <w:r w:rsidRPr="004A4602">
        <w:rPr>
          <w:rFonts w:ascii="Calibri" w:hAnsi="Calibri"/>
          <w:bCs/>
          <w:iCs/>
        </w:rPr>
        <w:t xml:space="preserve"> recommendation for pembrolizumab in combination with chemotherapy, for treatment of NSCLC, regardless of PD-L1 expression, </w:t>
      </w:r>
      <w:r w:rsidR="00A620CB" w:rsidRPr="004A4602">
        <w:rPr>
          <w:rFonts w:ascii="Calibri" w:hAnsi="Calibri"/>
          <w:bCs/>
          <w:iCs/>
        </w:rPr>
        <w:t xml:space="preserve">the </w:t>
      </w:r>
      <w:r w:rsidRPr="004A4602">
        <w:rPr>
          <w:rFonts w:ascii="Calibri" w:hAnsi="Calibri"/>
          <w:bCs/>
          <w:iCs/>
        </w:rPr>
        <w:t xml:space="preserve">pembrolizumab listing was consolidated to allow clinicians to determine </w:t>
      </w:r>
      <w:r w:rsidR="00A620CB" w:rsidRPr="004A4602">
        <w:rPr>
          <w:rFonts w:ascii="Calibri" w:hAnsi="Calibri"/>
          <w:bCs/>
          <w:iCs/>
        </w:rPr>
        <w:t>to use pembrolizumab</w:t>
      </w:r>
      <w:r w:rsidRPr="004A4602">
        <w:rPr>
          <w:rFonts w:ascii="Calibri" w:hAnsi="Calibri"/>
          <w:bCs/>
          <w:iCs/>
        </w:rPr>
        <w:t xml:space="preserve"> in combination with chemotherapy or as monotherapy according to its approved TGA indications (Broad PBS subsidy listing for PD-(L)1 checkpoint inhibitors for NSCLC Public Summary Document (PSD), August 2019 PBAC meeting)</w:t>
      </w:r>
      <w:r w:rsidR="00674669" w:rsidRPr="004A4602">
        <w:rPr>
          <w:rFonts w:ascii="Calibri" w:hAnsi="Calibri"/>
          <w:bCs/>
          <w:iCs/>
        </w:rPr>
        <w:t xml:space="preserve">. </w:t>
      </w:r>
      <w:r w:rsidRPr="004A4602">
        <w:rPr>
          <w:rFonts w:ascii="Calibri" w:hAnsi="Calibri"/>
          <w:bCs/>
          <w:iCs/>
        </w:rPr>
        <w:t xml:space="preserve">As a result, the current PBS restrictions for pembrolizumab (11492W private, 11494Y public) do not differentiate between </w:t>
      </w:r>
      <w:r w:rsidR="00A620CB" w:rsidRPr="004A4602">
        <w:rPr>
          <w:rFonts w:ascii="Calibri" w:hAnsi="Calibri"/>
          <w:bCs/>
          <w:iCs/>
        </w:rPr>
        <w:t xml:space="preserve">use of pembrolizumab as </w:t>
      </w:r>
      <w:r w:rsidRPr="004A4602">
        <w:rPr>
          <w:rFonts w:ascii="Calibri" w:hAnsi="Calibri"/>
          <w:bCs/>
          <w:iCs/>
        </w:rPr>
        <w:t xml:space="preserve">monotherapy or in combination with PDC, nor include a criterion on PD-L1 expression level. Cemiplimab monotherapy is currently PBS listed for Stage IV NSCLC </w:t>
      </w:r>
      <w:r w:rsidR="00A620CB" w:rsidRPr="004A4602">
        <w:rPr>
          <w:rFonts w:ascii="Calibri" w:hAnsi="Calibri"/>
          <w:bCs/>
          <w:iCs/>
        </w:rPr>
        <w:t xml:space="preserve">in patients </w:t>
      </w:r>
      <w:r w:rsidRPr="004A4602">
        <w:rPr>
          <w:rFonts w:ascii="Calibri" w:hAnsi="Calibri"/>
          <w:bCs/>
          <w:iCs/>
        </w:rPr>
        <w:t xml:space="preserve">expressing PD L1 with a TPS ≥50%. </w:t>
      </w:r>
      <w:r w:rsidRPr="004A4602">
        <w:rPr>
          <w:iCs/>
        </w:rPr>
        <w:t xml:space="preserve"> </w:t>
      </w:r>
    </w:p>
    <w:p w14:paraId="4DB7C7F0" w14:textId="218BEC66" w:rsidR="00AD26DB" w:rsidRPr="00674669" w:rsidRDefault="00AD26DB" w:rsidP="00AD26DB">
      <w:pPr>
        <w:pStyle w:val="3-BodyText"/>
      </w:pPr>
      <w:r w:rsidRPr="00674669">
        <w:t>The proposed PBS population limit</w:t>
      </w:r>
      <w:r w:rsidR="00E75811" w:rsidRPr="00674669">
        <w:t>s</w:t>
      </w:r>
      <w:r w:rsidRPr="00674669">
        <w:t xml:space="preserve"> the use of cemiplimab </w:t>
      </w:r>
      <w:r w:rsidR="001649EC" w:rsidRPr="00674669">
        <w:t xml:space="preserve">to </w:t>
      </w:r>
      <w:r w:rsidRPr="00674669">
        <w:t>patients with Stage IV</w:t>
      </w:r>
      <w:r w:rsidR="004A06BB" w:rsidRPr="00674669">
        <w:t xml:space="preserve"> NSCLC</w:t>
      </w:r>
      <w:r w:rsidRPr="00674669">
        <w:t xml:space="preserve">. This was different from the key clinical trial (Study 16113) and the TGA indication, which included patients with both Stage III (locally advanced) and Stage IV patients with NSCLC. </w:t>
      </w:r>
    </w:p>
    <w:p w14:paraId="5601B499" w14:textId="5571B657" w:rsidR="00862B2B" w:rsidRPr="00674669" w:rsidRDefault="00862B2B" w:rsidP="00AD26DB">
      <w:pPr>
        <w:pStyle w:val="3-BodyText"/>
      </w:pPr>
      <w:r w:rsidRPr="00674669">
        <w:t xml:space="preserve">The requested listing included administrative advice noting a SPA applies and that no increases to the maximum number of repeats may be authorised. The Secretariat added </w:t>
      </w:r>
      <w:proofErr w:type="gramStart"/>
      <w:r w:rsidRPr="00674669">
        <w:t>an</w:t>
      </w:r>
      <w:proofErr w:type="gramEnd"/>
      <w:r w:rsidRPr="00674669">
        <w:t xml:space="preserve"> advice to also state that no increases to the maximum </w:t>
      </w:r>
      <w:r w:rsidR="00E471AD" w:rsidRPr="00674669">
        <w:t xml:space="preserve">amount </w:t>
      </w:r>
      <w:r w:rsidRPr="00674669">
        <w:t>or number of units may be authorised, as cemiplimab does not have a variable dose regimen</w:t>
      </w:r>
      <w:r w:rsidR="00044A82" w:rsidRPr="00674669">
        <w:t>.</w:t>
      </w:r>
    </w:p>
    <w:p w14:paraId="026C3F2E" w14:textId="0F544E7C" w:rsidR="00197C41" w:rsidRPr="00674669" w:rsidRDefault="00197C41" w:rsidP="00AD26DB">
      <w:pPr>
        <w:pStyle w:val="3-BodyText"/>
      </w:pPr>
      <w:r w:rsidRPr="00674669">
        <w:t xml:space="preserve">The submission stated </w:t>
      </w:r>
      <w:r w:rsidR="0064159D" w:rsidRPr="00674669">
        <w:t xml:space="preserve">that there is currently not adequate evidence to support retreatment </w:t>
      </w:r>
      <w:r w:rsidRPr="00674669">
        <w:t xml:space="preserve">with PD-L1 inhibitors. </w:t>
      </w:r>
      <w:r w:rsidR="005D04C1">
        <w:t xml:space="preserve">The PBAC considered treatment </w:t>
      </w:r>
      <w:r w:rsidRPr="00674669">
        <w:t>with a PD</w:t>
      </w:r>
      <w:r w:rsidR="00A620CB" w:rsidRPr="00674669">
        <w:t>-</w:t>
      </w:r>
      <w:r w:rsidRPr="00674669">
        <w:t xml:space="preserve">L1 inhibitor for NSCLC </w:t>
      </w:r>
      <w:r w:rsidR="005D04C1">
        <w:t>should continue to be</w:t>
      </w:r>
      <w:r w:rsidRPr="00674669">
        <w:t xml:space="preserve"> limited to one course per lifetime</w:t>
      </w:r>
      <w:r w:rsidR="005D04C1">
        <w:t xml:space="preserve"> until such time that clinical evidence is provided to support retreatment</w:t>
      </w:r>
      <w:r w:rsidRPr="00674669">
        <w:t xml:space="preserve">. </w:t>
      </w:r>
    </w:p>
    <w:p w14:paraId="198756E1" w14:textId="775D71D3" w:rsidR="00165F33" w:rsidRPr="00674669" w:rsidRDefault="00165F33" w:rsidP="00AD26DB">
      <w:pPr>
        <w:pStyle w:val="3-BodyText"/>
        <w:rPr>
          <w:iCs/>
        </w:rPr>
      </w:pPr>
      <w:r w:rsidRPr="00674669">
        <w:rPr>
          <w:bCs/>
          <w:iCs/>
        </w:rPr>
        <w:t>The submission did not propose a grandfather restriction.</w:t>
      </w:r>
    </w:p>
    <w:p w14:paraId="77D06FA6" w14:textId="12581AC9" w:rsidR="00862B2B" w:rsidRPr="00674669" w:rsidRDefault="00862B2B" w:rsidP="00862B2B">
      <w:pPr>
        <w:pStyle w:val="3-BodyText"/>
        <w:numPr>
          <w:ilvl w:val="0"/>
          <w:numId w:val="0"/>
        </w:numPr>
        <w:ind w:left="720"/>
        <w:rPr>
          <w:i/>
          <w:iCs/>
        </w:rPr>
      </w:pPr>
      <w:r w:rsidRPr="00674669">
        <w:rPr>
          <w:i/>
          <w:iCs/>
        </w:rPr>
        <w:t>For more detail on PBAC’s view, see section 7 PBAC outcome.</w:t>
      </w:r>
    </w:p>
    <w:p w14:paraId="650C20F9" w14:textId="77777777" w:rsidR="00AD26DB" w:rsidRPr="00674669" w:rsidDel="00195452" w:rsidRDefault="00AD26DB" w:rsidP="00AD26DB">
      <w:pPr>
        <w:pStyle w:val="2-SectionHeading"/>
      </w:pPr>
      <w:bookmarkStart w:id="15" w:name="_Toc142622564"/>
      <w:bookmarkStart w:id="16" w:name="_Toc145495061"/>
      <w:r w:rsidRPr="00674669" w:rsidDel="00195452">
        <w:lastRenderedPageBreak/>
        <w:t>Population and disease</w:t>
      </w:r>
      <w:bookmarkEnd w:id="15"/>
      <w:bookmarkEnd w:id="16"/>
    </w:p>
    <w:p w14:paraId="1D59EC9E" w14:textId="07F0CB3C" w:rsidR="00AD26DB" w:rsidRPr="00674669" w:rsidRDefault="00AD26DB" w:rsidP="00AD26DB">
      <w:pPr>
        <w:pStyle w:val="3-BodyText"/>
      </w:pPr>
      <w:r w:rsidRPr="00674669">
        <w:t>Lung cancer is the leading cause of cancer death and the fifth most diagnosed cancer in Australia</w:t>
      </w:r>
      <w:r w:rsidRPr="00674669">
        <w:rPr>
          <w:rStyle w:val="FootnoteReference"/>
        </w:rPr>
        <w:footnoteReference w:id="2"/>
      </w:r>
      <w:r w:rsidRPr="00674669">
        <w:t>. NSCLC accounts for 85-90% of lung cancer cases</w:t>
      </w:r>
      <w:r w:rsidRPr="00674669">
        <w:rPr>
          <w:rStyle w:val="FootnoteReference"/>
        </w:rPr>
        <w:footnoteReference w:id="3"/>
      </w:r>
      <w:r w:rsidRPr="00674669">
        <w:t>, and approximately 40% of NSCLC patients present with Stage IV (metastatic) disease at the time of diagnosis</w:t>
      </w:r>
      <w:r w:rsidRPr="00674669">
        <w:rPr>
          <w:rStyle w:val="FootnoteReference"/>
        </w:rPr>
        <w:footnoteReference w:id="4"/>
      </w:r>
      <w:r w:rsidRPr="00674669">
        <w:t>. Compared to other stages, the prognosis for patients with Stage IV disease is generally poor, with a 5-year relative survival rate of 3.2% in 2011-2016</w:t>
      </w:r>
      <w:r w:rsidRPr="00674669">
        <w:rPr>
          <w:rStyle w:val="FootnoteReference"/>
        </w:rPr>
        <w:footnoteReference w:id="5"/>
      </w:r>
      <w:r w:rsidRPr="00674669">
        <w:t>.</w:t>
      </w:r>
    </w:p>
    <w:p w14:paraId="1DD71C0D" w14:textId="1C4F375B" w:rsidR="00AD26DB" w:rsidRPr="00674669" w:rsidRDefault="00AD26DB" w:rsidP="00AD26DB">
      <w:pPr>
        <w:pStyle w:val="3-BodyText"/>
      </w:pPr>
      <w:r w:rsidRPr="00674669">
        <w:t>The submission proposed cemiplimab in combination with PDC (hereafter referred to as cemiplimab+PDC) to be used as first-line treatment in patients with Stage IV NSCLC without EGFR, ALK and ROS1 aberrations, regardless of histology and PD-L1 expression levels.</w:t>
      </w:r>
    </w:p>
    <w:p w14:paraId="605BF078" w14:textId="45A236D0" w:rsidR="00AD26DB" w:rsidRPr="00674669" w:rsidRDefault="00AD26DB" w:rsidP="00AD26DB">
      <w:pPr>
        <w:pStyle w:val="3-BodyText"/>
      </w:pPr>
      <w:r w:rsidRPr="00674669">
        <w:t xml:space="preserve">Clinical practice guidelines, such as European Society of Medical Oncology (ESMO) and National Comprehensive Cancer Network (NCCN), recommend the following treatments for Stage IV NSCLC without contraindications for immunotherapy and based on tumour proportion score (TPS) and performance status (PS). </w:t>
      </w:r>
    </w:p>
    <w:p w14:paraId="224859BF" w14:textId="146EA1A3" w:rsidR="00AD26DB" w:rsidRPr="00674669" w:rsidRDefault="00AD26DB" w:rsidP="00AD26DB">
      <w:pPr>
        <w:pStyle w:val="Caption"/>
      </w:pPr>
      <w:r w:rsidRPr="00674669">
        <w:t xml:space="preserve">Table </w:t>
      </w:r>
      <w:fldSimple w:instr=" SEQ Table \* ARABIC " w:fldLock="1">
        <w:r w:rsidR="006F44A4" w:rsidRPr="00674669">
          <w:t>2</w:t>
        </w:r>
      </w:fldSimple>
      <w:r w:rsidRPr="00674669">
        <w:t>: Groups of metastatic NSCLC without contraindications for immunotherapy and their preferred treatments</w:t>
      </w:r>
    </w:p>
    <w:tbl>
      <w:tblPr>
        <w:tblStyle w:val="TableGrid"/>
        <w:tblW w:w="4950" w:type="pct"/>
        <w:tblLook w:val="04A0" w:firstRow="1" w:lastRow="0" w:firstColumn="1" w:lastColumn="0" w:noHBand="0" w:noVBand="1"/>
      </w:tblPr>
      <w:tblGrid>
        <w:gridCol w:w="607"/>
        <w:gridCol w:w="4797"/>
        <w:gridCol w:w="3523"/>
      </w:tblGrid>
      <w:tr w:rsidR="00AD26DB" w:rsidRPr="00674669" w14:paraId="44D23DA0" w14:textId="77777777" w:rsidTr="00C521FE">
        <w:trPr>
          <w:trHeight w:val="131"/>
        </w:trPr>
        <w:tc>
          <w:tcPr>
            <w:tcW w:w="340" w:type="pct"/>
            <w:hideMark/>
          </w:tcPr>
          <w:p w14:paraId="4CA7C083" w14:textId="77777777" w:rsidR="00AD26DB" w:rsidRPr="00674669" w:rsidRDefault="00AD26DB" w:rsidP="00C521FE">
            <w:pPr>
              <w:pStyle w:val="In-tableHeading"/>
              <w:rPr>
                <w:bCs/>
                <w:szCs w:val="20"/>
                <w:lang w:val="en-AU"/>
              </w:rPr>
            </w:pPr>
            <w:r w:rsidRPr="00674669">
              <w:rPr>
                <w:szCs w:val="20"/>
                <w:lang w:val="en-AU"/>
              </w:rPr>
              <w:t>No.</w:t>
            </w:r>
          </w:p>
        </w:tc>
        <w:tc>
          <w:tcPr>
            <w:tcW w:w="2687" w:type="pct"/>
            <w:hideMark/>
          </w:tcPr>
          <w:p w14:paraId="5A915068" w14:textId="77777777" w:rsidR="00AD26DB" w:rsidRPr="00674669" w:rsidRDefault="00AD26DB" w:rsidP="00C521FE">
            <w:pPr>
              <w:pStyle w:val="In-tableHeading"/>
              <w:rPr>
                <w:szCs w:val="20"/>
                <w:lang w:val="en-AU"/>
              </w:rPr>
            </w:pPr>
            <w:r w:rsidRPr="00674669">
              <w:rPr>
                <w:szCs w:val="20"/>
                <w:lang w:val="en-AU"/>
              </w:rPr>
              <w:t xml:space="preserve">Metastatic NSCLC without contraindication for ICI </w:t>
            </w:r>
          </w:p>
        </w:tc>
        <w:tc>
          <w:tcPr>
            <w:tcW w:w="1973" w:type="pct"/>
            <w:hideMark/>
          </w:tcPr>
          <w:p w14:paraId="13C6986D" w14:textId="77777777" w:rsidR="00AD26DB" w:rsidRPr="00674669" w:rsidRDefault="00AD26DB" w:rsidP="00C521FE">
            <w:pPr>
              <w:pStyle w:val="In-tableHeading"/>
              <w:rPr>
                <w:szCs w:val="20"/>
                <w:lang w:val="en-AU"/>
              </w:rPr>
            </w:pPr>
            <w:r w:rsidRPr="00674669">
              <w:rPr>
                <w:szCs w:val="20"/>
                <w:lang w:val="en-AU"/>
              </w:rPr>
              <w:t>Preferred treatment</w:t>
            </w:r>
          </w:p>
        </w:tc>
      </w:tr>
      <w:tr w:rsidR="00AD26DB" w:rsidRPr="00674669" w14:paraId="2B23613D" w14:textId="77777777" w:rsidTr="00C521FE">
        <w:trPr>
          <w:trHeight w:val="253"/>
        </w:trPr>
        <w:tc>
          <w:tcPr>
            <w:tcW w:w="340" w:type="pct"/>
            <w:hideMark/>
          </w:tcPr>
          <w:p w14:paraId="50930D86" w14:textId="77777777" w:rsidR="00AD26DB" w:rsidRPr="00674669" w:rsidRDefault="00AD26DB" w:rsidP="00C521FE">
            <w:pPr>
              <w:pStyle w:val="TableText0"/>
              <w:rPr>
                <w:szCs w:val="20"/>
              </w:rPr>
            </w:pPr>
            <w:r w:rsidRPr="00674669">
              <w:rPr>
                <w:szCs w:val="20"/>
              </w:rPr>
              <w:t>1</w:t>
            </w:r>
          </w:p>
        </w:tc>
        <w:tc>
          <w:tcPr>
            <w:tcW w:w="2687" w:type="pct"/>
            <w:hideMark/>
          </w:tcPr>
          <w:p w14:paraId="347AA4D3" w14:textId="77777777" w:rsidR="00AD26DB" w:rsidRPr="00674669" w:rsidRDefault="00AD26DB" w:rsidP="00C521FE">
            <w:pPr>
              <w:pStyle w:val="TableText0"/>
              <w:rPr>
                <w:szCs w:val="20"/>
              </w:rPr>
            </w:pPr>
            <w:r w:rsidRPr="00674669">
              <w:rPr>
                <w:szCs w:val="20"/>
              </w:rPr>
              <w:t xml:space="preserve">PS 0-2 and PD-L1 TPS </w:t>
            </w:r>
            <w:r w:rsidRPr="00674669">
              <w:rPr>
                <w:szCs w:val="20"/>
              </w:rPr>
              <w:sym w:font="Symbol" w:char="F0B3"/>
            </w:r>
            <w:r w:rsidRPr="00674669">
              <w:rPr>
                <w:szCs w:val="20"/>
              </w:rPr>
              <w:t>50%</w:t>
            </w:r>
          </w:p>
        </w:tc>
        <w:tc>
          <w:tcPr>
            <w:tcW w:w="1973" w:type="pct"/>
            <w:hideMark/>
          </w:tcPr>
          <w:p w14:paraId="6011EFA4" w14:textId="77777777" w:rsidR="00AD26DB" w:rsidRPr="00674669" w:rsidRDefault="00AD26DB" w:rsidP="00C521FE">
            <w:pPr>
              <w:pStyle w:val="TableText0"/>
              <w:rPr>
                <w:szCs w:val="20"/>
              </w:rPr>
            </w:pPr>
            <w:r w:rsidRPr="00674669">
              <w:rPr>
                <w:szCs w:val="20"/>
              </w:rPr>
              <w:t>ICI monotherapy</w:t>
            </w:r>
          </w:p>
        </w:tc>
      </w:tr>
      <w:tr w:rsidR="00AD26DB" w:rsidRPr="00674669" w14:paraId="29176EAD" w14:textId="77777777" w:rsidTr="00C521FE">
        <w:trPr>
          <w:trHeight w:val="241"/>
        </w:trPr>
        <w:tc>
          <w:tcPr>
            <w:tcW w:w="340" w:type="pct"/>
            <w:hideMark/>
          </w:tcPr>
          <w:p w14:paraId="075621E7" w14:textId="77777777" w:rsidR="00AD26DB" w:rsidRPr="00674669" w:rsidRDefault="00AD26DB" w:rsidP="00C521FE">
            <w:pPr>
              <w:pStyle w:val="TableText0"/>
              <w:rPr>
                <w:szCs w:val="20"/>
              </w:rPr>
            </w:pPr>
            <w:r w:rsidRPr="00674669">
              <w:rPr>
                <w:szCs w:val="20"/>
              </w:rPr>
              <w:t>2</w:t>
            </w:r>
          </w:p>
        </w:tc>
        <w:tc>
          <w:tcPr>
            <w:tcW w:w="2687" w:type="pct"/>
            <w:hideMark/>
          </w:tcPr>
          <w:p w14:paraId="0E5F4C00" w14:textId="77777777" w:rsidR="00AD26DB" w:rsidRPr="00674669" w:rsidRDefault="00AD26DB" w:rsidP="00C521FE">
            <w:pPr>
              <w:pStyle w:val="TableText0"/>
              <w:rPr>
                <w:szCs w:val="20"/>
              </w:rPr>
            </w:pPr>
            <w:r w:rsidRPr="00674669">
              <w:rPr>
                <w:szCs w:val="20"/>
              </w:rPr>
              <w:t>PS 0-1, irrespective of PD-L1 TPS</w:t>
            </w:r>
          </w:p>
        </w:tc>
        <w:tc>
          <w:tcPr>
            <w:tcW w:w="1973" w:type="pct"/>
            <w:hideMark/>
          </w:tcPr>
          <w:p w14:paraId="78F34E80" w14:textId="77777777" w:rsidR="00AD26DB" w:rsidRPr="00674669" w:rsidRDefault="00AD26DB" w:rsidP="00C521FE">
            <w:pPr>
              <w:pStyle w:val="TableText0"/>
              <w:rPr>
                <w:szCs w:val="20"/>
              </w:rPr>
            </w:pPr>
            <w:r w:rsidRPr="00674669">
              <w:rPr>
                <w:szCs w:val="20"/>
              </w:rPr>
              <w:t>Combination therapy, ICI with PDC</w:t>
            </w:r>
          </w:p>
        </w:tc>
      </w:tr>
      <w:tr w:rsidR="00AD26DB" w:rsidRPr="00674669" w14:paraId="5A01225F" w14:textId="77777777" w:rsidTr="00C521FE">
        <w:trPr>
          <w:trHeight w:val="229"/>
        </w:trPr>
        <w:tc>
          <w:tcPr>
            <w:tcW w:w="340" w:type="pct"/>
            <w:hideMark/>
          </w:tcPr>
          <w:p w14:paraId="02FDA52A" w14:textId="77777777" w:rsidR="00AD26DB" w:rsidRPr="00674669" w:rsidRDefault="00AD26DB" w:rsidP="00C521FE">
            <w:pPr>
              <w:pStyle w:val="TableText0"/>
              <w:rPr>
                <w:szCs w:val="20"/>
              </w:rPr>
            </w:pPr>
            <w:r w:rsidRPr="00674669">
              <w:rPr>
                <w:szCs w:val="20"/>
              </w:rPr>
              <w:t>3</w:t>
            </w:r>
          </w:p>
        </w:tc>
        <w:tc>
          <w:tcPr>
            <w:tcW w:w="2687" w:type="pct"/>
            <w:hideMark/>
          </w:tcPr>
          <w:p w14:paraId="57B5E637" w14:textId="77777777" w:rsidR="00AD26DB" w:rsidRPr="00674669" w:rsidRDefault="00AD26DB" w:rsidP="00C521FE">
            <w:pPr>
              <w:pStyle w:val="TableText0"/>
              <w:rPr>
                <w:szCs w:val="20"/>
              </w:rPr>
            </w:pPr>
            <w:r w:rsidRPr="00674669">
              <w:rPr>
                <w:szCs w:val="20"/>
              </w:rPr>
              <w:t>PS 2, PD-L1 TPS &lt;50%</w:t>
            </w:r>
          </w:p>
        </w:tc>
        <w:tc>
          <w:tcPr>
            <w:tcW w:w="1973" w:type="pct"/>
            <w:hideMark/>
          </w:tcPr>
          <w:p w14:paraId="784DC164" w14:textId="77777777" w:rsidR="00AD26DB" w:rsidRPr="00674669" w:rsidRDefault="00AD26DB" w:rsidP="00C521FE">
            <w:pPr>
              <w:pStyle w:val="TableText0"/>
              <w:rPr>
                <w:szCs w:val="20"/>
              </w:rPr>
            </w:pPr>
            <w:r w:rsidRPr="00674669">
              <w:rPr>
                <w:szCs w:val="20"/>
              </w:rPr>
              <w:t>PDC or single agent chemotherapy</w:t>
            </w:r>
          </w:p>
        </w:tc>
      </w:tr>
      <w:tr w:rsidR="00AD26DB" w:rsidRPr="00674669" w14:paraId="52EF7479" w14:textId="77777777" w:rsidTr="00C521FE">
        <w:trPr>
          <w:trHeight w:val="241"/>
        </w:trPr>
        <w:tc>
          <w:tcPr>
            <w:tcW w:w="340" w:type="pct"/>
            <w:hideMark/>
          </w:tcPr>
          <w:p w14:paraId="789078E4" w14:textId="77777777" w:rsidR="00AD26DB" w:rsidRPr="00674669" w:rsidRDefault="00AD26DB" w:rsidP="00C521FE">
            <w:pPr>
              <w:pStyle w:val="TableText0"/>
              <w:rPr>
                <w:szCs w:val="20"/>
              </w:rPr>
            </w:pPr>
            <w:r w:rsidRPr="00674669">
              <w:rPr>
                <w:szCs w:val="20"/>
              </w:rPr>
              <w:t>4</w:t>
            </w:r>
          </w:p>
        </w:tc>
        <w:tc>
          <w:tcPr>
            <w:tcW w:w="2687" w:type="pct"/>
            <w:hideMark/>
          </w:tcPr>
          <w:p w14:paraId="597AAF9F" w14:textId="77777777" w:rsidR="00AD26DB" w:rsidRPr="00674669" w:rsidRDefault="00AD26DB" w:rsidP="00C521FE">
            <w:pPr>
              <w:pStyle w:val="TableText0"/>
              <w:rPr>
                <w:szCs w:val="20"/>
              </w:rPr>
            </w:pPr>
            <w:r w:rsidRPr="00674669">
              <w:rPr>
                <w:szCs w:val="20"/>
              </w:rPr>
              <w:t>PS 3-4, irrespective of PD-L1 TPS</w:t>
            </w:r>
          </w:p>
        </w:tc>
        <w:tc>
          <w:tcPr>
            <w:tcW w:w="1973" w:type="pct"/>
            <w:hideMark/>
          </w:tcPr>
          <w:p w14:paraId="52B05D13" w14:textId="77777777" w:rsidR="00AD26DB" w:rsidRPr="00674669" w:rsidRDefault="00AD26DB" w:rsidP="00C521FE">
            <w:pPr>
              <w:pStyle w:val="TableText0"/>
              <w:rPr>
                <w:szCs w:val="20"/>
              </w:rPr>
            </w:pPr>
            <w:r w:rsidRPr="00674669">
              <w:rPr>
                <w:szCs w:val="20"/>
              </w:rPr>
              <w:t>Best supportive care</w:t>
            </w:r>
          </w:p>
        </w:tc>
      </w:tr>
    </w:tbl>
    <w:p w14:paraId="4754263D" w14:textId="77777777" w:rsidR="00AD26DB" w:rsidRPr="00674669" w:rsidRDefault="00AD26DB" w:rsidP="00AD26DB">
      <w:pPr>
        <w:pStyle w:val="FooterTableFigure"/>
      </w:pPr>
      <w:r w:rsidRPr="00674669">
        <w:t>Source: ESMO clinical practice guidelines for non-oncogene addicted metastatic non-small cell lung cancer</w:t>
      </w:r>
    </w:p>
    <w:p w14:paraId="024BDBAA" w14:textId="528F3E59" w:rsidR="00AD26DB" w:rsidRPr="00674669" w:rsidRDefault="00AD26DB" w:rsidP="00AD26DB">
      <w:pPr>
        <w:pStyle w:val="FooterTableFigure"/>
      </w:pPr>
      <w:r w:rsidRPr="00674669">
        <w:t xml:space="preserve">ICI = Immune-check point inhibitor; NSCLC = non-small cell lung cancer; PDC = platinum-doublet chemotherapy; </w:t>
      </w:r>
      <w:r w:rsidR="00691D54" w:rsidRPr="00674669">
        <w:t xml:space="preserve">PD-L1 = programmed cell death ligand 1; </w:t>
      </w:r>
      <w:r w:rsidRPr="00674669">
        <w:t>PS = performance status; TPS = tumor propensity score.</w:t>
      </w:r>
    </w:p>
    <w:p w14:paraId="54702C06" w14:textId="2EFD3548" w:rsidR="00AD26DB" w:rsidRPr="00674669" w:rsidRDefault="00280718" w:rsidP="00C521FE">
      <w:pPr>
        <w:pStyle w:val="3-BodyText"/>
      </w:pPr>
      <w:bookmarkStart w:id="17" w:name="_Ref142299712"/>
      <w:bookmarkStart w:id="18" w:name="_Hlk142408254"/>
      <w:r w:rsidRPr="00674669">
        <w:rPr>
          <w:iCs/>
        </w:rPr>
        <w:t>The ESC noted</w:t>
      </w:r>
      <w:r w:rsidRPr="00674669">
        <w:t xml:space="preserve"> t</w:t>
      </w:r>
      <w:r w:rsidR="00AD26DB" w:rsidRPr="00674669">
        <w:t>he clinical treatment algorithm in the current submission generally aligns with contemporary practice recommendations (ESMO 2023; NCCN 2023). Approximately 25-35% of Stage IV NSCLC patients without EGFR, ALK and ROS1 aberrations have a PD-L1 TPS ≥50%. Given that cemiplimab, as a monotherapy, is PBS listed for the treatment of patients with Stage IV NSCLC without EGFR, ALK and ROS1 aberrations and PD-L1 TPS ≥50</w:t>
      </w:r>
      <w:r w:rsidR="00541AAD" w:rsidRPr="00674669">
        <w:t xml:space="preserve">%, these </w:t>
      </w:r>
      <w:r w:rsidR="00AD26DB" w:rsidRPr="00674669">
        <w:t>patients could either be treated with cemiplimab monotherapy or cemiplimab+PDC combination, based on clinical discretion.</w:t>
      </w:r>
      <w:bookmarkEnd w:id="17"/>
    </w:p>
    <w:bookmarkEnd w:id="18"/>
    <w:p w14:paraId="6E55C8FB" w14:textId="2C3E18E1" w:rsidR="00AD26DB" w:rsidRPr="00674669" w:rsidRDefault="00AD26DB" w:rsidP="00AD26DB">
      <w:pPr>
        <w:pStyle w:val="3-BodyText"/>
      </w:pPr>
      <w:r w:rsidRPr="00674669">
        <w:lastRenderedPageBreak/>
        <w:t xml:space="preserve">Cemiplimab is a fully recombinant human immunoglobin G4 (IgG4) monoclonal antibody that targets the PD-1 receptor and </w:t>
      </w:r>
      <w:r w:rsidR="00541AAD" w:rsidRPr="00674669">
        <w:t xml:space="preserve">is </w:t>
      </w:r>
      <w:r w:rsidRPr="00674669">
        <w:t xml:space="preserve">part of the pharmacological class of PD-1 blocking antibodies. Cemiplimab blocks the interaction of PD-1 with its ligands PD-L1 and PD-L2 which potentiates T-cell responses, including anti-tumour responses. </w:t>
      </w:r>
    </w:p>
    <w:p w14:paraId="6C0C271D" w14:textId="77777777" w:rsidR="00AD26DB" w:rsidRPr="00674669" w:rsidRDefault="00AD26DB" w:rsidP="00AD26DB">
      <w:pPr>
        <w:pStyle w:val="2-SectionHeading"/>
      </w:pPr>
      <w:bookmarkStart w:id="19" w:name="_Toc142622565"/>
      <w:bookmarkStart w:id="20" w:name="_Toc145495062"/>
      <w:r w:rsidRPr="00674669">
        <w:t>Comparator</w:t>
      </w:r>
      <w:bookmarkEnd w:id="19"/>
      <w:bookmarkEnd w:id="20"/>
    </w:p>
    <w:p w14:paraId="29456CF6" w14:textId="4DEBB94F" w:rsidR="00AD26DB" w:rsidRPr="00674669" w:rsidRDefault="00AD26DB" w:rsidP="00AD26DB">
      <w:pPr>
        <w:pStyle w:val="3-BodyText"/>
        <w:rPr>
          <w:snapToGrid/>
        </w:rPr>
      </w:pPr>
      <w:r w:rsidRPr="00674669">
        <w:t>The submission nominated pembrolizumab in combination with chemotherapy (hereinafter referred to as pembrolizumab+PDC) as the main comparator. The main argument provided in support of this nomination w</w:t>
      </w:r>
      <w:r w:rsidR="0002719F" w:rsidRPr="00674669">
        <w:t>as</w:t>
      </w:r>
      <w:r w:rsidRPr="00674669">
        <w:t>:</w:t>
      </w:r>
    </w:p>
    <w:p w14:paraId="1713A661" w14:textId="3BB16329" w:rsidR="00AD26DB" w:rsidRPr="00674669" w:rsidRDefault="00AD26DB" w:rsidP="00AD26DB">
      <w:pPr>
        <w:pStyle w:val="ListParagraph"/>
      </w:pPr>
      <w:r w:rsidRPr="00674669">
        <w:t xml:space="preserve">Pembrolizumab is the only PBS listed treatment </w:t>
      </w:r>
      <w:r w:rsidR="00122E0C" w:rsidRPr="00674669">
        <w:t>that can be used</w:t>
      </w:r>
      <w:r w:rsidR="00655702" w:rsidRPr="00674669">
        <w:t xml:space="preserve"> in combination with PDC in pa</w:t>
      </w:r>
      <w:r w:rsidRPr="00674669">
        <w:t>tients with Stage IV NSCLC without EGFR, ALK or ROS1 aberrations, irrespective of histology or PD-L1 expression.</w:t>
      </w:r>
      <w:r w:rsidR="0050332D" w:rsidRPr="00674669">
        <w:t xml:space="preserve"> </w:t>
      </w:r>
      <w:r w:rsidR="0050332D" w:rsidRPr="00674669">
        <w:rPr>
          <w:iCs/>
        </w:rPr>
        <w:t>The</w:t>
      </w:r>
      <w:r w:rsidR="00280718" w:rsidRPr="00674669">
        <w:rPr>
          <w:iCs/>
        </w:rPr>
        <w:t xml:space="preserve"> ESC considered</w:t>
      </w:r>
      <w:r w:rsidR="00280718" w:rsidRPr="00674669">
        <w:t xml:space="preserve"> that the</w:t>
      </w:r>
      <w:r w:rsidR="0050332D" w:rsidRPr="00674669">
        <w:t xml:space="preserve"> submission’s nomination of pembrolizumab+PDC as </w:t>
      </w:r>
      <w:r w:rsidR="00EB3EC4" w:rsidRPr="00674669">
        <w:t xml:space="preserve">the main </w:t>
      </w:r>
      <w:r w:rsidR="0050332D" w:rsidRPr="00674669">
        <w:t>comparator was appropriate.</w:t>
      </w:r>
    </w:p>
    <w:p w14:paraId="7C827706" w14:textId="01B6A93A" w:rsidR="00AD26DB" w:rsidRPr="00674669" w:rsidRDefault="00AD26DB" w:rsidP="00AD26DB">
      <w:pPr>
        <w:pStyle w:val="3-BodyText"/>
      </w:pPr>
      <w:r w:rsidRPr="00674669">
        <w:t>However, two other combination treatments based on histology are currently listed on the PBS for Stage IV NSCLC without evidence of genetic aberrations and may be relevant alternative therapies. These include: atezolizumab</w:t>
      </w:r>
      <w:r w:rsidR="00F152CD" w:rsidRPr="00674669">
        <w:t>+</w:t>
      </w:r>
      <w:r w:rsidRPr="00674669">
        <w:t>bevacizumab</w:t>
      </w:r>
      <w:r w:rsidR="00F152CD" w:rsidRPr="00674669">
        <w:t>+</w:t>
      </w:r>
      <w:r w:rsidRPr="00674669">
        <w:t>PDC for non-squamous NSCLC and nivolumab</w:t>
      </w:r>
      <w:r w:rsidR="00F152CD" w:rsidRPr="00674669">
        <w:t>+</w:t>
      </w:r>
      <w:r w:rsidRPr="00674669">
        <w:t>ipilimumab</w:t>
      </w:r>
      <w:r w:rsidR="00F152CD" w:rsidRPr="00674669">
        <w:t>+</w:t>
      </w:r>
      <w:r w:rsidRPr="00674669">
        <w:t xml:space="preserve">PDC for squamous NSCLC. </w:t>
      </w:r>
      <w:r w:rsidR="00655702" w:rsidRPr="00674669">
        <w:t>S</w:t>
      </w:r>
      <w:r w:rsidRPr="00674669">
        <w:t>ome patients within the proposed population (</w:t>
      </w:r>
      <w:r w:rsidR="00FD7A27" w:rsidRPr="00674669">
        <w:t>i.e.,</w:t>
      </w:r>
      <w:r w:rsidRPr="00674669">
        <w:t xml:space="preserve"> PD-L1 TPS ≥50%) may be treated with pembrolizumab or cemiplimab monotherapy.</w:t>
      </w:r>
      <w:r w:rsidR="00655702" w:rsidRPr="00674669">
        <w:t xml:space="preserve"> </w:t>
      </w:r>
    </w:p>
    <w:p w14:paraId="341D1ACA" w14:textId="1B9FB375" w:rsidR="00AD26DB" w:rsidRPr="00674669" w:rsidRDefault="00AD26DB" w:rsidP="00AD26DB">
      <w:pPr>
        <w:pStyle w:val="3-BodyText"/>
        <w:rPr>
          <w:snapToGrid/>
          <w:color w:val="0066FF"/>
        </w:rPr>
      </w:pPr>
      <w:bookmarkStart w:id="21" w:name="_Ref107305379"/>
      <w:r w:rsidRPr="00674669">
        <w:t xml:space="preserve">In the context of the cost-minimisation approach taken by the submission, a further consideration for PBAC is that, under </w:t>
      </w:r>
      <w:r w:rsidRPr="00674669">
        <w:rPr>
          <w:i/>
          <w:iCs/>
        </w:rPr>
        <w:t>Section 101(3B) of the National Health Act 1953</w:t>
      </w:r>
      <w:r w:rsidRPr="00674669">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21"/>
      <w:r w:rsidRPr="00674669">
        <w:t xml:space="preserve"> </w:t>
      </w:r>
      <w:bookmarkStart w:id="22" w:name="_Toc144901807"/>
      <w:bookmarkEnd w:id="22"/>
    </w:p>
    <w:p w14:paraId="5B9989BA" w14:textId="5786CC64" w:rsidR="00AD26DB" w:rsidRPr="00674669" w:rsidRDefault="00AD26DB" w:rsidP="00AD26DB">
      <w:pPr>
        <w:pStyle w:val="3-BodyText"/>
        <w:rPr>
          <w:snapToGrid/>
          <w:color w:val="0066FF"/>
        </w:rPr>
      </w:pPr>
      <w:bookmarkStart w:id="23" w:name="_Ref150762571"/>
      <w:bookmarkStart w:id="24" w:name="_Ref107305381"/>
      <w:r w:rsidRPr="00674669">
        <w:rPr>
          <w:snapToGrid/>
        </w:rPr>
        <w:t xml:space="preserve">For the requested population, the following PBS-listed medicines may be considered alternative therapies because they could be replaced in practice: </w:t>
      </w:r>
      <w:bookmarkStart w:id="25" w:name="_Hlk142302054"/>
      <w:r w:rsidR="00981694" w:rsidRPr="00674669">
        <w:t>pembrolizumab+PDC</w:t>
      </w:r>
      <w:r w:rsidR="00981694" w:rsidRPr="00674669">
        <w:rPr>
          <w:snapToGrid/>
        </w:rPr>
        <w:t xml:space="preserve">, </w:t>
      </w:r>
      <w:r w:rsidRPr="00674669">
        <w:rPr>
          <w:snapToGrid/>
        </w:rPr>
        <w:t>atezolizumab</w:t>
      </w:r>
      <w:r w:rsidR="00F152CD" w:rsidRPr="00674669">
        <w:rPr>
          <w:snapToGrid/>
        </w:rPr>
        <w:t>+</w:t>
      </w:r>
      <w:r w:rsidRPr="00674669">
        <w:rPr>
          <w:snapToGrid/>
        </w:rPr>
        <w:t>bevacizumab+PDC</w:t>
      </w:r>
      <w:r w:rsidR="00EB3EC4" w:rsidRPr="00674669">
        <w:rPr>
          <w:snapToGrid/>
        </w:rPr>
        <w:t xml:space="preserve">, </w:t>
      </w:r>
      <w:r w:rsidRPr="00674669">
        <w:rPr>
          <w:snapToGrid/>
        </w:rPr>
        <w:t>nivolumab+ipilimumab+PDC</w:t>
      </w:r>
      <w:bookmarkEnd w:id="25"/>
      <w:r w:rsidR="00EB3EC4" w:rsidRPr="00674669">
        <w:rPr>
          <w:snapToGrid/>
        </w:rPr>
        <w:t>, pembrolizumab monotherapy and cemiplimab monotherapy</w:t>
      </w:r>
      <w:r w:rsidRPr="00674669">
        <w:rPr>
          <w:snapToGrid/>
        </w:rPr>
        <w:t>.</w:t>
      </w:r>
      <w:bookmarkEnd w:id="23"/>
      <w:r w:rsidRPr="00674669">
        <w:rPr>
          <w:snapToGrid/>
        </w:rPr>
        <w:t xml:space="preserve"> </w:t>
      </w:r>
      <w:bookmarkStart w:id="26" w:name="_Toc144901808"/>
      <w:bookmarkEnd w:id="24"/>
      <w:bookmarkEnd w:id="26"/>
    </w:p>
    <w:p w14:paraId="00426CEA" w14:textId="6606FB4D" w:rsidR="00EB3EC4" w:rsidRPr="00674669" w:rsidRDefault="00EB3EC4" w:rsidP="00AD26DB">
      <w:pPr>
        <w:pStyle w:val="3-BodyText"/>
        <w:rPr>
          <w:snapToGrid/>
          <w:color w:val="0066FF"/>
        </w:rPr>
      </w:pPr>
      <w:r w:rsidRPr="00674669">
        <w:rPr>
          <w:snapToGrid/>
        </w:rPr>
        <w:t xml:space="preserve">The PBAC </w:t>
      </w:r>
      <w:r w:rsidR="008A221A" w:rsidRPr="00674669">
        <w:rPr>
          <w:snapToGrid/>
        </w:rPr>
        <w:t xml:space="preserve">noted pembrolizumab+PDC and cemiplimab+PDC were intended for similar patient populations in terms of histology and PD-L1 expression, with the other treatments referred to in paragraph </w:t>
      </w:r>
      <w:r w:rsidR="008A221A" w:rsidRPr="00674669">
        <w:rPr>
          <w:snapToGrid/>
        </w:rPr>
        <w:fldChar w:fldCharType="begin" w:fldLock="1"/>
      </w:r>
      <w:r w:rsidR="008A221A" w:rsidRPr="00674669">
        <w:rPr>
          <w:snapToGrid/>
        </w:rPr>
        <w:instrText xml:space="preserve"> REF _Ref150762571 \r \h </w:instrText>
      </w:r>
      <w:r w:rsidR="008A221A" w:rsidRPr="00674669">
        <w:rPr>
          <w:snapToGrid/>
        </w:rPr>
      </w:r>
      <w:r w:rsidR="008A221A" w:rsidRPr="00674669">
        <w:rPr>
          <w:snapToGrid/>
        </w:rPr>
        <w:fldChar w:fldCharType="separate"/>
      </w:r>
      <w:r w:rsidR="008A221A" w:rsidRPr="00674669">
        <w:rPr>
          <w:snapToGrid/>
        </w:rPr>
        <w:t>5.4</w:t>
      </w:r>
      <w:r w:rsidR="008A221A" w:rsidRPr="00674669">
        <w:rPr>
          <w:snapToGrid/>
        </w:rPr>
        <w:fldChar w:fldCharType="end"/>
      </w:r>
      <w:r w:rsidR="008A221A" w:rsidRPr="00674669">
        <w:rPr>
          <w:snapToGrid/>
        </w:rPr>
        <w:t xml:space="preserve"> limited to subgroups of patients. </w:t>
      </w:r>
    </w:p>
    <w:p w14:paraId="0CD734A6" w14:textId="7809ABEA" w:rsidR="00F7273E" w:rsidRPr="00674669" w:rsidRDefault="00F7273E" w:rsidP="00F7273E">
      <w:pPr>
        <w:pStyle w:val="3-BodyText"/>
        <w:numPr>
          <w:ilvl w:val="0"/>
          <w:numId w:val="0"/>
        </w:numPr>
        <w:ind w:left="720"/>
        <w:rPr>
          <w:i/>
          <w:iCs/>
          <w:snapToGrid/>
        </w:rPr>
      </w:pPr>
      <w:r w:rsidRPr="00674669">
        <w:rPr>
          <w:i/>
          <w:iCs/>
          <w:snapToGrid/>
        </w:rPr>
        <w:t>For more detail on PBAC’s view, see section 7 PBAC outcome.</w:t>
      </w:r>
    </w:p>
    <w:p w14:paraId="2C459650" w14:textId="3D5A6E08" w:rsidR="00AD26DB" w:rsidRPr="00674669" w:rsidRDefault="00AD26DB" w:rsidP="00594865">
      <w:pPr>
        <w:pStyle w:val="2-SectionHeading"/>
      </w:pPr>
      <w:bookmarkStart w:id="27" w:name="_Toc142622566"/>
      <w:bookmarkStart w:id="28" w:name="_Toc145495063"/>
      <w:bookmarkStart w:id="29" w:name="_Toc22897640"/>
      <w:r w:rsidRPr="00674669">
        <w:lastRenderedPageBreak/>
        <w:t>Consideration of the evidence</w:t>
      </w:r>
      <w:bookmarkEnd w:id="27"/>
      <w:bookmarkEnd w:id="28"/>
    </w:p>
    <w:p w14:paraId="0A77860B" w14:textId="293EF27A" w:rsidR="00F7273E" w:rsidRPr="00674669" w:rsidRDefault="00F7273E" w:rsidP="00F7273E">
      <w:pPr>
        <w:pStyle w:val="4-SubsectionHeading"/>
      </w:pPr>
      <w:r w:rsidRPr="00674669">
        <w:t>Sponsor hearing</w:t>
      </w:r>
    </w:p>
    <w:p w14:paraId="6EE8F77A" w14:textId="0AFE4553" w:rsidR="00F7273E" w:rsidRPr="00674669" w:rsidRDefault="00F7273E" w:rsidP="00F7273E">
      <w:pPr>
        <w:pStyle w:val="3-BodyText"/>
      </w:pPr>
      <w:r w:rsidRPr="00674669">
        <w:rPr>
          <w:rFonts w:ascii="Calibri" w:hAnsi="Calibri" w:cs="Calibri"/>
          <w:bCs/>
        </w:rPr>
        <w:t>There was no hearing for this item</w:t>
      </w:r>
      <w:r w:rsidR="00E8057E" w:rsidRPr="00674669">
        <w:rPr>
          <w:rFonts w:ascii="Calibri" w:hAnsi="Calibri" w:cs="Calibri"/>
          <w:bCs/>
        </w:rPr>
        <w:t>.</w:t>
      </w:r>
    </w:p>
    <w:p w14:paraId="22E60B47" w14:textId="3C8425AD" w:rsidR="00F7273E" w:rsidRPr="00674669" w:rsidRDefault="00F7273E" w:rsidP="00F7273E">
      <w:pPr>
        <w:pStyle w:val="4-SubsectionHeading"/>
      </w:pPr>
      <w:r w:rsidRPr="00674669">
        <w:t>Consumer Comments</w:t>
      </w:r>
    </w:p>
    <w:p w14:paraId="42AD1F28" w14:textId="68923DF2" w:rsidR="00E34A93" w:rsidRPr="00674669" w:rsidRDefault="00DF01BE" w:rsidP="00E34A93">
      <w:pPr>
        <w:pStyle w:val="3-BodyText"/>
      </w:pPr>
      <w:r w:rsidRPr="00674669">
        <w:t xml:space="preserve">The PBAC noted and welcomed the input from </w:t>
      </w:r>
      <w:r w:rsidR="003B0AAF" w:rsidRPr="00674669">
        <w:t>Lung Foundation Australia</w:t>
      </w:r>
      <w:r w:rsidRPr="00674669">
        <w:t xml:space="preserve"> via the Consumer Comments facility on the PBS website. Lung Foundation Australia described the potential benefits of the listing of cemiplimab on the PBS including providing patients with </w:t>
      </w:r>
      <w:r w:rsidR="003B0AAF" w:rsidRPr="00674669">
        <w:t xml:space="preserve">an </w:t>
      </w:r>
      <w:r w:rsidRPr="00674669">
        <w:t xml:space="preserve">additional treatment </w:t>
      </w:r>
      <w:r w:rsidR="003B0AAF" w:rsidRPr="00674669">
        <w:t>choice</w:t>
      </w:r>
      <w:r w:rsidRPr="00674669">
        <w:t>.</w:t>
      </w:r>
    </w:p>
    <w:p w14:paraId="04A44A91" w14:textId="6F8DE919" w:rsidR="00AD26DB" w:rsidRPr="00674669" w:rsidRDefault="00AD26DB" w:rsidP="00AD26DB">
      <w:pPr>
        <w:pStyle w:val="4-SubsectionHeading"/>
      </w:pPr>
      <w:bookmarkStart w:id="30" w:name="_Toc142622567"/>
      <w:bookmarkStart w:id="31" w:name="_Toc145495064"/>
      <w:r w:rsidRPr="00674669">
        <w:t>Clinical trials</w:t>
      </w:r>
      <w:bookmarkEnd w:id="29"/>
      <w:bookmarkEnd w:id="30"/>
      <w:bookmarkEnd w:id="31"/>
    </w:p>
    <w:p w14:paraId="2DCD4570" w14:textId="77777777" w:rsidR="00AD26DB" w:rsidRPr="00674669" w:rsidRDefault="00AD26DB" w:rsidP="00AD26DB">
      <w:pPr>
        <w:pStyle w:val="3-BodyText"/>
      </w:pPr>
      <w:r w:rsidRPr="00674669">
        <w:t>In the absence of head-to-head trials, the submission presented an indirect treatment comparison (ITC), using the Bucher method, comparing one cemiplimab+PDC trial with a meta-analysis of two pembrolizumab+PDC trials, with placebo+PDC as the common reference. The submission was based on the following randomised trials.</w:t>
      </w:r>
    </w:p>
    <w:p w14:paraId="36EDAC56" w14:textId="4DE8DC80" w:rsidR="00AD26DB" w:rsidRPr="00674669" w:rsidRDefault="00AD26DB" w:rsidP="00AD26DB">
      <w:pPr>
        <w:pStyle w:val="ListParagraph"/>
      </w:pPr>
      <w:r w:rsidRPr="00674669">
        <w:t>Part 2 of Study 16113 (N=466) is an ongoing Phase III, multicentre, randomised, double-blinded, placebo-controlled trial of cemiplimab+PDC in adult patients with Stage III or Stage IV NSCLC without EGFR, ALK and ROS1 genomic mutations and who had not previously received systemic therapy for advanced NSCLC. Patients were randomised (2:1) based on histology (non-squamous and squamous) and PD-L1 expression (&lt;1%, 1% to 49%, ≥50%)</w:t>
      </w:r>
      <w:r w:rsidR="001356EA" w:rsidRPr="00674669">
        <w:t>.</w:t>
      </w:r>
    </w:p>
    <w:p w14:paraId="56F92021" w14:textId="2A01E177" w:rsidR="00AD26DB" w:rsidRPr="00674669" w:rsidRDefault="00AD26DB" w:rsidP="00AD26DB">
      <w:pPr>
        <w:pStyle w:val="ListParagraph"/>
      </w:pPr>
      <w:r w:rsidRPr="00674669">
        <w:t>KN-189 (N=616) is a completed Phase III, multicentre, randomised, double-blind, placebo-controlled trial of pembrolizumab+PDC in adult patients with Stage IV NSCLC with non-squamous histology without EGFR and ALK genomic mutations and who had not previously received systemic therapy for advanced NSCLC. Patients were randomised (2:1) based on PD-L1 expression (&lt;1% vs. ≥1%), PDC regimen (cisplatin vs. carboplatin), smoking status (never smoker vs. former/current smoker)</w:t>
      </w:r>
      <w:r w:rsidR="001356EA" w:rsidRPr="00674669">
        <w:t>.</w:t>
      </w:r>
      <w:r w:rsidRPr="00674669">
        <w:t xml:space="preserve"> </w:t>
      </w:r>
    </w:p>
    <w:p w14:paraId="2E52775E" w14:textId="52B5526A" w:rsidR="00AD26DB" w:rsidRPr="00674669" w:rsidRDefault="00AD26DB" w:rsidP="00AD26DB">
      <w:pPr>
        <w:pStyle w:val="ListParagraph"/>
      </w:pPr>
      <w:r w:rsidRPr="00674669">
        <w:t xml:space="preserve">KN-407 (N=559) is an ongoing Phase III, multicentre, randomised, double-blind, placebo-controlled trial </w:t>
      </w:r>
      <w:r w:rsidR="00D8578E" w:rsidRPr="00674669">
        <w:t>of pembrolizumab</w:t>
      </w:r>
      <w:r w:rsidRPr="00674669">
        <w:t>+PDC in adult patients with Stage IV NSCLC with squamous histology and who had not previously received systemic therapy for advanced NSCLC. Patients were randomised (1:1) based on PD-L1 expression (&lt;1% vs. ≥1%), PDC regimen (paclitaxel vs. nab-paclitaxel), and geographic region (East Asia vs. rest of the world).</w:t>
      </w:r>
    </w:p>
    <w:p w14:paraId="7BAE6D7C" w14:textId="6EFFFE38" w:rsidR="00AD26DB" w:rsidRPr="00674669" w:rsidRDefault="00AD26DB" w:rsidP="00AD26DB">
      <w:pPr>
        <w:pStyle w:val="3-BodyText"/>
      </w:pPr>
      <w:r w:rsidRPr="00674669">
        <w:rPr>
          <w:snapToGrid/>
        </w:rPr>
        <w:t xml:space="preserve">Details of the trials presented in the submission are provided in </w:t>
      </w:r>
      <w:r w:rsidRPr="00674669">
        <w:rPr>
          <w:snapToGrid/>
        </w:rPr>
        <w:fldChar w:fldCharType="begin" w:fldLock="1"/>
      </w:r>
      <w:r w:rsidRPr="00674669">
        <w:rPr>
          <w:snapToGrid/>
        </w:rPr>
        <w:instrText xml:space="preserve"> REF _Ref104803956 \h </w:instrText>
      </w:r>
      <w:r w:rsidRPr="00674669">
        <w:rPr>
          <w:snapToGrid/>
        </w:rPr>
      </w:r>
      <w:r w:rsidRPr="00674669">
        <w:rPr>
          <w:snapToGrid/>
        </w:rPr>
        <w:fldChar w:fldCharType="separate"/>
      </w:r>
      <w:r w:rsidR="0098134F" w:rsidRPr="00674669">
        <w:t>Table 3</w:t>
      </w:r>
      <w:r w:rsidRPr="00674669">
        <w:rPr>
          <w:snapToGrid/>
        </w:rPr>
        <w:fldChar w:fldCharType="end"/>
      </w:r>
      <w:r w:rsidRPr="00674669">
        <w:rPr>
          <w:snapToGrid/>
        </w:rPr>
        <w:t>.</w:t>
      </w:r>
    </w:p>
    <w:p w14:paraId="5EF29046" w14:textId="77777777" w:rsidR="00584077" w:rsidRPr="00674669" w:rsidRDefault="00584077">
      <w:pPr>
        <w:jc w:val="left"/>
        <w:rPr>
          <w:rFonts w:ascii="Arial Narrow" w:eastAsiaTheme="majorEastAsia" w:hAnsi="Arial Narrow" w:cstheme="majorBidi"/>
          <w:b/>
          <w:bCs/>
          <w:sz w:val="20"/>
        </w:rPr>
      </w:pPr>
      <w:bookmarkStart w:id="32" w:name="_Ref104803956"/>
      <w:r w:rsidRPr="00674669">
        <w:br w:type="page"/>
      </w:r>
    </w:p>
    <w:p w14:paraId="6DAB35F7" w14:textId="17EC4A7E" w:rsidR="00AD26DB" w:rsidRPr="00674669" w:rsidRDefault="00AD26DB" w:rsidP="00D06496">
      <w:pPr>
        <w:pStyle w:val="TableFigureHeading"/>
        <w:rPr>
          <w:rStyle w:val="CommentReference"/>
          <w:b/>
          <w:szCs w:val="24"/>
        </w:rPr>
      </w:pPr>
      <w:r w:rsidRPr="00674669">
        <w:lastRenderedPageBreak/>
        <w:t xml:space="preserve">Table </w:t>
      </w:r>
      <w:fldSimple w:instr=" SEQ Table \* ARABIC " w:fldLock="1">
        <w:r w:rsidR="006F44A4" w:rsidRPr="00674669">
          <w:t>3</w:t>
        </w:r>
      </w:fldSimple>
      <w:bookmarkEnd w:id="32"/>
      <w:r w:rsidRPr="00674669">
        <w:t>:</w:t>
      </w:r>
      <w:r w:rsidRPr="00674669">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811"/>
        <w:gridCol w:w="1935"/>
      </w:tblGrid>
      <w:tr w:rsidR="00AD26DB" w:rsidRPr="00674669" w14:paraId="10468267" w14:textId="77777777" w:rsidTr="001E648C">
        <w:trPr>
          <w:cantSplit/>
          <w:tblHeader/>
        </w:trPr>
        <w:tc>
          <w:tcPr>
            <w:tcW w:w="705" w:type="pct"/>
            <w:vAlign w:val="center"/>
          </w:tcPr>
          <w:p w14:paraId="5C4231C0" w14:textId="77777777" w:rsidR="00AD26DB" w:rsidRPr="00674669" w:rsidRDefault="00AD26DB" w:rsidP="00D06496">
            <w:pPr>
              <w:pStyle w:val="In-tableHeading"/>
              <w:jc w:val="center"/>
              <w:rPr>
                <w:lang w:val="en-AU"/>
              </w:rPr>
            </w:pPr>
            <w:r w:rsidRPr="00674669">
              <w:rPr>
                <w:lang w:val="en-AU"/>
              </w:rPr>
              <w:t>Trial ID</w:t>
            </w:r>
          </w:p>
        </w:tc>
        <w:tc>
          <w:tcPr>
            <w:tcW w:w="3222" w:type="pct"/>
            <w:vAlign w:val="center"/>
          </w:tcPr>
          <w:p w14:paraId="727B77AD" w14:textId="77777777" w:rsidR="00AD26DB" w:rsidRPr="00674669" w:rsidRDefault="00AD26DB" w:rsidP="00D06496">
            <w:pPr>
              <w:pStyle w:val="In-tableHeading"/>
              <w:rPr>
                <w:lang w:val="en-AU"/>
              </w:rPr>
            </w:pPr>
            <w:r w:rsidRPr="00674669">
              <w:rPr>
                <w:lang w:val="en-AU"/>
              </w:rPr>
              <w:t>Protocol title/ Publication title</w:t>
            </w:r>
          </w:p>
        </w:tc>
        <w:tc>
          <w:tcPr>
            <w:tcW w:w="1072" w:type="pct"/>
            <w:vAlign w:val="center"/>
          </w:tcPr>
          <w:p w14:paraId="05AB1B64" w14:textId="77777777" w:rsidR="00AD26DB" w:rsidRPr="00674669" w:rsidRDefault="00AD26DB" w:rsidP="00D06496">
            <w:pPr>
              <w:pStyle w:val="In-tableHeading"/>
              <w:rPr>
                <w:lang w:val="en-AU"/>
              </w:rPr>
            </w:pPr>
            <w:r w:rsidRPr="00674669">
              <w:rPr>
                <w:lang w:val="en-AU"/>
              </w:rPr>
              <w:t>Publication citation</w:t>
            </w:r>
          </w:p>
        </w:tc>
      </w:tr>
      <w:tr w:rsidR="00AD26DB" w:rsidRPr="00674669" w14:paraId="77B20D5D" w14:textId="77777777" w:rsidTr="00C521FE">
        <w:trPr>
          <w:cantSplit/>
        </w:trPr>
        <w:tc>
          <w:tcPr>
            <w:tcW w:w="5000" w:type="pct"/>
            <w:gridSpan w:val="3"/>
            <w:vAlign w:val="center"/>
          </w:tcPr>
          <w:p w14:paraId="7C05704C" w14:textId="77777777" w:rsidR="00AD26DB" w:rsidRPr="00674669" w:rsidRDefault="00AD26DB" w:rsidP="00D06496">
            <w:pPr>
              <w:pStyle w:val="TableText0"/>
              <w:rPr>
                <w:b/>
                <w:bCs w:val="0"/>
              </w:rPr>
            </w:pPr>
            <w:r w:rsidRPr="00674669">
              <w:rPr>
                <w:b/>
                <w:bCs w:val="0"/>
              </w:rPr>
              <w:t>C</w:t>
            </w:r>
            <w:r w:rsidRPr="00674669">
              <w:rPr>
                <w:b/>
              </w:rPr>
              <w:t>emiplimab+PDC trials</w:t>
            </w:r>
          </w:p>
        </w:tc>
      </w:tr>
      <w:tr w:rsidR="00AD26DB" w:rsidRPr="00674669" w14:paraId="72B7BA2F" w14:textId="77777777" w:rsidTr="001E648C">
        <w:trPr>
          <w:cantSplit/>
        </w:trPr>
        <w:tc>
          <w:tcPr>
            <w:tcW w:w="705" w:type="pct"/>
            <w:vMerge w:val="restart"/>
            <w:vAlign w:val="center"/>
          </w:tcPr>
          <w:p w14:paraId="04B7AF6F" w14:textId="77777777" w:rsidR="00AD26DB" w:rsidRPr="00674669" w:rsidRDefault="00AD26DB" w:rsidP="00D06496">
            <w:pPr>
              <w:pStyle w:val="TableText0"/>
              <w:rPr>
                <w:szCs w:val="20"/>
              </w:rPr>
            </w:pPr>
            <w:r w:rsidRPr="00674669">
              <w:rPr>
                <w:szCs w:val="20"/>
              </w:rPr>
              <w:t>Study 16113</w:t>
            </w:r>
          </w:p>
          <w:p w14:paraId="15D1F88A" w14:textId="77777777" w:rsidR="00AD26DB" w:rsidRPr="00674669" w:rsidRDefault="00AD26DB" w:rsidP="00D06496">
            <w:pPr>
              <w:pStyle w:val="TableText0"/>
              <w:rPr>
                <w:szCs w:val="20"/>
              </w:rPr>
            </w:pPr>
            <w:r w:rsidRPr="00674669">
              <w:rPr>
                <w:szCs w:val="20"/>
              </w:rPr>
              <w:t>(NCT03409614)</w:t>
            </w:r>
          </w:p>
        </w:tc>
        <w:tc>
          <w:tcPr>
            <w:tcW w:w="3222" w:type="pct"/>
            <w:tcBorders>
              <w:bottom w:val="nil"/>
            </w:tcBorders>
            <w:vAlign w:val="center"/>
          </w:tcPr>
          <w:p w14:paraId="333876FD" w14:textId="77777777" w:rsidR="00AD26DB" w:rsidRPr="00674669" w:rsidRDefault="00AD26DB" w:rsidP="00D06496">
            <w:pPr>
              <w:pStyle w:val="TableText0"/>
            </w:pPr>
            <w:r w:rsidRPr="00674669">
              <w:t xml:space="preserve">A two part randomised, Phase 3 study of combinations of cemiplimab (anti-PD-1 antibody) and platinum based doublet chemotherapy in first line treatment of patients with advanced or metastatic non-small cell lung cancer. </w:t>
            </w:r>
          </w:p>
        </w:tc>
        <w:tc>
          <w:tcPr>
            <w:tcW w:w="1072" w:type="pct"/>
            <w:tcBorders>
              <w:bottom w:val="nil"/>
            </w:tcBorders>
          </w:tcPr>
          <w:p w14:paraId="18398BDF" w14:textId="77777777" w:rsidR="00AD26DB" w:rsidRPr="00674669" w:rsidRDefault="00AD26DB" w:rsidP="00D06496">
            <w:pPr>
              <w:pStyle w:val="TableText0"/>
              <w:rPr>
                <w:rFonts w:ascii="Times" w:hAnsi="Times"/>
              </w:rPr>
            </w:pPr>
            <w:r w:rsidRPr="00674669">
              <w:t>June 2022</w:t>
            </w:r>
          </w:p>
        </w:tc>
      </w:tr>
      <w:tr w:rsidR="00AD26DB" w:rsidRPr="00674669" w14:paraId="27A1CCF7" w14:textId="77777777" w:rsidTr="001E648C">
        <w:trPr>
          <w:cantSplit/>
        </w:trPr>
        <w:tc>
          <w:tcPr>
            <w:tcW w:w="705" w:type="pct"/>
            <w:vMerge/>
            <w:vAlign w:val="center"/>
          </w:tcPr>
          <w:p w14:paraId="0D6E848E" w14:textId="77777777" w:rsidR="00AD26DB" w:rsidRPr="00674669" w:rsidRDefault="00AD26DB" w:rsidP="00D06496">
            <w:pPr>
              <w:pStyle w:val="TableText0"/>
              <w:jc w:val="center"/>
            </w:pPr>
          </w:p>
        </w:tc>
        <w:tc>
          <w:tcPr>
            <w:tcW w:w="3222" w:type="pct"/>
            <w:tcBorders>
              <w:top w:val="nil"/>
              <w:bottom w:val="nil"/>
            </w:tcBorders>
            <w:vAlign w:val="center"/>
          </w:tcPr>
          <w:p w14:paraId="63DFE937" w14:textId="77777777" w:rsidR="00AD26DB" w:rsidRPr="00674669" w:rsidRDefault="00AD26DB" w:rsidP="00D06496">
            <w:pPr>
              <w:pStyle w:val="TableText0"/>
            </w:pPr>
            <w:r w:rsidRPr="00674669">
              <w:t>Gogishvili M., et al. Cemiplimab plus chemotherapy versus chemotherapy alone in non-small cell lung cancer: a randomised, controlled, double-blind phase 3 trial.</w:t>
            </w:r>
          </w:p>
        </w:tc>
        <w:tc>
          <w:tcPr>
            <w:tcW w:w="1072" w:type="pct"/>
            <w:tcBorders>
              <w:top w:val="nil"/>
              <w:bottom w:val="nil"/>
            </w:tcBorders>
          </w:tcPr>
          <w:p w14:paraId="2002D493" w14:textId="77777777" w:rsidR="00AD26DB" w:rsidRPr="00674669" w:rsidRDefault="00AD26DB" w:rsidP="00D06496">
            <w:pPr>
              <w:pStyle w:val="TableText0"/>
            </w:pPr>
            <w:r w:rsidRPr="00674669">
              <w:rPr>
                <w:i/>
              </w:rPr>
              <w:t xml:space="preserve">Nature Medicine </w:t>
            </w:r>
            <w:r w:rsidRPr="00674669">
              <w:rPr>
                <w:iCs/>
              </w:rPr>
              <w:t>2022; 28(11):2374-2380.</w:t>
            </w:r>
          </w:p>
        </w:tc>
      </w:tr>
      <w:tr w:rsidR="00AD26DB" w:rsidRPr="00674669" w14:paraId="51EBD4C2" w14:textId="77777777" w:rsidTr="001E648C">
        <w:trPr>
          <w:cantSplit/>
        </w:trPr>
        <w:tc>
          <w:tcPr>
            <w:tcW w:w="705" w:type="pct"/>
            <w:vMerge/>
            <w:vAlign w:val="center"/>
          </w:tcPr>
          <w:p w14:paraId="0540F71A" w14:textId="77777777" w:rsidR="00AD26DB" w:rsidRPr="00674669" w:rsidRDefault="00AD26DB" w:rsidP="00D06496">
            <w:pPr>
              <w:pStyle w:val="TableText0"/>
              <w:jc w:val="center"/>
            </w:pPr>
          </w:p>
        </w:tc>
        <w:tc>
          <w:tcPr>
            <w:tcW w:w="3222" w:type="pct"/>
            <w:tcBorders>
              <w:top w:val="nil"/>
              <w:bottom w:val="nil"/>
            </w:tcBorders>
            <w:vAlign w:val="center"/>
          </w:tcPr>
          <w:p w14:paraId="28544BFB" w14:textId="77777777" w:rsidR="00AD26DB" w:rsidRPr="00674669" w:rsidRDefault="00AD26DB" w:rsidP="00D06496">
            <w:pPr>
              <w:pStyle w:val="TableText0"/>
            </w:pPr>
            <w:r w:rsidRPr="00674669">
              <w:t>Makharadze T., et al. Cemiplimab Plus Chemotherapy Versus Chemotherapy Alone in Advanced NSCLC: 2-Year Follow-Up From the Phase 3 EMPOWER-Lung 3 Part 2 Trial.</w:t>
            </w:r>
          </w:p>
        </w:tc>
        <w:tc>
          <w:tcPr>
            <w:tcW w:w="1072" w:type="pct"/>
            <w:tcBorders>
              <w:top w:val="nil"/>
              <w:bottom w:val="nil"/>
            </w:tcBorders>
          </w:tcPr>
          <w:p w14:paraId="44F3A41D" w14:textId="77777777" w:rsidR="00AD26DB" w:rsidRPr="00674669" w:rsidRDefault="00AD26DB" w:rsidP="00D06496">
            <w:pPr>
              <w:pStyle w:val="TableText0"/>
              <w:rPr>
                <w:i/>
              </w:rPr>
            </w:pPr>
            <w:r w:rsidRPr="00674669">
              <w:rPr>
                <w:i/>
              </w:rPr>
              <w:t xml:space="preserve">Journal of Thoracic Oncology </w:t>
            </w:r>
            <w:r w:rsidRPr="00674669">
              <w:rPr>
                <w:iCs/>
              </w:rPr>
              <w:t>2023; 18(6):755-768</w:t>
            </w:r>
          </w:p>
        </w:tc>
      </w:tr>
      <w:tr w:rsidR="00AD26DB" w:rsidRPr="00674669" w14:paraId="534369EB" w14:textId="77777777" w:rsidTr="001E648C">
        <w:trPr>
          <w:cantSplit/>
        </w:trPr>
        <w:tc>
          <w:tcPr>
            <w:tcW w:w="705" w:type="pct"/>
            <w:vMerge/>
            <w:tcBorders>
              <w:bottom w:val="nil"/>
            </w:tcBorders>
            <w:vAlign w:val="center"/>
          </w:tcPr>
          <w:p w14:paraId="5F4E09B7" w14:textId="77777777" w:rsidR="00AD26DB" w:rsidRPr="00674669" w:rsidRDefault="00AD26DB" w:rsidP="00D06496">
            <w:pPr>
              <w:pStyle w:val="TableText0"/>
              <w:jc w:val="center"/>
            </w:pPr>
          </w:p>
        </w:tc>
        <w:tc>
          <w:tcPr>
            <w:tcW w:w="3222" w:type="pct"/>
            <w:tcBorders>
              <w:top w:val="nil"/>
              <w:bottom w:val="nil"/>
            </w:tcBorders>
            <w:vAlign w:val="center"/>
          </w:tcPr>
          <w:p w14:paraId="4FD79941" w14:textId="77777777" w:rsidR="00AD26DB" w:rsidRPr="00674669" w:rsidRDefault="00AD26DB" w:rsidP="00D06496">
            <w:pPr>
              <w:pStyle w:val="TableText0"/>
            </w:pPr>
            <w:r w:rsidRPr="00674669">
              <w:t>Makharadze T., et al. Quality of life with cemiplimab plus chemotherapy for first-line treatment of advanced non-small cell lung cancer: Patient-reported outcomes from phase 3 EMPOWER-Lung 3.</w:t>
            </w:r>
          </w:p>
        </w:tc>
        <w:tc>
          <w:tcPr>
            <w:tcW w:w="1072" w:type="pct"/>
            <w:tcBorders>
              <w:top w:val="nil"/>
              <w:bottom w:val="nil"/>
            </w:tcBorders>
          </w:tcPr>
          <w:p w14:paraId="1D1F4269" w14:textId="77777777" w:rsidR="00AD26DB" w:rsidRPr="00674669" w:rsidRDefault="00AD26DB" w:rsidP="00D06496">
            <w:pPr>
              <w:pStyle w:val="TableText0"/>
              <w:rPr>
                <w:i/>
              </w:rPr>
            </w:pPr>
            <w:r w:rsidRPr="00674669">
              <w:rPr>
                <w:i/>
              </w:rPr>
              <w:t xml:space="preserve">Cancer </w:t>
            </w:r>
            <w:r w:rsidRPr="00674669">
              <w:rPr>
                <w:iCs/>
              </w:rPr>
              <w:t>2023; 129(14): 2256-2265.</w:t>
            </w:r>
          </w:p>
        </w:tc>
      </w:tr>
      <w:tr w:rsidR="00AD26DB" w:rsidRPr="00674669" w14:paraId="1C778547" w14:textId="77777777" w:rsidTr="00C521FE">
        <w:trPr>
          <w:cantSplit/>
        </w:trPr>
        <w:tc>
          <w:tcPr>
            <w:tcW w:w="5000" w:type="pct"/>
            <w:gridSpan w:val="3"/>
            <w:vAlign w:val="center"/>
          </w:tcPr>
          <w:p w14:paraId="5C4349EA" w14:textId="77777777" w:rsidR="00AD26DB" w:rsidRPr="00674669" w:rsidRDefault="00AD26DB" w:rsidP="00D06496">
            <w:pPr>
              <w:pStyle w:val="TableText0"/>
              <w:rPr>
                <w:b/>
                <w:bCs w:val="0"/>
              </w:rPr>
            </w:pPr>
            <w:r w:rsidRPr="00674669">
              <w:rPr>
                <w:b/>
                <w:bCs w:val="0"/>
              </w:rPr>
              <w:t>Pembrolizumab+PDC trials</w:t>
            </w:r>
          </w:p>
        </w:tc>
      </w:tr>
      <w:tr w:rsidR="00AD26DB" w:rsidRPr="00674669" w14:paraId="6ECE9C24" w14:textId="77777777" w:rsidTr="001E648C">
        <w:trPr>
          <w:cantSplit/>
        </w:trPr>
        <w:tc>
          <w:tcPr>
            <w:tcW w:w="705" w:type="pct"/>
            <w:vMerge w:val="restart"/>
            <w:vAlign w:val="center"/>
          </w:tcPr>
          <w:p w14:paraId="3040C485" w14:textId="77777777" w:rsidR="00AD26DB" w:rsidRPr="00674669" w:rsidRDefault="00AD26DB" w:rsidP="00D06496">
            <w:pPr>
              <w:pStyle w:val="TableText0"/>
            </w:pPr>
            <w:r w:rsidRPr="00674669">
              <w:t>KN-189</w:t>
            </w:r>
          </w:p>
          <w:p w14:paraId="3FBFDFFC" w14:textId="77777777" w:rsidR="00AD26DB" w:rsidRPr="00674669" w:rsidRDefault="00AD26DB" w:rsidP="00D06496">
            <w:pPr>
              <w:pStyle w:val="TableText0"/>
            </w:pPr>
            <w:r w:rsidRPr="00674669">
              <w:t>(NCT02578680)</w:t>
            </w:r>
          </w:p>
        </w:tc>
        <w:tc>
          <w:tcPr>
            <w:tcW w:w="3222" w:type="pct"/>
            <w:tcBorders>
              <w:bottom w:val="nil"/>
              <w:right w:val="single" w:sz="4" w:space="0" w:color="auto"/>
            </w:tcBorders>
            <w:vAlign w:val="center"/>
          </w:tcPr>
          <w:p w14:paraId="3F008CD4" w14:textId="0E50A022" w:rsidR="00AD26DB" w:rsidRPr="00674669" w:rsidRDefault="00AD26DB" w:rsidP="00D06496">
            <w:pPr>
              <w:pStyle w:val="TableText0"/>
              <w:rPr>
                <w:rFonts w:ascii="Times" w:hAnsi="Times"/>
              </w:rPr>
            </w:pPr>
            <w:r w:rsidRPr="00674669">
              <w:t>Study of pemetrexed</w:t>
            </w:r>
            <w:r w:rsidR="00F152CD" w:rsidRPr="00674669">
              <w:t>+</w:t>
            </w:r>
            <w:r w:rsidRPr="00674669">
              <w:t>platinum chemotherapy with or without pembrolizumab (MK-3475) in participants with first line metastatic non squamous non-small cell lung cancer (MK-3475-189/KEYNOTE 189).</w:t>
            </w:r>
          </w:p>
        </w:tc>
        <w:tc>
          <w:tcPr>
            <w:tcW w:w="1072" w:type="pct"/>
            <w:tcBorders>
              <w:left w:val="single" w:sz="4" w:space="0" w:color="auto"/>
              <w:bottom w:val="nil"/>
            </w:tcBorders>
          </w:tcPr>
          <w:p w14:paraId="13278965" w14:textId="77777777" w:rsidR="00AD26DB" w:rsidRPr="00674669" w:rsidRDefault="00AD26DB" w:rsidP="00D06496">
            <w:pPr>
              <w:pStyle w:val="TableText0"/>
            </w:pPr>
            <w:r w:rsidRPr="00674669">
              <w:t>March 2022</w:t>
            </w:r>
          </w:p>
        </w:tc>
      </w:tr>
      <w:tr w:rsidR="00AD26DB" w:rsidRPr="00674669" w14:paraId="7EC0A37D" w14:textId="77777777" w:rsidTr="001E648C">
        <w:trPr>
          <w:cantSplit/>
        </w:trPr>
        <w:tc>
          <w:tcPr>
            <w:tcW w:w="705" w:type="pct"/>
            <w:vMerge/>
            <w:vAlign w:val="center"/>
          </w:tcPr>
          <w:p w14:paraId="0748F09E" w14:textId="77777777" w:rsidR="00AD26DB" w:rsidRPr="00674669" w:rsidRDefault="00AD26DB" w:rsidP="00D06496">
            <w:pPr>
              <w:pStyle w:val="TableText0"/>
              <w:jc w:val="center"/>
            </w:pPr>
          </w:p>
        </w:tc>
        <w:tc>
          <w:tcPr>
            <w:tcW w:w="3222" w:type="pct"/>
            <w:tcBorders>
              <w:top w:val="nil"/>
              <w:bottom w:val="nil"/>
              <w:right w:val="single" w:sz="4" w:space="0" w:color="auto"/>
            </w:tcBorders>
            <w:vAlign w:val="center"/>
          </w:tcPr>
          <w:p w14:paraId="1443814B" w14:textId="77777777" w:rsidR="00AD26DB" w:rsidRPr="00674669" w:rsidRDefault="00AD26DB" w:rsidP="00D06496">
            <w:pPr>
              <w:pStyle w:val="TableText0"/>
            </w:pPr>
            <w:r w:rsidRPr="00674669">
              <w:t>Gandhi L., et al. Pembrolizumab plus chemotherapy in metastatic non-small cell lung cancer.</w:t>
            </w:r>
          </w:p>
        </w:tc>
        <w:tc>
          <w:tcPr>
            <w:tcW w:w="1072" w:type="pct"/>
            <w:tcBorders>
              <w:top w:val="nil"/>
              <w:left w:val="single" w:sz="4" w:space="0" w:color="auto"/>
              <w:bottom w:val="nil"/>
            </w:tcBorders>
          </w:tcPr>
          <w:p w14:paraId="7CC3CDF1" w14:textId="77777777" w:rsidR="00AD26DB" w:rsidRPr="00674669" w:rsidRDefault="00AD26DB" w:rsidP="00D06496">
            <w:pPr>
              <w:pStyle w:val="TableText0"/>
              <w:rPr>
                <w:i/>
              </w:rPr>
            </w:pPr>
            <w:r w:rsidRPr="00674669">
              <w:rPr>
                <w:i/>
                <w:iCs/>
              </w:rPr>
              <w:t>New England Journal of Medicine</w:t>
            </w:r>
            <w:r w:rsidRPr="00674669">
              <w:t xml:space="preserve"> 2018; 378(22): 2078-2092.</w:t>
            </w:r>
          </w:p>
        </w:tc>
      </w:tr>
      <w:tr w:rsidR="00AD26DB" w:rsidRPr="00674669" w14:paraId="4138C816" w14:textId="77777777" w:rsidTr="001E648C">
        <w:trPr>
          <w:cantSplit/>
        </w:trPr>
        <w:tc>
          <w:tcPr>
            <w:tcW w:w="705" w:type="pct"/>
            <w:vMerge/>
            <w:vAlign w:val="center"/>
          </w:tcPr>
          <w:p w14:paraId="3F4CE5E0" w14:textId="77777777" w:rsidR="00AD26DB" w:rsidRPr="00674669" w:rsidRDefault="00AD26DB" w:rsidP="00D06496">
            <w:pPr>
              <w:pStyle w:val="TableText0"/>
              <w:jc w:val="center"/>
            </w:pPr>
          </w:p>
        </w:tc>
        <w:tc>
          <w:tcPr>
            <w:tcW w:w="3222" w:type="pct"/>
            <w:tcBorders>
              <w:top w:val="nil"/>
              <w:bottom w:val="nil"/>
              <w:right w:val="single" w:sz="4" w:space="0" w:color="auto"/>
            </w:tcBorders>
            <w:vAlign w:val="center"/>
          </w:tcPr>
          <w:p w14:paraId="041B98C5" w14:textId="77777777" w:rsidR="00AD26DB" w:rsidRPr="00674669" w:rsidRDefault="00AD26DB" w:rsidP="00D06496">
            <w:pPr>
              <w:pStyle w:val="TableText0"/>
            </w:pPr>
            <w:r w:rsidRPr="00674669">
              <w:t>Gadgeel S., et al. Updated analysis from KEYNOTE-189: pembrolizumab or placebo plus pemetrexed and platinum for previously untreated metastatic non squamous non-small cell lung cancer.</w:t>
            </w:r>
          </w:p>
        </w:tc>
        <w:tc>
          <w:tcPr>
            <w:tcW w:w="1072" w:type="pct"/>
            <w:tcBorders>
              <w:top w:val="nil"/>
              <w:left w:val="single" w:sz="4" w:space="0" w:color="auto"/>
              <w:bottom w:val="nil"/>
            </w:tcBorders>
          </w:tcPr>
          <w:p w14:paraId="31C0819A" w14:textId="77777777" w:rsidR="00AD26DB" w:rsidRPr="00674669" w:rsidRDefault="00AD26DB" w:rsidP="00D06496">
            <w:pPr>
              <w:pStyle w:val="TableText0"/>
              <w:rPr>
                <w:rFonts w:ascii="Times" w:hAnsi="Times"/>
              </w:rPr>
            </w:pPr>
            <w:r w:rsidRPr="00674669">
              <w:rPr>
                <w:i/>
                <w:iCs/>
              </w:rPr>
              <w:t>Journal of Clinical Oncology</w:t>
            </w:r>
            <w:r w:rsidRPr="00674669">
              <w:t xml:space="preserve"> 2020; 38(14):1505-1517.</w:t>
            </w:r>
          </w:p>
        </w:tc>
      </w:tr>
      <w:tr w:rsidR="00AD26DB" w:rsidRPr="00674669" w14:paraId="604A7283" w14:textId="77777777" w:rsidTr="001E648C">
        <w:trPr>
          <w:cantSplit/>
        </w:trPr>
        <w:tc>
          <w:tcPr>
            <w:tcW w:w="705" w:type="pct"/>
            <w:vMerge/>
            <w:vAlign w:val="center"/>
          </w:tcPr>
          <w:p w14:paraId="3A60D759" w14:textId="77777777" w:rsidR="00AD26DB" w:rsidRPr="00674669" w:rsidRDefault="00AD26DB" w:rsidP="00D06496">
            <w:pPr>
              <w:pStyle w:val="TableText0"/>
              <w:jc w:val="center"/>
            </w:pPr>
          </w:p>
        </w:tc>
        <w:tc>
          <w:tcPr>
            <w:tcW w:w="3222" w:type="pct"/>
            <w:tcBorders>
              <w:top w:val="nil"/>
              <w:bottom w:val="nil"/>
              <w:right w:val="single" w:sz="4" w:space="0" w:color="auto"/>
            </w:tcBorders>
            <w:vAlign w:val="center"/>
          </w:tcPr>
          <w:p w14:paraId="303245A1" w14:textId="77777777" w:rsidR="00AD26DB" w:rsidRPr="00674669" w:rsidRDefault="00AD26DB" w:rsidP="00D06496">
            <w:pPr>
              <w:pStyle w:val="TableText0"/>
            </w:pPr>
            <w:r w:rsidRPr="00674669">
              <w:t>Garassino MC., et al. Patient</w:t>
            </w:r>
            <w:r w:rsidRPr="00674669">
              <w:noBreakHyphen/>
              <w:t>reported outcomes following pembrolizumab or placebo plus pemetrexed and platinum in patients with previously untreated, metastatic, non</w:t>
            </w:r>
            <w:r w:rsidRPr="00674669">
              <w:noBreakHyphen/>
              <w:t>squamous non</w:t>
            </w:r>
            <w:r w:rsidRPr="00674669">
              <w:noBreakHyphen/>
              <w:t>small</w:t>
            </w:r>
            <w:r w:rsidRPr="00674669">
              <w:noBreakHyphen/>
              <w:t>cell lung cancer (KEYNOTE</w:t>
            </w:r>
            <w:r w:rsidRPr="00674669">
              <w:noBreakHyphen/>
              <w:t>189): a multicentre, double</w:t>
            </w:r>
            <w:r w:rsidRPr="00674669">
              <w:noBreakHyphen/>
              <w:t>blind, randomised, placebo</w:t>
            </w:r>
            <w:r w:rsidRPr="00674669">
              <w:noBreakHyphen/>
              <w:t>controlled, Phase 3 trial.</w:t>
            </w:r>
          </w:p>
        </w:tc>
        <w:tc>
          <w:tcPr>
            <w:tcW w:w="1072" w:type="pct"/>
            <w:tcBorders>
              <w:top w:val="nil"/>
              <w:left w:val="single" w:sz="4" w:space="0" w:color="auto"/>
              <w:bottom w:val="nil"/>
            </w:tcBorders>
          </w:tcPr>
          <w:p w14:paraId="13A5F23B" w14:textId="77777777" w:rsidR="00AD26DB" w:rsidRPr="00674669" w:rsidRDefault="00AD26DB" w:rsidP="00D06496">
            <w:pPr>
              <w:pStyle w:val="TableText0"/>
              <w:rPr>
                <w:i/>
              </w:rPr>
            </w:pPr>
            <w:r w:rsidRPr="00674669">
              <w:rPr>
                <w:i/>
                <w:iCs/>
              </w:rPr>
              <w:t>Lancet Oncology</w:t>
            </w:r>
            <w:r w:rsidRPr="00674669">
              <w:t xml:space="preserve"> 2020; 21(3):387-397. </w:t>
            </w:r>
          </w:p>
        </w:tc>
      </w:tr>
      <w:tr w:rsidR="00AD26DB" w:rsidRPr="00674669" w14:paraId="47AC941D" w14:textId="77777777" w:rsidTr="001E648C">
        <w:trPr>
          <w:cantSplit/>
        </w:trPr>
        <w:tc>
          <w:tcPr>
            <w:tcW w:w="705" w:type="pct"/>
            <w:vMerge/>
            <w:vAlign w:val="center"/>
          </w:tcPr>
          <w:p w14:paraId="2317E475" w14:textId="77777777" w:rsidR="00AD26DB" w:rsidRPr="00674669" w:rsidRDefault="00AD26DB" w:rsidP="00D06496">
            <w:pPr>
              <w:pStyle w:val="TableText0"/>
              <w:jc w:val="center"/>
            </w:pPr>
          </w:p>
        </w:tc>
        <w:tc>
          <w:tcPr>
            <w:tcW w:w="3222" w:type="pct"/>
            <w:tcBorders>
              <w:top w:val="nil"/>
              <w:bottom w:val="nil"/>
              <w:right w:val="single" w:sz="4" w:space="0" w:color="auto"/>
            </w:tcBorders>
            <w:vAlign w:val="center"/>
          </w:tcPr>
          <w:p w14:paraId="66A42050" w14:textId="77777777" w:rsidR="00AD26DB" w:rsidRPr="00674669" w:rsidRDefault="00AD26DB" w:rsidP="00D06496">
            <w:pPr>
              <w:pStyle w:val="TableText0"/>
            </w:pPr>
            <w:r w:rsidRPr="00674669">
              <w:t>Rodriguez-Abreu, et al. Pemetrexed plus platinum with or without pembrolizumab in patients with previously untreated metastatic non</w:t>
            </w:r>
            <w:r w:rsidRPr="00674669">
              <w:noBreakHyphen/>
              <w:t>squamous NSCLC: protocol</w:t>
            </w:r>
            <w:r w:rsidRPr="00674669">
              <w:noBreakHyphen/>
              <w:t>specified final analysis from KEYNOTE</w:t>
            </w:r>
            <w:r w:rsidRPr="00674669">
              <w:noBreakHyphen/>
              <w:t>189.</w:t>
            </w:r>
          </w:p>
        </w:tc>
        <w:tc>
          <w:tcPr>
            <w:tcW w:w="1072" w:type="pct"/>
            <w:tcBorders>
              <w:top w:val="nil"/>
              <w:left w:val="single" w:sz="4" w:space="0" w:color="auto"/>
              <w:bottom w:val="nil"/>
            </w:tcBorders>
          </w:tcPr>
          <w:p w14:paraId="417885AA" w14:textId="77777777" w:rsidR="00AD26DB" w:rsidRPr="00674669" w:rsidRDefault="00AD26DB" w:rsidP="00D06496">
            <w:pPr>
              <w:pStyle w:val="TableText0"/>
              <w:rPr>
                <w:i/>
              </w:rPr>
            </w:pPr>
            <w:r w:rsidRPr="00674669">
              <w:rPr>
                <w:i/>
                <w:iCs/>
              </w:rPr>
              <w:t>Annals of Oncology</w:t>
            </w:r>
            <w:r w:rsidRPr="00674669">
              <w:t xml:space="preserve"> 2021; 32(7):881-895.</w:t>
            </w:r>
          </w:p>
        </w:tc>
      </w:tr>
      <w:tr w:rsidR="00AD26DB" w:rsidRPr="00674669" w14:paraId="1FE7296E" w14:textId="77777777" w:rsidTr="001E648C">
        <w:trPr>
          <w:cantSplit/>
        </w:trPr>
        <w:tc>
          <w:tcPr>
            <w:tcW w:w="705" w:type="pct"/>
            <w:vMerge/>
            <w:tcBorders>
              <w:bottom w:val="nil"/>
            </w:tcBorders>
            <w:vAlign w:val="center"/>
          </w:tcPr>
          <w:p w14:paraId="42BAEFB5" w14:textId="77777777" w:rsidR="00AD26DB" w:rsidRPr="00674669" w:rsidRDefault="00AD26DB" w:rsidP="00D06496">
            <w:pPr>
              <w:pStyle w:val="TableText0"/>
              <w:jc w:val="center"/>
            </w:pPr>
          </w:p>
        </w:tc>
        <w:tc>
          <w:tcPr>
            <w:tcW w:w="3222" w:type="pct"/>
            <w:tcBorders>
              <w:top w:val="nil"/>
              <w:bottom w:val="single" w:sz="4" w:space="0" w:color="auto"/>
              <w:right w:val="single" w:sz="4" w:space="0" w:color="auto"/>
            </w:tcBorders>
            <w:vAlign w:val="center"/>
          </w:tcPr>
          <w:p w14:paraId="188ABE0F" w14:textId="77777777" w:rsidR="00AD26DB" w:rsidRPr="00674669" w:rsidRDefault="00AD26DB" w:rsidP="00D06496">
            <w:pPr>
              <w:pStyle w:val="TableText0"/>
            </w:pPr>
            <w:r w:rsidRPr="00674669">
              <w:rPr>
                <w:bCs w:val="0"/>
              </w:rPr>
              <w:t>Garassino MC., et al. Pembrolizumab plus pemetrexed and platinum in non-squamous non-small cell lung cancer: 5-year outcomes from the Phase 3 KEYNOTE-189 study.</w:t>
            </w:r>
          </w:p>
        </w:tc>
        <w:tc>
          <w:tcPr>
            <w:tcW w:w="1072" w:type="pct"/>
            <w:tcBorders>
              <w:top w:val="nil"/>
              <w:left w:val="single" w:sz="4" w:space="0" w:color="auto"/>
              <w:bottom w:val="single" w:sz="4" w:space="0" w:color="auto"/>
            </w:tcBorders>
          </w:tcPr>
          <w:p w14:paraId="1DAA0DFB" w14:textId="77777777" w:rsidR="00AD26DB" w:rsidRPr="00674669" w:rsidRDefault="00AD26DB" w:rsidP="00D06496">
            <w:pPr>
              <w:pStyle w:val="TableText0"/>
              <w:rPr>
                <w:i/>
              </w:rPr>
            </w:pPr>
            <w:r w:rsidRPr="00674669">
              <w:rPr>
                <w:i/>
                <w:iCs/>
              </w:rPr>
              <w:t>Journal of Clinical Oncology</w:t>
            </w:r>
            <w:r w:rsidRPr="00674669">
              <w:t xml:space="preserve"> 2023; 41(11):1992-1998.</w:t>
            </w:r>
          </w:p>
        </w:tc>
      </w:tr>
      <w:tr w:rsidR="00AD26DB" w:rsidRPr="00674669" w14:paraId="78074B16" w14:textId="77777777" w:rsidTr="001E648C">
        <w:trPr>
          <w:cantSplit/>
        </w:trPr>
        <w:tc>
          <w:tcPr>
            <w:tcW w:w="705" w:type="pct"/>
            <w:vMerge w:val="restart"/>
            <w:vAlign w:val="center"/>
          </w:tcPr>
          <w:p w14:paraId="022D333C" w14:textId="77777777" w:rsidR="00AD26DB" w:rsidRPr="00674669" w:rsidRDefault="00AD26DB" w:rsidP="00D06496">
            <w:pPr>
              <w:pStyle w:val="TableText0"/>
            </w:pPr>
            <w:r w:rsidRPr="00674669">
              <w:t>KN-407</w:t>
            </w:r>
          </w:p>
          <w:p w14:paraId="1B134936" w14:textId="77777777" w:rsidR="00AD26DB" w:rsidRPr="00674669" w:rsidRDefault="00AD26DB" w:rsidP="00D06496">
            <w:pPr>
              <w:pStyle w:val="TableText0"/>
            </w:pPr>
            <w:r w:rsidRPr="00674669">
              <w:t>(NCT02775435)</w:t>
            </w:r>
          </w:p>
        </w:tc>
        <w:tc>
          <w:tcPr>
            <w:tcW w:w="3222" w:type="pct"/>
            <w:tcBorders>
              <w:top w:val="single" w:sz="4" w:space="0" w:color="auto"/>
              <w:bottom w:val="nil"/>
            </w:tcBorders>
            <w:vAlign w:val="center"/>
          </w:tcPr>
          <w:p w14:paraId="4DEC49E0" w14:textId="77777777" w:rsidR="00AD26DB" w:rsidRPr="00674669" w:rsidRDefault="00AD26DB" w:rsidP="00D06496">
            <w:pPr>
              <w:pStyle w:val="TableText0"/>
              <w:rPr>
                <w:rFonts w:ascii="Times" w:hAnsi="Times"/>
              </w:rPr>
            </w:pPr>
            <w:r w:rsidRPr="00674669">
              <w:t>A study of carboplatin paclitaxel/nab-paclitaxel chemotherapy with or without pembrolizumab (MK-3475) in adults with first line metastatic squamous non-small cell lung cancer (MK-3475-407/KEYNOTE 407)</w:t>
            </w:r>
          </w:p>
        </w:tc>
        <w:tc>
          <w:tcPr>
            <w:tcW w:w="1072" w:type="pct"/>
            <w:tcBorders>
              <w:top w:val="single" w:sz="4" w:space="0" w:color="auto"/>
              <w:bottom w:val="nil"/>
            </w:tcBorders>
            <w:vAlign w:val="center"/>
          </w:tcPr>
          <w:p w14:paraId="7CDAFC20" w14:textId="77777777" w:rsidR="00AD26DB" w:rsidRPr="00674669" w:rsidRDefault="00AD26DB" w:rsidP="00D06496">
            <w:pPr>
              <w:pStyle w:val="TableText0"/>
              <w:rPr>
                <w:rFonts w:ascii="Times" w:hAnsi="Times"/>
              </w:rPr>
            </w:pPr>
            <w:r w:rsidRPr="00674669">
              <w:t>February 2022</w:t>
            </w:r>
          </w:p>
        </w:tc>
      </w:tr>
      <w:tr w:rsidR="00AD26DB" w:rsidRPr="00674669" w14:paraId="61ED0423" w14:textId="77777777" w:rsidTr="001E648C">
        <w:trPr>
          <w:cantSplit/>
        </w:trPr>
        <w:tc>
          <w:tcPr>
            <w:tcW w:w="705" w:type="pct"/>
            <w:vMerge/>
            <w:vAlign w:val="center"/>
          </w:tcPr>
          <w:p w14:paraId="4AD887BF" w14:textId="77777777" w:rsidR="00AD26DB" w:rsidRPr="00674669" w:rsidRDefault="00AD26DB" w:rsidP="00D06496">
            <w:pPr>
              <w:pStyle w:val="Tabletext"/>
              <w:keepNext/>
              <w:keepLines/>
            </w:pPr>
          </w:p>
        </w:tc>
        <w:tc>
          <w:tcPr>
            <w:tcW w:w="3222" w:type="pct"/>
            <w:tcBorders>
              <w:top w:val="nil"/>
              <w:bottom w:val="nil"/>
            </w:tcBorders>
            <w:vAlign w:val="center"/>
          </w:tcPr>
          <w:p w14:paraId="6FDC94DB" w14:textId="77777777" w:rsidR="00AD26DB" w:rsidRPr="00674669" w:rsidRDefault="00AD26DB" w:rsidP="00D06496">
            <w:pPr>
              <w:pStyle w:val="TableText0"/>
            </w:pPr>
            <w:r w:rsidRPr="00674669">
              <w:t>Paz Ares L., et al. Pembrolizumab plus chemotherapy for squamous non-small cell lung cancer.</w:t>
            </w:r>
          </w:p>
        </w:tc>
        <w:tc>
          <w:tcPr>
            <w:tcW w:w="1072" w:type="pct"/>
            <w:tcBorders>
              <w:top w:val="nil"/>
              <w:bottom w:val="nil"/>
            </w:tcBorders>
          </w:tcPr>
          <w:p w14:paraId="7C479A07" w14:textId="77777777" w:rsidR="00AD26DB" w:rsidRPr="00674669" w:rsidRDefault="00AD26DB" w:rsidP="00D06496">
            <w:pPr>
              <w:pStyle w:val="TableText0"/>
            </w:pPr>
            <w:r w:rsidRPr="00674669">
              <w:rPr>
                <w:i/>
                <w:iCs/>
              </w:rPr>
              <w:t>New England Journal of Medicine</w:t>
            </w:r>
            <w:r w:rsidRPr="00674669">
              <w:t xml:space="preserve"> 2018; 379(21):2040-2051. </w:t>
            </w:r>
          </w:p>
        </w:tc>
      </w:tr>
      <w:tr w:rsidR="00AD26DB" w:rsidRPr="00674669" w14:paraId="6D380467" w14:textId="77777777" w:rsidTr="001E648C">
        <w:trPr>
          <w:cantSplit/>
        </w:trPr>
        <w:tc>
          <w:tcPr>
            <w:tcW w:w="705" w:type="pct"/>
            <w:vMerge/>
            <w:vAlign w:val="center"/>
          </w:tcPr>
          <w:p w14:paraId="5CC4ADD2" w14:textId="77777777" w:rsidR="00AD26DB" w:rsidRPr="00674669" w:rsidRDefault="00AD26DB" w:rsidP="00D06496">
            <w:pPr>
              <w:pStyle w:val="Tabletext"/>
              <w:keepNext/>
              <w:keepLines/>
            </w:pPr>
          </w:p>
        </w:tc>
        <w:tc>
          <w:tcPr>
            <w:tcW w:w="3222" w:type="pct"/>
            <w:tcBorders>
              <w:top w:val="nil"/>
              <w:bottom w:val="nil"/>
            </w:tcBorders>
            <w:vAlign w:val="center"/>
          </w:tcPr>
          <w:p w14:paraId="004D3BD7" w14:textId="77777777" w:rsidR="00AD26DB" w:rsidRPr="00674669" w:rsidRDefault="00AD26DB" w:rsidP="00D06496">
            <w:pPr>
              <w:pStyle w:val="TableText0"/>
            </w:pPr>
            <w:r w:rsidRPr="00674669">
              <w:t xml:space="preserve">Mazieres J., et al. 2019. Health Related quality of life with carboplatin paclitaxel or nab paclitaxel with or without pembrolizumab in patients with metastatic squamous non-small cell lung cancer. </w:t>
            </w:r>
          </w:p>
        </w:tc>
        <w:tc>
          <w:tcPr>
            <w:tcW w:w="1072" w:type="pct"/>
            <w:tcBorders>
              <w:top w:val="nil"/>
              <w:bottom w:val="nil"/>
            </w:tcBorders>
          </w:tcPr>
          <w:p w14:paraId="2DFD65D2" w14:textId="77777777" w:rsidR="00AD26DB" w:rsidRPr="00674669" w:rsidRDefault="00AD26DB" w:rsidP="00D06496">
            <w:pPr>
              <w:pStyle w:val="TableText0"/>
              <w:rPr>
                <w:i/>
              </w:rPr>
            </w:pPr>
            <w:r w:rsidRPr="00674669">
              <w:rPr>
                <w:i/>
                <w:iCs/>
              </w:rPr>
              <w:t>Journal of Clinical Oncology</w:t>
            </w:r>
            <w:r w:rsidRPr="00674669">
              <w:t xml:space="preserve"> 2020; 38(3):271-280. </w:t>
            </w:r>
          </w:p>
        </w:tc>
      </w:tr>
      <w:tr w:rsidR="00AD26DB" w:rsidRPr="00674669" w14:paraId="392201BC" w14:textId="77777777" w:rsidTr="001E648C">
        <w:trPr>
          <w:cantSplit/>
        </w:trPr>
        <w:tc>
          <w:tcPr>
            <w:tcW w:w="705" w:type="pct"/>
            <w:vMerge/>
            <w:vAlign w:val="center"/>
          </w:tcPr>
          <w:p w14:paraId="190DC6DA" w14:textId="77777777" w:rsidR="00AD26DB" w:rsidRPr="00674669" w:rsidRDefault="00AD26DB" w:rsidP="00D06496">
            <w:pPr>
              <w:pStyle w:val="Tabletext"/>
              <w:keepNext/>
              <w:keepLines/>
            </w:pPr>
          </w:p>
        </w:tc>
        <w:tc>
          <w:tcPr>
            <w:tcW w:w="3222" w:type="pct"/>
            <w:tcBorders>
              <w:top w:val="nil"/>
              <w:bottom w:val="nil"/>
            </w:tcBorders>
            <w:vAlign w:val="center"/>
          </w:tcPr>
          <w:p w14:paraId="40924E2B" w14:textId="11C867BA" w:rsidR="00AD26DB" w:rsidRPr="00674669" w:rsidRDefault="00AD26DB" w:rsidP="00D06496">
            <w:pPr>
              <w:pStyle w:val="TableText0"/>
            </w:pPr>
            <w:r w:rsidRPr="00674669">
              <w:t xml:space="preserve">Paz Ares L., et al. 2020. A randomized, </w:t>
            </w:r>
            <w:r w:rsidR="00622146" w:rsidRPr="00674669">
              <w:t>placebo-controlled</w:t>
            </w:r>
            <w:r w:rsidRPr="00674669">
              <w:t xml:space="preserve"> trial of pembrolizumab plus chemotherapy in patients with metastatic squamous NSCLC: protocol specified final analysis of KEYNOTE 407.</w:t>
            </w:r>
          </w:p>
        </w:tc>
        <w:tc>
          <w:tcPr>
            <w:tcW w:w="1072" w:type="pct"/>
            <w:tcBorders>
              <w:top w:val="nil"/>
              <w:bottom w:val="nil"/>
            </w:tcBorders>
          </w:tcPr>
          <w:p w14:paraId="47CDB192" w14:textId="77777777" w:rsidR="00AD26DB" w:rsidRPr="00674669" w:rsidRDefault="00AD26DB" w:rsidP="00D06496">
            <w:pPr>
              <w:pStyle w:val="TableText0"/>
              <w:rPr>
                <w:i/>
              </w:rPr>
            </w:pPr>
            <w:r w:rsidRPr="00674669">
              <w:rPr>
                <w:i/>
                <w:iCs/>
              </w:rPr>
              <w:t>Journal of Thoracic Oncology</w:t>
            </w:r>
            <w:r w:rsidRPr="00674669">
              <w:t xml:space="preserve"> 2020; 15(10):1657-1669. </w:t>
            </w:r>
          </w:p>
        </w:tc>
      </w:tr>
      <w:tr w:rsidR="00AD26DB" w:rsidRPr="00674669" w14:paraId="5B634821" w14:textId="77777777" w:rsidTr="001E648C">
        <w:trPr>
          <w:cantSplit/>
        </w:trPr>
        <w:tc>
          <w:tcPr>
            <w:tcW w:w="705" w:type="pct"/>
            <w:vMerge/>
            <w:tcBorders>
              <w:bottom w:val="single" w:sz="4" w:space="0" w:color="auto"/>
            </w:tcBorders>
            <w:vAlign w:val="center"/>
          </w:tcPr>
          <w:p w14:paraId="68A95F03" w14:textId="77777777" w:rsidR="00AD26DB" w:rsidRPr="00674669" w:rsidRDefault="00AD26DB" w:rsidP="00D06496">
            <w:pPr>
              <w:pStyle w:val="Tabletext"/>
              <w:keepNext/>
              <w:keepLines/>
            </w:pPr>
          </w:p>
        </w:tc>
        <w:tc>
          <w:tcPr>
            <w:tcW w:w="3222" w:type="pct"/>
            <w:tcBorders>
              <w:top w:val="nil"/>
              <w:bottom w:val="single" w:sz="4" w:space="0" w:color="auto"/>
            </w:tcBorders>
            <w:vAlign w:val="center"/>
          </w:tcPr>
          <w:p w14:paraId="44AEEE80" w14:textId="3F286D15" w:rsidR="00AD26DB" w:rsidRPr="00674669" w:rsidRDefault="00AD26DB" w:rsidP="00D06496">
            <w:pPr>
              <w:pStyle w:val="TableText0"/>
            </w:pPr>
            <w:r w:rsidRPr="00674669">
              <w:t xml:space="preserve">Novello S., et al. 2023. Pembrolizumab plus chemotherapy in squamous non-small cell lung cancer: </w:t>
            </w:r>
            <w:r w:rsidR="00622146" w:rsidRPr="00674669">
              <w:t>5-year</w:t>
            </w:r>
            <w:r w:rsidRPr="00674669">
              <w:t xml:space="preserve"> update of the Phase III KEYNOTE 407 study.</w:t>
            </w:r>
          </w:p>
        </w:tc>
        <w:tc>
          <w:tcPr>
            <w:tcW w:w="1072" w:type="pct"/>
            <w:tcBorders>
              <w:top w:val="nil"/>
              <w:bottom w:val="single" w:sz="4" w:space="0" w:color="auto"/>
            </w:tcBorders>
          </w:tcPr>
          <w:p w14:paraId="06007A5F" w14:textId="77777777" w:rsidR="00AD26DB" w:rsidRPr="00674669" w:rsidRDefault="00AD26DB" w:rsidP="00D06496">
            <w:pPr>
              <w:pStyle w:val="TableText0"/>
              <w:rPr>
                <w:i/>
              </w:rPr>
            </w:pPr>
            <w:r w:rsidRPr="00674669">
              <w:rPr>
                <w:i/>
                <w:iCs/>
              </w:rPr>
              <w:t>Journal of Clinical Oncology</w:t>
            </w:r>
            <w:r w:rsidRPr="00674669">
              <w:t xml:space="preserve"> 2023; 41(11):1999-2006.</w:t>
            </w:r>
          </w:p>
        </w:tc>
      </w:tr>
    </w:tbl>
    <w:p w14:paraId="0AD30DFB" w14:textId="77777777" w:rsidR="00AD26DB" w:rsidRPr="00674669" w:rsidRDefault="00AD26DB" w:rsidP="00D06496">
      <w:pPr>
        <w:pStyle w:val="FooterTableFigure"/>
      </w:pPr>
      <w:r w:rsidRPr="00674669">
        <w:t>Source: Table 2-6, p20 and Table 2-7, pp20-22 of the submission.</w:t>
      </w:r>
    </w:p>
    <w:p w14:paraId="5DCC108D" w14:textId="53154C9F" w:rsidR="00AD26DB" w:rsidRPr="00674669" w:rsidRDefault="00AD26DB" w:rsidP="00AD26DB">
      <w:pPr>
        <w:pStyle w:val="3-BodyText"/>
      </w:pPr>
      <w:r w:rsidRPr="00674669">
        <w:t>The key feature</w:t>
      </w:r>
      <w:r w:rsidR="004F08E2" w:rsidRPr="00674669">
        <w:t>s</w:t>
      </w:r>
      <w:r w:rsidRPr="00674669">
        <w:t xml:space="preserve"> of evidence included in the ITC are summarised in </w:t>
      </w:r>
      <w:r w:rsidRPr="00674669">
        <w:fldChar w:fldCharType="begin" w:fldLock="1"/>
      </w:r>
      <w:r w:rsidRPr="00674669">
        <w:instrText xml:space="preserve"> REF _Ref142307640 \h </w:instrText>
      </w:r>
      <w:r w:rsidRPr="00674669">
        <w:fldChar w:fldCharType="separate"/>
      </w:r>
      <w:r w:rsidR="0098134F" w:rsidRPr="00674669">
        <w:t>Table 4</w:t>
      </w:r>
      <w:r w:rsidRPr="00674669">
        <w:fldChar w:fldCharType="end"/>
      </w:r>
      <w:r w:rsidRPr="00674669">
        <w:t>.</w:t>
      </w:r>
    </w:p>
    <w:p w14:paraId="78A3DE2A" w14:textId="44CF730B" w:rsidR="00AD26DB" w:rsidRPr="00674669" w:rsidRDefault="00AD26DB" w:rsidP="00AD26DB">
      <w:pPr>
        <w:pStyle w:val="TableFigureHeading"/>
        <w:rPr>
          <w:rStyle w:val="CommentReference"/>
          <w:b/>
          <w:szCs w:val="24"/>
        </w:rPr>
      </w:pPr>
      <w:bookmarkStart w:id="33" w:name="_Ref142307640"/>
      <w:r w:rsidRPr="00674669">
        <w:lastRenderedPageBreak/>
        <w:t xml:space="preserve">Table </w:t>
      </w:r>
      <w:fldSimple w:instr=" SEQ Table \* ARABIC " w:fldLock="1">
        <w:r w:rsidR="006F44A4" w:rsidRPr="00674669">
          <w:t>4</w:t>
        </w:r>
      </w:fldSimple>
      <w:bookmarkEnd w:id="33"/>
      <w:r w:rsidRPr="00674669">
        <w:t xml:space="preserve">: </w:t>
      </w:r>
      <w:r w:rsidRPr="00674669">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3"/>
        <w:gridCol w:w="691"/>
        <w:gridCol w:w="1277"/>
        <w:gridCol w:w="849"/>
        <w:gridCol w:w="3152"/>
        <w:gridCol w:w="1475"/>
      </w:tblGrid>
      <w:tr w:rsidR="00AD26DB" w:rsidRPr="00674669" w14:paraId="701307C1" w14:textId="77777777" w:rsidTr="00C521FE">
        <w:trPr>
          <w:tblHeader/>
        </w:trPr>
        <w:tc>
          <w:tcPr>
            <w:tcW w:w="872" w:type="pct"/>
            <w:shd w:val="clear" w:color="auto" w:fill="auto"/>
            <w:vAlign w:val="center"/>
          </w:tcPr>
          <w:p w14:paraId="418EF582" w14:textId="77777777" w:rsidR="00AD26DB" w:rsidRPr="00674669" w:rsidRDefault="00AD26DB" w:rsidP="00C521FE">
            <w:pPr>
              <w:pStyle w:val="In-tableHeading"/>
              <w:rPr>
                <w:lang w:val="en-AU"/>
              </w:rPr>
            </w:pPr>
            <w:r w:rsidRPr="00674669">
              <w:rPr>
                <w:lang w:val="en-AU"/>
              </w:rPr>
              <w:t>Trial</w:t>
            </w:r>
          </w:p>
        </w:tc>
        <w:tc>
          <w:tcPr>
            <w:tcW w:w="383" w:type="pct"/>
            <w:shd w:val="clear" w:color="auto" w:fill="auto"/>
            <w:vAlign w:val="center"/>
          </w:tcPr>
          <w:p w14:paraId="246D46A2" w14:textId="77777777" w:rsidR="00AD26DB" w:rsidRPr="00674669" w:rsidRDefault="00AD26DB" w:rsidP="00C521FE">
            <w:pPr>
              <w:pStyle w:val="In-tableHeading"/>
              <w:jc w:val="center"/>
              <w:rPr>
                <w:lang w:val="en-AU"/>
              </w:rPr>
            </w:pPr>
            <w:r w:rsidRPr="00674669">
              <w:rPr>
                <w:lang w:val="en-AU"/>
              </w:rPr>
              <w:t>N</w:t>
            </w:r>
          </w:p>
        </w:tc>
        <w:tc>
          <w:tcPr>
            <w:tcW w:w="708" w:type="pct"/>
            <w:shd w:val="clear" w:color="auto" w:fill="auto"/>
            <w:vAlign w:val="center"/>
          </w:tcPr>
          <w:p w14:paraId="0F3B767E" w14:textId="77777777" w:rsidR="00AD26DB" w:rsidRPr="00674669" w:rsidRDefault="00AD26DB" w:rsidP="00C521FE">
            <w:pPr>
              <w:pStyle w:val="In-tableHeading"/>
              <w:jc w:val="center"/>
              <w:rPr>
                <w:lang w:val="en-AU"/>
              </w:rPr>
            </w:pPr>
            <w:r w:rsidRPr="00674669">
              <w:rPr>
                <w:lang w:val="en-AU"/>
              </w:rPr>
              <w:t>Design/ Median follow-up</w:t>
            </w:r>
          </w:p>
        </w:tc>
        <w:tc>
          <w:tcPr>
            <w:tcW w:w="471" w:type="pct"/>
            <w:shd w:val="clear" w:color="auto" w:fill="auto"/>
            <w:vAlign w:val="center"/>
          </w:tcPr>
          <w:p w14:paraId="773D77BE" w14:textId="77777777" w:rsidR="00AD26DB" w:rsidRPr="00674669" w:rsidRDefault="00AD26DB" w:rsidP="00C521FE">
            <w:pPr>
              <w:pStyle w:val="In-tableHeading"/>
              <w:jc w:val="center"/>
              <w:rPr>
                <w:lang w:val="en-AU"/>
              </w:rPr>
            </w:pPr>
            <w:r w:rsidRPr="00674669">
              <w:rPr>
                <w:lang w:val="en-AU"/>
              </w:rPr>
              <w:t>Risk of bias</w:t>
            </w:r>
          </w:p>
        </w:tc>
        <w:tc>
          <w:tcPr>
            <w:tcW w:w="1748" w:type="pct"/>
            <w:shd w:val="clear" w:color="auto" w:fill="auto"/>
            <w:vAlign w:val="center"/>
          </w:tcPr>
          <w:p w14:paraId="0C27A82A" w14:textId="77777777" w:rsidR="00AD26DB" w:rsidRPr="00674669" w:rsidRDefault="00AD26DB" w:rsidP="00C521FE">
            <w:pPr>
              <w:pStyle w:val="In-tableHeading"/>
              <w:jc w:val="center"/>
              <w:rPr>
                <w:lang w:val="en-AU"/>
              </w:rPr>
            </w:pPr>
            <w:r w:rsidRPr="00674669">
              <w:rPr>
                <w:lang w:val="en-AU"/>
              </w:rPr>
              <w:t>Patient population</w:t>
            </w:r>
          </w:p>
        </w:tc>
        <w:tc>
          <w:tcPr>
            <w:tcW w:w="818" w:type="pct"/>
            <w:shd w:val="clear" w:color="auto" w:fill="auto"/>
            <w:vAlign w:val="center"/>
          </w:tcPr>
          <w:p w14:paraId="686B1BB6" w14:textId="77777777" w:rsidR="00AD26DB" w:rsidRPr="00674669" w:rsidRDefault="00AD26DB" w:rsidP="00C521FE">
            <w:pPr>
              <w:pStyle w:val="In-tableHeading"/>
              <w:jc w:val="center"/>
              <w:rPr>
                <w:lang w:val="en-AU"/>
              </w:rPr>
            </w:pPr>
            <w:r w:rsidRPr="00674669">
              <w:rPr>
                <w:lang w:val="en-AU"/>
              </w:rPr>
              <w:t>Outcome(s)</w:t>
            </w:r>
          </w:p>
        </w:tc>
      </w:tr>
      <w:tr w:rsidR="00AD26DB" w:rsidRPr="00674669" w14:paraId="75F2F61E" w14:textId="77777777" w:rsidTr="00C521FE">
        <w:tc>
          <w:tcPr>
            <w:tcW w:w="5000" w:type="pct"/>
            <w:gridSpan w:val="6"/>
            <w:shd w:val="clear" w:color="auto" w:fill="auto"/>
            <w:vAlign w:val="center"/>
          </w:tcPr>
          <w:p w14:paraId="251D73DF" w14:textId="77777777" w:rsidR="00AD26DB" w:rsidRPr="00674669" w:rsidRDefault="00AD26DB" w:rsidP="00C521FE">
            <w:pPr>
              <w:pStyle w:val="In-tableHeading"/>
              <w:rPr>
                <w:lang w:val="en-AU"/>
              </w:rPr>
            </w:pPr>
            <w:r w:rsidRPr="00674669">
              <w:rPr>
                <w:lang w:val="en-AU"/>
              </w:rPr>
              <w:t>Cemiplimab+PDC vs. PDC</w:t>
            </w:r>
          </w:p>
        </w:tc>
      </w:tr>
      <w:tr w:rsidR="00AD26DB" w:rsidRPr="00674669" w14:paraId="1975B707" w14:textId="77777777" w:rsidTr="00C521FE">
        <w:tc>
          <w:tcPr>
            <w:tcW w:w="872" w:type="pct"/>
            <w:shd w:val="clear" w:color="auto" w:fill="auto"/>
            <w:vAlign w:val="center"/>
          </w:tcPr>
          <w:p w14:paraId="04D8E160" w14:textId="77777777" w:rsidR="00AD26DB" w:rsidRPr="00674669" w:rsidRDefault="00AD26DB" w:rsidP="00C521FE">
            <w:pPr>
              <w:pStyle w:val="TableText0"/>
            </w:pPr>
            <w:r w:rsidRPr="00674669">
              <w:t>Study 16113</w:t>
            </w:r>
          </w:p>
        </w:tc>
        <w:tc>
          <w:tcPr>
            <w:tcW w:w="383" w:type="pct"/>
            <w:shd w:val="clear" w:color="auto" w:fill="auto"/>
            <w:vAlign w:val="center"/>
          </w:tcPr>
          <w:p w14:paraId="0F4AD8C0" w14:textId="77777777" w:rsidR="00AD26DB" w:rsidRPr="00674669" w:rsidRDefault="00AD26DB" w:rsidP="00C521FE">
            <w:pPr>
              <w:pStyle w:val="TableText0"/>
              <w:jc w:val="center"/>
            </w:pPr>
            <w:r w:rsidRPr="00674669">
              <w:t>466</w:t>
            </w:r>
          </w:p>
        </w:tc>
        <w:tc>
          <w:tcPr>
            <w:tcW w:w="708" w:type="pct"/>
            <w:shd w:val="clear" w:color="auto" w:fill="auto"/>
            <w:vAlign w:val="center"/>
          </w:tcPr>
          <w:p w14:paraId="4569EC0E" w14:textId="77777777" w:rsidR="00AD26DB" w:rsidRPr="00674669" w:rsidRDefault="00AD26DB" w:rsidP="00C521FE">
            <w:pPr>
              <w:pStyle w:val="TableText0"/>
              <w:jc w:val="center"/>
            </w:pPr>
            <w:r w:rsidRPr="00674669">
              <w:t>R, DB, MC,</w:t>
            </w:r>
          </w:p>
          <w:p w14:paraId="0B91B8AB" w14:textId="0D043AEF" w:rsidR="00AD26DB" w:rsidRPr="00674669" w:rsidRDefault="00AD26DB" w:rsidP="00C521FE">
            <w:pPr>
              <w:pStyle w:val="TableText0"/>
              <w:jc w:val="center"/>
            </w:pPr>
            <w:r w:rsidRPr="00674669">
              <w:t>28.4 months</w:t>
            </w:r>
            <w:r w:rsidR="00B7666A" w:rsidRPr="00674669">
              <w:t xml:space="preserve"> (June 2022 data cutoff)</w:t>
            </w:r>
          </w:p>
        </w:tc>
        <w:tc>
          <w:tcPr>
            <w:tcW w:w="471" w:type="pct"/>
            <w:shd w:val="clear" w:color="auto" w:fill="auto"/>
            <w:vAlign w:val="center"/>
          </w:tcPr>
          <w:p w14:paraId="70663AF4" w14:textId="77777777" w:rsidR="00AD26DB" w:rsidRPr="00674669" w:rsidRDefault="00AD26DB" w:rsidP="00C521FE">
            <w:pPr>
              <w:pStyle w:val="TableText0"/>
              <w:jc w:val="center"/>
            </w:pPr>
            <w:r w:rsidRPr="00674669">
              <w:t>Low</w:t>
            </w:r>
          </w:p>
        </w:tc>
        <w:tc>
          <w:tcPr>
            <w:tcW w:w="1748" w:type="pct"/>
            <w:shd w:val="clear" w:color="auto" w:fill="auto"/>
            <w:vAlign w:val="center"/>
          </w:tcPr>
          <w:p w14:paraId="1CF0A3BF" w14:textId="77777777" w:rsidR="00AD26DB" w:rsidRPr="00674669" w:rsidRDefault="00AD26DB" w:rsidP="00C521FE">
            <w:pPr>
              <w:pStyle w:val="TableText0"/>
            </w:pPr>
            <w:r w:rsidRPr="00674669">
              <w:t>Squamous and non-squamous NSCLC patients with Stage III or IV (metastatic) disease.</w:t>
            </w:r>
          </w:p>
        </w:tc>
        <w:tc>
          <w:tcPr>
            <w:tcW w:w="818" w:type="pct"/>
            <w:shd w:val="clear" w:color="auto" w:fill="auto"/>
          </w:tcPr>
          <w:p w14:paraId="56C688AA" w14:textId="77777777" w:rsidR="00AD26DB" w:rsidRPr="00674669" w:rsidRDefault="00AD26DB" w:rsidP="00C521FE">
            <w:pPr>
              <w:pStyle w:val="TableText0"/>
            </w:pPr>
            <w:r w:rsidRPr="00674669">
              <w:t>OS, PFS, ORR, AEs, QoL</w:t>
            </w:r>
          </w:p>
        </w:tc>
      </w:tr>
      <w:tr w:rsidR="00AD26DB" w:rsidRPr="00674669" w14:paraId="6C2491AB" w14:textId="77777777" w:rsidTr="00C521FE">
        <w:tc>
          <w:tcPr>
            <w:tcW w:w="5000" w:type="pct"/>
            <w:gridSpan w:val="6"/>
            <w:shd w:val="clear" w:color="auto" w:fill="auto"/>
          </w:tcPr>
          <w:p w14:paraId="53FB5624" w14:textId="77777777" w:rsidR="00AD26DB" w:rsidRPr="00674669" w:rsidRDefault="00AD26DB" w:rsidP="00C521FE">
            <w:pPr>
              <w:pStyle w:val="In-tableHeading"/>
              <w:rPr>
                <w:lang w:val="en-AU"/>
              </w:rPr>
            </w:pPr>
            <w:r w:rsidRPr="00674669">
              <w:rPr>
                <w:lang w:val="en-AU"/>
              </w:rPr>
              <w:t>Pembrolizumab+PDC vs PDC</w:t>
            </w:r>
          </w:p>
        </w:tc>
      </w:tr>
      <w:tr w:rsidR="00AD26DB" w:rsidRPr="00674669" w14:paraId="77FC5292" w14:textId="77777777" w:rsidTr="00C521FE">
        <w:tc>
          <w:tcPr>
            <w:tcW w:w="872" w:type="pct"/>
            <w:shd w:val="clear" w:color="auto" w:fill="auto"/>
            <w:vAlign w:val="center"/>
          </w:tcPr>
          <w:p w14:paraId="51F55138" w14:textId="77777777" w:rsidR="00AD26DB" w:rsidRPr="00674669" w:rsidRDefault="00AD26DB" w:rsidP="00C521FE">
            <w:pPr>
              <w:pStyle w:val="TableText0"/>
            </w:pPr>
            <w:r w:rsidRPr="00674669">
              <w:t>KN-189</w:t>
            </w:r>
          </w:p>
        </w:tc>
        <w:tc>
          <w:tcPr>
            <w:tcW w:w="383" w:type="pct"/>
            <w:shd w:val="clear" w:color="auto" w:fill="auto"/>
            <w:vAlign w:val="center"/>
          </w:tcPr>
          <w:p w14:paraId="4B39B42C" w14:textId="77777777" w:rsidR="00AD26DB" w:rsidRPr="00674669" w:rsidRDefault="00AD26DB" w:rsidP="00C521FE">
            <w:pPr>
              <w:pStyle w:val="TableText0"/>
              <w:jc w:val="center"/>
            </w:pPr>
            <w:r w:rsidRPr="00674669">
              <w:t>616</w:t>
            </w:r>
          </w:p>
        </w:tc>
        <w:tc>
          <w:tcPr>
            <w:tcW w:w="708" w:type="pct"/>
            <w:shd w:val="clear" w:color="auto" w:fill="auto"/>
          </w:tcPr>
          <w:p w14:paraId="7FC1EC39" w14:textId="77777777" w:rsidR="00AD26DB" w:rsidRPr="00674669" w:rsidRDefault="00AD26DB" w:rsidP="00C521FE">
            <w:pPr>
              <w:pStyle w:val="TableText0"/>
              <w:jc w:val="center"/>
            </w:pPr>
            <w:r w:rsidRPr="00674669">
              <w:t>R, DB, MC,</w:t>
            </w:r>
          </w:p>
          <w:p w14:paraId="7FE7AF74" w14:textId="77777777" w:rsidR="00AD26DB" w:rsidRPr="00674669" w:rsidRDefault="00AD26DB" w:rsidP="00C521FE">
            <w:pPr>
              <w:pStyle w:val="TableText0"/>
              <w:jc w:val="center"/>
            </w:pPr>
            <w:r w:rsidRPr="00674669">
              <w:t>64.6 months</w:t>
            </w:r>
          </w:p>
          <w:p w14:paraId="4D904AA8" w14:textId="4499E837" w:rsidR="00B7666A" w:rsidRPr="00674669" w:rsidRDefault="00B7666A" w:rsidP="00C521FE">
            <w:pPr>
              <w:pStyle w:val="TableText0"/>
              <w:jc w:val="center"/>
            </w:pPr>
            <w:r w:rsidRPr="00674669">
              <w:t>(March 2022 data cutoff)</w:t>
            </w:r>
          </w:p>
        </w:tc>
        <w:tc>
          <w:tcPr>
            <w:tcW w:w="471" w:type="pct"/>
            <w:shd w:val="clear" w:color="auto" w:fill="auto"/>
            <w:vAlign w:val="center"/>
          </w:tcPr>
          <w:p w14:paraId="338CE3ED" w14:textId="77777777" w:rsidR="00AD26DB" w:rsidRPr="00674669" w:rsidRDefault="00AD26DB" w:rsidP="00C521FE">
            <w:pPr>
              <w:pStyle w:val="TableText0"/>
              <w:jc w:val="center"/>
            </w:pPr>
            <w:r w:rsidRPr="00674669">
              <w:t>Low</w:t>
            </w:r>
          </w:p>
        </w:tc>
        <w:tc>
          <w:tcPr>
            <w:tcW w:w="1748" w:type="pct"/>
            <w:shd w:val="clear" w:color="auto" w:fill="auto"/>
          </w:tcPr>
          <w:p w14:paraId="3F10CD38" w14:textId="77777777" w:rsidR="00AD26DB" w:rsidRPr="00674669" w:rsidRDefault="00AD26DB" w:rsidP="00C521FE">
            <w:pPr>
              <w:pStyle w:val="TableText0"/>
            </w:pPr>
            <w:r w:rsidRPr="00674669">
              <w:t>Non-squamous NSCLC patients with Stage IV (metastatic) disease.</w:t>
            </w:r>
          </w:p>
        </w:tc>
        <w:tc>
          <w:tcPr>
            <w:tcW w:w="818" w:type="pct"/>
            <w:shd w:val="clear" w:color="auto" w:fill="auto"/>
          </w:tcPr>
          <w:p w14:paraId="029DBA2F" w14:textId="77777777" w:rsidR="00AD26DB" w:rsidRPr="00674669" w:rsidRDefault="00AD26DB" w:rsidP="00C521FE">
            <w:pPr>
              <w:pStyle w:val="TableText0"/>
            </w:pPr>
            <w:r w:rsidRPr="00674669">
              <w:t>OS, PFS, ORR, AEs, QoL</w:t>
            </w:r>
          </w:p>
        </w:tc>
      </w:tr>
      <w:tr w:rsidR="00AD26DB" w:rsidRPr="00674669" w14:paraId="07641110" w14:textId="77777777" w:rsidTr="00C521FE">
        <w:tc>
          <w:tcPr>
            <w:tcW w:w="872" w:type="pct"/>
            <w:shd w:val="clear" w:color="auto" w:fill="auto"/>
            <w:vAlign w:val="center"/>
          </w:tcPr>
          <w:p w14:paraId="25F89F68" w14:textId="54997271" w:rsidR="00AD26DB" w:rsidRPr="00674669" w:rsidRDefault="00AD26DB" w:rsidP="00C521FE">
            <w:pPr>
              <w:pStyle w:val="TableText0"/>
            </w:pPr>
            <w:r w:rsidRPr="00674669">
              <w:t>KN-</w:t>
            </w:r>
            <w:r w:rsidR="00AB3E94" w:rsidRPr="00674669">
              <w:t>407</w:t>
            </w:r>
          </w:p>
        </w:tc>
        <w:tc>
          <w:tcPr>
            <w:tcW w:w="383" w:type="pct"/>
            <w:shd w:val="clear" w:color="auto" w:fill="auto"/>
            <w:vAlign w:val="center"/>
          </w:tcPr>
          <w:p w14:paraId="4E0826A2" w14:textId="77777777" w:rsidR="00AD26DB" w:rsidRPr="00674669" w:rsidRDefault="00AD26DB" w:rsidP="00C521FE">
            <w:pPr>
              <w:pStyle w:val="TableText0"/>
              <w:jc w:val="center"/>
            </w:pPr>
            <w:r w:rsidRPr="00674669">
              <w:t>559</w:t>
            </w:r>
          </w:p>
        </w:tc>
        <w:tc>
          <w:tcPr>
            <w:tcW w:w="708" w:type="pct"/>
            <w:shd w:val="clear" w:color="auto" w:fill="auto"/>
          </w:tcPr>
          <w:p w14:paraId="29BEE421" w14:textId="77777777" w:rsidR="00AD26DB" w:rsidRPr="00674669" w:rsidRDefault="00AD26DB" w:rsidP="00C521FE">
            <w:pPr>
              <w:pStyle w:val="TableText0"/>
              <w:jc w:val="center"/>
            </w:pPr>
            <w:r w:rsidRPr="00674669">
              <w:t>R, DB, MC,</w:t>
            </w:r>
          </w:p>
          <w:p w14:paraId="34810D68" w14:textId="77777777" w:rsidR="00AD26DB" w:rsidRPr="00674669" w:rsidRDefault="00AD26DB" w:rsidP="00C521FE">
            <w:pPr>
              <w:pStyle w:val="TableText0"/>
              <w:jc w:val="center"/>
            </w:pPr>
            <w:r w:rsidRPr="00674669">
              <w:t>56.9 months</w:t>
            </w:r>
          </w:p>
          <w:p w14:paraId="1B428036" w14:textId="299F9410" w:rsidR="00B7666A" w:rsidRPr="00674669" w:rsidRDefault="00B7666A" w:rsidP="00C521FE">
            <w:pPr>
              <w:pStyle w:val="TableText0"/>
              <w:jc w:val="center"/>
            </w:pPr>
            <w:r w:rsidRPr="00674669">
              <w:t>(February 2022 data cutoff)</w:t>
            </w:r>
          </w:p>
        </w:tc>
        <w:tc>
          <w:tcPr>
            <w:tcW w:w="471" w:type="pct"/>
            <w:shd w:val="clear" w:color="auto" w:fill="auto"/>
            <w:vAlign w:val="center"/>
          </w:tcPr>
          <w:p w14:paraId="613D5043" w14:textId="77777777" w:rsidR="00AD26DB" w:rsidRPr="00674669" w:rsidRDefault="00AD26DB" w:rsidP="00C521FE">
            <w:pPr>
              <w:pStyle w:val="TableText0"/>
              <w:jc w:val="center"/>
            </w:pPr>
            <w:r w:rsidRPr="00674669">
              <w:t>Low</w:t>
            </w:r>
          </w:p>
        </w:tc>
        <w:tc>
          <w:tcPr>
            <w:tcW w:w="1748" w:type="pct"/>
            <w:shd w:val="clear" w:color="auto" w:fill="auto"/>
          </w:tcPr>
          <w:p w14:paraId="083D0079" w14:textId="77777777" w:rsidR="00AD26DB" w:rsidRPr="00674669" w:rsidRDefault="00AD26DB" w:rsidP="00C521FE">
            <w:pPr>
              <w:pStyle w:val="TableText0"/>
            </w:pPr>
            <w:r w:rsidRPr="00674669">
              <w:t>Squamous NSCLC patients with Stage IV (metastatic) disease.</w:t>
            </w:r>
          </w:p>
        </w:tc>
        <w:tc>
          <w:tcPr>
            <w:tcW w:w="818" w:type="pct"/>
            <w:shd w:val="clear" w:color="auto" w:fill="auto"/>
          </w:tcPr>
          <w:p w14:paraId="2747C52D" w14:textId="77777777" w:rsidR="00AD26DB" w:rsidRPr="00674669" w:rsidRDefault="00AD26DB" w:rsidP="00C521FE">
            <w:pPr>
              <w:pStyle w:val="TableText0"/>
            </w:pPr>
            <w:r w:rsidRPr="00674669">
              <w:t>OS, PFS, ORR, AEs, QoL</w:t>
            </w:r>
          </w:p>
        </w:tc>
      </w:tr>
      <w:tr w:rsidR="00AD26DB" w:rsidRPr="00674669" w14:paraId="47E2A83F" w14:textId="77777777" w:rsidTr="00C521FE">
        <w:tc>
          <w:tcPr>
            <w:tcW w:w="872" w:type="pct"/>
            <w:shd w:val="clear" w:color="auto" w:fill="auto"/>
            <w:vAlign w:val="center"/>
          </w:tcPr>
          <w:p w14:paraId="24EF51C1" w14:textId="77777777" w:rsidR="00AD26DB" w:rsidRPr="00674669" w:rsidRDefault="00AD26DB" w:rsidP="00C521FE">
            <w:pPr>
              <w:pStyle w:val="TableText0"/>
            </w:pPr>
            <w:r w:rsidRPr="00674669">
              <w:t>Meta-analysis</w:t>
            </w:r>
          </w:p>
        </w:tc>
        <w:tc>
          <w:tcPr>
            <w:tcW w:w="4128" w:type="pct"/>
            <w:gridSpan w:val="5"/>
            <w:shd w:val="clear" w:color="auto" w:fill="auto"/>
            <w:vAlign w:val="center"/>
          </w:tcPr>
          <w:p w14:paraId="0C2022C5" w14:textId="77777777" w:rsidR="00AD26DB" w:rsidRPr="00674669" w:rsidRDefault="00AD26DB" w:rsidP="00C521FE">
            <w:pPr>
              <w:pStyle w:val="TableText0"/>
            </w:pPr>
            <w:r w:rsidRPr="00674669">
              <w:t>Included KN-189 and KN-407; assessed OS, PFS, ORR and AEs</w:t>
            </w:r>
          </w:p>
        </w:tc>
      </w:tr>
    </w:tbl>
    <w:p w14:paraId="5D5D5A11" w14:textId="77777777" w:rsidR="00AD26DB" w:rsidRPr="00674669" w:rsidRDefault="00AD26DB" w:rsidP="00AD26DB">
      <w:pPr>
        <w:pStyle w:val="FooterTableFigure"/>
      </w:pPr>
      <w:r w:rsidRPr="00674669">
        <w:t xml:space="preserve">Source: Table ES.5, p8 and Section 2.6.3, pp70-79 of the submission. </w:t>
      </w:r>
    </w:p>
    <w:p w14:paraId="61552E91" w14:textId="77777777" w:rsidR="00AD26DB" w:rsidRPr="00674669" w:rsidRDefault="00AD26DB" w:rsidP="00AD26DB">
      <w:pPr>
        <w:pStyle w:val="FooterTableFigure"/>
      </w:pPr>
      <w:r w:rsidRPr="00674669">
        <w:t>AE = adverse event; DB = double blind; MC = multi-centre; N = total number of participants; NSCLC = non-small cell lung cancer; ORR = overall response rate; OS = overall survival; PDC = platinum doublet chemotherapy; PFS = progression-free survival; QoL = quality of life; R = randomised.</w:t>
      </w:r>
    </w:p>
    <w:p w14:paraId="71D01F03" w14:textId="5167A483" w:rsidR="00982121" w:rsidRPr="00674669" w:rsidRDefault="00982121" w:rsidP="00982121">
      <w:pPr>
        <w:pStyle w:val="3-BodyText"/>
      </w:pPr>
      <w:bookmarkStart w:id="34" w:name="_Ref142681651"/>
      <w:bookmarkStart w:id="35" w:name="_Toc22897641"/>
      <w:r w:rsidRPr="00674669">
        <w:t>In Study 16113, OS was the primary efficacy outcome, with progression-free survival (PFS), objective response rate (ORR), quality of life (QoL), and safety as secondary outcomes. In KN-189 trial, PFS was the primary endpoint, with ORR, OS, duration of response (DOR), and safety as secondary endpoints. Exploratory endpoints included the effect of PD-L1 expression on efficacy and patient-reported outcomes (PROs). In KN-407 trial, OS and PFS were the primary endpoints, with ORR, DOR and safety as secondary endpoints</w:t>
      </w:r>
      <w:r w:rsidR="009F5AF8" w:rsidRPr="00674669">
        <w:t xml:space="preserve"> and </w:t>
      </w:r>
      <w:r w:rsidRPr="00674669">
        <w:t>the effect of PD-L1 expression on efficacy and PROs</w:t>
      </w:r>
      <w:r w:rsidR="009F5AF8" w:rsidRPr="00674669">
        <w:t xml:space="preserve"> exploratory endpoints</w:t>
      </w:r>
      <w:r w:rsidRPr="00674669">
        <w:t xml:space="preserve">. The safety population included all randomised patients who received at least one dose of any study drug. </w:t>
      </w:r>
    </w:p>
    <w:p w14:paraId="60C7A140" w14:textId="10F039F8" w:rsidR="00C43B0B" w:rsidRPr="00674669" w:rsidRDefault="00AD26DB" w:rsidP="00AD26DB">
      <w:pPr>
        <w:pStyle w:val="3-BodyText"/>
      </w:pPr>
      <w:bookmarkStart w:id="36" w:name="_Ref142903496"/>
      <w:r w:rsidRPr="00674669">
        <w:t>For cemiplimab+PDC, the results were based on the updated analysis of Study 16113 (data cut-off: June 2022).</w:t>
      </w:r>
      <w:r w:rsidR="00A97F85" w:rsidRPr="00674669">
        <w:t xml:space="preserve"> </w:t>
      </w:r>
      <w:r w:rsidR="00CC30B7" w:rsidRPr="00674669">
        <w:t>T</w:t>
      </w:r>
      <w:r w:rsidRPr="00674669">
        <w:t xml:space="preserve">he results for pembrolizumab+PDC were based on the five-year follow-up data from KN-189 (data cut-off: March 2022) and KN-407 (data cut-off: February 2022). The results from the five-year follow-up for pembrolizumab+PDC may not be comparable to those of cemiplimab+PDC due to a significant difference in the median duration of follow-up in Study 16113 (28.4 months) compared to KN-189 (64.6 months) and KN-407 (56.9 months). </w:t>
      </w:r>
    </w:p>
    <w:p w14:paraId="3C25DD1B" w14:textId="2972842E" w:rsidR="00AD26DB" w:rsidRPr="00674669" w:rsidRDefault="00AD26DB" w:rsidP="00AD26DB">
      <w:pPr>
        <w:pStyle w:val="3-BodyText"/>
      </w:pPr>
      <w:bookmarkStart w:id="37" w:name="_Ref142562857"/>
      <w:bookmarkEnd w:id="34"/>
      <w:bookmarkEnd w:id="36"/>
      <w:r w:rsidRPr="00674669">
        <w:t xml:space="preserve">The key differences in the baseline characteristics and treatments across the cemiplimab trial (Study 16113) and the two pembrolizumab trials (KN-189 and KN-407) that may affect the transitivity assumptions </w:t>
      </w:r>
      <w:bookmarkEnd w:id="37"/>
      <w:r w:rsidRPr="00674669">
        <w:t>are summarised below:</w:t>
      </w:r>
    </w:p>
    <w:p w14:paraId="13A020B7" w14:textId="0DA653D9" w:rsidR="00AD26DB" w:rsidRPr="00674669" w:rsidRDefault="00AD26DB" w:rsidP="00AD26DB">
      <w:pPr>
        <w:pStyle w:val="ListParagraph"/>
      </w:pPr>
      <w:r w:rsidRPr="00674669">
        <w:t>Study 16113 enrolled pat</w:t>
      </w:r>
      <w:r w:rsidR="00BE6E7B" w:rsidRPr="00674669">
        <w:t>i</w:t>
      </w:r>
      <w:r w:rsidRPr="00674669">
        <w:t xml:space="preserve">ents with Stage III NSCLC (14.8%) and Stage IV NSCLC (85.2%), whereas KN-189 and KN-407 only enrolled patients with Stage IV NSCLC. </w:t>
      </w:r>
      <w:r w:rsidR="00423FDE" w:rsidRPr="00674669">
        <w:t>H</w:t>
      </w:r>
      <w:r w:rsidR="00CF0F0D" w:rsidRPr="00674669">
        <w:t>owever,</w:t>
      </w:r>
      <w:r w:rsidR="00BE6E7B" w:rsidRPr="00674669">
        <w:t xml:space="preserve"> this</w:t>
      </w:r>
      <w:r w:rsidR="00CF0F0D" w:rsidRPr="00674669">
        <w:t xml:space="preserve"> </w:t>
      </w:r>
      <w:r w:rsidR="00622534" w:rsidRPr="00674669">
        <w:t xml:space="preserve">difference </w:t>
      </w:r>
      <w:r w:rsidR="00CF0F0D" w:rsidRPr="00674669">
        <w:t xml:space="preserve">is </w:t>
      </w:r>
      <w:r w:rsidR="00423FDE" w:rsidRPr="00674669">
        <w:t xml:space="preserve">unlikely to </w:t>
      </w:r>
      <w:r w:rsidR="00541AAD" w:rsidRPr="00674669">
        <w:t xml:space="preserve">significantly </w:t>
      </w:r>
      <w:r w:rsidR="00423FDE" w:rsidRPr="00674669">
        <w:t xml:space="preserve">affect the applicability of the trial results to the target population, given the </w:t>
      </w:r>
      <w:r w:rsidR="00BE6E7B" w:rsidRPr="00674669">
        <w:t xml:space="preserve">relatively </w:t>
      </w:r>
      <w:r w:rsidR="00423FDE" w:rsidRPr="00674669">
        <w:t xml:space="preserve">small </w:t>
      </w:r>
      <w:r w:rsidR="00BE6E7B" w:rsidRPr="00674669">
        <w:t xml:space="preserve">proportion </w:t>
      </w:r>
      <w:r w:rsidR="00423FDE" w:rsidRPr="00674669">
        <w:t>of patients with Stage III disease in Study 16113 (14.8%).</w:t>
      </w:r>
    </w:p>
    <w:p w14:paraId="0113C009" w14:textId="77777777" w:rsidR="00AD26DB" w:rsidRPr="00674669" w:rsidRDefault="00AD26DB" w:rsidP="00AD26DB">
      <w:pPr>
        <w:pStyle w:val="ListParagraph"/>
      </w:pPr>
      <w:r w:rsidRPr="00674669">
        <w:lastRenderedPageBreak/>
        <w:t>Study 16113 enrolled patients with both squamous (57.4%) and non-squamous (43%) NSCLC; most patients enrolled in KN-189 had non-squamous (96.1%) and KN-407 had squamous (97.7%) NSCLC. Subgroup analyses from Study 16113 showed no impact of histology on OS (HR of 0.61 [95% CI: 0.42, 0.87] vs. 0.64 [95% CI: 0.47, 0.88]) and PFS (HR of 0.56 [95% CI: 0.41, 0.78] vs. 0.53 [95% CI: 0.39, 0.71]).</w:t>
      </w:r>
    </w:p>
    <w:p w14:paraId="7908C28A" w14:textId="706CF753" w:rsidR="00AE60C8" w:rsidRPr="00674669" w:rsidRDefault="00AE60C8" w:rsidP="00AE60C8">
      <w:pPr>
        <w:pStyle w:val="ListParagraph"/>
      </w:pPr>
      <w:r w:rsidRPr="00674669">
        <w:t xml:space="preserve">KN-189 (48.0%) and KN-407 (45.7%) had </w:t>
      </w:r>
      <w:r w:rsidR="009F5AF8" w:rsidRPr="00674669">
        <w:t xml:space="preserve">a </w:t>
      </w:r>
      <w:r w:rsidRPr="00674669">
        <w:t>higher proportion of patients aged &lt;65 years compared to Study 16113 (41.0%). The subgroup analyses from Study 16113 showed relatively higher benefit in patients aged &lt;65 years when compared to &gt;65 years; this may favour pembrolizumab+PDC.</w:t>
      </w:r>
    </w:p>
    <w:p w14:paraId="6DBACB8B" w14:textId="601C2EA1" w:rsidR="00AD26DB" w:rsidRPr="00674669" w:rsidRDefault="00AD26DB" w:rsidP="00AD26DB">
      <w:pPr>
        <w:pStyle w:val="ListParagraph"/>
      </w:pPr>
      <w:r w:rsidRPr="00674669">
        <w:t>Study 16113 (85.2%) and KN-407 (81.4%) had more male patients than KN-189 (58.9%). Subgroup analyses from KN-189 and KN-407 trials showed that there was a lower relative benefit of pembrolizumab+PDC compared to placebo+PDC for males, whereas there was a higher relative benefit of cemiplimab+PDC for males in Study 16113; this may favour cemiplimab+PDC.</w:t>
      </w:r>
    </w:p>
    <w:p w14:paraId="321F8F21" w14:textId="5E0DE9D1" w:rsidR="00AD26DB" w:rsidRPr="00674669" w:rsidRDefault="00AD26DB" w:rsidP="00AD26DB">
      <w:pPr>
        <w:pStyle w:val="ListParagraph"/>
      </w:pPr>
      <w:r w:rsidRPr="00674669">
        <w:t>Study 16113 had a higher proportion of patients with Eastern Cooperative Oncology Group (ECOG) performance status (PS) of 1 (84.3%) compared with KN-189 (56.2%) and KN-407 (70.8%). This</w:t>
      </w:r>
      <w:r w:rsidR="009F5AF8" w:rsidRPr="00674669">
        <w:t xml:space="preserve"> difference</w:t>
      </w:r>
      <w:r w:rsidRPr="00674669">
        <w:t xml:space="preserve"> in ECOG PS among trials may favour pembrolizumab+PDC.</w:t>
      </w:r>
    </w:p>
    <w:p w14:paraId="7FC2BF20" w14:textId="77777777" w:rsidR="00AD26DB" w:rsidRPr="00674669" w:rsidRDefault="00AD26DB" w:rsidP="00AD26DB">
      <w:pPr>
        <w:pStyle w:val="ListParagraph"/>
      </w:pPr>
      <w:r w:rsidRPr="00674669">
        <w:t>KN-189 had a higher proportion of patients with brain metastases (17.5%) compared with Study 16113 (6.7%) and KN-407 (7.8%). The prognosis for patients with brain metastasis is relatively poor and may favour cemiplimab+PDC.</w:t>
      </w:r>
    </w:p>
    <w:p w14:paraId="6D2B1C2B" w14:textId="3F3C0200" w:rsidR="00AD26DB" w:rsidRPr="00674669" w:rsidRDefault="00AD26DB" w:rsidP="00AD26DB">
      <w:pPr>
        <w:pStyle w:val="ListParagraph"/>
      </w:pPr>
      <w:r w:rsidRPr="00674669">
        <w:t>KN-407 had a higher proportion of current/former smokers (92.7%) compared with Study 16113 (85.6%) and KN-189 (88.1%). The subgroup analyses from Study 16113 showed that non-smokers had relatively lower OS (HR of 0.85; 95% CI: 0.45, 1.62 vs. 0.58; 95% CI: 0.45, 0.75) and PFS (HR of 0.66; 95% CI: 0.37, 1.17 vs. 0.52; 95% CI: 0.41, 0.66) benefits compared to smokers. Th</w:t>
      </w:r>
      <w:r w:rsidR="0049193E" w:rsidRPr="00674669">
        <w:t>is</w:t>
      </w:r>
      <w:r w:rsidRPr="00674669">
        <w:t xml:space="preserve"> </w:t>
      </w:r>
      <w:r w:rsidR="00A11B4F" w:rsidRPr="00674669">
        <w:t>may favour cem</w:t>
      </w:r>
      <w:r w:rsidR="00A55CF9" w:rsidRPr="00674669">
        <w:t xml:space="preserve">iplimab+PDC. </w:t>
      </w:r>
    </w:p>
    <w:p w14:paraId="29E48D0B" w14:textId="6D6AD0C1" w:rsidR="00AD26DB" w:rsidRPr="00674669" w:rsidRDefault="00AD26DB" w:rsidP="00AD26DB">
      <w:pPr>
        <w:pStyle w:val="ListParagraph"/>
      </w:pPr>
      <w:r w:rsidRPr="00674669">
        <w:t>Study 16113 had a higher proportion of patients from Europe (87.6%), primarily from Easter</w:t>
      </w:r>
      <w:r w:rsidR="00BE6E7B" w:rsidRPr="00674669">
        <w:t>n</w:t>
      </w:r>
      <w:r w:rsidRPr="00674669">
        <w:t xml:space="preserve"> Europe, compared with KN-189 (60.7%) and KN-407 (19.0%). Of note, smoking is more common in </w:t>
      </w:r>
      <w:r w:rsidR="00BE6E7B" w:rsidRPr="00674669">
        <w:t xml:space="preserve">Eastern </w:t>
      </w:r>
      <w:r w:rsidRPr="00674669">
        <w:t>Europe than in the United States, especially among men</w:t>
      </w:r>
      <w:r w:rsidR="005F665C" w:rsidRPr="00674669">
        <w:rPr>
          <w:rStyle w:val="FootnoteReference"/>
        </w:rPr>
        <w:footnoteReference w:id="6"/>
      </w:r>
      <w:r w:rsidRPr="00674669">
        <w:t>. As stated above, smokers and men had relatively higher OS and PFS benefits in Study 16113; this may favour cemiplimab+PDC</w:t>
      </w:r>
      <w:r w:rsidR="00674669">
        <w:t>.</w:t>
      </w:r>
    </w:p>
    <w:p w14:paraId="4003965E" w14:textId="59E44659" w:rsidR="00AD26DB" w:rsidRPr="00674669" w:rsidRDefault="00AD26DB" w:rsidP="00AD26DB">
      <w:pPr>
        <w:pStyle w:val="ListParagraph"/>
      </w:pPr>
      <w:r w:rsidRPr="00674669">
        <w:t>Study 16113 had a higher proportion of patients with PD</w:t>
      </w:r>
      <w:r w:rsidR="00674669">
        <w:t>-</w:t>
      </w:r>
      <w:r w:rsidRPr="00674669">
        <w:t xml:space="preserve">L1≥1% (70.2%) compared with KN-189 (62.9%) and KN-407 (63.1%). The subgroup analyses from Study 16113 showed that patients with PD-L1≥1% had improved OS (HR of 0.50; 95% CI: </w:t>
      </w:r>
      <w:r w:rsidRPr="00674669">
        <w:lastRenderedPageBreak/>
        <w:t>0.34, 0.74 vs 0.94; 95% CI: 0.62, 1.42) and PFS (HR of 0.48; 95% CI: 0.32, 0.72 vs 0.73; 95% CI: 0.50, 1.08) compared to patients with PD-L1&lt;1%; this may favour cemiplimab+PDC.</w:t>
      </w:r>
    </w:p>
    <w:p w14:paraId="12D2CF4C" w14:textId="6163140B" w:rsidR="00600325" w:rsidRPr="00674669" w:rsidRDefault="001F4064" w:rsidP="00C521FE">
      <w:pPr>
        <w:pStyle w:val="3-BodyText"/>
      </w:pPr>
      <w:r w:rsidRPr="00674669">
        <w:t>The ESC noted</w:t>
      </w:r>
      <w:r w:rsidRPr="00674669">
        <w:rPr>
          <w:i/>
          <w:iCs/>
        </w:rPr>
        <w:t xml:space="preserve"> </w:t>
      </w:r>
      <w:r w:rsidRPr="00674669">
        <w:t>that</w:t>
      </w:r>
      <w:r w:rsidR="00AD26DB" w:rsidRPr="00674669">
        <w:t xml:space="preserve"> in both the KN-189 and KN-407 trials, cross-over to pembrolizumab monotherapy was permitted upon disease progression, whereas no crossover was </w:t>
      </w:r>
      <w:r w:rsidR="00BE6E7B" w:rsidRPr="00674669">
        <w:t xml:space="preserve">allowed </w:t>
      </w:r>
      <w:r w:rsidR="00AD26DB" w:rsidRPr="00674669">
        <w:t>in Study 16113</w:t>
      </w:r>
      <w:r w:rsidR="00BE6E7B" w:rsidRPr="00674669">
        <w:t xml:space="preserve"> protocol</w:t>
      </w:r>
      <w:r w:rsidR="00AD26DB" w:rsidRPr="00674669">
        <w:t>. At the most recent data cut-off, the percentage of patients who received pembrolizumab or PD-1/PD-L1 directed therapy in the placebo+PDC arm was 57.3% for KN</w:t>
      </w:r>
      <w:r w:rsidR="00674669">
        <w:t>-</w:t>
      </w:r>
      <w:r w:rsidR="00AD26DB" w:rsidRPr="00674669">
        <w:t>189 and 50.9% for KN</w:t>
      </w:r>
      <w:r w:rsidR="00674669">
        <w:t>-</w:t>
      </w:r>
      <w:r w:rsidR="00AD26DB" w:rsidRPr="00674669">
        <w:t>407.</w:t>
      </w:r>
      <w:r w:rsidR="004E375D" w:rsidRPr="00674669">
        <w:t xml:space="preserve"> I</w:t>
      </w:r>
      <w:r w:rsidR="00AD26DB" w:rsidRPr="00674669">
        <w:t xml:space="preserve">n Study 16113 (data cut-off: June 2022) approximately 14.9% in the placebo+PDC arm received immunotherapy after disease progression. </w:t>
      </w:r>
    </w:p>
    <w:p w14:paraId="6CC1A35E" w14:textId="2D109CD8" w:rsidR="001E648C" w:rsidRPr="00674669" w:rsidRDefault="001E648C" w:rsidP="00C521FE">
      <w:pPr>
        <w:pStyle w:val="3-BodyText"/>
      </w:pPr>
      <w:bookmarkStart w:id="38" w:name="_Hlk142856454"/>
      <w:r w:rsidRPr="00674669">
        <w:rPr>
          <w:iCs/>
        </w:rPr>
        <w:t xml:space="preserve">The evaluation considered </w:t>
      </w:r>
      <w:r w:rsidRPr="00674669">
        <w:t>there was potential for bias in both directions. For example, gender, smoking status and geographic region could have biased the ITC results in favour of cemiplimab, whereas age and performance status could have biased the ITC results against cemiplimab.</w:t>
      </w:r>
      <w:bookmarkEnd w:id="38"/>
      <w:r w:rsidRPr="00674669">
        <w:t xml:space="preserve"> Furthermore, </w:t>
      </w:r>
      <w:r w:rsidRPr="00674669">
        <w:rPr>
          <w:iCs/>
        </w:rPr>
        <w:t>the evaluation considered</w:t>
      </w:r>
      <w:r w:rsidRPr="00674669">
        <w:t xml:space="preserve"> that the effect of crossover after disease progression in both treatment arms could not be reliably determined, given the difference in treatments received by patients after progression.</w:t>
      </w:r>
    </w:p>
    <w:p w14:paraId="71E8EA81" w14:textId="7A34419E" w:rsidR="00AD26DB" w:rsidRPr="00674669" w:rsidRDefault="00AD26DB" w:rsidP="00600325">
      <w:pPr>
        <w:pStyle w:val="4-SubsectionHeading"/>
      </w:pPr>
      <w:bookmarkStart w:id="39" w:name="_Toc142622568"/>
      <w:bookmarkStart w:id="40" w:name="_Toc145495065"/>
      <w:r w:rsidRPr="00674669">
        <w:t>Comparative effectiveness</w:t>
      </w:r>
      <w:bookmarkEnd w:id="35"/>
      <w:bookmarkEnd w:id="39"/>
      <w:bookmarkEnd w:id="40"/>
    </w:p>
    <w:p w14:paraId="0F7951AD" w14:textId="28A77F47" w:rsidR="00AD26DB" w:rsidRPr="00674669" w:rsidRDefault="00AD26DB" w:rsidP="00AD26DB">
      <w:pPr>
        <w:pStyle w:val="3-BodyText"/>
        <w:rPr>
          <w:rFonts w:ascii="Arial Narrow" w:hAnsi="Arial Narrow" w:cstheme="majorBidi"/>
          <w:bCs/>
        </w:rPr>
      </w:pPr>
      <w:r w:rsidRPr="00674669">
        <w:t xml:space="preserve">The OS and PFS results for the ITT population in Study 16113 are presented in </w:t>
      </w:r>
      <w:r w:rsidRPr="00674669">
        <w:fldChar w:fldCharType="begin" w:fldLock="1"/>
      </w:r>
      <w:r w:rsidRPr="00674669">
        <w:instrText xml:space="preserve"> REF _Ref142553020 \h  \* MERGEFORMAT </w:instrText>
      </w:r>
      <w:r w:rsidRPr="00674669">
        <w:fldChar w:fldCharType="separate"/>
      </w:r>
      <w:r w:rsidR="0098134F" w:rsidRPr="00674669">
        <w:t>Table 5</w:t>
      </w:r>
      <w:r w:rsidRPr="00674669">
        <w:fldChar w:fldCharType="end"/>
      </w:r>
      <w:r w:rsidRPr="00674669">
        <w:t>.</w:t>
      </w:r>
    </w:p>
    <w:p w14:paraId="3C3F023C" w14:textId="7FC1E744" w:rsidR="00AD26DB" w:rsidRPr="00674669" w:rsidRDefault="00AD26DB" w:rsidP="00AD26DB">
      <w:pPr>
        <w:keepNext/>
        <w:keepLines/>
        <w:rPr>
          <w:rFonts w:ascii="Arial Narrow" w:hAnsi="Arial Narrow"/>
          <w:b/>
          <w:bCs/>
          <w:sz w:val="20"/>
          <w:szCs w:val="18"/>
        </w:rPr>
      </w:pPr>
      <w:bookmarkStart w:id="41" w:name="_Ref142553020"/>
      <w:r w:rsidRPr="00674669">
        <w:rPr>
          <w:rFonts w:ascii="Arial Narrow" w:hAnsi="Arial Narrow"/>
          <w:b/>
          <w:bCs/>
          <w:sz w:val="20"/>
          <w:szCs w:val="18"/>
        </w:rPr>
        <w:t xml:space="preserve">Table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Table \* ARABIC </w:instrText>
      </w:r>
      <w:r w:rsidRPr="00674669">
        <w:rPr>
          <w:rFonts w:ascii="Arial Narrow" w:hAnsi="Arial Narrow"/>
          <w:b/>
          <w:bCs/>
          <w:sz w:val="20"/>
          <w:szCs w:val="18"/>
        </w:rPr>
        <w:fldChar w:fldCharType="separate"/>
      </w:r>
      <w:r w:rsidR="006F44A4" w:rsidRPr="00674669">
        <w:rPr>
          <w:rFonts w:ascii="Arial Narrow" w:hAnsi="Arial Narrow"/>
          <w:b/>
          <w:bCs/>
          <w:sz w:val="20"/>
          <w:szCs w:val="18"/>
        </w:rPr>
        <w:t>5</w:t>
      </w:r>
      <w:r w:rsidRPr="00674669">
        <w:rPr>
          <w:rFonts w:ascii="Arial Narrow" w:hAnsi="Arial Narrow"/>
          <w:b/>
          <w:bCs/>
          <w:sz w:val="20"/>
          <w:szCs w:val="18"/>
        </w:rPr>
        <w:fldChar w:fldCharType="end"/>
      </w:r>
      <w:bookmarkEnd w:id="41"/>
      <w:r w:rsidRPr="00674669">
        <w:rPr>
          <w:rFonts w:ascii="Arial Narrow" w:hAnsi="Arial Narrow"/>
          <w:b/>
          <w:bCs/>
          <w:sz w:val="20"/>
          <w:szCs w:val="18"/>
        </w:rPr>
        <w:t xml:space="preserve">: Summary of survival outcomes in Study 16113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1701"/>
        <w:gridCol w:w="1276"/>
        <w:gridCol w:w="1509"/>
      </w:tblGrid>
      <w:tr w:rsidR="00AD26DB" w:rsidRPr="00674669" w14:paraId="4FAEA956" w14:textId="77777777" w:rsidTr="00C521FE">
        <w:tc>
          <w:tcPr>
            <w:tcW w:w="2830" w:type="dxa"/>
            <w:vAlign w:val="center"/>
          </w:tcPr>
          <w:p w14:paraId="58458DF7" w14:textId="77777777" w:rsidR="00AD26DB" w:rsidRPr="00674669" w:rsidRDefault="00AD26DB" w:rsidP="00C521FE">
            <w:pPr>
              <w:keepNext/>
              <w:jc w:val="left"/>
              <w:rPr>
                <w:rFonts w:ascii="Arial Narrow" w:eastAsiaTheme="majorEastAsia" w:hAnsi="Arial Narrow" w:cs="Times New Roman"/>
                <w:b/>
                <w:sz w:val="20"/>
              </w:rPr>
            </w:pPr>
          </w:p>
        </w:tc>
        <w:tc>
          <w:tcPr>
            <w:tcW w:w="1701" w:type="dxa"/>
            <w:vAlign w:val="center"/>
          </w:tcPr>
          <w:p w14:paraId="7F641238"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Cemiplimab+PDC n/N (%)</w:t>
            </w:r>
          </w:p>
        </w:tc>
        <w:tc>
          <w:tcPr>
            <w:tcW w:w="1701" w:type="dxa"/>
            <w:vAlign w:val="center"/>
          </w:tcPr>
          <w:p w14:paraId="3D1BF836"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Placebo+PDC</w:t>
            </w:r>
          </w:p>
          <w:p w14:paraId="750E11D8"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 xml:space="preserve"> n/N (%)</w:t>
            </w:r>
          </w:p>
        </w:tc>
        <w:tc>
          <w:tcPr>
            <w:tcW w:w="1276" w:type="dxa"/>
            <w:vAlign w:val="center"/>
          </w:tcPr>
          <w:p w14:paraId="37CF90B1"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Absolute difference</w:t>
            </w:r>
          </w:p>
        </w:tc>
        <w:tc>
          <w:tcPr>
            <w:tcW w:w="1509" w:type="dxa"/>
            <w:vAlign w:val="center"/>
          </w:tcPr>
          <w:p w14:paraId="30EEAEA4"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HR (95% CI)</w:t>
            </w:r>
          </w:p>
        </w:tc>
      </w:tr>
      <w:tr w:rsidR="00AD26DB" w:rsidRPr="00674669" w14:paraId="6028883F" w14:textId="77777777" w:rsidTr="00C521FE">
        <w:tc>
          <w:tcPr>
            <w:tcW w:w="9017" w:type="dxa"/>
            <w:gridSpan w:val="5"/>
            <w:vAlign w:val="center"/>
          </w:tcPr>
          <w:p w14:paraId="7AA32753" w14:textId="77777777" w:rsidR="00AD26DB" w:rsidRPr="00674669" w:rsidRDefault="00AD26DB" w:rsidP="00C521FE">
            <w:pPr>
              <w:keepNext/>
              <w:jc w:val="left"/>
              <w:rPr>
                <w:rFonts w:ascii="Arial Narrow" w:eastAsiaTheme="majorEastAsia" w:hAnsi="Arial Narrow" w:cs="Times New Roman"/>
                <w:b/>
                <w:sz w:val="20"/>
              </w:rPr>
            </w:pPr>
            <w:r w:rsidRPr="00674669">
              <w:rPr>
                <w:rFonts w:ascii="Arial Narrow" w:eastAsiaTheme="majorEastAsia" w:hAnsi="Arial Narrow" w:cs="Times New Roman"/>
                <w:b/>
                <w:sz w:val="20"/>
              </w:rPr>
              <w:t>Overall survival</w:t>
            </w:r>
          </w:p>
        </w:tc>
      </w:tr>
      <w:tr w:rsidR="00AD26DB" w:rsidRPr="00674669" w14:paraId="2E9FBCD2" w14:textId="77777777" w:rsidTr="00C521FE">
        <w:tc>
          <w:tcPr>
            <w:tcW w:w="2830" w:type="dxa"/>
            <w:vAlign w:val="center"/>
          </w:tcPr>
          <w:p w14:paraId="0DFFC4B6"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Patients with event</w:t>
            </w:r>
          </w:p>
        </w:tc>
        <w:tc>
          <w:tcPr>
            <w:tcW w:w="1701" w:type="dxa"/>
            <w:vAlign w:val="center"/>
          </w:tcPr>
          <w:p w14:paraId="282A3C35"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180/312 (57.7%)</w:t>
            </w:r>
          </w:p>
        </w:tc>
        <w:tc>
          <w:tcPr>
            <w:tcW w:w="1701" w:type="dxa"/>
            <w:vAlign w:val="center"/>
          </w:tcPr>
          <w:p w14:paraId="775478AB"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111/154 (72.1%)</w:t>
            </w:r>
          </w:p>
        </w:tc>
        <w:tc>
          <w:tcPr>
            <w:tcW w:w="1276" w:type="dxa"/>
            <w:vAlign w:val="center"/>
          </w:tcPr>
          <w:p w14:paraId="7EA639E5"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c>
          <w:tcPr>
            <w:tcW w:w="1509" w:type="dxa"/>
            <w:vAlign w:val="center"/>
          </w:tcPr>
          <w:p w14:paraId="4A07F71C"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r>
      <w:tr w:rsidR="00AD26DB" w:rsidRPr="00674669" w14:paraId="70ABB267" w14:textId="77777777" w:rsidTr="00C521FE">
        <w:tc>
          <w:tcPr>
            <w:tcW w:w="2830" w:type="dxa"/>
            <w:vAlign w:val="center"/>
          </w:tcPr>
          <w:p w14:paraId="411BA15A"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Median OS months (95% CI)</w:t>
            </w:r>
          </w:p>
        </w:tc>
        <w:tc>
          <w:tcPr>
            <w:tcW w:w="1701" w:type="dxa"/>
            <w:vAlign w:val="center"/>
          </w:tcPr>
          <w:p w14:paraId="5C09C419"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21.1 (15.9, 23.5)</w:t>
            </w:r>
          </w:p>
        </w:tc>
        <w:tc>
          <w:tcPr>
            <w:tcW w:w="1701" w:type="dxa"/>
            <w:vAlign w:val="center"/>
          </w:tcPr>
          <w:p w14:paraId="7DB4DB14"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12.9 (10.6, 15.7)</w:t>
            </w:r>
          </w:p>
        </w:tc>
        <w:tc>
          <w:tcPr>
            <w:tcW w:w="1276" w:type="dxa"/>
            <w:vAlign w:val="center"/>
          </w:tcPr>
          <w:p w14:paraId="1E4592F7"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8.2 months</w:t>
            </w:r>
          </w:p>
        </w:tc>
        <w:tc>
          <w:tcPr>
            <w:tcW w:w="1509" w:type="dxa"/>
            <w:vAlign w:val="center"/>
          </w:tcPr>
          <w:p w14:paraId="6E23DB94" w14:textId="77777777" w:rsidR="00AD26DB" w:rsidRPr="00674669" w:rsidRDefault="00AD26DB" w:rsidP="00C521FE">
            <w:pPr>
              <w:keepNext/>
              <w:jc w:val="center"/>
              <w:rPr>
                <w:rFonts w:ascii="Arial Narrow" w:eastAsiaTheme="majorEastAsia" w:hAnsi="Arial Narrow" w:cstheme="majorBidi"/>
                <w:b/>
                <w:sz w:val="20"/>
              </w:rPr>
            </w:pPr>
            <w:r w:rsidRPr="00674669">
              <w:rPr>
                <w:rFonts w:ascii="Arial Narrow" w:eastAsiaTheme="majorEastAsia" w:hAnsi="Arial Narrow" w:cstheme="majorBidi"/>
                <w:b/>
                <w:sz w:val="20"/>
              </w:rPr>
              <w:t>0.65 (0.51, 0.82)</w:t>
            </w:r>
          </w:p>
        </w:tc>
      </w:tr>
      <w:tr w:rsidR="00AD26DB" w:rsidRPr="00674669" w14:paraId="2F7470D4" w14:textId="77777777" w:rsidTr="00C521FE">
        <w:tc>
          <w:tcPr>
            <w:tcW w:w="9017" w:type="dxa"/>
            <w:gridSpan w:val="5"/>
            <w:vAlign w:val="center"/>
          </w:tcPr>
          <w:p w14:paraId="05E7FA27" w14:textId="77777777" w:rsidR="00AD26DB" w:rsidRPr="00674669" w:rsidRDefault="00AD26DB" w:rsidP="00C521FE">
            <w:pPr>
              <w:keepNext/>
              <w:jc w:val="left"/>
              <w:rPr>
                <w:rFonts w:ascii="Arial Narrow" w:eastAsiaTheme="majorEastAsia" w:hAnsi="Arial Narrow" w:cs="Times New Roman"/>
                <w:b/>
                <w:sz w:val="20"/>
              </w:rPr>
            </w:pPr>
            <w:r w:rsidRPr="00674669">
              <w:rPr>
                <w:rFonts w:ascii="Arial Narrow" w:eastAsiaTheme="majorEastAsia" w:hAnsi="Arial Narrow" w:cs="Times New Roman"/>
                <w:b/>
                <w:sz w:val="20"/>
              </w:rPr>
              <w:t>Progression-free survival</w:t>
            </w:r>
          </w:p>
        </w:tc>
      </w:tr>
      <w:tr w:rsidR="00AD26DB" w:rsidRPr="00674669" w14:paraId="11BF64E7" w14:textId="77777777" w:rsidTr="00C521FE">
        <w:tc>
          <w:tcPr>
            <w:tcW w:w="2830" w:type="dxa"/>
            <w:vAlign w:val="center"/>
          </w:tcPr>
          <w:p w14:paraId="21193382"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Patients with event</w:t>
            </w:r>
          </w:p>
        </w:tc>
        <w:tc>
          <w:tcPr>
            <w:tcW w:w="1701" w:type="dxa"/>
          </w:tcPr>
          <w:p w14:paraId="5ED9C86F"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234/312 (75.0%)</w:t>
            </w:r>
          </w:p>
        </w:tc>
        <w:tc>
          <w:tcPr>
            <w:tcW w:w="1701" w:type="dxa"/>
          </w:tcPr>
          <w:p w14:paraId="63EB2BBB"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133/154 (86.4%)</w:t>
            </w:r>
          </w:p>
        </w:tc>
        <w:tc>
          <w:tcPr>
            <w:tcW w:w="1276" w:type="dxa"/>
            <w:vAlign w:val="center"/>
          </w:tcPr>
          <w:p w14:paraId="4FF983DE"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 xml:space="preserve">- </w:t>
            </w:r>
          </w:p>
        </w:tc>
        <w:tc>
          <w:tcPr>
            <w:tcW w:w="1509" w:type="dxa"/>
            <w:vAlign w:val="center"/>
          </w:tcPr>
          <w:p w14:paraId="3244BACF"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r>
      <w:tr w:rsidR="00AD26DB" w:rsidRPr="00674669" w14:paraId="45B9E967" w14:textId="77777777" w:rsidTr="00C521FE">
        <w:tc>
          <w:tcPr>
            <w:tcW w:w="2830" w:type="dxa"/>
            <w:vAlign w:val="center"/>
          </w:tcPr>
          <w:p w14:paraId="768EB341"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Median PFS months (95% CI)</w:t>
            </w:r>
          </w:p>
        </w:tc>
        <w:tc>
          <w:tcPr>
            <w:tcW w:w="1701" w:type="dxa"/>
          </w:tcPr>
          <w:p w14:paraId="5B7FAD70"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8.2 (6.4, 9.0)</w:t>
            </w:r>
          </w:p>
        </w:tc>
        <w:tc>
          <w:tcPr>
            <w:tcW w:w="1701" w:type="dxa"/>
          </w:tcPr>
          <w:p w14:paraId="4C2D8006"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5.5 (4.3, 6.2)</w:t>
            </w:r>
          </w:p>
        </w:tc>
        <w:tc>
          <w:tcPr>
            <w:tcW w:w="1276" w:type="dxa"/>
            <w:vAlign w:val="center"/>
          </w:tcPr>
          <w:p w14:paraId="089533F5"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2.7 months</w:t>
            </w:r>
          </w:p>
        </w:tc>
        <w:tc>
          <w:tcPr>
            <w:tcW w:w="1509" w:type="dxa"/>
            <w:vAlign w:val="center"/>
          </w:tcPr>
          <w:p w14:paraId="5EF7064F" w14:textId="77777777" w:rsidR="00AD26DB" w:rsidRPr="00674669" w:rsidRDefault="00AD26DB" w:rsidP="00C521FE">
            <w:pPr>
              <w:keepNext/>
              <w:jc w:val="center"/>
              <w:rPr>
                <w:rFonts w:ascii="Arial Narrow" w:eastAsiaTheme="majorEastAsia" w:hAnsi="Arial Narrow" w:cstheme="majorBidi"/>
                <w:b/>
                <w:sz w:val="20"/>
              </w:rPr>
            </w:pPr>
            <w:r w:rsidRPr="00674669">
              <w:rPr>
                <w:rFonts w:ascii="Arial Narrow" w:eastAsiaTheme="majorEastAsia" w:hAnsi="Arial Narrow" w:cstheme="majorBidi"/>
                <w:b/>
                <w:sz w:val="20"/>
              </w:rPr>
              <w:t>0.55 (0.44, 0.68)</w:t>
            </w:r>
          </w:p>
        </w:tc>
      </w:tr>
    </w:tbl>
    <w:p w14:paraId="083BF30E"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 xml:space="preserve">Source: Table 2-22, p53 and Table 2-23, p54 of the submission. </w:t>
      </w:r>
    </w:p>
    <w:p w14:paraId="1C8212A2" w14:textId="67DE3FFF" w:rsidR="009F5B3F" w:rsidRPr="00674669" w:rsidRDefault="009F5B3F" w:rsidP="009F5B3F">
      <w:pPr>
        <w:rPr>
          <w:rFonts w:ascii="Arial Narrow" w:hAnsi="Arial Narrow"/>
          <w:snapToGrid w:val="0"/>
          <w:sz w:val="18"/>
          <w:szCs w:val="22"/>
        </w:rPr>
      </w:pPr>
      <w:r w:rsidRPr="00674669">
        <w:rPr>
          <w:rFonts w:ascii="Arial Narrow" w:hAnsi="Arial Narrow"/>
          <w:snapToGrid w:val="0"/>
          <w:sz w:val="18"/>
          <w:szCs w:val="22"/>
        </w:rPr>
        <w:t xml:space="preserve">CI = confidence interval; HR = hazard ratio; n = number of participants reporting data; N = total participants in group; </w:t>
      </w:r>
      <w:r w:rsidR="009F5AF8" w:rsidRPr="00674669">
        <w:rPr>
          <w:rFonts w:ascii="Arial Narrow" w:hAnsi="Arial Narrow"/>
          <w:snapToGrid w:val="0"/>
          <w:sz w:val="18"/>
          <w:szCs w:val="22"/>
        </w:rPr>
        <w:t xml:space="preserve">OS = overall survival; </w:t>
      </w:r>
      <w:r w:rsidRPr="00674669">
        <w:rPr>
          <w:rFonts w:ascii="Arial Narrow" w:hAnsi="Arial Narrow"/>
          <w:snapToGrid w:val="0"/>
          <w:sz w:val="18"/>
          <w:szCs w:val="22"/>
        </w:rPr>
        <w:t>PDC = platinum-doublet chemotherapy; PFS = progression-free survival.</w:t>
      </w:r>
    </w:p>
    <w:p w14:paraId="7223605E" w14:textId="4C8E54B6" w:rsidR="00700A32" w:rsidRPr="00674669" w:rsidRDefault="009F5B3F" w:rsidP="000A0CE0">
      <w:pPr>
        <w:spacing w:after="120"/>
        <w:rPr>
          <w:rFonts w:ascii="Arial Narrow" w:hAnsi="Arial Narrow"/>
          <w:snapToGrid w:val="0"/>
          <w:sz w:val="18"/>
          <w:szCs w:val="22"/>
        </w:rPr>
      </w:pPr>
      <w:r w:rsidRPr="00674669">
        <w:rPr>
          <w:rFonts w:ascii="Arial Narrow" w:hAnsi="Arial Narrow"/>
          <w:b/>
          <w:bCs/>
          <w:snapToGrid w:val="0"/>
          <w:sz w:val="18"/>
          <w:szCs w:val="22"/>
        </w:rPr>
        <w:t xml:space="preserve">Bold </w:t>
      </w:r>
      <w:r w:rsidRPr="00674669">
        <w:rPr>
          <w:rFonts w:ascii="Arial Narrow" w:hAnsi="Arial Narrow"/>
          <w:snapToGrid w:val="0"/>
          <w:sz w:val="18"/>
          <w:szCs w:val="22"/>
        </w:rPr>
        <w:t xml:space="preserve">indicates statistical significance. </w:t>
      </w:r>
    </w:p>
    <w:p w14:paraId="1CF67FF2" w14:textId="6AF08F65" w:rsidR="00AD26DB" w:rsidRPr="00674669" w:rsidRDefault="00622534" w:rsidP="00AD26DB">
      <w:pPr>
        <w:pStyle w:val="3-BodyText"/>
      </w:pPr>
      <w:r w:rsidRPr="00674669">
        <w:t>T</w:t>
      </w:r>
      <w:r w:rsidR="00AD26DB" w:rsidRPr="00674669">
        <w:t>he median OS in the cemiplimab+PDC arm was 8.2 months longer than that in the placebo+PDC arm (21.1 months versus 12.9 months); and the difference was statistically significant (HR: 0.65; 95% CI: 0.51, 0.82). Furthermore, the median PFS in the cemiplimab+PDC arm was 2.7 months longer than that in the placebo+PDC arm (8.2 months versus 5.5 months); and the difference was statistically significant (HR: 0.55; 95% CI: 0.44, 0.68).</w:t>
      </w:r>
    </w:p>
    <w:p w14:paraId="37971811" w14:textId="523A0E99" w:rsidR="00AD26DB" w:rsidRPr="00674669" w:rsidRDefault="00AD26DB" w:rsidP="00AD26DB">
      <w:pPr>
        <w:pStyle w:val="3-BodyText"/>
      </w:pPr>
      <w:r w:rsidRPr="00674669">
        <w:fldChar w:fldCharType="begin" w:fldLock="1"/>
      </w:r>
      <w:r w:rsidRPr="00674669">
        <w:instrText xml:space="preserve"> REF _Ref142553623 \h  \* MERGEFORMAT </w:instrText>
      </w:r>
      <w:r w:rsidRPr="00674669">
        <w:fldChar w:fldCharType="separate"/>
      </w:r>
      <w:r w:rsidR="0098134F" w:rsidRPr="00674669">
        <w:t>Figure 1</w:t>
      </w:r>
      <w:r w:rsidRPr="00674669">
        <w:fldChar w:fldCharType="end"/>
      </w:r>
      <w:r w:rsidRPr="00674669">
        <w:t xml:space="preserve"> and </w:t>
      </w:r>
      <w:r w:rsidRPr="00674669">
        <w:fldChar w:fldCharType="begin" w:fldLock="1"/>
      </w:r>
      <w:r w:rsidRPr="00674669">
        <w:instrText xml:space="preserve"> REF _Ref142553627 \h  \* MERGEFORMAT </w:instrText>
      </w:r>
      <w:r w:rsidRPr="00674669">
        <w:fldChar w:fldCharType="separate"/>
      </w:r>
      <w:r w:rsidR="0098134F" w:rsidRPr="00674669">
        <w:t>Figure 2</w:t>
      </w:r>
      <w:r w:rsidRPr="00674669">
        <w:fldChar w:fldCharType="end"/>
      </w:r>
      <w:r w:rsidRPr="00674669">
        <w:t xml:space="preserve"> present the Kaplan-Meier plot</w:t>
      </w:r>
      <w:r w:rsidR="004F08E2" w:rsidRPr="00674669">
        <w:t>s</w:t>
      </w:r>
      <w:r w:rsidRPr="00674669">
        <w:t xml:space="preserve"> of OS and PFS for Study 16113.</w:t>
      </w:r>
    </w:p>
    <w:p w14:paraId="3A832402" w14:textId="29B9F3F4" w:rsidR="00AD26DB" w:rsidRPr="00674669" w:rsidRDefault="00AD26DB" w:rsidP="00AD26DB">
      <w:pPr>
        <w:keepNext/>
        <w:keepLines/>
        <w:rPr>
          <w:rFonts w:ascii="Arial Narrow" w:hAnsi="Arial Narrow"/>
          <w:b/>
          <w:bCs/>
          <w:sz w:val="20"/>
          <w:szCs w:val="18"/>
        </w:rPr>
      </w:pPr>
      <w:bookmarkStart w:id="42" w:name="_Ref142553623"/>
      <w:r w:rsidRPr="00674669">
        <w:rPr>
          <w:rFonts w:ascii="Arial Narrow" w:hAnsi="Arial Narrow"/>
          <w:b/>
          <w:bCs/>
          <w:sz w:val="20"/>
          <w:szCs w:val="18"/>
        </w:rPr>
        <w:lastRenderedPageBreak/>
        <w:t xml:space="preserve">Figure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Figure \* ARABIC </w:instrText>
      </w:r>
      <w:r w:rsidRPr="00674669">
        <w:rPr>
          <w:rFonts w:ascii="Arial Narrow" w:hAnsi="Arial Narrow"/>
          <w:b/>
          <w:bCs/>
          <w:sz w:val="20"/>
          <w:szCs w:val="18"/>
        </w:rPr>
        <w:fldChar w:fldCharType="separate"/>
      </w:r>
      <w:r w:rsidRPr="00674669">
        <w:rPr>
          <w:rFonts w:ascii="Arial Narrow" w:hAnsi="Arial Narrow"/>
          <w:b/>
          <w:bCs/>
          <w:sz w:val="20"/>
          <w:szCs w:val="18"/>
        </w:rPr>
        <w:t>1</w:t>
      </w:r>
      <w:r w:rsidRPr="00674669">
        <w:rPr>
          <w:rFonts w:ascii="Arial Narrow" w:hAnsi="Arial Narrow"/>
          <w:b/>
          <w:bCs/>
          <w:sz w:val="20"/>
          <w:szCs w:val="18"/>
        </w:rPr>
        <w:fldChar w:fldCharType="end"/>
      </w:r>
      <w:bookmarkEnd w:id="42"/>
      <w:r w:rsidRPr="00674669">
        <w:rPr>
          <w:rFonts w:ascii="Arial Narrow" w:hAnsi="Arial Narrow"/>
          <w:b/>
          <w:bCs/>
          <w:sz w:val="20"/>
          <w:szCs w:val="18"/>
        </w:rPr>
        <w:t xml:space="preserve">: KM curves of OS in Study 16113 </w:t>
      </w:r>
    </w:p>
    <w:p w14:paraId="540946C7" w14:textId="77777777" w:rsidR="00AD26DB" w:rsidRPr="00674669" w:rsidRDefault="00AD26DB" w:rsidP="00AD26DB">
      <w:r w:rsidRPr="00674669">
        <w:rPr>
          <w:noProof/>
        </w:rPr>
        <w:drawing>
          <wp:inline distT="0" distB="0" distL="0" distR="0" wp14:anchorId="1FF00840" wp14:editId="1E208167">
            <wp:extent cx="5681819" cy="2519916"/>
            <wp:effectExtent l="0" t="0" r="0" b="0"/>
            <wp:docPr id="1" name="Picture 1" descr="Figure 1: KM curves of OS in Study 161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KM curves of OS in Study 16113 "/>
                    <pic:cNvPicPr>
                      <a:picLocks noChangeAspect="1"/>
                    </pic:cNvPicPr>
                  </pic:nvPicPr>
                  <pic:blipFill rotWithShape="1">
                    <a:blip r:embed="rId8"/>
                    <a:srcRect l="2060"/>
                    <a:stretch/>
                  </pic:blipFill>
                  <pic:spPr bwMode="auto">
                    <a:xfrm>
                      <a:off x="0" y="0"/>
                      <a:ext cx="5728950" cy="2540819"/>
                    </a:xfrm>
                    <a:prstGeom prst="rect">
                      <a:avLst/>
                    </a:prstGeom>
                    <a:ln>
                      <a:noFill/>
                    </a:ln>
                    <a:extLst>
                      <a:ext uri="{53640926-AAD7-44D8-BBD7-CCE9431645EC}">
                        <a14:shadowObscured xmlns:a14="http://schemas.microsoft.com/office/drawing/2010/main"/>
                      </a:ext>
                    </a:extLst>
                  </pic:spPr>
                </pic:pic>
              </a:graphicData>
            </a:graphic>
          </wp:inline>
        </w:drawing>
      </w:r>
    </w:p>
    <w:p w14:paraId="02ED2946"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Figure 2-8, p53 of the submission.</w:t>
      </w:r>
    </w:p>
    <w:p w14:paraId="5F5501E6" w14:textId="77777777" w:rsidR="00AD26DB" w:rsidRPr="00674669" w:rsidRDefault="00AD26DB" w:rsidP="00AD26DB">
      <w:pPr>
        <w:contextualSpacing/>
        <w:rPr>
          <w:rFonts w:ascii="Arial Narrow" w:eastAsia="Calibri" w:hAnsi="Arial Narrow"/>
          <w:snapToGrid w:val="0"/>
          <w:sz w:val="18"/>
          <w:szCs w:val="22"/>
        </w:rPr>
      </w:pPr>
      <w:r w:rsidRPr="00674669">
        <w:rPr>
          <w:rFonts w:ascii="Arial Narrow" w:hAnsi="Arial Narrow"/>
          <w:snapToGrid w:val="0"/>
          <w:sz w:val="18"/>
          <w:szCs w:val="22"/>
        </w:rPr>
        <w:t xml:space="preserve">CI = confidence interval, </w:t>
      </w:r>
      <w:r w:rsidRPr="00674669">
        <w:rPr>
          <w:rFonts w:ascii="Arial Narrow" w:eastAsia="Calibri" w:hAnsi="Arial Narrow"/>
          <w:snapToGrid w:val="0"/>
          <w:sz w:val="18"/>
          <w:szCs w:val="22"/>
        </w:rPr>
        <w:t>KM = Kaplan-Meier, OS = overall survival.</w:t>
      </w:r>
    </w:p>
    <w:p w14:paraId="5B36B97C" w14:textId="77777777" w:rsidR="00AD26DB" w:rsidRPr="00674669" w:rsidRDefault="00AD26DB" w:rsidP="00AD26DB">
      <w:pPr>
        <w:spacing w:after="120"/>
        <w:contextualSpacing/>
        <w:rPr>
          <w:rFonts w:ascii="Arial Narrow" w:hAnsi="Arial Narrow"/>
          <w:snapToGrid w:val="0"/>
          <w:sz w:val="18"/>
          <w:szCs w:val="22"/>
        </w:rPr>
      </w:pPr>
    </w:p>
    <w:p w14:paraId="2D06BB4B" w14:textId="542AC6C3" w:rsidR="00AD26DB" w:rsidRPr="00674669" w:rsidRDefault="00AD26DB" w:rsidP="00AD26DB">
      <w:pPr>
        <w:keepNext/>
        <w:keepLines/>
        <w:rPr>
          <w:rFonts w:ascii="Arial Narrow" w:hAnsi="Arial Narrow"/>
          <w:b/>
          <w:bCs/>
          <w:sz w:val="20"/>
          <w:szCs w:val="18"/>
        </w:rPr>
      </w:pPr>
      <w:bookmarkStart w:id="43" w:name="_Ref142553627"/>
      <w:r w:rsidRPr="00674669">
        <w:rPr>
          <w:rFonts w:ascii="Arial Narrow" w:hAnsi="Arial Narrow"/>
          <w:b/>
          <w:bCs/>
          <w:sz w:val="20"/>
          <w:szCs w:val="18"/>
        </w:rPr>
        <w:t xml:space="preserve">Figure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Figure \* ARABIC </w:instrText>
      </w:r>
      <w:r w:rsidRPr="00674669">
        <w:rPr>
          <w:rFonts w:ascii="Arial Narrow" w:hAnsi="Arial Narrow"/>
          <w:b/>
          <w:bCs/>
          <w:sz w:val="20"/>
          <w:szCs w:val="18"/>
        </w:rPr>
        <w:fldChar w:fldCharType="separate"/>
      </w:r>
      <w:r w:rsidRPr="00674669">
        <w:rPr>
          <w:rFonts w:ascii="Arial Narrow" w:hAnsi="Arial Narrow"/>
          <w:b/>
          <w:bCs/>
          <w:sz w:val="20"/>
          <w:szCs w:val="18"/>
        </w:rPr>
        <w:t>2</w:t>
      </w:r>
      <w:r w:rsidRPr="00674669">
        <w:rPr>
          <w:rFonts w:ascii="Arial Narrow" w:hAnsi="Arial Narrow"/>
          <w:b/>
          <w:bCs/>
          <w:sz w:val="20"/>
          <w:szCs w:val="18"/>
        </w:rPr>
        <w:fldChar w:fldCharType="end"/>
      </w:r>
      <w:bookmarkEnd w:id="43"/>
      <w:r w:rsidRPr="00674669">
        <w:rPr>
          <w:rFonts w:ascii="Arial Narrow" w:hAnsi="Arial Narrow"/>
          <w:b/>
          <w:bCs/>
          <w:sz w:val="20"/>
          <w:szCs w:val="18"/>
        </w:rPr>
        <w:t xml:space="preserve">: KM curve of PFS in in Study 16113 </w:t>
      </w:r>
    </w:p>
    <w:p w14:paraId="764BE603" w14:textId="77777777" w:rsidR="00AD26DB" w:rsidRPr="00674669" w:rsidRDefault="00AD26DB" w:rsidP="00AD26DB">
      <w:r w:rsidRPr="00674669">
        <w:rPr>
          <w:noProof/>
        </w:rPr>
        <w:drawing>
          <wp:inline distT="0" distB="0" distL="0" distR="0" wp14:anchorId="04CF41E6" wp14:editId="416D11E7">
            <wp:extent cx="5645888" cy="2631386"/>
            <wp:effectExtent l="0" t="0" r="0" b="0"/>
            <wp:docPr id="2" name="Picture 2" descr="Figure 2: KM curve of PFS in in Study 161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KM curve of PFS in in Study 16113 "/>
                    <pic:cNvPicPr>
                      <a:picLocks noChangeAspect="1"/>
                    </pic:cNvPicPr>
                  </pic:nvPicPr>
                  <pic:blipFill rotWithShape="1">
                    <a:blip r:embed="rId9"/>
                    <a:srcRect l="2053"/>
                    <a:stretch/>
                  </pic:blipFill>
                  <pic:spPr bwMode="auto">
                    <a:xfrm>
                      <a:off x="0" y="0"/>
                      <a:ext cx="5713348" cy="2662827"/>
                    </a:xfrm>
                    <a:prstGeom prst="rect">
                      <a:avLst/>
                    </a:prstGeom>
                    <a:ln>
                      <a:noFill/>
                    </a:ln>
                    <a:extLst>
                      <a:ext uri="{53640926-AAD7-44D8-BBD7-CCE9431645EC}">
                        <a14:shadowObscured xmlns:a14="http://schemas.microsoft.com/office/drawing/2010/main"/>
                      </a:ext>
                    </a:extLst>
                  </pic:spPr>
                </pic:pic>
              </a:graphicData>
            </a:graphic>
          </wp:inline>
        </w:drawing>
      </w:r>
    </w:p>
    <w:p w14:paraId="58C40304"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Figure 2-9, p54 of the submission.</w:t>
      </w:r>
    </w:p>
    <w:p w14:paraId="72B48917" w14:textId="77777777" w:rsidR="00AD26DB" w:rsidRPr="00674669" w:rsidRDefault="00AD26DB" w:rsidP="00AD26DB">
      <w:pPr>
        <w:contextualSpacing/>
        <w:rPr>
          <w:rFonts w:ascii="Arial Narrow" w:eastAsia="Calibri" w:hAnsi="Arial Narrow"/>
          <w:snapToGrid w:val="0"/>
          <w:sz w:val="18"/>
          <w:szCs w:val="22"/>
        </w:rPr>
      </w:pPr>
      <w:r w:rsidRPr="00674669">
        <w:rPr>
          <w:rFonts w:ascii="Arial Narrow" w:hAnsi="Arial Narrow"/>
          <w:snapToGrid w:val="0"/>
          <w:sz w:val="18"/>
          <w:szCs w:val="22"/>
        </w:rPr>
        <w:t xml:space="preserve">CI = confidence interval, </w:t>
      </w:r>
      <w:r w:rsidRPr="00674669">
        <w:rPr>
          <w:rFonts w:ascii="Arial Narrow" w:eastAsia="Calibri" w:hAnsi="Arial Narrow"/>
          <w:snapToGrid w:val="0"/>
          <w:sz w:val="18"/>
          <w:szCs w:val="22"/>
        </w:rPr>
        <w:t>KM = Kaplan-Meier, PFS = progression-free survival.</w:t>
      </w:r>
    </w:p>
    <w:p w14:paraId="12FC32FE" w14:textId="77777777" w:rsidR="00AD26DB" w:rsidRPr="00674669" w:rsidRDefault="00AD26DB" w:rsidP="00AD26DB">
      <w:pPr>
        <w:contextualSpacing/>
        <w:rPr>
          <w:rFonts w:ascii="Arial Narrow" w:eastAsia="Calibri" w:hAnsi="Arial Narrow"/>
          <w:snapToGrid w:val="0"/>
          <w:sz w:val="18"/>
          <w:szCs w:val="22"/>
        </w:rPr>
      </w:pPr>
    </w:p>
    <w:p w14:paraId="6AD0438F" w14:textId="6E7EE1D7" w:rsidR="00AD26DB" w:rsidRPr="00674669" w:rsidRDefault="00B16E84" w:rsidP="00AD26DB">
      <w:pPr>
        <w:pStyle w:val="3-BodyText"/>
      </w:pPr>
      <w:r w:rsidRPr="00674669">
        <w:t xml:space="preserve">The </w:t>
      </w:r>
      <w:r w:rsidR="00AD26DB" w:rsidRPr="00674669">
        <w:t>ORR, a secondary outcome, was significantly greater in the cemiplimab+PDC arm (43.6%; 95% CI: 38.0, 49.3) compared with placebo+PDC arm (22.1%; 95% CI: 15.8, 29.5). Quality-of-life was measured using the European Organisation for Research and Treatment of Cancer Quality-of-Life Questionnaire (EORTC-QLQ-C30 and EORT-QLQ-LC13). There was no overall significant difference in functioning scales and symptoms scores between the treatment arms (0.61; 95% CI: 2.23, 3.45); however, there was a statistically significant overall difference in pain symptoms between treatment arms, favouring cemiplimab+PDC arm (4.98; 95% CI:  8.36, 1.60).</w:t>
      </w:r>
    </w:p>
    <w:p w14:paraId="52BCC0F4" w14:textId="77777777" w:rsidR="00AD26DB" w:rsidRPr="00674669" w:rsidRDefault="00AD26DB" w:rsidP="000A0CE0">
      <w:pPr>
        <w:pStyle w:val="Heading3"/>
        <w:rPr>
          <w:rFonts w:asciiTheme="minorHAnsi" w:hAnsiTheme="minorHAnsi"/>
          <w:b/>
          <w:bCs/>
          <w:snapToGrid w:val="0"/>
        </w:rPr>
      </w:pPr>
      <w:r w:rsidRPr="00674669">
        <w:rPr>
          <w:rFonts w:asciiTheme="minorHAnsi" w:hAnsiTheme="minorHAnsi"/>
          <w:b/>
          <w:bCs/>
          <w:snapToGrid w:val="0"/>
        </w:rPr>
        <w:t>KN-189 and KN-407</w:t>
      </w:r>
    </w:p>
    <w:p w14:paraId="2E434229" w14:textId="6610A113" w:rsidR="00AD26DB" w:rsidRPr="00674669" w:rsidRDefault="00AD26DB" w:rsidP="00AD26DB">
      <w:pPr>
        <w:pStyle w:val="3-BodyText"/>
        <w:rPr>
          <w:color w:val="0066FF"/>
        </w:rPr>
      </w:pPr>
      <w:r w:rsidRPr="00674669">
        <w:lastRenderedPageBreak/>
        <w:t xml:space="preserve">The OS and PFS results for the ITT population in KN-189 and KN-407 trials are presented in </w:t>
      </w:r>
      <w:r w:rsidRPr="00674669">
        <w:fldChar w:fldCharType="begin" w:fldLock="1"/>
      </w:r>
      <w:r w:rsidRPr="00674669">
        <w:instrText xml:space="preserve"> REF _Ref142555911 \h  \* MERGEFORMAT </w:instrText>
      </w:r>
      <w:r w:rsidRPr="00674669">
        <w:fldChar w:fldCharType="separate"/>
      </w:r>
      <w:r w:rsidR="0098134F" w:rsidRPr="00674669">
        <w:t>Table 6</w:t>
      </w:r>
      <w:r w:rsidRPr="00674669">
        <w:fldChar w:fldCharType="end"/>
      </w:r>
      <w:r w:rsidRPr="00674669">
        <w:t>.</w:t>
      </w:r>
    </w:p>
    <w:p w14:paraId="654DD97D" w14:textId="67F1595D" w:rsidR="00AD26DB" w:rsidRPr="00674669" w:rsidRDefault="00AD26DB" w:rsidP="00AD26DB">
      <w:pPr>
        <w:keepNext/>
        <w:keepLines/>
        <w:rPr>
          <w:rFonts w:ascii="Arial Narrow" w:hAnsi="Arial Narrow"/>
          <w:b/>
          <w:bCs/>
          <w:sz w:val="20"/>
          <w:szCs w:val="18"/>
        </w:rPr>
      </w:pPr>
      <w:bookmarkStart w:id="44" w:name="_Ref142555911"/>
      <w:r w:rsidRPr="00674669">
        <w:rPr>
          <w:rFonts w:ascii="Arial Narrow" w:hAnsi="Arial Narrow"/>
          <w:b/>
          <w:bCs/>
          <w:sz w:val="20"/>
          <w:szCs w:val="18"/>
        </w:rPr>
        <w:t xml:space="preserve">Table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Table \* ARABIC </w:instrText>
      </w:r>
      <w:r w:rsidRPr="00674669">
        <w:rPr>
          <w:rFonts w:ascii="Arial Narrow" w:hAnsi="Arial Narrow"/>
          <w:b/>
          <w:bCs/>
          <w:sz w:val="20"/>
          <w:szCs w:val="18"/>
        </w:rPr>
        <w:fldChar w:fldCharType="separate"/>
      </w:r>
      <w:r w:rsidR="006F44A4" w:rsidRPr="00674669">
        <w:rPr>
          <w:rFonts w:ascii="Arial Narrow" w:hAnsi="Arial Narrow"/>
          <w:b/>
          <w:bCs/>
          <w:sz w:val="20"/>
          <w:szCs w:val="18"/>
        </w:rPr>
        <w:t>6</w:t>
      </w:r>
      <w:r w:rsidRPr="00674669">
        <w:rPr>
          <w:rFonts w:ascii="Arial Narrow" w:hAnsi="Arial Narrow"/>
          <w:b/>
          <w:bCs/>
          <w:sz w:val="20"/>
          <w:szCs w:val="18"/>
        </w:rPr>
        <w:fldChar w:fldCharType="end"/>
      </w:r>
      <w:bookmarkEnd w:id="44"/>
      <w:r w:rsidRPr="00674669">
        <w:rPr>
          <w:rFonts w:ascii="Arial Narrow" w:hAnsi="Arial Narrow"/>
          <w:b/>
          <w:bCs/>
          <w:sz w:val="20"/>
          <w:szCs w:val="18"/>
        </w:rPr>
        <w:t xml:space="preserve">: Summary of survival outcomes in KN-189 and KN-407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80"/>
        <w:gridCol w:w="1681"/>
        <w:gridCol w:w="1262"/>
        <w:gridCol w:w="1464"/>
      </w:tblGrid>
      <w:tr w:rsidR="00AD26DB" w:rsidRPr="00674669" w14:paraId="6E91CBC3" w14:textId="77777777" w:rsidTr="00C521FE">
        <w:tc>
          <w:tcPr>
            <w:tcW w:w="1514" w:type="pct"/>
            <w:vAlign w:val="center"/>
          </w:tcPr>
          <w:p w14:paraId="769D6BE5" w14:textId="77777777" w:rsidR="00AD26DB" w:rsidRPr="00674669" w:rsidRDefault="00AD26DB" w:rsidP="00C521FE">
            <w:pPr>
              <w:keepNext/>
              <w:jc w:val="left"/>
              <w:rPr>
                <w:rFonts w:ascii="Arial Narrow" w:eastAsiaTheme="majorEastAsia" w:hAnsi="Arial Narrow" w:cs="Times New Roman"/>
                <w:b/>
                <w:sz w:val="20"/>
              </w:rPr>
            </w:pPr>
            <w:r w:rsidRPr="00674669">
              <w:rPr>
                <w:rFonts w:ascii="Arial Narrow" w:eastAsiaTheme="majorEastAsia" w:hAnsi="Arial Narrow" w:cs="Times New Roman"/>
                <w:b/>
                <w:sz w:val="20"/>
              </w:rPr>
              <w:t>KN-189</w:t>
            </w:r>
          </w:p>
        </w:tc>
        <w:tc>
          <w:tcPr>
            <w:tcW w:w="1042" w:type="pct"/>
            <w:vAlign w:val="center"/>
          </w:tcPr>
          <w:p w14:paraId="10412814" w14:textId="77777777" w:rsidR="00AD26DB" w:rsidRPr="00674669" w:rsidRDefault="00AD26DB" w:rsidP="00C521FE">
            <w:pPr>
              <w:keepNext/>
              <w:jc w:val="center"/>
              <w:rPr>
                <w:rFonts w:ascii="Arial Narrow" w:eastAsiaTheme="majorEastAsia" w:hAnsi="Arial Narrow" w:cs="Times New Roman"/>
                <w:b/>
                <w:bCs/>
                <w:sz w:val="20"/>
              </w:rPr>
            </w:pPr>
            <w:r w:rsidRPr="00674669">
              <w:rPr>
                <w:rFonts w:ascii="Arial Narrow" w:eastAsiaTheme="majorEastAsia" w:hAnsi="Arial Narrow" w:cs="Times New Roman"/>
                <w:b/>
                <w:bCs/>
                <w:sz w:val="20"/>
              </w:rPr>
              <w:t>Pembrolizumab+PDC n/N (%)</w:t>
            </w:r>
          </w:p>
        </w:tc>
        <w:tc>
          <w:tcPr>
            <w:tcW w:w="932" w:type="pct"/>
            <w:vAlign w:val="center"/>
          </w:tcPr>
          <w:p w14:paraId="2EAB52B8" w14:textId="77777777" w:rsidR="00AD26DB" w:rsidRPr="00674669" w:rsidRDefault="00AD26DB" w:rsidP="00C521FE">
            <w:pPr>
              <w:keepNext/>
              <w:jc w:val="center"/>
              <w:rPr>
                <w:rFonts w:ascii="Arial Narrow" w:eastAsiaTheme="majorEastAsia" w:hAnsi="Arial Narrow" w:cs="Times New Roman"/>
                <w:b/>
                <w:bCs/>
                <w:sz w:val="20"/>
              </w:rPr>
            </w:pPr>
            <w:r w:rsidRPr="00674669">
              <w:rPr>
                <w:rFonts w:ascii="Arial Narrow" w:eastAsiaTheme="majorEastAsia" w:hAnsi="Arial Narrow" w:cs="Times New Roman"/>
                <w:b/>
                <w:bCs/>
                <w:sz w:val="20"/>
              </w:rPr>
              <w:t>Placebo+PDC</w:t>
            </w:r>
          </w:p>
          <w:p w14:paraId="7D91334F" w14:textId="77777777" w:rsidR="00AD26DB" w:rsidRPr="00674669" w:rsidRDefault="00AD26DB" w:rsidP="00C521FE">
            <w:pPr>
              <w:keepNext/>
              <w:jc w:val="center"/>
              <w:rPr>
                <w:rFonts w:ascii="Arial Narrow" w:eastAsiaTheme="majorEastAsia" w:hAnsi="Arial Narrow" w:cs="Times New Roman"/>
                <w:b/>
                <w:bCs/>
                <w:sz w:val="20"/>
              </w:rPr>
            </w:pPr>
            <w:r w:rsidRPr="00674669">
              <w:rPr>
                <w:rFonts w:ascii="Arial Narrow" w:eastAsiaTheme="majorEastAsia" w:hAnsi="Arial Narrow" w:cs="Times New Roman"/>
                <w:b/>
                <w:bCs/>
                <w:sz w:val="20"/>
              </w:rPr>
              <w:t>n/N (%)</w:t>
            </w:r>
          </w:p>
        </w:tc>
        <w:tc>
          <w:tcPr>
            <w:tcW w:w="700" w:type="pct"/>
            <w:vAlign w:val="center"/>
          </w:tcPr>
          <w:p w14:paraId="466A4F11" w14:textId="77777777" w:rsidR="00AD26DB" w:rsidRPr="00674669" w:rsidRDefault="00AD26DB" w:rsidP="00C521FE">
            <w:pPr>
              <w:keepNext/>
              <w:jc w:val="center"/>
              <w:rPr>
                <w:rFonts w:ascii="Arial Narrow" w:eastAsiaTheme="majorEastAsia" w:hAnsi="Arial Narrow" w:cs="Times New Roman"/>
                <w:b/>
                <w:bCs/>
                <w:sz w:val="20"/>
              </w:rPr>
            </w:pPr>
            <w:r w:rsidRPr="00674669">
              <w:rPr>
                <w:rFonts w:ascii="Arial Narrow" w:eastAsiaTheme="majorEastAsia" w:hAnsi="Arial Narrow" w:cs="Times New Roman"/>
                <w:b/>
                <w:bCs/>
                <w:sz w:val="20"/>
              </w:rPr>
              <w:t>Absolute difference</w:t>
            </w:r>
          </w:p>
        </w:tc>
        <w:tc>
          <w:tcPr>
            <w:tcW w:w="812" w:type="pct"/>
            <w:vAlign w:val="center"/>
          </w:tcPr>
          <w:p w14:paraId="77681245" w14:textId="77777777" w:rsidR="00AD26DB" w:rsidRPr="00674669" w:rsidRDefault="00AD26DB" w:rsidP="00C521FE">
            <w:pPr>
              <w:keepNext/>
              <w:jc w:val="center"/>
              <w:rPr>
                <w:rFonts w:ascii="Arial Narrow" w:eastAsiaTheme="majorEastAsia" w:hAnsi="Arial Narrow" w:cs="Times New Roman"/>
                <w:b/>
                <w:bCs/>
                <w:sz w:val="20"/>
              </w:rPr>
            </w:pPr>
            <w:r w:rsidRPr="00674669">
              <w:rPr>
                <w:rFonts w:ascii="Arial Narrow" w:eastAsiaTheme="majorEastAsia" w:hAnsi="Arial Narrow" w:cs="Times New Roman"/>
                <w:b/>
                <w:bCs/>
                <w:sz w:val="20"/>
              </w:rPr>
              <w:t>HR (95% CI)</w:t>
            </w:r>
          </w:p>
        </w:tc>
      </w:tr>
      <w:tr w:rsidR="00AD26DB" w:rsidRPr="00674669" w14:paraId="2438A682" w14:textId="77777777" w:rsidTr="00C521FE">
        <w:tc>
          <w:tcPr>
            <w:tcW w:w="5000" w:type="pct"/>
            <w:gridSpan w:val="5"/>
            <w:vAlign w:val="center"/>
          </w:tcPr>
          <w:p w14:paraId="6A42EADA" w14:textId="77777777" w:rsidR="00AD26DB" w:rsidRPr="00674669" w:rsidRDefault="00AD26DB" w:rsidP="00C521FE">
            <w:pPr>
              <w:keepNext/>
              <w:jc w:val="left"/>
              <w:rPr>
                <w:rFonts w:ascii="Arial Narrow" w:eastAsiaTheme="majorEastAsia" w:hAnsi="Arial Narrow" w:cstheme="majorBidi"/>
                <w:b/>
                <w:sz w:val="20"/>
              </w:rPr>
            </w:pPr>
            <w:r w:rsidRPr="00674669">
              <w:rPr>
                <w:rFonts w:ascii="Arial Narrow" w:eastAsiaTheme="majorEastAsia" w:hAnsi="Arial Narrow" w:cstheme="majorBidi"/>
                <w:b/>
                <w:sz w:val="20"/>
              </w:rPr>
              <w:t>Overall survival</w:t>
            </w:r>
          </w:p>
        </w:tc>
      </w:tr>
      <w:tr w:rsidR="00AD26DB" w:rsidRPr="00674669" w14:paraId="64C7C8FF" w14:textId="77777777" w:rsidTr="00C521FE">
        <w:tc>
          <w:tcPr>
            <w:tcW w:w="1514" w:type="pct"/>
            <w:vAlign w:val="center"/>
          </w:tcPr>
          <w:p w14:paraId="2C587FA0"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Patients with event</w:t>
            </w:r>
          </w:p>
        </w:tc>
        <w:tc>
          <w:tcPr>
            <w:tcW w:w="1042" w:type="pct"/>
          </w:tcPr>
          <w:p w14:paraId="5A24F204"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329/410 (80.2%)</w:t>
            </w:r>
          </w:p>
        </w:tc>
        <w:tc>
          <w:tcPr>
            <w:tcW w:w="932" w:type="pct"/>
          </w:tcPr>
          <w:p w14:paraId="56657BF0"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183/206 (88.8%)</w:t>
            </w:r>
          </w:p>
        </w:tc>
        <w:tc>
          <w:tcPr>
            <w:tcW w:w="700" w:type="pct"/>
            <w:vAlign w:val="center"/>
          </w:tcPr>
          <w:p w14:paraId="0E508307"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c>
          <w:tcPr>
            <w:tcW w:w="812" w:type="pct"/>
            <w:vAlign w:val="center"/>
          </w:tcPr>
          <w:p w14:paraId="41BF590B"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r>
      <w:tr w:rsidR="00AD26DB" w:rsidRPr="00674669" w14:paraId="04A418BE" w14:textId="77777777" w:rsidTr="00C521FE">
        <w:tc>
          <w:tcPr>
            <w:tcW w:w="1514" w:type="pct"/>
            <w:vAlign w:val="center"/>
          </w:tcPr>
          <w:p w14:paraId="5F76BBD9"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Median OS months (95% CI)</w:t>
            </w:r>
          </w:p>
        </w:tc>
        <w:tc>
          <w:tcPr>
            <w:tcW w:w="1042" w:type="pct"/>
          </w:tcPr>
          <w:p w14:paraId="69114C2C"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22.0 (19.5, 24.5)</w:t>
            </w:r>
          </w:p>
        </w:tc>
        <w:tc>
          <w:tcPr>
            <w:tcW w:w="932" w:type="pct"/>
          </w:tcPr>
          <w:p w14:paraId="57A413BE"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10.6 (8.7, 13.6)</w:t>
            </w:r>
          </w:p>
        </w:tc>
        <w:tc>
          <w:tcPr>
            <w:tcW w:w="700" w:type="pct"/>
            <w:vAlign w:val="center"/>
          </w:tcPr>
          <w:p w14:paraId="4C963F1B"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11.4 months</w:t>
            </w:r>
          </w:p>
        </w:tc>
        <w:tc>
          <w:tcPr>
            <w:tcW w:w="812" w:type="pct"/>
            <w:vAlign w:val="center"/>
          </w:tcPr>
          <w:p w14:paraId="3AFFDBE8" w14:textId="77777777" w:rsidR="00AD26DB" w:rsidRPr="00674669" w:rsidRDefault="00AD26DB" w:rsidP="00C521FE">
            <w:pPr>
              <w:keepNext/>
              <w:jc w:val="center"/>
              <w:rPr>
                <w:rFonts w:ascii="Arial Narrow" w:eastAsiaTheme="majorEastAsia" w:hAnsi="Arial Narrow" w:cstheme="majorBidi"/>
                <w:sz w:val="20"/>
              </w:rPr>
            </w:pPr>
            <w:r w:rsidRPr="00674669">
              <w:rPr>
                <w:rFonts w:ascii="Arial Narrow" w:eastAsiaTheme="majorEastAsia" w:hAnsi="Arial Narrow" w:cstheme="majorBidi"/>
                <w:sz w:val="20"/>
              </w:rPr>
              <w:t>0.60 (0.50, 0.72)</w:t>
            </w:r>
          </w:p>
        </w:tc>
      </w:tr>
      <w:tr w:rsidR="00AD26DB" w:rsidRPr="00674669" w14:paraId="4A5C5AF4" w14:textId="77777777" w:rsidTr="00C521FE">
        <w:tc>
          <w:tcPr>
            <w:tcW w:w="5000" w:type="pct"/>
            <w:gridSpan w:val="5"/>
            <w:vAlign w:val="center"/>
          </w:tcPr>
          <w:p w14:paraId="2655F31D" w14:textId="77777777" w:rsidR="00AD26DB" w:rsidRPr="00674669" w:rsidRDefault="00AD26DB" w:rsidP="00C521FE">
            <w:pPr>
              <w:keepNext/>
              <w:jc w:val="left"/>
              <w:rPr>
                <w:rFonts w:ascii="Arial Narrow" w:eastAsiaTheme="majorEastAsia" w:hAnsi="Arial Narrow" w:cstheme="majorBidi"/>
                <w:b/>
                <w:sz w:val="20"/>
              </w:rPr>
            </w:pPr>
            <w:r w:rsidRPr="00674669">
              <w:rPr>
                <w:rFonts w:ascii="Arial Narrow" w:eastAsiaTheme="majorEastAsia" w:hAnsi="Arial Narrow" w:cstheme="majorBidi"/>
                <w:b/>
                <w:sz w:val="20"/>
              </w:rPr>
              <w:t>Progression-free survival</w:t>
            </w:r>
          </w:p>
        </w:tc>
      </w:tr>
      <w:tr w:rsidR="00AD26DB" w:rsidRPr="00674669" w14:paraId="6D7023E9" w14:textId="77777777" w:rsidTr="00C521FE">
        <w:tc>
          <w:tcPr>
            <w:tcW w:w="1514" w:type="pct"/>
            <w:vAlign w:val="center"/>
          </w:tcPr>
          <w:p w14:paraId="541A1E0D"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Patients with event</w:t>
            </w:r>
          </w:p>
        </w:tc>
        <w:tc>
          <w:tcPr>
            <w:tcW w:w="1042" w:type="pct"/>
          </w:tcPr>
          <w:p w14:paraId="08FFC9A5"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369/410 (90.0%)</w:t>
            </w:r>
          </w:p>
        </w:tc>
        <w:tc>
          <w:tcPr>
            <w:tcW w:w="932" w:type="pct"/>
          </w:tcPr>
          <w:p w14:paraId="57E76827"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201/206 (97.6%)</w:t>
            </w:r>
          </w:p>
        </w:tc>
        <w:tc>
          <w:tcPr>
            <w:tcW w:w="700" w:type="pct"/>
            <w:vAlign w:val="center"/>
          </w:tcPr>
          <w:p w14:paraId="63937642"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c>
          <w:tcPr>
            <w:tcW w:w="812" w:type="pct"/>
            <w:vAlign w:val="center"/>
          </w:tcPr>
          <w:p w14:paraId="2B2CB6DE"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r>
      <w:tr w:rsidR="00AD26DB" w:rsidRPr="00674669" w14:paraId="2EFBF8F7" w14:textId="77777777" w:rsidTr="00C521FE">
        <w:tc>
          <w:tcPr>
            <w:tcW w:w="1514" w:type="pct"/>
            <w:vAlign w:val="center"/>
          </w:tcPr>
          <w:p w14:paraId="021E8381"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Median PFS months (95% CI)</w:t>
            </w:r>
          </w:p>
        </w:tc>
        <w:tc>
          <w:tcPr>
            <w:tcW w:w="1042" w:type="pct"/>
          </w:tcPr>
          <w:p w14:paraId="67A7A807"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9.0 (8.1, 10.4)</w:t>
            </w:r>
          </w:p>
        </w:tc>
        <w:tc>
          <w:tcPr>
            <w:tcW w:w="932" w:type="pct"/>
          </w:tcPr>
          <w:p w14:paraId="25E60F48"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4.9 (4.7, 5.5)</w:t>
            </w:r>
          </w:p>
        </w:tc>
        <w:tc>
          <w:tcPr>
            <w:tcW w:w="700" w:type="pct"/>
            <w:vAlign w:val="center"/>
          </w:tcPr>
          <w:p w14:paraId="05E4F582"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4.1 months</w:t>
            </w:r>
          </w:p>
        </w:tc>
        <w:tc>
          <w:tcPr>
            <w:tcW w:w="812" w:type="pct"/>
            <w:vAlign w:val="center"/>
          </w:tcPr>
          <w:p w14:paraId="3BAB201E" w14:textId="77777777" w:rsidR="00AD26DB" w:rsidRPr="00674669" w:rsidRDefault="00AD26DB" w:rsidP="00C521FE">
            <w:pPr>
              <w:keepNext/>
              <w:jc w:val="center"/>
              <w:rPr>
                <w:rFonts w:ascii="Arial Narrow" w:eastAsiaTheme="majorEastAsia" w:hAnsi="Arial Narrow" w:cstheme="majorBidi"/>
                <w:b/>
                <w:bCs/>
                <w:sz w:val="20"/>
              </w:rPr>
            </w:pPr>
            <w:r w:rsidRPr="00674669">
              <w:rPr>
                <w:rFonts w:ascii="Arial Narrow" w:eastAsiaTheme="majorEastAsia" w:hAnsi="Arial Narrow" w:cstheme="majorBidi"/>
                <w:sz w:val="20"/>
              </w:rPr>
              <w:t>0.50 (0.42, 0.60</w:t>
            </w:r>
            <w:r w:rsidRPr="00674669">
              <w:rPr>
                <w:rFonts w:ascii="Arial Narrow" w:eastAsiaTheme="majorEastAsia" w:hAnsi="Arial Narrow" w:cstheme="majorBidi"/>
                <w:b/>
                <w:bCs/>
                <w:sz w:val="20"/>
              </w:rPr>
              <w:t>)</w:t>
            </w:r>
          </w:p>
        </w:tc>
      </w:tr>
      <w:tr w:rsidR="00AD26DB" w:rsidRPr="00674669" w14:paraId="7B0CEEAD" w14:textId="77777777" w:rsidTr="00C521FE">
        <w:trPr>
          <w:trHeight w:val="418"/>
        </w:trPr>
        <w:tc>
          <w:tcPr>
            <w:tcW w:w="1514" w:type="pct"/>
            <w:vAlign w:val="center"/>
          </w:tcPr>
          <w:p w14:paraId="138ADBF2" w14:textId="77777777" w:rsidR="00AD26DB" w:rsidRPr="00674669" w:rsidRDefault="00AD26DB" w:rsidP="00C521FE">
            <w:pPr>
              <w:keepNext/>
              <w:jc w:val="left"/>
              <w:rPr>
                <w:rFonts w:ascii="Arial Narrow" w:eastAsiaTheme="majorEastAsia" w:hAnsi="Arial Narrow" w:cs="Times New Roman"/>
                <w:b/>
                <w:sz w:val="20"/>
              </w:rPr>
            </w:pPr>
            <w:r w:rsidRPr="00674669">
              <w:rPr>
                <w:rFonts w:ascii="Arial Narrow" w:eastAsiaTheme="majorEastAsia" w:hAnsi="Arial Narrow" w:cs="Times New Roman"/>
                <w:b/>
                <w:sz w:val="20"/>
              </w:rPr>
              <w:t>KN-407</w:t>
            </w:r>
          </w:p>
        </w:tc>
        <w:tc>
          <w:tcPr>
            <w:tcW w:w="1042" w:type="pct"/>
            <w:vAlign w:val="center"/>
          </w:tcPr>
          <w:p w14:paraId="51249FF1"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Pembrolizumab+PDC n/N (%)</w:t>
            </w:r>
          </w:p>
        </w:tc>
        <w:tc>
          <w:tcPr>
            <w:tcW w:w="932" w:type="pct"/>
            <w:vAlign w:val="center"/>
          </w:tcPr>
          <w:p w14:paraId="0518AFE7"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Placebo+PDC</w:t>
            </w:r>
          </w:p>
          <w:p w14:paraId="1F20F21C"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n/N (%)</w:t>
            </w:r>
          </w:p>
        </w:tc>
        <w:tc>
          <w:tcPr>
            <w:tcW w:w="700" w:type="pct"/>
            <w:vAlign w:val="center"/>
          </w:tcPr>
          <w:p w14:paraId="4DF4D0B2"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Absolute difference</w:t>
            </w:r>
          </w:p>
        </w:tc>
        <w:tc>
          <w:tcPr>
            <w:tcW w:w="812" w:type="pct"/>
            <w:vAlign w:val="center"/>
          </w:tcPr>
          <w:p w14:paraId="43F7232B"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HR (95% CI)</w:t>
            </w:r>
          </w:p>
        </w:tc>
      </w:tr>
      <w:tr w:rsidR="00AD26DB" w:rsidRPr="00674669" w14:paraId="79496689" w14:textId="77777777" w:rsidTr="00C521FE">
        <w:tc>
          <w:tcPr>
            <w:tcW w:w="5000" w:type="pct"/>
            <w:gridSpan w:val="5"/>
          </w:tcPr>
          <w:p w14:paraId="3A2D5CAF" w14:textId="77777777" w:rsidR="00AD26DB" w:rsidRPr="00674669" w:rsidRDefault="00AD26DB" w:rsidP="00C521FE">
            <w:pPr>
              <w:keepNext/>
              <w:jc w:val="left"/>
              <w:rPr>
                <w:rFonts w:ascii="Arial Narrow" w:eastAsiaTheme="majorEastAsia" w:hAnsi="Arial Narrow" w:cstheme="majorBidi"/>
                <w:b/>
                <w:bCs/>
                <w:sz w:val="20"/>
              </w:rPr>
            </w:pPr>
            <w:r w:rsidRPr="00674669">
              <w:rPr>
                <w:rFonts w:ascii="Arial Narrow" w:eastAsiaTheme="majorEastAsia" w:hAnsi="Arial Narrow" w:cstheme="majorBidi"/>
                <w:b/>
                <w:bCs/>
                <w:sz w:val="20"/>
              </w:rPr>
              <w:t>Overall survival</w:t>
            </w:r>
          </w:p>
        </w:tc>
      </w:tr>
      <w:tr w:rsidR="00AD26DB" w:rsidRPr="00674669" w14:paraId="307DE8D7" w14:textId="77777777" w:rsidTr="00C521FE">
        <w:tc>
          <w:tcPr>
            <w:tcW w:w="1514" w:type="pct"/>
          </w:tcPr>
          <w:p w14:paraId="0FEF821E"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Patients with event</w:t>
            </w:r>
          </w:p>
        </w:tc>
        <w:tc>
          <w:tcPr>
            <w:tcW w:w="1042" w:type="pct"/>
          </w:tcPr>
          <w:p w14:paraId="725F858C"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225/278 (80.9%)</w:t>
            </w:r>
          </w:p>
        </w:tc>
        <w:tc>
          <w:tcPr>
            <w:tcW w:w="932" w:type="pct"/>
          </w:tcPr>
          <w:p w14:paraId="55934518"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248/281 (88.3%)</w:t>
            </w:r>
          </w:p>
        </w:tc>
        <w:tc>
          <w:tcPr>
            <w:tcW w:w="700" w:type="pct"/>
          </w:tcPr>
          <w:p w14:paraId="0DCE7FAA" w14:textId="77777777" w:rsidR="00AD26DB" w:rsidRPr="00674669" w:rsidRDefault="00AD26DB" w:rsidP="00C521FE">
            <w:pPr>
              <w:keepNext/>
              <w:jc w:val="center"/>
              <w:rPr>
                <w:rFonts w:ascii="Arial Narrow" w:eastAsiaTheme="majorEastAsia" w:hAnsi="Arial Narrow" w:cstheme="majorBidi"/>
                <w:bCs/>
                <w:iCs/>
                <w:sz w:val="20"/>
              </w:rPr>
            </w:pPr>
            <w:r w:rsidRPr="00674669">
              <w:rPr>
                <w:rFonts w:ascii="Arial Narrow" w:eastAsiaTheme="majorEastAsia" w:hAnsi="Arial Narrow" w:cstheme="majorBidi"/>
                <w:bCs/>
                <w:iCs/>
                <w:sz w:val="20"/>
              </w:rPr>
              <w:t>-</w:t>
            </w:r>
          </w:p>
        </w:tc>
        <w:tc>
          <w:tcPr>
            <w:tcW w:w="812" w:type="pct"/>
          </w:tcPr>
          <w:p w14:paraId="46045D59"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r>
      <w:tr w:rsidR="00AD26DB" w:rsidRPr="00674669" w14:paraId="76C47BDE" w14:textId="77777777" w:rsidTr="00C521FE">
        <w:tc>
          <w:tcPr>
            <w:tcW w:w="1514" w:type="pct"/>
          </w:tcPr>
          <w:p w14:paraId="695A3AD9"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Median OS months (95% CI)</w:t>
            </w:r>
          </w:p>
        </w:tc>
        <w:tc>
          <w:tcPr>
            <w:tcW w:w="1042" w:type="pct"/>
          </w:tcPr>
          <w:p w14:paraId="45908042"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17.2 (14.4, 19.7)</w:t>
            </w:r>
          </w:p>
        </w:tc>
        <w:tc>
          <w:tcPr>
            <w:tcW w:w="932" w:type="pct"/>
          </w:tcPr>
          <w:p w14:paraId="53952D41"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11.6 (10.1,13.7)</w:t>
            </w:r>
          </w:p>
        </w:tc>
        <w:tc>
          <w:tcPr>
            <w:tcW w:w="700" w:type="pct"/>
          </w:tcPr>
          <w:p w14:paraId="1CF6092E"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5.6 months</w:t>
            </w:r>
          </w:p>
        </w:tc>
        <w:tc>
          <w:tcPr>
            <w:tcW w:w="812" w:type="pct"/>
          </w:tcPr>
          <w:p w14:paraId="25CAF923" w14:textId="77777777" w:rsidR="00AD26DB" w:rsidRPr="00674669" w:rsidRDefault="00AD26DB" w:rsidP="00C521FE">
            <w:pPr>
              <w:keepNext/>
              <w:jc w:val="center"/>
              <w:rPr>
                <w:rFonts w:ascii="Arial Narrow" w:eastAsiaTheme="majorEastAsia" w:hAnsi="Arial Narrow" w:cstheme="majorBidi"/>
                <w:sz w:val="20"/>
              </w:rPr>
            </w:pPr>
            <w:r w:rsidRPr="00674669">
              <w:rPr>
                <w:rFonts w:ascii="Arial Narrow" w:eastAsiaTheme="majorEastAsia" w:hAnsi="Arial Narrow" w:cstheme="majorBidi"/>
                <w:sz w:val="20"/>
              </w:rPr>
              <w:t>0.71 (0.59, 0.85)</w:t>
            </w:r>
          </w:p>
        </w:tc>
      </w:tr>
      <w:tr w:rsidR="00AD26DB" w:rsidRPr="00674669" w14:paraId="6CB1E951" w14:textId="77777777" w:rsidTr="00C521FE">
        <w:tc>
          <w:tcPr>
            <w:tcW w:w="5000" w:type="pct"/>
            <w:gridSpan w:val="5"/>
          </w:tcPr>
          <w:p w14:paraId="6AD0F0C7" w14:textId="77777777" w:rsidR="00AD26DB" w:rsidRPr="00674669" w:rsidRDefault="00AD26DB" w:rsidP="00C521FE">
            <w:pPr>
              <w:keepNext/>
              <w:jc w:val="left"/>
              <w:rPr>
                <w:rFonts w:ascii="Arial Narrow" w:eastAsiaTheme="majorEastAsia" w:hAnsi="Arial Narrow" w:cstheme="majorBidi"/>
                <w:b/>
                <w:bCs/>
                <w:sz w:val="20"/>
              </w:rPr>
            </w:pPr>
            <w:r w:rsidRPr="00674669">
              <w:rPr>
                <w:rFonts w:ascii="Arial Narrow" w:eastAsiaTheme="majorEastAsia" w:hAnsi="Arial Narrow" w:cstheme="majorBidi"/>
                <w:b/>
                <w:bCs/>
                <w:sz w:val="20"/>
              </w:rPr>
              <w:t>Progression-free survival</w:t>
            </w:r>
          </w:p>
        </w:tc>
      </w:tr>
      <w:tr w:rsidR="00AD26DB" w:rsidRPr="00674669" w14:paraId="63D1C808" w14:textId="77777777" w:rsidTr="00C521FE">
        <w:tc>
          <w:tcPr>
            <w:tcW w:w="1514" w:type="pct"/>
            <w:vAlign w:val="center"/>
          </w:tcPr>
          <w:p w14:paraId="0050BF57"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Patients with event</w:t>
            </w:r>
          </w:p>
        </w:tc>
        <w:tc>
          <w:tcPr>
            <w:tcW w:w="1042" w:type="pct"/>
          </w:tcPr>
          <w:p w14:paraId="34C92A46"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241/278 (86.7%)</w:t>
            </w:r>
          </w:p>
        </w:tc>
        <w:tc>
          <w:tcPr>
            <w:tcW w:w="932" w:type="pct"/>
          </w:tcPr>
          <w:p w14:paraId="246785B7"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265/281 (94.3%)</w:t>
            </w:r>
          </w:p>
        </w:tc>
        <w:tc>
          <w:tcPr>
            <w:tcW w:w="700" w:type="pct"/>
            <w:vAlign w:val="center"/>
          </w:tcPr>
          <w:p w14:paraId="32818DE1" w14:textId="77777777" w:rsidR="00AD26DB" w:rsidRPr="00674669" w:rsidRDefault="00AD26DB" w:rsidP="00C521FE">
            <w:pPr>
              <w:keepNext/>
              <w:jc w:val="center"/>
              <w:rPr>
                <w:rFonts w:ascii="Arial Narrow" w:eastAsiaTheme="majorEastAsia" w:hAnsi="Arial Narrow" w:cstheme="majorBidi"/>
                <w:bCs/>
                <w:iCs/>
                <w:sz w:val="20"/>
              </w:rPr>
            </w:pPr>
            <w:r w:rsidRPr="00674669">
              <w:rPr>
                <w:rFonts w:ascii="Arial Narrow" w:eastAsiaTheme="majorEastAsia" w:hAnsi="Arial Narrow" w:cstheme="majorBidi"/>
                <w:bCs/>
                <w:iCs/>
                <w:sz w:val="20"/>
              </w:rPr>
              <w:t>-</w:t>
            </w:r>
          </w:p>
        </w:tc>
        <w:tc>
          <w:tcPr>
            <w:tcW w:w="812" w:type="pct"/>
            <w:vAlign w:val="center"/>
          </w:tcPr>
          <w:p w14:paraId="2F2CC6C2"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p>
        </w:tc>
      </w:tr>
      <w:tr w:rsidR="00AD26DB" w:rsidRPr="00674669" w14:paraId="4B28A058" w14:textId="77777777" w:rsidTr="00C521FE">
        <w:tc>
          <w:tcPr>
            <w:tcW w:w="1514" w:type="pct"/>
            <w:vAlign w:val="center"/>
          </w:tcPr>
          <w:p w14:paraId="01F3C6A8"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Median PFS months (95% CI)</w:t>
            </w:r>
          </w:p>
        </w:tc>
        <w:tc>
          <w:tcPr>
            <w:tcW w:w="1042" w:type="pct"/>
          </w:tcPr>
          <w:p w14:paraId="0018D627"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8.0 (6.3, 8.5)</w:t>
            </w:r>
          </w:p>
        </w:tc>
        <w:tc>
          <w:tcPr>
            <w:tcW w:w="932" w:type="pct"/>
          </w:tcPr>
          <w:p w14:paraId="53DC55B5"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5.1 (4.3, 6.0)</w:t>
            </w:r>
          </w:p>
        </w:tc>
        <w:tc>
          <w:tcPr>
            <w:tcW w:w="700" w:type="pct"/>
            <w:vAlign w:val="center"/>
          </w:tcPr>
          <w:p w14:paraId="46D0F2CA"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2.9 months</w:t>
            </w:r>
          </w:p>
        </w:tc>
        <w:tc>
          <w:tcPr>
            <w:tcW w:w="812" w:type="pct"/>
            <w:vAlign w:val="center"/>
          </w:tcPr>
          <w:p w14:paraId="58FF09D2" w14:textId="77777777" w:rsidR="00AD26DB" w:rsidRPr="00674669" w:rsidRDefault="00AD26DB" w:rsidP="00C521FE">
            <w:pPr>
              <w:keepNext/>
              <w:jc w:val="center"/>
              <w:rPr>
                <w:rFonts w:ascii="Arial Narrow" w:eastAsiaTheme="majorEastAsia" w:hAnsi="Arial Narrow" w:cstheme="majorBidi"/>
                <w:sz w:val="20"/>
              </w:rPr>
            </w:pPr>
            <w:r w:rsidRPr="00674669">
              <w:rPr>
                <w:rFonts w:ascii="Arial Narrow" w:eastAsiaTheme="majorEastAsia" w:hAnsi="Arial Narrow" w:cstheme="majorBidi"/>
                <w:sz w:val="20"/>
              </w:rPr>
              <w:t>0.62 (0.52, 0.74)</w:t>
            </w:r>
          </w:p>
        </w:tc>
      </w:tr>
    </w:tbl>
    <w:p w14:paraId="2084A023" w14:textId="77777777" w:rsidR="009F5B3F" w:rsidRPr="00674669" w:rsidRDefault="00AD26DB" w:rsidP="009F5B3F">
      <w:pPr>
        <w:spacing w:after="120"/>
        <w:contextualSpacing/>
        <w:rPr>
          <w:rFonts w:ascii="Arial Narrow" w:hAnsi="Arial Narrow"/>
          <w:snapToGrid w:val="0"/>
          <w:sz w:val="18"/>
          <w:szCs w:val="22"/>
        </w:rPr>
      </w:pPr>
      <w:bookmarkStart w:id="45" w:name="_Hlk142555926"/>
      <w:r w:rsidRPr="00674669">
        <w:rPr>
          <w:rFonts w:ascii="Arial Narrow" w:hAnsi="Arial Narrow"/>
          <w:snapToGrid w:val="0"/>
          <w:sz w:val="18"/>
          <w:szCs w:val="22"/>
        </w:rPr>
        <w:t xml:space="preserve">Source: Figure 2-10, p55; Figure 2-11, p56; Figure 2-12, p57 and Figure 2-13, p58 of the submission. </w:t>
      </w:r>
      <w:bookmarkEnd w:id="45"/>
    </w:p>
    <w:p w14:paraId="26D502E5" w14:textId="5027E423" w:rsidR="009F5B3F" w:rsidRPr="00674669" w:rsidRDefault="009F5B3F" w:rsidP="009F5B3F">
      <w:pPr>
        <w:spacing w:after="120"/>
        <w:contextualSpacing/>
        <w:rPr>
          <w:rFonts w:ascii="Arial Narrow" w:hAnsi="Arial Narrow"/>
          <w:snapToGrid w:val="0"/>
          <w:sz w:val="18"/>
          <w:szCs w:val="22"/>
        </w:rPr>
      </w:pPr>
      <w:r w:rsidRPr="00674669">
        <w:rPr>
          <w:rFonts w:ascii="Arial Narrow" w:hAnsi="Arial Narrow"/>
          <w:sz w:val="18"/>
          <w:szCs w:val="22"/>
        </w:rPr>
        <w:t>CI = confidence interval; HR = hazard ratio; OS = overall survival; n = number of participants reporting data; N = total participants in group; PDC = platinum-doublet chemotherapy; PFS = progression-free survival.</w:t>
      </w:r>
    </w:p>
    <w:p w14:paraId="35E78030" w14:textId="19EF9D5C" w:rsidR="00AD26DB" w:rsidRPr="00674669" w:rsidRDefault="00AD26DB" w:rsidP="009F5B3F">
      <w:pPr>
        <w:pStyle w:val="3-BodyText"/>
      </w:pPr>
      <w:r w:rsidRPr="00674669">
        <w:t xml:space="preserve">In KN-189, pembrolizumab+PDC was associated with statistically significant improvement in OS (HR: 0.60; 95% CI: 0.50, 0.72) and PFS (HR: 0.50; 95% CI: 0.42, 0.60) compared to placebo+PDC. Similarly, pembrolizumab+PDC was associated with statistically significant improvement in OS (HR: 0.71; 95% CI: 0.59, 0.85) and PFS (HR: 0.62; 95% CI: 0.52, 0.74) compared to placebo+PDC in KN-407. </w:t>
      </w:r>
    </w:p>
    <w:p w14:paraId="7303C6DF" w14:textId="4E1D3338" w:rsidR="00AD26DB" w:rsidRPr="00674669" w:rsidRDefault="00AD26DB" w:rsidP="00AD26DB">
      <w:pPr>
        <w:pStyle w:val="3-BodyText"/>
      </w:pPr>
      <w:r w:rsidRPr="00674669">
        <w:fldChar w:fldCharType="begin" w:fldLock="1"/>
      </w:r>
      <w:r w:rsidRPr="00674669">
        <w:instrText xml:space="preserve"> REF _Ref142556638 \h  \* MERGEFORMAT </w:instrText>
      </w:r>
      <w:r w:rsidRPr="00674669">
        <w:fldChar w:fldCharType="separate"/>
      </w:r>
      <w:r w:rsidR="0098134F" w:rsidRPr="00674669">
        <w:t>Figure 3</w:t>
      </w:r>
      <w:r w:rsidRPr="00674669">
        <w:fldChar w:fldCharType="end"/>
      </w:r>
      <w:r w:rsidRPr="00674669">
        <w:t xml:space="preserve"> and </w:t>
      </w:r>
      <w:r w:rsidRPr="00674669">
        <w:fldChar w:fldCharType="begin" w:fldLock="1"/>
      </w:r>
      <w:r w:rsidRPr="00674669">
        <w:instrText xml:space="preserve"> REF _Ref142556640 \h  \* MERGEFORMAT </w:instrText>
      </w:r>
      <w:r w:rsidRPr="00674669">
        <w:fldChar w:fldCharType="separate"/>
      </w:r>
      <w:r w:rsidR="0098134F" w:rsidRPr="00674669">
        <w:t>Figure 4</w:t>
      </w:r>
      <w:r w:rsidRPr="00674669">
        <w:fldChar w:fldCharType="end"/>
      </w:r>
      <w:r w:rsidRPr="00674669">
        <w:t xml:space="preserve"> presents the Kaplan-Meier plot of OS and PFS for KN-189.</w:t>
      </w:r>
    </w:p>
    <w:p w14:paraId="72F1608E" w14:textId="23E6E143" w:rsidR="00AD26DB" w:rsidRPr="00674669" w:rsidRDefault="00AD26DB" w:rsidP="00AD26DB">
      <w:pPr>
        <w:keepNext/>
        <w:keepLines/>
        <w:rPr>
          <w:rFonts w:ascii="Arial Narrow" w:hAnsi="Arial Narrow"/>
          <w:b/>
          <w:bCs/>
          <w:sz w:val="20"/>
          <w:szCs w:val="18"/>
        </w:rPr>
      </w:pPr>
      <w:bookmarkStart w:id="46" w:name="_Ref142556638"/>
      <w:r w:rsidRPr="00674669">
        <w:rPr>
          <w:rFonts w:ascii="Arial Narrow" w:hAnsi="Arial Narrow"/>
          <w:b/>
          <w:bCs/>
          <w:sz w:val="20"/>
          <w:szCs w:val="18"/>
        </w:rPr>
        <w:t xml:space="preserve">Figure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Figure \* ARABIC </w:instrText>
      </w:r>
      <w:r w:rsidRPr="00674669">
        <w:rPr>
          <w:rFonts w:ascii="Arial Narrow" w:hAnsi="Arial Narrow"/>
          <w:b/>
          <w:bCs/>
          <w:sz w:val="20"/>
          <w:szCs w:val="18"/>
        </w:rPr>
        <w:fldChar w:fldCharType="separate"/>
      </w:r>
      <w:r w:rsidRPr="00674669">
        <w:rPr>
          <w:rFonts w:ascii="Arial Narrow" w:hAnsi="Arial Narrow"/>
          <w:b/>
          <w:bCs/>
          <w:sz w:val="20"/>
          <w:szCs w:val="18"/>
        </w:rPr>
        <w:t>3</w:t>
      </w:r>
      <w:r w:rsidRPr="00674669">
        <w:rPr>
          <w:rFonts w:ascii="Arial Narrow" w:hAnsi="Arial Narrow"/>
          <w:b/>
          <w:bCs/>
          <w:sz w:val="20"/>
          <w:szCs w:val="18"/>
        </w:rPr>
        <w:fldChar w:fldCharType="end"/>
      </w:r>
      <w:bookmarkEnd w:id="46"/>
      <w:r w:rsidRPr="00674669">
        <w:rPr>
          <w:rFonts w:ascii="Arial Narrow" w:hAnsi="Arial Narrow"/>
          <w:b/>
          <w:bCs/>
          <w:sz w:val="20"/>
          <w:szCs w:val="18"/>
        </w:rPr>
        <w:t xml:space="preserve">: KM curve of OS in KN-189 </w:t>
      </w:r>
    </w:p>
    <w:p w14:paraId="3112180E" w14:textId="77777777" w:rsidR="00AD26DB" w:rsidRPr="00674669" w:rsidRDefault="00AD26DB" w:rsidP="00AD26DB">
      <w:r w:rsidRPr="00674669">
        <w:rPr>
          <w:noProof/>
        </w:rPr>
        <w:drawing>
          <wp:inline distT="0" distB="0" distL="0" distR="0" wp14:anchorId="43E7F0FA" wp14:editId="7F31A3CE">
            <wp:extent cx="4284921" cy="2487777"/>
            <wp:effectExtent l="0" t="0" r="1905" b="8255"/>
            <wp:docPr id="3" name="Picture 3" descr="Figure 3: KM curve of OS in KN-18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KM curve of OS in KN-189 "/>
                    <pic:cNvPicPr>
                      <a:picLocks noChangeAspect="1"/>
                    </pic:cNvPicPr>
                  </pic:nvPicPr>
                  <pic:blipFill>
                    <a:blip r:embed="rId10"/>
                    <a:stretch>
                      <a:fillRect/>
                    </a:stretch>
                  </pic:blipFill>
                  <pic:spPr>
                    <a:xfrm>
                      <a:off x="0" y="0"/>
                      <a:ext cx="4343395" cy="2521727"/>
                    </a:xfrm>
                    <a:prstGeom prst="rect">
                      <a:avLst/>
                    </a:prstGeom>
                  </pic:spPr>
                </pic:pic>
              </a:graphicData>
            </a:graphic>
          </wp:inline>
        </w:drawing>
      </w:r>
    </w:p>
    <w:p w14:paraId="1E319D4A"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Figure 2-10, p55 of the submission.</w:t>
      </w:r>
    </w:p>
    <w:p w14:paraId="706BEF4E" w14:textId="77777777" w:rsidR="00AD26DB" w:rsidRPr="00674669" w:rsidRDefault="00AD26DB" w:rsidP="00AD26DB">
      <w:pPr>
        <w:contextualSpacing/>
        <w:rPr>
          <w:rFonts w:ascii="Arial Narrow" w:eastAsia="Calibri" w:hAnsi="Arial Narrow"/>
          <w:snapToGrid w:val="0"/>
          <w:sz w:val="18"/>
          <w:szCs w:val="22"/>
        </w:rPr>
      </w:pPr>
      <w:r w:rsidRPr="00674669">
        <w:rPr>
          <w:rFonts w:ascii="Arial Narrow" w:hAnsi="Arial Narrow"/>
          <w:snapToGrid w:val="0"/>
          <w:sz w:val="18"/>
          <w:szCs w:val="22"/>
        </w:rPr>
        <w:t xml:space="preserve">CI = confidence interval, HR = hazard ratio; </w:t>
      </w:r>
      <w:r w:rsidRPr="00674669">
        <w:rPr>
          <w:rFonts w:ascii="Arial Narrow" w:eastAsia="Calibri" w:hAnsi="Arial Narrow"/>
          <w:snapToGrid w:val="0"/>
          <w:sz w:val="18"/>
          <w:szCs w:val="22"/>
        </w:rPr>
        <w:t>KM = Kaplan-Meier, OS = overall survival.</w:t>
      </w:r>
    </w:p>
    <w:p w14:paraId="77C871DA" w14:textId="77777777" w:rsidR="00AD26DB" w:rsidRPr="00674669" w:rsidRDefault="00AD26DB" w:rsidP="00AD26DB">
      <w:pPr>
        <w:spacing w:after="120"/>
        <w:rPr>
          <w:rFonts w:asciiTheme="minorHAnsi" w:hAnsiTheme="minorHAnsi"/>
          <w:snapToGrid w:val="0"/>
        </w:rPr>
      </w:pPr>
    </w:p>
    <w:p w14:paraId="186FF7FA" w14:textId="762BCDDF" w:rsidR="00AD26DB" w:rsidRPr="00674669" w:rsidRDefault="00AD26DB" w:rsidP="00AD26DB">
      <w:pPr>
        <w:keepNext/>
        <w:keepLines/>
        <w:rPr>
          <w:rFonts w:ascii="Arial Narrow" w:hAnsi="Arial Narrow"/>
          <w:b/>
          <w:bCs/>
          <w:sz w:val="20"/>
          <w:szCs w:val="18"/>
        </w:rPr>
      </w:pPr>
      <w:bookmarkStart w:id="47" w:name="_Ref142556640"/>
      <w:r w:rsidRPr="00674669">
        <w:rPr>
          <w:rFonts w:ascii="Arial Narrow" w:hAnsi="Arial Narrow"/>
          <w:b/>
          <w:bCs/>
          <w:sz w:val="20"/>
          <w:szCs w:val="18"/>
        </w:rPr>
        <w:lastRenderedPageBreak/>
        <w:t xml:space="preserve">Figure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Figure \* ARABIC </w:instrText>
      </w:r>
      <w:r w:rsidRPr="00674669">
        <w:rPr>
          <w:rFonts w:ascii="Arial Narrow" w:hAnsi="Arial Narrow"/>
          <w:b/>
          <w:bCs/>
          <w:sz w:val="20"/>
          <w:szCs w:val="18"/>
        </w:rPr>
        <w:fldChar w:fldCharType="separate"/>
      </w:r>
      <w:r w:rsidRPr="00674669">
        <w:rPr>
          <w:rFonts w:ascii="Arial Narrow" w:hAnsi="Arial Narrow"/>
          <w:b/>
          <w:bCs/>
          <w:sz w:val="20"/>
          <w:szCs w:val="18"/>
        </w:rPr>
        <w:t>4</w:t>
      </w:r>
      <w:r w:rsidRPr="00674669">
        <w:rPr>
          <w:rFonts w:ascii="Arial Narrow" w:hAnsi="Arial Narrow"/>
          <w:b/>
          <w:bCs/>
          <w:sz w:val="20"/>
          <w:szCs w:val="18"/>
        </w:rPr>
        <w:fldChar w:fldCharType="end"/>
      </w:r>
      <w:bookmarkEnd w:id="47"/>
      <w:r w:rsidRPr="00674669">
        <w:rPr>
          <w:rFonts w:ascii="Arial Narrow" w:hAnsi="Arial Narrow"/>
          <w:b/>
          <w:bCs/>
          <w:sz w:val="20"/>
          <w:szCs w:val="18"/>
        </w:rPr>
        <w:t xml:space="preserve">: KM curve of PFS in KN-189 </w:t>
      </w:r>
    </w:p>
    <w:p w14:paraId="1A88F735" w14:textId="77777777" w:rsidR="00AD26DB" w:rsidRPr="00674669" w:rsidRDefault="00AD26DB" w:rsidP="00AD26DB">
      <w:r w:rsidRPr="00674669">
        <w:rPr>
          <w:noProof/>
        </w:rPr>
        <w:drawing>
          <wp:inline distT="0" distB="0" distL="0" distR="0" wp14:anchorId="0F87BCDE" wp14:editId="4DD22147">
            <wp:extent cx="4455042" cy="2487295"/>
            <wp:effectExtent l="0" t="0" r="3175" b="8255"/>
            <wp:docPr id="6" name="Picture 6" descr="Figure 4: KM curve of PFS in KN-18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4: KM curve of PFS in KN-189 "/>
                    <pic:cNvPicPr>
                      <a:picLocks noChangeAspect="1"/>
                    </pic:cNvPicPr>
                  </pic:nvPicPr>
                  <pic:blipFill>
                    <a:blip r:embed="rId11"/>
                    <a:stretch>
                      <a:fillRect/>
                    </a:stretch>
                  </pic:blipFill>
                  <pic:spPr>
                    <a:xfrm>
                      <a:off x="0" y="0"/>
                      <a:ext cx="4457252" cy="2488529"/>
                    </a:xfrm>
                    <a:prstGeom prst="rect">
                      <a:avLst/>
                    </a:prstGeom>
                  </pic:spPr>
                </pic:pic>
              </a:graphicData>
            </a:graphic>
          </wp:inline>
        </w:drawing>
      </w:r>
    </w:p>
    <w:p w14:paraId="13806760"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Figure 2-11, p56 of the submission.</w:t>
      </w:r>
    </w:p>
    <w:p w14:paraId="400A8D6A" w14:textId="77777777" w:rsidR="00AD26DB" w:rsidRPr="00674669" w:rsidRDefault="00AD26DB" w:rsidP="00AD26DB">
      <w:pPr>
        <w:contextualSpacing/>
        <w:rPr>
          <w:rFonts w:ascii="Arial Narrow" w:eastAsia="Calibri" w:hAnsi="Arial Narrow"/>
          <w:snapToGrid w:val="0"/>
          <w:sz w:val="18"/>
          <w:szCs w:val="22"/>
        </w:rPr>
      </w:pPr>
      <w:r w:rsidRPr="00674669">
        <w:rPr>
          <w:rFonts w:ascii="Arial Narrow" w:hAnsi="Arial Narrow"/>
          <w:snapToGrid w:val="0"/>
          <w:sz w:val="18"/>
          <w:szCs w:val="22"/>
        </w:rPr>
        <w:t xml:space="preserve">CI = confidence interval, HR = hazard ratio; </w:t>
      </w:r>
      <w:r w:rsidRPr="00674669">
        <w:rPr>
          <w:rFonts w:ascii="Arial Narrow" w:eastAsia="Calibri" w:hAnsi="Arial Narrow"/>
          <w:snapToGrid w:val="0"/>
          <w:sz w:val="18"/>
          <w:szCs w:val="22"/>
        </w:rPr>
        <w:t>KM = Kaplan-Meier, PFS = progression-free survival.</w:t>
      </w:r>
    </w:p>
    <w:p w14:paraId="6FDFF68B" w14:textId="77777777" w:rsidR="00AD26DB" w:rsidRPr="00674669" w:rsidRDefault="00AD26DB" w:rsidP="00AD26DB">
      <w:pPr>
        <w:contextualSpacing/>
        <w:rPr>
          <w:rFonts w:ascii="Arial Narrow" w:eastAsia="Calibri" w:hAnsi="Arial Narrow"/>
          <w:snapToGrid w:val="0"/>
          <w:sz w:val="18"/>
          <w:szCs w:val="22"/>
        </w:rPr>
      </w:pPr>
    </w:p>
    <w:p w14:paraId="339C8327" w14:textId="0B39FABD" w:rsidR="00AD26DB" w:rsidRPr="00674669" w:rsidRDefault="00AD26DB" w:rsidP="00AD26DB">
      <w:pPr>
        <w:pStyle w:val="3-BodyText"/>
      </w:pPr>
      <w:r w:rsidRPr="00674669">
        <w:fldChar w:fldCharType="begin" w:fldLock="1"/>
      </w:r>
      <w:r w:rsidRPr="00674669">
        <w:instrText xml:space="preserve"> REF _Ref142556679 \h  \* MERGEFORMAT </w:instrText>
      </w:r>
      <w:r w:rsidRPr="00674669">
        <w:fldChar w:fldCharType="separate"/>
      </w:r>
      <w:r w:rsidR="0098134F" w:rsidRPr="00674669">
        <w:t>Figure 5</w:t>
      </w:r>
      <w:r w:rsidRPr="00674669">
        <w:fldChar w:fldCharType="end"/>
      </w:r>
      <w:r w:rsidRPr="00674669">
        <w:t xml:space="preserve"> and </w:t>
      </w:r>
      <w:r w:rsidRPr="00674669">
        <w:fldChar w:fldCharType="begin" w:fldLock="1"/>
      </w:r>
      <w:r w:rsidRPr="00674669">
        <w:instrText xml:space="preserve"> REF _Ref142556682 \h  \* MERGEFORMAT </w:instrText>
      </w:r>
      <w:r w:rsidRPr="00674669">
        <w:fldChar w:fldCharType="separate"/>
      </w:r>
      <w:r w:rsidR="0098134F" w:rsidRPr="00674669">
        <w:t>Figure 6</w:t>
      </w:r>
      <w:r w:rsidRPr="00674669">
        <w:fldChar w:fldCharType="end"/>
      </w:r>
      <w:r w:rsidRPr="00674669">
        <w:t xml:space="preserve"> presents the Kaplan-Meier plot of OS and PFS for KN-407.</w:t>
      </w:r>
    </w:p>
    <w:p w14:paraId="16605167" w14:textId="27DE0E81" w:rsidR="00AD26DB" w:rsidRPr="00674669" w:rsidRDefault="00AD26DB" w:rsidP="00AD26DB">
      <w:pPr>
        <w:keepNext/>
        <w:keepLines/>
        <w:rPr>
          <w:rFonts w:ascii="Arial Narrow" w:hAnsi="Arial Narrow"/>
          <w:b/>
          <w:bCs/>
          <w:sz w:val="20"/>
          <w:szCs w:val="18"/>
        </w:rPr>
      </w:pPr>
      <w:bookmarkStart w:id="48" w:name="_Ref142556679"/>
      <w:r w:rsidRPr="00674669">
        <w:rPr>
          <w:rFonts w:ascii="Arial Narrow" w:hAnsi="Arial Narrow"/>
          <w:b/>
          <w:bCs/>
          <w:sz w:val="20"/>
          <w:szCs w:val="18"/>
        </w:rPr>
        <w:t xml:space="preserve">Figure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Figure \* ARABIC </w:instrText>
      </w:r>
      <w:r w:rsidRPr="00674669">
        <w:rPr>
          <w:rFonts w:ascii="Arial Narrow" w:hAnsi="Arial Narrow"/>
          <w:b/>
          <w:bCs/>
          <w:sz w:val="20"/>
          <w:szCs w:val="18"/>
        </w:rPr>
        <w:fldChar w:fldCharType="separate"/>
      </w:r>
      <w:r w:rsidRPr="00674669">
        <w:rPr>
          <w:rFonts w:ascii="Arial Narrow" w:hAnsi="Arial Narrow"/>
          <w:b/>
          <w:bCs/>
          <w:sz w:val="20"/>
          <w:szCs w:val="18"/>
        </w:rPr>
        <w:t>5</w:t>
      </w:r>
      <w:r w:rsidRPr="00674669">
        <w:rPr>
          <w:rFonts w:ascii="Arial Narrow" w:hAnsi="Arial Narrow"/>
          <w:b/>
          <w:bCs/>
          <w:sz w:val="20"/>
          <w:szCs w:val="18"/>
        </w:rPr>
        <w:fldChar w:fldCharType="end"/>
      </w:r>
      <w:bookmarkEnd w:id="48"/>
      <w:r w:rsidRPr="00674669">
        <w:rPr>
          <w:rFonts w:ascii="Arial Narrow" w:hAnsi="Arial Narrow"/>
          <w:b/>
          <w:bCs/>
          <w:sz w:val="20"/>
          <w:szCs w:val="18"/>
        </w:rPr>
        <w:t xml:space="preserve">: KM curve of OS in KN-407 </w:t>
      </w:r>
    </w:p>
    <w:p w14:paraId="081F94EB" w14:textId="77777777" w:rsidR="00AD26DB" w:rsidRPr="00674669" w:rsidRDefault="00AD26DB" w:rsidP="00AD26DB">
      <w:r w:rsidRPr="00674669">
        <w:rPr>
          <w:noProof/>
        </w:rPr>
        <w:drawing>
          <wp:inline distT="0" distB="0" distL="0" distR="0" wp14:anchorId="77892197" wp14:editId="07243A7D">
            <wp:extent cx="4391247" cy="2785110"/>
            <wp:effectExtent l="0" t="0" r="9525" b="0"/>
            <wp:docPr id="11" name="Picture 11" descr="Figure 5: KM curve of OS in KN-4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5: KM curve of OS in KN-407 "/>
                    <pic:cNvPicPr>
                      <a:picLocks noChangeAspect="1"/>
                    </pic:cNvPicPr>
                  </pic:nvPicPr>
                  <pic:blipFill>
                    <a:blip r:embed="rId12"/>
                    <a:stretch>
                      <a:fillRect/>
                    </a:stretch>
                  </pic:blipFill>
                  <pic:spPr>
                    <a:xfrm>
                      <a:off x="0" y="0"/>
                      <a:ext cx="4397894" cy="2789326"/>
                    </a:xfrm>
                    <a:prstGeom prst="rect">
                      <a:avLst/>
                    </a:prstGeom>
                  </pic:spPr>
                </pic:pic>
              </a:graphicData>
            </a:graphic>
          </wp:inline>
        </w:drawing>
      </w:r>
    </w:p>
    <w:p w14:paraId="3EA0AD33"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Figure 2-12, p57 of the submission.</w:t>
      </w:r>
    </w:p>
    <w:p w14:paraId="35214F5A" w14:textId="77777777" w:rsidR="00AD26DB" w:rsidRPr="00674669" w:rsidRDefault="00AD26DB" w:rsidP="00AD26DB">
      <w:pPr>
        <w:contextualSpacing/>
        <w:rPr>
          <w:rFonts w:ascii="Arial Narrow" w:eastAsia="Calibri" w:hAnsi="Arial Narrow"/>
          <w:snapToGrid w:val="0"/>
          <w:sz w:val="18"/>
          <w:szCs w:val="22"/>
        </w:rPr>
      </w:pPr>
      <w:r w:rsidRPr="00674669">
        <w:rPr>
          <w:rFonts w:ascii="Arial Narrow" w:hAnsi="Arial Narrow"/>
          <w:snapToGrid w:val="0"/>
          <w:sz w:val="18"/>
          <w:szCs w:val="22"/>
        </w:rPr>
        <w:t xml:space="preserve">CI = confidence interval, HR = hazard ratio; </w:t>
      </w:r>
      <w:r w:rsidRPr="00674669">
        <w:rPr>
          <w:rFonts w:ascii="Arial Narrow" w:eastAsia="Calibri" w:hAnsi="Arial Narrow"/>
          <w:snapToGrid w:val="0"/>
          <w:sz w:val="18"/>
          <w:szCs w:val="22"/>
        </w:rPr>
        <w:t>KM = Kaplan-Meier, OS = overall survival.</w:t>
      </w:r>
    </w:p>
    <w:p w14:paraId="59EDF0A8" w14:textId="77777777" w:rsidR="00AD26DB" w:rsidRPr="00674669" w:rsidRDefault="00AD26DB" w:rsidP="00AD26DB">
      <w:pPr>
        <w:contextualSpacing/>
        <w:rPr>
          <w:rFonts w:ascii="Arial Narrow" w:eastAsia="Calibri" w:hAnsi="Arial Narrow"/>
          <w:snapToGrid w:val="0"/>
          <w:sz w:val="18"/>
          <w:szCs w:val="22"/>
        </w:rPr>
      </w:pPr>
    </w:p>
    <w:p w14:paraId="75A9DABD" w14:textId="6305092E" w:rsidR="00AD26DB" w:rsidRPr="00674669" w:rsidRDefault="00AD26DB" w:rsidP="00AD26DB">
      <w:pPr>
        <w:keepNext/>
        <w:keepLines/>
        <w:rPr>
          <w:rFonts w:ascii="Arial Narrow" w:hAnsi="Arial Narrow"/>
          <w:b/>
          <w:bCs/>
          <w:sz w:val="20"/>
          <w:szCs w:val="18"/>
        </w:rPr>
      </w:pPr>
      <w:bookmarkStart w:id="49" w:name="_Ref142556682"/>
      <w:r w:rsidRPr="00674669">
        <w:rPr>
          <w:rFonts w:ascii="Arial Narrow" w:hAnsi="Arial Narrow"/>
          <w:b/>
          <w:bCs/>
          <w:sz w:val="20"/>
          <w:szCs w:val="18"/>
        </w:rPr>
        <w:lastRenderedPageBreak/>
        <w:t xml:space="preserve">Figure </w:t>
      </w:r>
      <w:r w:rsidRPr="00674669">
        <w:rPr>
          <w:rFonts w:ascii="Arial Narrow" w:hAnsi="Arial Narrow"/>
          <w:b/>
          <w:bCs/>
          <w:sz w:val="20"/>
          <w:szCs w:val="18"/>
        </w:rPr>
        <w:fldChar w:fldCharType="begin" w:fldLock="1"/>
      </w:r>
      <w:r w:rsidRPr="00674669">
        <w:rPr>
          <w:rFonts w:ascii="Arial Narrow" w:hAnsi="Arial Narrow"/>
          <w:b/>
          <w:bCs/>
          <w:sz w:val="20"/>
          <w:szCs w:val="18"/>
        </w:rPr>
        <w:instrText xml:space="preserve"> SEQ Figure \* ARABIC </w:instrText>
      </w:r>
      <w:r w:rsidRPr="00674669">
        <w:rPr>
          <w:rFonts w:ascii="Arial Narrow" w:hAnsi="Arial Narrow"/>
          <w:b/>
          <w:bCs/>
          <w:sz w:val="20"/>
          <w:szCs w:val="18"/>
        </w:rPr>
        <w:fldChar w:fldCharType="separate"/>
      </w:r>
      <w:r w:rsidRPr="00674669">
        <w:rPr>
          <w:rFonts w:ascii="Arial Narrow" w:hAnsi="Arial Narrow"/>
          <w:b/>
          <w:bCs/>
          <w:sz w:val="20"/>
          <w:szCs w:val="18"/>
        </w:rPr>
        <w:t>6</w:t>
      </w:r>
      <w:r w:rsidRPr="00674669">
        <w:rPr>
          <w:rFonts w:ascii="Arial Narrow" w:hAnsi="Arial Narrow"/>
          <w:b/>
          <w:bCs/>
          <w:sz w:val="20"/>
          <w:szCs w:val="18"/>
        </w:rPr>
        <w:fldChar w:fldCharType="end"/>
      </w:r>
      <w:bookmarkEnd w:id="49"/>
      <w:r w:rsidRPr="00674669">
        <w:rPr>
          <w:rFonts w:ascii="Arial Narrow" w:hAnsi="Arial Narrow"/>
          <w:b/>
          <w:bCs/>
          <w:sz w:val="20"/>
          <w:szCs w:val="18"/>
        </w:rPr>
        <w:t xml:space="preserve">: KM curve of PFS in KN-407 </w:t>
      </w:r>
    </w:p>
    <w:p w14:paraId="10396FF6" w14:textId="77777777" w:rsidR="00AD26DB" w:rsidRPr="00674669" w:rsidRDefault="00AD26DB" w:rsidP="00AD26DB">
      <w:r w:rsidRPr="00674669">
        <w:rPr>
          <w:noProof/>
        </w:rPr>
        <w:drawing>
          <wp:inline distT="0" distB="0" distL="0" distR="0" wp14:anchorId="753116C0" wp14:editId="13416D50">
            <wp:extent cx="4284921" cy="2827655"/>
            <wp:effectExtent l="0" t="0" r="1905" b="0"/>
            <wp:docPr id="12" name="Picture 12" descr="Figure 6: KM curve of PFS in KN-4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6: KM curve of PFS in KN-407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0984" cy="2858052"/>
                    </a:xfrm>
                    <a:prstGeom prst="rect">
                      <a:avLst/>
                    </a:prstGeom>
                    <a:noFill/>
                  </pic:spPr>
                </pic:pic>
              </a:graphicData>
            </a:graphic>
          </wp:inline>
        </w:drawing>
      </w:r>
    </w:p>
    <w:p w14:paraId="0688E80B"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Figure 2-13, p58 of the submission.</w:t>
      </w:r>
    </w:p>
    <w:p w14:paraId="413D79E8" w14:textId="7FBF4635" w:rsidR="006E6632" w:rsidRPr="00674669" w:rsidRDefault="00AD26DB" w:rsidP="00467A96">
      <w:pPr>
        <w:spacing w:after="120"/>
        <w:contextualSpacing/>
        <w:rPr>
          <w:rFonts w:ascii="Arial Narrow" w:eastAsia="Calibri" w:hAnsi="Arial Narrow"/>
          <w:snapToGrid w:val="0"/>
          <w:sz w:val="18"/>
          <w:szCs w:val="22"/>
        </w:rPr>
      </w:pPr>
      <w:r w:rsidRPr="00674669">
        <w:rPr>
          <w:rFonts w:ascii="Arial Narrow" w:hAnsi="Arial Narrow"/>
          <w:snapToGrid w:val="0"/>
          <w:sz w:val="18"/>
          <w:szCs w:val="22"/>
        </w:rPr>
        <w:t xml:space="preserve">CI = confidence interval, HR = hazard ratio; </w:t>
      </w:r>
      <w:r w:rsidRPr="00674669">
        <w:rPr>
          <w:rFonts w:ascii="Arial Narrow" w:eastAsia="Calibri" w:hAnsi="Arial Narrow"/>
          <w:snapToGrid w:val="0"/>
          <w:sz w:val="18"/>
          <w:szCs w:val="22"/>
        </w:rPr>
        <w:t>KM = Kaplan-Meier, PFS = progression-free survival.</w:t>
      </w:r>
    </w:p>
    <w:p w14:paraId="10E859E6" w14:textId="1386840E" w:rsidR="00AD26DB" w:rsidRPr="000A0CE0" w:rsidRDefault="00AD26DB" w:rsidP="000A0CE0">
      <w:pPr>
        <w:pStyle w:val="Heading3"/>
        <w:spacing w:after="120"/>
        <w:rPr>
          <w:rFonts w:asciiTheme="minorHAnsi" w:hAnsiTheme="minorHAnsi"/>
          <w:b/>
          <w:bCs/>
          <w:snapToGrid w:val="0"/>
        </w:rPr>
      </w:pPr>
      <w:r w:rsidRPr="000A0CE0">
        <w:rPr>
          <w:rFonts w:asciiTheme="minorHAnsi" w:hAnsiTheme="minorHAnsi"/>
          <w:b/>
          <w:bCs/>
          <w:snapToGrid w:val="0"/>
        </w:rPr>
        <w:t>Subgroup analyses</w:t>
      </w:r>
    </w:p>
    <w:p w14:paraId="3CCD73E4" w14:textId="48E8DE50" w:rsidR="00AD26DB" w:rsidRPr="00674669" w:rsidRDefault="00AD26DB" w:rsidP="00AD26DB">
      <w:pPr>
        <w:pStyle w:val="3-BodyText"/>
      </w:pPr>
      <w:r w:rsidRPr="00674669">
        <w:t xml:space="preserve">The submission also presented pre-specified subgroup analyses of primary outcomes to inform the exchangeability of cemiplimab+PDC and pembrolizumab+PDC trials. </w:t>
      </w:r>
    </w:p>
    <w:p w14:paraId="30E3D988" w14:textId="2A99416F" w:rsidR="00AD26DB" w:rsidRPr="00674669" w:rsidRDefault="00AD26DB" w:rsidP="00AD26DB">
      <w:pPr>
        <w:numPr>
          <w:ilvl w:val="1"/>
          <w:numId w:val="1"/>
        </w:numPr>
        <w:spacing w:after="120"/>
        <w:rPr>
          <w:rFonts w:asciiTheme="minorHAnsi" w:hAnsiTheme="minorHAnsi"/>
          <w:b/>
          <w:snapToGrid w:val="0"/>
        </w:rPr>
      </w:pPr>
      <w:bookmarkStart w:id="50" w:name="_Ref142622647"/>
      <w:bookmarkStart w:id="51" w:name="_Ref142579490"/>
      <w:r w:rsidRPr="00674669">
        <w:rPr>
          <w:rFonts w:asciiTheme="minorHAnsi" w:hAnsiTheme="minorHAnsi"/>
          <w:snapToGrid w:val="0"/>
        </w:rPr>
        <w:t>In Study 16113, compared to the placebo</w:t>
      </w:r>
      <w:r w:rsidR="00F152CD" w:rsidRPr="00674669">
        <w:rPr>
          <w:rFonts w:asciiTheme="minorHAnsi" w:hAnsiTheme="minorHAnsi"/>
          <w:snapToGrid w:val="0"/>
        </w:rPr>
        <w:t>+</w:t>
      </w:r>
      <w:r w:rsidRPr="00674669">
        <w:rPr>
          <w:rFonts w:asciiTheme="minorHAnsi" w:hAnsiTheme="minorHAnsi"/>
          <w:snapToGrid w:val="0"/>
        </w:rPr>
        <w:t>PDC arm, cemiplimab</w:t>
      </w:r>
      <w:r w:rsidR="00F152CD" w:rsidRPr="00674669">
        <w:rPr>
          <w:rFonts w:asciiTheme="minorHAnsi" w:hAnsiTheme="minorHAnsi"/>
          <w:snapToGrid w:val="0"/>
        </w:rPr>
        <w:t>+</w:t>
      </w:r>
      <w:r w:rsidRPr="00674669">
        <w:rPr>
          <w:rFonts w:asciiTheme="minorHAnsi" w:hAnsiTheme="minorHAnsi"/>
          <w:snapToGrid w:val="0"/>
        </w:rPr>
        <w:t xml:space="preserve">PDC demonstrated improved survival in most sub-groups, except for the following subgroups where the 95% CI crosses the point estimate of 1: patients aged ≥65 years, females, ethnicities other than white, PD-L1 expression &lt;1% and non-smokers. Furthermore, patients in the cemiplimab+PDC </w:t>
      </w:r>
      <w:r w:rsidR="0048635D" w:rsidRPr="00674669">
        <w:rPr>
          <w:rFonts w:asciiTheme="minorHAnsi" w:hAnsiTheme="minorHAnsi"/>
          <w:snapToGrid w:val="0"/>
        </w:rPr>
        <w:t>had</w:t>
      </w:r>
      <w:r w:rsidRPr="00674669">
        <w:rPr>
          <w:rFonts w:asciiTheme="minorHAnsi" w:hAnsiTheme="minorHAnsi"/>
          <w:snapToGrid w:val="0"/>
        </w:rPr>
        <w:t xml:space="preserve"> improved PFS in most sub-groups except for the following subgroups where the 95% CI crosses the point estimate of 1: females, ethnicities other than white, PD-L1 expression &lt;1% and brain metastasis. The submission stated that due to limited events and a small number of patients, the confidence interval of the hazard ratio crossed 1. Moreover, certain subgroups, such as females and non-smokers, may have a </w:t>
      </w:r>
      <w:r w:rsidR="00622146" w:rsidRPr="00674669">
        <w:rPr>
          <w:rFonts w:asciiTheme="minorHAnsi" w:hAnsiTheme="minorHAnsi"/>
          <w:snapToGrid w:val="0"/>
        </w:rPr>
        <w:t>common confounding factor</w:t>
      </w:r>
      <w:r w:rsidRPr="00674669">
        <w:rPr>
          <w:rFonts w:asciiTheme="minorHAnsi" w:hAnsiTheme="minorHAnsi"/>
          <w:snapToGrid w:val="0"/>
        </w:rPr>
        <w:t xml:space="preserve">. </w:t>
      </w:r>
    </w:p>
    <w:p w14:paraId="301CF8DE" w14:textId="5CC8AE0D" w:rsidR="00AD26DB" w:rsidRPr="00674669" w:rsidRDefault="001C0ED6" w:rsidP="00AD26DB">
      <w:pPr>
        <w:pStyle w:val="3-BodyText"/>
      </w:pPr>
      <w:bookmarkStart w:id="52" w:name="_Ref142922402"/>
      <w:bookmarkStart w:id="53" w:name="_Hlk143366481"/>
      <w:r w:rsidRPr="00674669">
        <w:t>S</w:t>
      </w:r>
      <w:r w:rsidR="006247A4" w:rsidRPr="00674669">
        <w:t>u</w:t>
      </w:r>
      <w:r w:rsidR="00AD26DB" w:rsidRPr="00674669">
        <w:t>bgroup analyses from Study 16113 highlighted that patients with PD-L1 expression ≥1% drove the main benefits in terms of both OS and PFS</w:t>
      </w:r>
      <w:r w:rsidR="00B7666A" w:rsidRPr="00674669">
        <w:t>.</w:t>
      </w:r>
      <w:r w:rsidR="00AD26DB" w:rsidRPr="00674669">
        <w:t xml:space="preserve"> </w:t>
      </w:r>
      <w:r w:rsidR="006247A4" w:rsidRPr="00674669">
        <w:t>For t</w:t>
      </w:r>
      <w:r w:rsidR="00AD26DB" w:rsidRPr="00674669">
        <w:t>he PD-L1</w:t>
      </w:r>
      <w:r w:rsidR="008A2CB2" w:rsidRPr="00674669">
        <w:t xml:space="preserve"> </w:t>
      </w:r>
      <w:r w:rsidR="00AD26DB" w:rsidRPr="00674669">
        <w:t>&lt;1% subgroup</w:t>
      </w:r>
      <w:r w:rsidR="006247A4" w:rsidRPr="00674669">
        <w:t xml:space="preserve">, which </w:t>
      </w:r>
      <w:r w:rsidR="00AD26DB" w:rsidRPr="00674669">
        <w:t>constituted around a third of the ITT population (139 patients, 30%)</w:t>
      </w:r>
      <w:r w:rsidR="006247A4" w:rsidRPr="00674669">
        <w:t>, l</w:t>
      </w:r>
      <w:r w:rsidR="00AD26DB" w:rsidRPr="00674669">
        <w:t xml:space="preserve">ower median OS </w:t>
      </w:r>
      <w:r w:rsidR="006247A4" w:rsidRPr="00674669">
        <w:t xml:space="preserve">was </w:t>
      </w:r>
      <w:r w:rsidR="00AD26DB" w:rsidRPr="00674669">
        <w:t xml:space="preserve">reported in the cemiplimab+PDC arm (12.8 months) compared to the placebo+PDC (14.2 months) arm in the primary analysis, with a HR of 1.006 (95% CI: 0.63, 1.60). </w:t>
      </w:r>
      <w:r w:rsidR="006247A4" w:rsidRPr="00674669">
        <w:t>In the</w:t>
      </w:r>
      <w:r w:rsidR="0050332D" w:rsidRPr="00674669">
        <w:t xml:space="preserve"> updated analyses </w:t>
      </w:r>
      <w:r w:rsidR="006247A4" w:rsidRPr="00674669">
        <w:t>the</w:t>
      </w:r>
      <w:r w:rsidR="00AD26DB" w:rsidRPr="00674669">
        <w:t xml:space="preserve"> HR for OS of </w:t>
      </w:r>
      <w:r w:rsidR="006247A4" w:rsidRPr="00674669">
        <w:t xml:space="preserve">was </w:t>
      </w:r>
      <w:r w:rsidR="00AD26DB" w:rsidRPr="00674669">
        <w:t>0.94 (95% CI: 0.62, 1.42) within this subgroup</w:t>
      </w:r>
      <w:bookmarkEnd w:id="50"/>
      <w:bookmarkEnd w:id="52"/>
      <w:r w:rsidR="00285725" w:rsidRPr="00674669">
        <w:t>.</w:t>
      </w:r>
    </w:p>
    <w:p w14:paraId="62843AE8" w14:textId="4A3AB2B4" w:rsidR="00AD26DB" w:rsidRPr="00674669" w:rsidRDefault="00AD26DB" w:rsidP="00AD26DB">
      <w:pPr>
        <w:pStyle w:val="3-BodyText"/>
      </w:pPr>
      <w:r w:rsidRPr="00674669">
        <w:t>Subgroup analysis from KN-189 and KN-407 suggested a trend for higher survival benefit with pembrolizumab+PDC compared to placebo+PDC in patients with PD-L1</w:t>
      </w:r>
      <w:r w:rsidR="00F9061B" w:rsidRPr="00674669">
        <w:t xml:space="preserve"> </w:t>
      </w:r>
      <w:r w:rsidRPr="00674669">
        <w:t xml:space="preserve">&lt;1%, with an OS HR of 0.51 (95% CI: 0.36, 0.71) and 0.61 (95% CI: 0.38, 0.98), respectively. </w:t>
      </w:r>
      <w:bookmarkEnd w:id="51"/>
    </w:p>
    <w:bookmarkEnd w:id="53"/>
    <w:p w14:paraId="4E5B0591" w14:textId="17262C7A" w:rsidR="00AD26DB" w:rsidRPr="000A0CE0" w:rsidRDefault="00AD26DB" w:rsidP="000A0CE0">
      <w:pPr>
        <w:pStyle w:val="Heading3"/>
        <w:spacing w:after="120"/>
        <w:rPr>
          <w:rFonts w:asciiTheme="minorHAnsi" w:hAnsiTheme="minorHAnsi"/>
          <w:b/>
          <w:bCs/>
          <w:snapToGrid w:val="0"/>
        </w:rPr>
      </w:pPr>
      <w:r w:rsidRPr="000A0CE0">
        <w:rPr>
          <w:rFonts w:asciiTheme="minorHAnsi" w:hAnsiTheme="minorHAnsi"/>
          <w:b/>
          <w:bCs/>
          <w:snapToGrid w:val="0"/>
        </w:rPr>
        <w:lastRenderedPageBreak/>
        <w:t>Meta-analysis of pembrolizumab trials (KN-189 and KN-407)</w:t>
      </w:r>
    </w:p>
    <w:p w14:paraId="14F17002" w14:textId="6CD5BBAD" w:rsidR="00AD26DB" w:rsidRPr="00674669" w:rsidRDefault="00AD26DB" w:rsidP="00AD26DB">
      <w:pPr>
        <w:pStyle w:val="3-BodyText"/>
      </w:pPr>
      <w:r w:rsidRPr="00674669">
        <w:t xml:space="preserve">The submission conducted a meta-analysis of KN-189 and KN-407 to obtain pooled results of pembrolizumab+PDC for indirect comparison with cemiplimab+PDC. This was appropriate to facilitate indirect comparison as KN-189 enrolled non-squamous NSCLC patients, KN-407 enrolled squamous NSCLC patients, while Study 16113 included both squamous and non-squamous NSCLC patients. </w:t>
      </w:r>
    </w:p>
    <w:p w14:paraId="0D62B886" w14:textId="36FA70DE" w:rsidR="00AD26DB" w:rsidRPr="00674669" w:rsidRDefault="00AD26DB" w:rsidP="00AD26DB">
      <w:pPr>
        <w:numPr>
          <w:ilvl w:val="1"/>
          <w:numId w:val="1"/>
        </w:numPr>
        <w:spacing w:after="120"/>
        <w:rPr>
          <w:rFonts w:asciiTheme="minorHAnsi" w:hAnsiTheme="minorHAnsi"/>
          <w:snapToGrid w:val="0"/>
        </w:rPr>
      </w:pPr>
      <w:r w:rsidRPr="00674669">
        <w:rPr>
          <w:rFonts w:asciiTheme="minorHAnsi" w:hAnsiTheme="minorHAnsi"/>
          <w:snapToGrid w:val="0"/>
        </w:rPr>
        <w:t xml:space="preserve">The submission stated that the degree of heterogeneity in terms of OS and PFS between KN-189 and KN-407 was not statistically significant. </w:t>
      </w:r>
    </w:p>
    <w:p w14:paraId="1F4D9E36" w14:textId="77777777" w:rsidR="00AD26DB" w:rsidRPr="00674669" w:rsidRDefault="00AD26DB" w:rsidP="00AD26DB">
      <w:pPr>
        <w:pStyle w:val="3-BodyText"/>
        <w:rPr>
          <w:rFonts w:ascii="Cambria" w:hAnsi="Cambria" w:cstheme="minorBidi"/>
          <w:sz w:val="22"/>
          <w:szCs w:val="22"/>
        </w:rPr>
      </w:pPr>
      <w:r w:rsidRPr="00674669">
        <w:t>For ORR, the heterogeneity between the two trials varied, depending on the measure of effect (odds ratio (OR), relative risk (RR) or risk difference (RD)). OR showed moderate heterogeneity and RD showed minimal heterogeneity; however, these were not statistically significant. In contrast, RR showed statistically significant heterogeneity.</w:t>
      </w:r>
    </w:p>
    <w:p w14:paraId="7FBB3390" w14:textId="62A1D1AE" w:rsidR="00AD26DB" w:rsidRPr="00674669" w:rsidRDefault="00AD26DB" w:rsidP="00AD26DB">
      <w:pPr>
        <w:pStyle w:val="3-BodyText"/>
      </w:pPr>
      <w:r w:rsidRPr="00674669">
        <w:t>There was minimal heterogeneity in most of the safety outcomes and the observed differences in these outcomes in the individual trials (KN-189 and KN-407) could be attributed to sample size variations. Of note, there were high levels of heterogeneity in the RD for AEs leading to discontinuation (I</w:t>
      </w:r>
      <w:r w:rsidRPr="00674669">
        <w:rPr>
          <w:vertAlign w:val="superscript"/>
        </w:rPr>
        <w:t>2</w:t>
      </w:r>
      <w:r w:rsidRPr="00674669">
        <w:t xml:space="preserve">=75%) and a moderate </w:t>
      </w:r>
      <w:r w:rsidR="00052393" w:rsidRPr="00674669">
        <w:t>level</w:t>
      </w:r>
      <w:r w:rsidRPr="00674669">
        <w:t xml:space="preserve"> of heterogeneity in the RD of AEs leading to death (I</w:t>
      </w:r>
      <w:r w:rsidRPr="00674669">
        <w:rPr>
          <w:vertAlign w:val="superscript"/>
        </w:rPr>
        <w:t>2</w:t>
      </w:r>
      <w:r w:rsidRPr="00674669">
        <w:t xml:space="preserve">=38%). </w:t>
      </w:r>
    </w:p>
    <w:p w14:paraId="23087730" w14:textId="1C7A257C" w:rsidR="00AD26DB" w:rsidRPr="000A0CE0" w:rsidRDefault="00AD26DB" w:rsidP="000A0CE0">
      <w:pPr>
        <w:pStyle w:val="Heading3"/>
        <w:spacing w:after="120"/>
        <w:rPr>
          <w:rFonts w:asciiTheme="minorHAnsi" w:hAnsiTheme="minorHAnsi"/>
          <w:b/>
          <w:bCs/>
          <w:snapToGrid w:val="0"/>
        </w:rPr>
      </w:pPr>
      <w:r w:rsidRPr="000A0CE0">
        <w:rPr>
          <w:rFonts w:asciiTheme="minorHAnsi" w:hAnsiTheme="minorHAnsi"/>
          <w:b/>
          <w:bCs/>
          <w:snapToGrid w:val="0"/>
        </w:rPr>
        <w:t>Indirect Treatment Comparison</w:t>
      </w:r>
    </w:p>
    <w:p w14:paraId="16D127A2" w14:textId="017F44A6" w:rsidR="00AD26DB" w:rsidRPr="00674669" w:rsidRDefault="00AD26DB" w:rsidP="00AD26DB">
      <w:pPr>
        <w:pStyle w:val="3-BodyText"/>
        <w:rPr>
          <w:b/>
          <w:bCs/>
        </w:rPr>
      </w:pPr>
      <w:r w:rsidRPr="00674669">
        <w:t xml:space="preserve">The submission presented an ITC, using the Bucher method, comparing Study 16113 with a meta-analysis of estimates from KN-189 and KN-407, using placebo+PDC as the common reference. The ITC results of OS and PFS are summarised in </w:t>
      </w:r>
      <w:r w:rsidRPr="00674669">
        <w:fldChar w:fldCharType="begin" w:fldLock="1"/>
      </w:r>
      <w:r w:rsidRPr="00674669">
        <w:instrText xml:space="preserve"> REF _Ref142561003 \h  \* MERGEFORMAT </w:instrText>
      </w:r>
      <w:r w:rsidRPr="00674669">
        <w:fldChar w:fldCharType="separate"/>
      </w:r>
      <w:r w:rsidR="0098134F" w:rsidRPr="00674669">
        <w:t xml:space="preserve">Table </w:t>
      </w:r>
      <w:r w:rsidR="006E6632" w:rsidRPr="00674669">
        <w:t>7</w:t>
      </w:r>
      <w:r w:rsidRPr="00674669">
        <w:fldChar w:fldCharType="end"/>
      </w:r>
      <w:r w:rsidRPr="00674669">
        <w:t>.</w:t>
      </w:r>
    </w:p>
    <w:p w14:paraId="70EA385B" w14:textId="69593A1D" w:rsidR="00AD26DB" w:rsidRPr="00674669" w:rsidRDefault="00AD26DB" w:rsidP="003E788A">
      <w:pPr>
        <w:pStyle w:val="TableFigureHeading"/>
      </w:pPr>
      <w:bookmarkStart w:id="54" w:name="_Ref142561003"/>
      <w:r w:rsidRPr="00674669">
        <w:lastRenderedPageBreak/>
        <w:t>Table</w:t>
      </w:r>
      <w:r w:rsidRPr="00674669">
        <w:rPr>
          <w:rStyle w:val="TableFigureHeadingChar"/>
        </w:rPr>
        <w:t xml:space="preserve"> </w:t>
      </w:r>
      <w:bookmarkEnd w:id="54"/>
      <w:r w:rsidR="006E6632" w:rsidRPr="00674669">
        <w:rPr>
          <w:rStyle w:val="TableFigureHeadingChar"/>
          <w:b/>
          <w:bCs/>
        </w:rPr>
        <w:t>7</w:t>
      </w:r>
      <w:r w:rsidRPr="00674669">
        <w:t xml:space="preserve">: Summary of results of the indirect comparison for OS and PFS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232"/>
        <w:gridCol w:w="709"/>
        <w:gridCol w:w="1558"/>
        <w:gridCol w:w="894"/>
        <w:gridCol w:w="1289"/>
        <w:gridCol w:w="1169"/>
      </w:tblGrid>
      <w:tr w:rsidR="00257B05" w:rsidRPr="00674669" w14:paraId="5153E8C1" w14:textId="77777777" w:rsidTr="00257B05">
        <w:trPr>
          <w:cantSplit/>
          <w:trHeight w:val="57"/>
        </w:trPr>
        <w:tc>
          <w:tcPr>
            <w:tcW w:w="1201" w:type="pct"/>
          </w:tcPr>
          <w:p w14:paraId="6480F856" w14:textId="77777777" w:rsidR="00257B05" w:rsidRPr="00674669" w:rsidRDefault="00257B05" w:rsidP="00C521FE">
            <w:pPr>
              <w:keepNext/>
              <w:jc w:val="left"/>
              <w:rPr>
                <w:rFonts w:ascii="Arial Narrow" w:eastAsia="Verdana" w:hAnsi="Arial Narrow" w:cs="Verdana"/>
                <w:b/>
                <w:sz w:val="20"/>
                <w:szCs w:val="16"/>
                <w:lang w:eastAsia="en-US"/>
              </w:rPr>
            </w:pPr>
            <w:r w:rsidRPr="00674669">
              <w:rPr>
                <w:rFonts w:ascii="Arial Narrow" w:eastAsiaTheme="majorEastAsia" w:hAnsi="Arial Narrow" w:cstheme="majorBidi"/>
                <w:b/>
                <w:sz w:val="20"/>
              </w:rPr>
              <w:t>Trial type or estimate</w:t>
            </w:r>
          </w:p>
        </w:tc>
        <w:tc>
          <w:tcPr>
            <w:tcW w:w="683" w:type="pct"/>
            <w:shd w:val="clear" w:color="auto" w:fill="auto"/>
          </w:tcPr>
          <w:p w14:paraId="71DD29BE" w14:textId="721C53A8" w:rsidR="00257B05" w:rsidRPr="00674669" w:rsidRDefault="00257B05" w:rsidP="00C521FE">
            <w:pPr>
              <w:keepNext/>
              <w:jc w:val="center"/>
              <w:rPr>
                <w:rFonts w:ascii="Arial Narrow" w:eastAsia="Verdana" w:hAnsi="Arial Narrow" w:cs="Verdana"/>
                <w:b/>
                <w:sz w:val="20"/>
                <w:szCs w:val="16"/>
                <w:lang w:eastAsia="en-US"/>
              </w:rPr>
            </w:pPr>
            <w:r w:rsidRPr="00674669">
              <w:rPr>
                <w:rFonts w:ascii="Arial Narrow" w:eastAsiaTheme="majorEastAsia" w:hAnsi="Arial Narrow" w:cstheme="majorBidi"/>
                <w:b/>
                <w:sz w:val="20"/>
              </w:rPr>
              <w:t>Trial ID</w:t>
            </w:r>
          </w:p>
        </w:tc>
        <w:tc>
          <w:tcPr>
            <w:tcW w:w="393" w:type="pct"/>
          </w:tcPr>
          <w:p w14:paraId="4C974400" w14:textId="77777777" w:rsidR="00257B05" w:rsidRPr="00674669" w:rsidRDefault="00257B05" w:rsidP="00C521FE">
            <w:pPr>
              <w:keepNext/>
              <w:jc w:val="center"/>
              <w:rPr>
                <w:rFonts w:ascii="Arial Narrow" w:eastAsia="Verdana" w:hAnsi="Arial Narrow" w:cs="Verdana"/>
                <w:b/>
                <w:sz w:val="20"/>
                <w:szCs w:val="16"/>
                <w:lang w:eastAsia="en-US"/>
              </w:rPr>
            </w:pPr>
            <w:r w:rsidRPr="00674669">
              <w:rPr>
                <w:rFonts w:ascii="Arial Narrow" w:eastAsiaTheme="majorEastAsia" w:hAnsi="Arial Narrow" w:cstheme="majorBidi"/>
                <w:b/>
                <w:sz w:val="20"/>
              </w:rPr>
              <w:t>N</w:t>
            </w:r>
          </w:p>
        </w:tc>
        <w:tc>
          <w:tcPr>
            <w:tcW w:w="864" w:type="pct"/>
            <w:shd w:val="clear" w:color="auto" w:fill="auto"/>
          </w:tcPr>
          <w:p w14:paraId="62189614" w14:textId="77777777" w:rsidR="00257B05" w:rsidRPr="00674669" w:rsidRDefault="00257B05" w:rsidP="00C521FE">
            <w:pPr>
              <w:keepNext/>
              <w:jc w:val="center"/>
              <w:rPr>
                <w:rFonts w:ascii="Arial Narrow" w:eastAsiaTheme="majorEastAsia" w:hAnsi="Arial Narrow" w:cstheme="majorBidi"/>
                <w:b/>
                <w:sz w:val="20"/>
              </w:rPr>
            </w:pPr>
            <w:r w:rsidRPr="00674669">
              <w:rPr>
                <w:rFonts w:ascii="Arial Narrow" w:eastAsiaTheme="majorEastAsia" w:hAnsi="Arial Narrow" w:cstheme="majorBidi"/>
                <w:b/>
                <w:sz w:val="20"/>
              </w:rPr>
              <w:t>PD-1</w:t>
            </w:r>
          </w:p>
          <w:p w14:paraId="6442748D" w14:textId="1355610A" w:rsidR="00257B05" w:rsidRPr="00674669" w:rsidRDefault="00257B05" w:rsidP="00C521FE">
            <w:pPr>
              <w:keepNext/>
              <w:jc w:val="center"/>
              <w:rPr>
                <w:rFonts w:ascii="Arial Narrow" w:eastAsia="Verdana" w:hAnsi="Arial Narrow" w:cs="Verdana"/>
                <w:b/>
                <w:sz w:val="20"/>
                <w:szCs w:val="16"/>
                <w:lang w:eastAsia="en-US"/>
              </w:rPr>
            </w:pPr>
            <w:r w:rsidRPr="00674669">
              <w:rPr>
                <w:rFonts w:ascii="Arial Narrow" w:eastAsiaTheme="majorEastAsia" w:hAnsi="Arial Narrow" w:cstheme="majorBidi"/>
                <w:b/>
                <w:sz w:val="20"/>
              </w:rPr>
              <w:t>inhibitor+PDC</w:t>
            </w:r>
          </w:p>
        </w:tc>
        <w:tc>
          <w:tcPr>
            <w:tcW w:w="496" w:type="pct"/>
          </w:tcPr>
          <w:p w14:paraId="647E25A7" w14:textId="77777777" w:rsidR="00257B05" w:rsidRPr="00674669" w:rsidRDefault="00257B05" w:rsidP="00C521FE">
            <w:pPr>
              <w:keepNext/>
              <w:jc w:val="center"/>
              <w:rPr>
                <w:rFonts w:ascii="Arial Narrow" w:eastAsia="Verdana" w:hAnsi="Arial Narrow" w:cs="Verdana"/>
                <w:b/>
                <w:sz w:val="20"/>
                <w:szCs w:val="16"/>
                <w:lang w:eastAsia="en-US"/>
              </w:rPr>
            </w:pPr>
            <w:r w:rsidRPr="00674669">
              <w:rPr>
                <w:rFonts w:ascii="Arial Narrow" w:eastAsiaTheme="majorEastAsia" w:hAnsi="Arial Narrow" w:cstheme="majorBidi"/>
                <w:b/>
                <w:sz w:val="20"/>
              </w:rPr>
              <w:t>N</w:t>
            </w:r>
          </w:p>
        </w:tc>
        <w:tc>
          <w:tcPr>
            <w:tcW w:w="714" w:type="pct"/>
            <w:shd w:val="clear" w:color="auto" w:fill="auto"/>
          </w:tcPr>
          <w:p w14:paraId="56776F1A" w14:textId="2071B3D9" w:rsidR="00257B05" w:rsidRPr="00674669" w:rsidRDefault="00257B05" w:rsidP="00C521FE">
            <w:pPr>
              <w:keepNext/>
              <w:jc w:val="center"/>
              <w:rPr>
                <w:rFonts w:ascii="Arial Narrow" w:eastAsia="Verdana" w:hAnsi="Arial Narrow" w:cs="Verdana"/>
                <w:b/>
                <w:sz w:val="20"/>
                <w:szCs w:val="16"/>
                <w:lang w:eastAsia="en-US"/>
              </w:rPr>
            </w:pPr>
            <w:r w:rsidRPr="00674669">
              <w:rPr>
                <w:rFonts w:ascii="Arial Narrow" w:eastAsiaTheme="majorEastAsia" w:hAnsi="Arial Narrow" w:cstheme="majorBidi"/>
                <w:b/>
                <w:sz w:val="20"/>
              </w:rPr>
              <w:t>Placebo+PDC</w:t>
            </w:r>
          </w:p>
        </w:tc>
        <w:tc>
          <w:tcPr>
            <w:tcW w:w="648" w:type="pct"/>
            <w:shd w:val="clear" w:color="auto" w:fill="auto"/>
          </w:tcPr>
          <w:p w14:paraId="3EEE26D1" w14:textId="77777777" w:rsidR="00257B05" w:rsidRPr="00674669" w:rsidRDefault="00257B05" w:rsidP="00C521FE">
            <w:pPr>
              <w:keepNext/>
              <w:jc w:val="center"/>
              <w:rPr>
                <w:rFonts w:ascii="Arial Narrow" w:eastAsia="Verdana" w:hAnsi="Arial Narrow" w:cs="Verdana"/>
                <w:b/>
                <w:sz w:val="20"/>
                <w:szCs w:val="16"/>
                <w:lang w:eastAsia="en-US"/>
              </w:rPr>
            </w:pPr>
            <w:r w:rsidRPr="00674669">
              <w:rPr>
                <w:rFonts w:ascii="Arial Narrow" w:eastAsiaTheme="majorEastAsia" w:hAnsi="Arial Narrow" w:cstheme="majorBidi"/>
                <w:b/>
                <w:sz w:val="20"/>
              </w:rPr>
              <w:t>HR</w:t>
            </w:r>
          </w:p>
        </w:tc>
      </w:tr>
      <w:tr w:rsidR="00AD26DB" w:rsidRPr="00674669" w14:paraId="14F57696" w14:textId="77777777" w:rsidTr="00C521FE">
        <w:trPr>
          <w:cantSplit/>
          <w:trHeight w:val="57"/>
        </w:trPr>
        <w:tc>
          <w:tcPr>
            <w:tcW w:w="5000" w:type="pct"/>
            <w:gridSpan w:val="7"/>
            <w:vAlign w:val="center"/>
          </w:tcPr>
          <w:p w14:paraId="1B15233C" w14:textId="77777777"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
                <w:sz w:val="20"/>
                <w:szCs w:val="20"/>
              </w:rPr>
              <w:t>OS</w:t>
            </w:r>
          </w:p>
        </w:tc>
      </w:tr>
      <w:tr w:rsidR="00257B05" w:rsidRPr="00674669" w14:paraId="19791A3F" w14:textId="77777777" w:rsidTr="00257B05">
        <w:trPr>
          <w:cantSplit/>
          <w:trHeight w:val="339"/>
        </w:trPr>
        <w:tc>
          <w:tcPr>
            <w:tcW w:w="1201" w:type="pct"/>
            <w:vAlign w:val="center"/>
          </w:tcPr>
          <w:p w14:paraId="27D31E67" w14:textId="57384EED" w:rsidR="00257B05" w:rsidRPr="00674669" w:rsidRDefault="00257B05" w:rsidP="00C521FE">
            <w:pPr>
              <w:keepNext/>
              <w:jc w:val="left"/>
              <w:rPr>
                <w:rFonts w:ascii="Arial Narrow" w:eastAsiaTheme="majorEastAsia" w:hAnsi="Arial Narrow" w:cstheme="majorBidi"/>
                <w:bCs/>
                <w:sz w:val="20"/>
                <w:szCs w:val="20"/>
              </w:rPr>
            </w:pPr>
            <w:bookmarkStart w:id="55" w:name="_Hlk142305153"/>
            <w:r w:rsidRPr="00674669">
              <w:rPr>
                <w:rFonts w:ascii="Arial Narrow" w:eastAsiaTheme="majorEastAsia" w:hAnsi="Arial Narrow" w:cstheme="majorBidi"/>
                <w:bCs/>
                <w:sz w:val="20"/>
                <w:szCs w:val="20"/>
              </w:rPr>
              <w:t>Cemiplimab+PDC vs. placebo+PDC</w:t>
            </w:r>
          </w:p>
        </w:tc>
        <w:tc>
          <w:tcPr>
            <w:tcW w:w="683" w:type="pct"/>
            <w:shd w:val="clear" w:color="auto" w:fill="auto"/>
            <w:vAlign w:val="center"/>
          </w:tcPr>
          <w:p w14:paraId="2810CBB3" w14:textId="762345A0"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16113</w:t>
            </w:r>
          </w:p>
        </w:tc>
        <w:tc>
          <w:tcPr>
            <w:tcW w:w="393" w:type="pct"/>
            <w:vAlign w:val="center"/>
          </w:tcPr>
          <w:p w14:paraId="27634954"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312</w:t>
            </w:r>
          </w:p>
        </w:tc>
        <w:tc>
          <w:tcPr>
            <w:tcW w:w="864" w:type="pct"/>
            <w:shd w:val="clear" w:color="auto" w:fill="auto"/>
            <w:vAlign w:val="center"/>
          </w:tcPr>
          <w:p w14:paraId="2700D0F1"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 xml:space="preserve">21.1 </w:t>
            </w:r>
          </w:p>
          <w:p w14:paraId="655C7495"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(15.9, 23.5)</w:t>
            </w:r>
          </w:p>
        </w:tc>
        <w:tc>
          <w:tcPr>
            <w:tcW w:w="496" w:type="pct"/>
            <w:vAlign w:val="center"/>
          </w:tcPr>
          <w:p w14:paraId="26F15976"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154</w:t>
            </w:r>
          </w:p>
        </w:tc>
        <w:tc>
          <w:tcPr>
            <w:tcW w:w="714" w:type="pct"/>
            <w:shd w:val="clear" w:color="auto" w:fill="auto"/>
            <w:vAlign w:val="center"/>
          </w:tcPr>
          <w:p w14:paraId="1401DBD6"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 xml:space="preserve">12.9 </w:t>
            </w:r>
          </w:p>
          <w:p w14:paraId="265B5DA9"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(10.6, 15.7)</w:t>
            </w:r>
          </w:p>
        </w:tc>
        <w:tc>
          <w:tcPr>
            <w:tcW w:w="648" w:type="pct"/>
            <w:shd w:val="clear" w:color="auto" w:fill="auto"/>
            <w:vAlign w:val="center"/>
          </w:tcPr>
          <w:p w14:paraId="1A24E9B9" w14:textId="77777777" w:rsidR="00257B05" w:rsidRPr="00674669" w:rsidRDefault="00257B05"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szCs w:val="20"/>
              </w:rPr>
              <w:t xml:space="preserve">0.65 </w:t>
            </w:r>
          </w:p>
          <w:p w14:paraId="15272312"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
                <w:sz w:val="20"/>
                <w:szCs w:val="20"/>
              </w:rPr>
              <w:t>(0.51, 0.82)</w:t>
            </w:r>
          </w:p>
        </w:tc>
      </w:tr>
      <w:tr w:rsidR="00257B05" w:rsidRPr="00674669" w14:paraId="2D1AF295" w14:textId="77777777" w:rsidTr="00257B05">
        <w:trPr>
          <w:cantSplit/>
          <w:trHeight w:val="325"/>
        </w:trPr>
        <w:tc>
          <w:tcPr>
            <w:tcW w:w="1201" w:type="pct"/>
            <w:vMerge w:val="restart"/>
            <w:vAlign w:val="center"/>
          </w:tcPr>
          <w:p w14:paraId="55F098E9" w14:textId="26B1B259" w:rsidR="00257B05" w:rsidRPr="00674669" w:rsidRDefault="00257B05"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Pembrolizumab+PDC vs. placebo+PDC</w:t>
            </w:r>
          </w:p>
        </w:tc>
        <w:tc>
          <w:tcPr>
            <w:tcW w:w="683" w:type="pct"/>
            <w:shd w:val="clear" w:color="auto" w:fill="auto"/>
            <w:vAlign w:val="center"/>
          </w:tcPr>
          <w:p w14:paraId="147A552E" w14:textId="577B64B4"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KN</w:t>
            </w:r>
            <w:r w:rsidRPr="00674669">
              <w:rPr>
                <w:rFonts w:ascii="Arial Narrow" w:eastAsiaTheme="majorEastAsia" w:hAnsi="Arial Narrow" w:cstheme="majorBidi"/>
                <w:bCs/>
                <w:sz w:val="20"/>
                <w:szCs w:val="20"/>
              </w:rPr>
              <w:noBreakHyphen/>
              <w:t>189</w:t>
            </w:r>
          </w:p>
        </w:tc>
        <w:tc>
          <w:tcPr>
            <w:tcW w:w="393" w:type="pct"/>
            <w:vAlign w:val="center"/>
          </w:tcPr>
          <w:p w14:paraId="34227A50"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410</w:t>
            </w:r>
          </w:p>
        </w:tc>
        <w:tc>
          <w:tcPr>
            <w:tcW w:w="864" w:type="pct"/>
            <w:shd w:val="clear" w:color="auto" w:fill="auto"/>
            <w:vAlign w:val="center"/>
          </w:tcPr>
          <w:p w14:paraId="29BB162C"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22.0 </w:t>
            </w:r>
          </w:p>
          <w:p w14:paraId="094E57ED"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(19.5, 24.5)</w:t>
            </w:r>
          </w:p>
        </w:tc>
        <w:tc>
          <w:tcPr>
            <w:tcW w:w="496" w:type="pct"/>
            <w:vAlign w:val="center"/>
          </w:tcPr>
          <w:p w14:paraId="1D8FCC95"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206</w:t>
            </w:r>
          </w:p>
        </w:tc>
        <w:tc>
          <w:tcPr>
            <w:tcW w:w="714" w:type="pct"/>
            <w:shd w:val="clear" w:color="auto" w:fill="auto"/>
            <w:vAlign w:val="center"/>
          </w:tcPr>
          <w:p w14:paraId="30A82D6C"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10.6 </w:t>
            </w:r>
          </w:p>
          <w:p w14:paraId="3EE3520A"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(8.7, 13.6)</w:t>
            </w:r>
          </w:p>
        </w:tc>
        <w:tc>
          <w:tcPr>
            <w:tcW w:w="648" w:type="pct"/>
            <w:shd w:val="clear" w:color="auto" w:fill="auto"/>
            <w:vAlign w:val="center"/>
          </w:tcPr>
          <w:p w14:paraId="31CF2040" w14:textId="77777777" w:rsidR="00257B05" w:rsidRPr="00674669" w:rsidRDefault="00257B05"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szCs w:val="20"/>
              </w:rPr>
              <w:t xml:space="preserve">0.60 </w:t>
            </w:r>
          </w:p>
          <w:p w14:paraId="72151030" w14:textId="77777777" w:rsidR="00257B05" w:rsidRPr="00674669" w:rsidRDefault="00257B05"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szCs w:val="20"/>
              </w:rPr>
              <w:t>(0.50, 0.72)</w:t>
            </w:r>
          </w:p>
        </w:tc>
      </w:tr>
      <w:tr w:rsidR="00257B05" w:rsidRPr="00674669" w14:paraId="22E4E69A" w14:textId="77777777" w:rsidTr="00257B05">
        <w:trPr>
          <w:cantSplit/>
          <w:trHeight w:val="237"/>
        </w:trPr>
        <w:tc>
          <w:tcPr>
            <w:tcW w:w="1201" w:type="pct"/>
            <w:vMerge/>
            <w:vAlign w:val="center"/>
          </w:tcPr>
          <w:p w14:paraId="7DD8FC64" w14:textId="77777777" w:rsidR="00257B05" w:rsidRPr="00674669" w:rsidRDefault="00257B05" w:rsidP="00C521FE">
            <w:pPr>
              <w:keepNext/>
              <w:jc w:val="left"/>
              <w:rPr>
                <w:rFonts w:ascii="Arial Narrow" w:eastAsiaTheme="majorEastAsia" w:hAnsi="Arial Narrow" w:cstheme="majorBidi"/>
                <w:bCs/>
                <w:sz w:val="20"/>
                <w:szCs w:val="20"/>
              </w:rPr>
            </w:pPr>
          </w:p>
        </w:tc>
        <w:tc>
          <w:tcPr>
            <w:tcW w:w="683" w:type="pct"/>
            <w:shd w:val="clear" w:color="auto" w:fill="auto"/>
            <w:vAlign w:val="center"/>
          </w:tcPr>
          <w:p w14:paraId="20CA3EFB" w14:textId="72FF4B73"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KN</w:t>
            </w:r>
            <w:r w:rsidRPr="00674669">
              <w:rPr>
                <w:rFonts w:ascii="Arial Narrow" w:eastAsiaTheme="majorEastAsia" w:hAnsi="Arial Narrow" w:cstheme="majorBidi"/>
                <w:bCs/>
                <w:sz w:val="20"/>
                <w:szCs w:val="20"/>
              </w:rPr>
              <w:noBreakHyphen/>
              <w:t>407</w:t>
            </w:r>
          </w:p>
        </w:tc>
        <w:tc>
          <w:tcPr>
            <w:tcW w:w="393" w:type="pct"/>
            <w:vAlign w:val="center"/>
          </w:tcPr>
          <w:p w14:paraId="09DEE892"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278</w:t>
            </w:r>
          </w:p>
        </w:tc>
        <w:tc>
          <w:tcPr>
            <w:tcW w:w="864" w:type="pct"/>
            <w:shd w:val="clear" w:color="auto" w:fill="auto"/>
            <w:vAlign w:val="center"/>
          </w:tcPr>
          <w:p w14:paraId="478CE428"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17.2 </w:t>
            </w:r>
          </w:p>
          <w:p w14:paraId="0319B870"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(14.4, 19.7)</w:t>
            </w:r>
          </w:p>
        </w:tc>
        <w:tc>
          <w:tcPr>
            <w:tcW w:w="496" w:type="pct"/>
            <w:vAlign w:val="center"/>
          </w:tcPr>
          <w:p w14:paraId="0CC5555E"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281</w:t>
            </w:r>
          </w:p>
        </w:tc>
        <w:tc>
          <w:tcPr>
            <w:tcW w:w="714" w:type="pct"/>
            <w:shd w:val="clear" w:color="auto" w:fill="auto"/>
            <w:vAlign w:val="center"/>
          </w:tcPr>
          <w:p w14:paraId="09689EDE"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11.6 </w:t>
            </w:r>
          </w:p>
          <w:p w14:paraId="0DA35919"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(10.1, 13.7)</w:t>
            </w:r>
          </w:p>
        </w:tc>
        <w:tc>
          <w:tcPr>
            <w:tcW w:w="648" w:type="pct"/>
            <w:shd w:val="clear" w:color="auto" w:fill="auto"/>
            <w:vAlign w:val="center"/>
          </w:tcPr>
          <w:p w14:paraId="4E9DCFFA" w14:textId="77777777" w:rsidR="00257B05" w:rsidRPr="00674669" w:rsidRDefault="00257B05"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szCs w:val="20"/>
              </w:rPr>
              <w:t>0.71 </w:t>
            </w:r>
          </w:p>
          <w:p w14:paraId="1740901A" w14:textId="77777777" w:rsidR="00257B05" w:rsidRPr="00674669" w:rsidRDefault="00257B05"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szCs w:val="20"/>
              </w:rPr>
              <w:t>(0.59, 0.85)</w:t>
            </w:r>
          </w:p>
        </w:tc>
      </w:tr>
      <w:tr w:rsidR="00AD26DB" w:rsidRPr="00674669" w14:paraId="3E5ACD64" w14:textId="77777777" w:rsidTr="00257B05">
        <w:trPr>
          <w:cantSplit/>
          <w:trHeight w:val="127"/>
        </w:trPr>
        <w:tc>
          <w:tcPr>
            <w:tcW w:w="1201" w:type="pct"/>
            <w:vMerge/>
            <w:vAlign w:val="center"/>
          </w:tcPr>
          <w:p w14:paraId="426F5B6A" w14:textId="77777777" w:rsidR="00AD26DB" w:rsidRPr="00674669" w:rsidRDefault="00AD26DB" w:rsidP="00C521FE">
            <w:pPr>
              <w:keepNext/>
              <w:jc w:val="left"/>
              <w:rPr>
                <w:rFonts w:ascii="Arial Narrow" w:eastAsiaTheme="majorEastAsia" w:hAnsi="Arial Narrow" w:cstheme="majorBidi"/>
                <w:bCs/>
                <w:sz w:val="20"/>
                <w:szCs w:val="20"/>
              </w:rPr>
            </w:pPr>
          </w:p>
        </w:tc>
        <w:tc>
          <w:tcPr>
            <w:tcW w:w="3151" w:type="pct"/>
            <w:gridSpan w:val="5"/>
            <w:shd w:val="clear" w:color="auto" w:fill="auto"/>
            <w:vAlign w:val="center"/>
          </w:tcPr>
          <w:p w14:paraId="4512D78F" w14:textId="77777777"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KN meta</w:t>
            </w:r>
            <w:r w:rsidRPr="00674669">
              <w:rPr>
                <w:rFonts w:ascii="Arial Narrow" w:eastAsiaTheme="majorEastAsia" w:hAnsi="Arial Narrow" w:cstheme="majorBidi"/>
                <w:bCs/>
                <w:sz w:val="20"/>
                <w:szCs w:val="20"/>
              </w:rPr>
              <w:noBreakHyphen/>
              <w:t>analysis k=2</w:t>
            </w:r>
          </w:p>
        </w:tc>
        <w:tc>
          <w:tcPr>
            <w:tcW w:w="648" w:type="pct"/>
            <w:shd w:val="clear" w:color="auto" w:fill="auto"/>
            <w:vAlign w:val="center"/>
          </w:tcPr>
          <w:p w14:paraId="7EE471EC" w14:textId="77777777" w:rsidR="00AD26DB" w:rsidRPr="00674669" w:rsidRDefault="00AD26DB"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szCs w:val="20"/>
              </w:rPr>
              <w:t>0.65 </w:t>
            </w:r>
          </w:p>
          <w:p w14:paraId="1CF356EF" w14:textId="77777777" w:rsidR="00AD26DB" w:rsidRPr="00674669" w:rsidRDefault="00AD26DB"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
                <w:sz w:val="20"/>
                <w:szCs w:val="20"/>
              </w:rPr>
              <w:t>(0.55, 0.77)</w:t>
            </w:r>
          </w:p>
        </w:tc>
      </w:tr>
      <w:bookmarkEnd w:id="55"/>
      <w:tr w:rsidR="00AD26DB" w:rsidRPr="00674669" w14:paraId="36871072" w14:textId="77777777" w:rsidTr="00257B05">
        <w:trPr>
          <w:cantSplit/>
          <w:trHeight w:val="57"/>
        </w:trPr>
        <w:tc>
          <w:tcPr>
            <w:tcW w:w="1201" w:type="pct"/>
            <w:vAlign w:val="center"/>
          </w:tcPr>
          <w:p w14:paraId="3C864281" w14:textId="73DF7EDD"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ITC cemiplimab</w:t>
            </w:r>
            <w:r w:rsidR="00F152CD" w:rsidRPr="00674669">
              <w:rPr>
                <w:rFonts w:ascii="Arial Narrow" w:eastAsiaTheme="majorEastAsia" w:hAnsi="Arial Narrow" w:cstheme="majorBidi"/>
                <w:bCs/>
                <w:sz w:val="20"/>
                <w:szCs w:val="20"/>
              </w:rPr>
              <w:t>+</w:t>
            </w:r>
            <w:r w:rsidRPr="00674669">
              <w:rPr>
                <w:rFonts w:ascii="Arial Narrow" w:eastAsiaTheme="majorEastAsia" w:hAnsi="Arial Narrow" w:cstheme="majorBidi"/>
                <w:bCs/>
                <w:sz w:val="20"/>
                <w:szCs w:val="20"/>
              </w:rPr>
              <w:t>PDC vs. pembrolizumab</w:t>
            </w:r>
            <w:r w:rsidR="00F152CD" w:rsidRPr="00674669">
              <w:rPr>
                <w:rFonts w:ascii="Arial Narrow" w:eastAsiaTheme="majorEastAsia" w:hAnsi="Arial Narrow" w:cstheme="majorBidi"/>
                <w:bCs/>
                <w:sz w:val="20"/>
                <w:szCs w:val="20"/>
              </w:rPr>
              <w:t>+</w:t>
            </w:r>
            <w:r w:rsidRPr="00674669">
              <w:rPr>
                <w:rFonts w:ascii="Arial Narrow" w:eastAsiaTheme="majorEastAsia" w:hAnsi="Arial Narrow" w:cstheme="majorBidi"/>
                <w:bCs/>
                <w:sz w:val="20"/>
                <w:szCs w:val="20"/>
              </w:rPr>
              <w:t>PDC</w:t>
            </w:r>
          </w:p>
        </w:tc>
        <w:tc>
          <w:tcPr>
            <w:tcW w:w="3151" w:type="pct"/>
            <w:gridSpan w:val="5"/>
            <w:shd w:val="clear" w:color="auto" w:fill="auto"/>
            <w:vAlign w:val="center"/>
          </w:tcPr>
          <w:p w14:paraId="05B22C27" w14:textId="4C351FA5"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16113  vs. KN meta</w:t>
            </w:r>
            <w:r w:rsidRPr="00674669">
              <w:rPr>
                <w:rFonts w:ascii="Arial Narrow" w:eastAsiaTheme="majorEastAsia" w:hAnsi="Arial Narrow" w:cstheme="majorBidi"/>
                <w:bCs/>
                <w:sz w:val="20"/>
                <w:szCs w:val="20"/>
              </w:rPr>
              <w:noBreakHyphen/>
              <w:t>analysis</w:t>
            </w:r>
          </w:p>
        </w:tc>
        <w:tc>
          <w:tcPr>
            <w:tcW w:w="648" w:type="pct"/>
            <w:shd w:val="clear" w:color="auto" w:fill="auto"/>
            <w:vAlign w:val="center"/>
          </w:tcPr>
          <w:p w14:paraId="1F548D1E" w14:textId="77777777" w:rsidR="00AD26DB" w:rsidRPr="00674669" w:rsidRDefault="00AD26DB"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 xml:space="preserve">1.00 </w:t>
            </w:r>
          </w:p>
          <w:p w14:paraId="09B66D2D" w14:textId="77777777" w:rsidR="00AD26DB" w:rsidRPr="00674669" w:rsidRDefault="00AD26DB"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(0.75, 1.34)</w:t>
            </w:r>
          </w:p>
        </w:tc>
      </w:tr>
      <w:tr w:rsidR="00AD26DB" w:rsidRPr="00674669" w14:paraId="59E7D957" w14:textId="77777777" w:rsidTr="00C521FE">
        <w:trPr>
          <w:cantSplit/>
          <w:trHeight w:val="57"/>
        </w:trPr>
        <w:tc>
          <w:tcPr>
            <w:tcW w:w="5000" w:type="pct"/>
            <w:gridSpan w:val="7"/>
            <w:vAlign w:val="center"/>
          </w:tcPr>
          <w:p w14:paraId="768EA89F" w14:textId="77777777"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
                <w:sz w:val="20"/>
                <w:szCs w:val="20"/>
              </w:rPr>
              <w:t>PFS</w:t>
            </w:r>
          </w:p>
        </w:tc>
      </w:tr>
      <w:tr w:rsidR="00257B05" w:rsidRPr="00674669" w14:paraId="6895996C" w14:textId="77777777" w:rsidTr="00257B05">
        <w:trPr>
          <w:cantSplit/>
          <w:trHeight w:val="57"/>
        </w:trPr>
        <w:tc>
          <w:tcPr>
            <w:tcW w:w="1201" w:type="pct"/>
            <w:vAlign w:val="center"/>
          </w:tcPr>
          <w:p w14:paraId="2E89C8EE" w14:textId="744A6AC0" w:rsidR="00257B05" w:rsidRPr="00674669" w:rsidRDefault="00257B05"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Cemiplimab+PDC vs. placebo+PDC</w:t>
            </w:r>
          </w:p>
        </w:tc>
        <w:tc>
          <w:tcPr>
            <w:tcW w:w="683" w:type="pct"/>
            <w:shd w:val="clear" w:color="auto" w:fill="auto"/>
            <w:vAlign w:val="center"/>
          </w:tcPr>
          <w:p w14:paraId="28B38854" w14:textId="61BE02D1"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16113</w:t>
            </w:r>
          </w:p>
        </w:tc>
        <w:tc>
          <w:tcPr>
            <w:tcW w:w="393" w:type="pct"/>
            <w:shd w:val="clear" w:color="auto" w:fill="auto"/>
            <w:vAlign w:val="center"/>
          </w:tcPr>
          <w:p w14:paraId="0A81D284"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312</w:t>
            </w:r>
          </w:p>
        </w:tc>
        <w:tc>
          <w:tcPr>
            <w:tcW w:w="864" w:type="pct"/>
            <w:shd w:val="clear" w:color="auto" w:fill="auto"/>
            <w:vAlign w:val="center"/>
          </w:tcPr>
          <w:p w14:paraId="3175B6D2" w14:textId="77777777" w:rsidR="00257B05" w:rsidRPr="00674669" w:rsidRDefault="00257B05"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8.2</w:t>
            </w:r>
          </w:p>
          <w:p w14:paraId="0BF357DB"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(6.4, 9.0)</w:t>
            </w:r>
          </w:p>
        </w:tc>
        <w:tc>
          <w:tcPr>
            <w:tcW w:w="496" w:type="pct"/>
            <w:shd w:val="clear" w:color="auto" w:fill="auto"/>
            <w:vAlign w:val="center"/>
          </w:tcPr>
          <w:p w14:paraId="117E1D91"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154</w:t>
            </w:r>
          </w:p>
        </w:tc>
        <w:tc>
          <w:tcPr>
            <w:tcW w:w="714" w:type="pct"/>
            <w:shd w:val="clear" w:color="auto" w:fill="auto"/>
            <w:vAlign w:val="center"/>
          </w:tcPr>
          <w:p w14:paraId="2E40EF36" w14:textId="77777777" w:rsidR="00257B05" w:rsidRPr="00674669" w:rsidRDefault="00257B05"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5.5</w:t>
            </w:r>
          </w:p>
          <w:p w14:paraId="0C25B28D"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(4.3, 6.2)</w:t>
            </w:r>
          </w:p>
        </w:tc>
        <w:tc>
          <w:tcPr>
            <w:tcW w:w="648" w:type="pct"/>
            <w:shd w:val="clear" w:color="auto" w:fill="auto"/>
            <w:vAlign w:val="center"/>
          </w:tcPr>
          <w:p w14:paraId="1D3F8D16" w14:textId="77777777" w:rsidR="00257B05" w:rsidRPr="00674669" w:rsidRDefault="00257B05" w:rsidP="00C521FE">
            <w:pPr>
              <w:keepNext/>
              <w:jc w:val="center"/>
              <w:rPr>
                <w:rFonts w:ascii="Arial Narrow" w:eastAsiaTheme="majorEastAsia" w:hAnsi="Arial Narrow" w:cstheme="majorBidi"/>
                <w:b/>
                <w:sz w:val="20"/>
              </w:rPr>
            </w:pPr>
            <w:r w:rsidRPr="00674669">
              <w:rPr>
                <w:rFonts w:ascii="Arial Narrow" w:eastAsiaTheme="majorEastAsia" w:hAnsi="Arial Narrow" w:cstheme="majorBidi"/>
                <w:b/>
                <w:sz w:val="20"/>
              </w:rPr>
              <w:t>0.55</w:t>
            </w:r>
          </w:p>
          <w:p w14:paraId="2A1451DF"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
                <w:sz w:val="20"/>
              </w:rPr>
              <w:t>(0.44, 0.68)</w:t>
            </w:r>
          </w:p>
        </w:tc>
      </w:tr>
      <w:tr w:rsidR="00257B05" w:rsidRPr="00674669" w14:paraId="0F39AF94" w14:textId="77777777" w:rsidTr="00257B05">
        <w:trPr>
          <w:cantSplit/>
          <w:trHeight w:val="57"/>
        </w:trPr>
        <w:tc>
          <w:tcPr>
            <w:tcW w:w="1201" w:type="pct"/>
            <w:vMerge w:val="restart"/>
            <w:vAlign w:val="center"/>
          </w:tcPr>
          <w:p w14:paraId="4E2BB407" w14:textId="7BDC966D" w:rsidR="00257B05" w:rsidRPr="00674669" w:rsidRDefault="00257B05"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Pembrolizumab+PDC vs. placebo+PDC</w:t>
            </w:r>
          </w:p>
        </w:tc>
        <w:tc>
          <w:tcPr>
            <w:tcW w:w="683" w:type="pct"/>
            <w:shd w:val="clear" w:color="auto" w:fill="auto"/>
            <w:vAlign w:val="center"/>
          </w:tcPr>
          <w:p w14:paraId="6F8BE2C1" w14:textId="71CB4F08"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KN</w:t>
            </w:r>
            <w:r w:rsidRPr="00674669">
              <w:rPr>
                <w:rFonts w:ascii="Arial Narrow" w:eastAsiaTheme="majorEastAsia" w:hAnsi="Arial Narrow" w:cstheme="majorBidi"/>
                <w:bCs/>
                <w:sz w:val="20"/>
                <w:szCs w:val="20"/>
              </w:rPr>
              <w:noBreakHyphen/>
              <w:t>189</w:t>
            </w:r>
          </w:p>
        </w:tc>
        <w:tc>
          <w:tcPr>
            <w:tcW w:w="393" w:type="pct"/>
            <w:shd w:val="clear" w:color="auto" w:fill="auto"/>
            <w:vAlign w:val="center"/>
          </w:tcPr>
          <w:p w14:paraId="6486F588"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410</w:t>
            </w:r>
          </w:p>
        </w:tc>
        <w:tc>
          <w:tcPr>
            <w:tcW w:w="864" w:type="pct"/>
            <w:shd w:val="clear" w:color="auto" w:fill="auto"/>
            <w:vAlign w:val="center"/>
          </w:tcPr>
          <w:p w14:paraId="28864025" w14:textId="77777777" w:rsidR="00257B05" w:rsidRPr="00674669" w:rsidRDefault="00257B05"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9.0</w:t>
            </w:r>
          </w:p>
          <w:p w14:paraId="415787D5"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(8.1, 10.4)</w:t>
            </w:r>
          </w:p>
        </w:tc>
        <w:tc>
          <w:tcPr>
            <w:tcW w:w="496" w:type="pct"/>
            <w:shd w:val="clear" w:color="auto" w:fill="auto"/>
            <w:vAlign w:val="center"/>
          </w:tcPr>
          <w:p w14:paraId="5602DFA7"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206</w:t>
            </w:r>
          </w:p>
        </w:tc>
        <w:tc>
          <w:tcPr>
            <w:tcW w:w="714" w:type="pct"/>
            <w:shd w:val="clear" w:color="auto" w:fill="auto"/>
            <w:vAlign w:val="center"/>
          </w:tcPr>
          <w:p w14:paraId="474AEB60" w14:textId="77777777" w:rsidR="00257B05" w:rsidRPr="00674669" w:rsidRDefault="00257B05"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4.9</w:t>
            </w:r>
          </w:p>
          <w:p w14:paraId="20349652"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(4.7, 5.5)</w:t>
            </w:r>
          </w:p>
        </w:tc>
        <w:tc>
          <w:tcPr>
            <w:tcW w:w="648" w:type="pct"/>
            <w:shd w:val="clear" w:color="auto" w:fill="auto"/>
            <w:vAlign w:val="center"/>
          </w:tcPr>
          <w:p w14:paraId="1C779677" w14:textId="77777777" w:rsidR="00257B05" w:rsidRPr="00674669" w:rsidRDefault="00257B05" w:rsidP="00C521FE">
            <w:pPr>
              <w:keepNext/>
              <w:jc w:val="center"/>
              <w:rPr>
                <w:rFonts w:ascii="Arial Narrow" w:eastAsiaTheme="majorEastAsia" w:hAnsi="Arial Narrow" w:cstheme="majorBidi"/>
                <w:b/>
                <w:sz w:val="20"/>
              </w:rPr>
            </w:pPr>
            <w:r w:rsidRPr="00674669">
              <w:rPr>
                <w:rFonts w:ascii="Arial Narrow" w:eastAsiaTheme="majorEastAsia" w:hAnsi="Arial Narrow" w:cstheme="majorBidi"/>
                <w:b/>
                <w:sz w:val="20"/>
              </w:rPr>
              <w:t>0.50</w:t>
            </w:r>
          </w:p>
          <w:p w14:paraId="32D4226E" w14:textId="77777777" w:rsidR="00257B05" w:rsidRPr="00674669" w:rsidRDefault="00257B05"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rPr>
              <w:t>(0.42, 0.60)</w:t>
            </w:r>
          </w:p>
        </w:tc>
      </w:tr>
      <w:tr w:rsidR="00257B05" w:rsidRPr="00674669" w14:paraId="17D17D66" w14:textId="77777777" w:rsidTr="00257B05">
        <w:trPr>
          <w:cantSplit/>
          <w:trHeight w:val="57"/>
        </w:trPr>
        <w:tc>
          <w:tcPr>
            <w:tcW w:w="1201" w:type="pct"/>
            <w:vMerge/>
            <w:vAlign w:val="center"/>
          </w:tcPr>
          <w:p w14:paraId="33117D89" w14:textId="77777777" w:rsidR="00257B05" w:rsidRPr="00674669" w:rsidRDefault="00257B05" w:rsidP="00C521FE">
            <w:pPr>
              <w:keepNext/>
              <w:jc w:val="left"/>
              <w:rPr>
                <w:rFonts w:ascii="Arial Narrow" w:eastAsiaTheme="majorEastAsia" w:hAnsi="Arial Narrow" w:cstheme="majorBidi"/>
                <w:bCs/>
                <w:sz w:val="20"/>
                <w:szCs w:val="20"/>
              </w:rPr>
            </w:pPr>
          </w:p>
        </w:tc>
        <w:tc>
          <w:tcPr>
            <w:tcW w:w="683" w:type="pct"/>
            <w:shd w:val="clear" w:color="auto" w:fill="auto"/>
            <w:vAlign w:val="center"/>
          </w:tcPr>
          <w:p w14:paraId="2BB7E1FF" w14:textId="66ED2AE6"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KN</w:t>
            </w:r>
            <w:r w:rsidRPr="00674669">
              <w:rPr>
                <w:rFonts w:ascii="Arial Narrow" w:eastAsiaTheme="majorEastAsia" w:hAnsi="Arial Narrow" w:cstheme="majorBidi"/>
                <w:bCs/>
                <w:sz w:val="20"/>
                <w:szCs w:val="20"/>
              </w:rPr>
              <w:noBreakHyphen/>
              <w:t>407</w:t>
            </w:r>
          </w:p>
        </w:tc>
        <w:tc>
          <w:tcPr>
            <w:tcW w:w="393" w:type="pct"/>
            <w:shd w:val="clear" w:color="auto" w:fill="auto"/>
            <w:vAlign w:val="center"/>
          </w:tcPr>
          <w:p w14:paraId="4865C9F4"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278</w:t>
            </w:r>
          </w:p>
        </w:tc>
        <w:tc>
          <w:tcPr>
            <w:tcW w:w="864" w:type="pct"/>
            <w:shd w:val="clear" w:color="auto" w:fill="auto"/>
            <w:vAlign w:val="center"/>
          </w:tcPr>
          <w:p w14:paraId="04017913" w14:textId="77777777" w:rsidR="00257B05" w:rsidRPr="00674669" w:rsidRDefault="00257B05"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8.0</w:t>
            </w:r>
          </w:p>
          <w:p w14:paraId="478E82CD"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(6.3, 8.5)</w:t>
            </w:r>
          </w:p>
        </w:tc>
        <w:tc>
          <w:tcPr>
            <w:tcW w:w="496" w:type="pct"/>
            <w:shd w:val="clear" w:color="auto" w:fill="auto"/>
            <w:vAlign w:val="center"/>
          </w:tcPr>
          <w:p w14:paraId="413CD574"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281</w:t>
            </w:r>
          </w:p>
        </w:tc>
        <w:tc>
          <w:tcPr>
            <w:tcW w:w="714" w:type="pct"/>
            <w:shd w:val="clear" w:color="auto" w:fill="auto"/>
            <w:vAlign w:val="center"/>
          </w:tcPr>
          <w:p w14:paraId="55D59AF5" w14:textId="77777777" w:rsidR="00257B05" w:rsidRPr="00674669" w:rsidRDefault="00257B05"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5.1</w:t>
            </w:r>
          </w:p>
          <w:p w14:paraId="7EA67E58" w14:textId="77777777" w:rsidR="00257B05" w:rsidRPr="00674669" w:rsidRDefault="00257B05"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(4.3, 6.0)</w:t>
            </w:r>
          </w:p>
        </w:tc>
        <w:tc>
          <w:tcPr>
            <w:tcW w:w="648" w:type="pct"/>
            <w:shd w:val="clear" w:color="auto" w:fill="auto"/>
            <w:vAlign w:val="center"/>
          </w:tcPr>
          <w:p w14:paraId="5449F1E6" w14:textId="77777777" w:rsidR="00257B05" w:rsidRPr="00674669" w:rsidRDefault="00257B05" w:rsidP="00C521FE">
            <w:pPr>
              <w:keepNext/>
              <w:jc w:val="center"/>
              <w:rPr>
                <w:rFonts w:ascii="Arial Narrow" w:eastAsiaTheme="majorEastAsia" w:hAnsi="Arial Narrow" w:cstheme="majorBidi"/>
                <w:b/>
                <w:sz w:val="20"/>
              </w:rPr>
            </w:pPr>
            <w:r w:rsidRPr="00674669">
              <w:rPr>
                <w:rFonts w:ascii="Arial Narrow" w:eastAsiaTheme="majorEastAsia" w:hAnsi="Arial Narrow" w:cstheme="majorBidi"/>
                <w:b/>
                <w:sz w:val="20"/>
              </w:rPr>
              <w:t>0.62</w:t>
            </w:r>
          </w:p>
          <w:p w14:paraId="33D1EF2E" w14:textId="77777777" w:rsidR="00257B05" w:rsidRPr="00674669" w:rsidRDefault="00257B05" w:rsidP="00C521FE">
            <w:pPr>
              <w:keepNext/>
              <w:jc w:val="center"/>
              <w:rPr>
                <w:rFonts w:ascii="Arial Narrow" w:eastAsiaTheme="majorEastAsia" w:hAnsi="Arial Narrow" w:cstheme="majorBidi"/>
                <w:b/>
                <w:sz w:val="20"/>
                <w:szCs w:val="20"/>
              </w:rPr>
            </w:pPr>
            <w:r w:rsidRPr="00674669">
              <w:rPr>
                <w:rFonts w:ascii="Arial Narrow" w:eastAsiaTheme="majorEastAsia" w:hAnsi="Arial Narrow" w:cstheme="majorBidi"/>
                <w:b/>
                <w:sz w:val="20"/>
              </w:rPr>
              <w:t>(0.52, 0.74)</w:t>
            </w:r>
          </w:p>
        </w:tc>
      </w:tr>
      <w:tr w:rsidR="00AD26DB" w:rsidRPr="00674669" w14:paraId="78A4F2B4" w14:textId="77777777" w:rsidTr="00257B05">
        <w:trPr>
          <w:cantSplit/>
          <w:trHeight w:val="57"/>
        </w:trPr>
        <w:tc>
          <w:tcPr>
            <w:tcW w:w="1201" w:type="pct"/>
            <w:vMerge/>
            <w:vAlign w:val="center"/>
          </w:tcPr>
          <w:p w14:paraId="5AC462AF" w14:textId="77777777" w:rsidR="00AD26DB" w:rsidRPr="00674669" w:rsidRDefault="00AD26DB" w:rsidP="00C521FE">
            <w:pPr>
              <w:keepNext/>
              <w:jc w:val="left"/>
              <w:rPr>
                <w:rFonts w:ascii="Arial Narrow" w:eastAsiaTheme="majorEastAsia" w:hAnsi="Arial Narrow" w:cstheme="majorBidi"/>
                <w:bCs/>
                <w:sz w:val="20"/>
                <w:szCs w:val="20"/>
              </w:rPr>
            </w:pPr>
          </w:p>
        </w:tc>
        <w:tc>
          <w:tcPr>
            <w:tcW w:w="3151" w:type="pct"/>
            <w:gridSpan w:val="5"/>
            <w:shd w:val="clear" w:color="auto" w:fill="auto"/>
            <w:vAlign w:val="center"/>
          </w:tcPr>
          <w:p w14:paraId="3B0AA8FE" w14:textId="77777777"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KN meta</w:t>
            </w:r>
            <w:r w:rsidRPr="00674669">
              <w:rPr>
                <w:rFonts w:ascii="Arial Narrow" w:eastAsiaTheme="majorEastAsia" w:hAnsi="Arial Narrow" w:cstheme="majorBidi"/>
                <w:bCs/>
                <w:sz w:val="20"/>
                <w:szCs w:val="20"/>
              </w:rPr>
              <w:noBreakHyphen/>
              <w:t>analysis k=2</w:t>
            </w:r>
          </w:p>
        </w:tc>
        <w:tc>
          <w:tcPr>
            <w:tcW w:w="648" w:type="pct"/>
            <w:shd w:val="clear" w:color="auto" w:fill="auto"/>
          </w:tcPr>
          <w:p w14:paraId="2301F4D0" w14:textId="77777777" w:rsidR="00AD26DB" w:rsidRPr="00674669" w:rsidRDefault="00AD26DB" w:rsidP="00C521FE">
            <w:pPr>
              <w:keepNext/>
              <w:jc w:val="center"/>
              <w:rPr>
                <w:rFonts w:ascii="Arial Narrow" w:eastAsiaTheme="majorEastAsia" w:hAnsi="Arial Narrow" w:cstheme="majorBidi"/>
                <w:b/>
                <w:sz w:val="20"/>
              </w:rPr>
            </w:pPr>
            <w:r w:rsidRPr="00674669">
              <w:rPr>
                <w:rFonts w:ascii="Arial Narrow" w:eastAsiaTheme="majorEastAsia" w:hAnsi="Arial Narrow" w:cstheme="majorBidi"/>
                <w:b/>
                <w:sz w:val="20"/>
              </w:rPr>
              <w:t xml:space="preserve">0.56 </w:t>
            </w:r>
          </w:p>
          <w:p w14:paraId="1D198F8E" w14:textId="77777777" w:rsidR="00AD26DB" w:rsidRPr="00674669" w:rsidRDefault="00AD26DB"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
                <w:sz w:val="20"/>
              </w:rPr>
              <w:t>(0.45, 0.69)</w:t>
            </w:r>
            <w:r w:rsidRPr="00674669">
              <w:rPr>
                <w:rFonts w:ascii="Arial Narrow" w:eastAsiaTheme="majorEastAsia" w:hAnsi="Arial Narrow" w:cstheme="majorBidi"/>
                <w:bCs/>
                <w:sz w:val="20"/>
              </w:rPr>
              <w:t xml:space="preserve"> </w:t>
            </w:r>
          </w:p>
        </w:tc>
      </w:tr>
      <w:tr w:rsidR="00AD26DB" w:rsidRPr="00674669" w14:paraId="02CD97C8" w14:textId="77777777" w:rsidTr="00257B05">
        <w:trPr>
          <w:cantSplit/>
          <w:trHeight w:val="57"/>
        </w:trPr>
        <w:tc>
          <w:tcPr>
            <w:tcW w:w="1201" w:type="pct"/>
            <w:vAlign w:val="center"/>
          </w:tcPr>
          <w:p w14:paraId="6AFFE577" w14:textId="17EC7F19"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ITC cemiplimab</w:t>
            </w:r>
            <w:r w:rsidR="00F152CD" w:rsidRPr="00674669">
              <w:rPr>
                <w:rFonts w:ascii="Arial Narrow" w:eastAsiaTheme="majorEastAsia" w:hAnsi="Arial Narrow" w:cstheme="majorBidi"/>
                <w:bCs/>
                <w:sz w:val="20"/>
                <w:szCs w:val="20"/>
              </w:rPr>
              <w:t>+</w:t>
            </w:r>
            <w:r w:rsidRPr="00674669">
              <w:rPr>
                <w:rFonts w:ascii="Arial Narrow" w:eastAsiaTheme="majorEastAsia" w:hAnsi="Arial Narrow" w:cstheme="majorBidi"/>
                <w:bCs/>
                <w:sz w:val="20"/>
                <w:szCs w:val="20"/>
              </w:rPr>
              <w:t>PDC vs. pembrolizumab</w:t>
            </w:r>
            <w:r w:rsidR="00F152CD" w:rsidRPr="00674669">
              <w:rPr>
                <w:rFonts w:ascii="Arial Narrow" w:eastAsiaTheme="majorEastAsia" w:hAnsi="Arial Narrow" w:cstheme="majorBidi"/>
                <w:bCs/>
                <w:sz w:val="20"/>
                <w:szCs w:val="20"/>
              </w:rPr>
              <w:t>+</w:t>
            </w:r>
            <w:r w:rsidRPr="00674669">
              <w:rPr>
                <w:rFonts w:ascii="Arial Narrow" w:eastAsiaTheme="majorEastAsia" w:hAnsi="Arial Narrow" w:cstheme="majorBidi"/>
                <w:bCs/>
                <w:sz w:val="20"/>
                <w:szCs w:val="20"/>
              </w:rPr>
              <w:t>PDC</w:t>
            </w:r>
          </w:p>
        </w:tc>
        <w:tc>
          <w:tcPr>
            <w:tcW w:w="3151" w:type="pct"/>
            <w:gridSpan w:val="5"/>
            <w:shd w:val="clear" w:color="auto" w:fill="auto"/>
            <w:vAlign w:val="center"/>
          </w:tcPr>
          <w:p w14:paraId="7612ECA8" w14:textId="51506BF0" w:rsidR="00AD26DB" w:rsidRPr="00674669" w:rsidRDefault="00AD26DB" w:rsidP="00C521FE">
            <w:pPr>
              <w:keepNext/>
              <w:jc w:val="left"/>
              <w:rPr>
                <w:rFonts w:ascii="Arial Narrow" w:eastAsiaTheme="majorEastAsia" w:hAnsi="Arial Narrow" w:cstheme="majorBidi"/>
                <w:bCs/>
                <w:sz w:val="20"/>
                <w:szCs w:val="20"/>
              </w:rPr>
            </w:pPr>
            <w:r w:rsidRPr="00674669">
              <w:rPr>
                <w:rFonts w:ascii="Arial Narrow" w:eastAsiaTheme="majorEastAsia" w:hAnsi="Arial Narrow" w:cstheme="majorBidi"/>
                <w:bCs/>
                <w:sz w:val="20"/>
                <w:szCs w:val="20"/>
              </w:rPr>
              <w:t>16113  vs. KN meta</w:t>
            </w:r>
            <w:r w:rsidRPr="00674669">
              <w:rPr>
                <w:rFonts w:ascii="Arial Narrow" w:eastAsiaTheme="majorEastAsia" w:hAnsi="Arial Narrow" w:cstheme="majorBidi"/>
                <w:bCs/>
                <w:sz w:val="20"/>
                <w:szCs w:val="20"/>
              </w:rPr>
              <w:noBreakHyphen/>
              <w:t>analysis</w:t>
            </w:r>
          </w:p>
        </w:tc>
        <w:tc>
          <w:tcPr>
            <w:tcW w:w="648" w:type="pct"/>
            <w:shd w:val="clear" w:color="auto" w:fill="auto"/>
          </w:tcPr>
          <w:p w14:paraId="4F0DCE8F"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 xml:space="preserve">0.98 </w:t>
            </w:r>
          </w:p>
          <w:p w14:paraId="5FBA2295" w14:textId="77777777" w:rsidR="00AD26DB" w:rsidRPr="00674669" w:rsidRDefault="00AD26DB" w:rsidP="00C521FE">
            <w:pPr>
              <w:keepNext/>
              <w:jc w:val="center"/>
              <w:rPr>
                <w:rFonts w:ascii="Arial Narrow" w:eastAsiaTheme="majorEastAsia" w:hAnsi="Arial Narrow" w:cstheme="majorBidi"/>
                <w:bCs/>
                <w:sz w:val="20"/>
                <w:szCs w:val="20"/>
              </w:rPr>
            </w:pPr>
            <w:r w:rsidRPr="00674669">
              <w:rPr>
                <w:rFonts w:ascii="Arial Narrow" w:eastAsiaTheme="majorEastAsia" w:hAnsi="Arial Narrow" w:cstheme="majorBidi"/>
                <w:bCs/>
                <w:sz w:val="20"/>
              </w:rPr>
              <w:t>(0.72, 1.33)</w:t>
            </w:r>
          </w:p>
        </w:tc>
      </w:tr>
    </w:tbl>
    <w:p w14:paraId="24448B7B"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Table 2-32, p79 and Table 2-33, p80 of the submission.</w:t>
      </w:r>
    </w:p>
    <w:p w14:paraId="74A7AD86"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CI = confidence interval; HR = hazard ratio; ITC = indirect treatment comparison; ITT = intention-to treat; k = number of studies contributing to the pooled estimates of effect; N = total participants in group; OS = overall survival; PDC = platinum doublet chemotherapy; PD-L1 = programmed cell death ligand 1; PFS = progression-free survival.</w:t>
      </w:r>
    </w:p>
    <w:p w14:paraId="50D91379" w14:textId="14FCBB40"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b/>
          <w:bCs/>
          <w:snapToGrid w:val="0"/>
          <w:sz w:val="18"/>
          <w:szCs w:val="22"/>
        </w:rPr>
        <w:t xml:space="preserve">Bold </w:t>
      </w:r>
      <w:r w:rsidRPr="00674669">
        <w:rPr>
          <w:rFonts w:ascii="Arial Narrow" w:hAnsi="Arial Narrow"/>
          <w:snapToGrid w:val="0"/>
          <w:sz w:val="18"/>
          <w:szCs w:val="22"/>
        </w:rPr>
        <w:t>indicates statistical significance.</w:t>
      </w:r>
    </w:p>
    <w:p w14:paraId="004053F2" w14:textId="55573B00" w:rsidR="009353C9" w:rsidRPr="00674669" w:rsidRDefault="00AD26DB" w:rsidP="00AD26DB">
      <w:pPr>
        <w:pStyle w:val="3-BodyText"/>
        <w:rPr>
          <w:b/>
        </w:rPr>
      </w:pPr>
      <w:bookmarkStart w:id="56" w:name="_Hlk143366717"/>
      <w:r w:rsidRPr="00674669">
        <w:rPr>
          <w:iCs/>
        </w:rPr>
        <w:t xml:space="preserve">The </w:t>
      </w:r>
      <w:r w:rsidR="000D0ADD" w:rsidRPr="00674669">
        <w:rPr>
          <w:iCs/>
        </w:rPr>
        <w:t>ESC noted</w:t>
      </w:r>
      <w:r w:rsidR="000D0ADD" w:rsidRPr="00674669">
        <w:t xml:space="preserve"> the </w:t>
      </w:r>
      <w:r w:rsidRPr="00674669">
        <w:t xml:space="preserve">indirect comparison of efficacy showed no significant difference in OS between cemiplimab+PDC and pembrolizumab+PDC (HR: 1.00; 95% CI: 0.75, 1.34). </w:t>
      </w:r>
      <w:r w:rsidR="009353C9" w:rsidRPr="00674669">
        <w:t xml:space="preserve">The 95% CI </w:t>
      </w:r>
      <w:r w:rsidR="00413020" w:rsidRPr="00674669">
        <w:t xml:space="preserve">contained an increase </w:t>
      </w:r>
      <w:r w:rsidR="004F08E2" w:rsidRPr="00674669">
        <w:t>in</w:t>
      </w:r>
      <w:r w:rsidR="00413020" w:rsidRPr="00674669">
        <w:t xml:space="preserve"> hazard for death by 34%, which could be clinically important to the proposed target population.</w:t>
      </w:r>
    </w:p>
    <w:p w14:paraId="32CCD709" w14:textId="0EDAF046" w:rsidR="00AD26DB" w:rsidRPr="00674669" w:rsidRDefault="00AD26DB" w:rsidP="00AD26DB">
      <w:pPr>
        <w:pStyle w:val="3-BodyText"/>
        <w:rPr>
          <w:b/>
          <w:i/>
        </w:rPr>
      </w:pPr>
      <w:r w:rsidRPr="00674669">
        <w:t xml:space="preserve">Similarly, there was no significant difference in PFS between cemiplimab+PDC and pembrolizumab+PDC (HR: 0.98; 95% CI: 0.72, 1.33). </w:t>
      </w:r>
    </w:p>
    <w:bookmarkEnd w:id="56"/>
    <w:p w14:paraId="77623215" w14:textId="57B55B9A" w:rsidR="00AD26DB" w:rsidRPr="00674669" w:rsidRDefault="00AD26DB" w:rsidP="00AD26DB">
      <w:pPr>
        <w:pStyle w:val="3-BodyText"/>
        <w:rPr>
          <w:i/>
          <w:iCs/>
        </w:rPr>
      </w:pPr>
      <w:r w:rsidRPr="00674669">
        <w:t>The indirect comparison showed no significant difference in ORR between cemiplimab+PDC and pembrolizumab+PDC (</w:t>
      </w:r>
      <w:r w:rsidR="00465BD5" w:rsidRPr="00674669">
        <w:t>RR</w:t>
      </w:r>
      <w:r w:rsidRPr="00674669">
        <w:t xml:space="preserve">: 1.02; 95% CI: 0.60, 1.72). </w:t>
      </w:r>
    </w:p>
    <w:p w14:paraId="0D284A37" w14:textId="66EAB8A1" w:rsidR="00AD26DB" w:rsidRPr="00674669" w:rsidRDefault="00AD26DB" w:rsidP="00AD26DB">
      <w:pPr>
        <w:pStyle w:val="3-BodyText"/>
      </w:pPr>
      <w:r w:rsidRPr="00674669">
        <w:t xml:space="preserve">Results from the ITC suggest that cemiplimab+PDC is non-inferior to pembrolizumab+PDC; however, these results are difficult to interpret due to heterogeneities across the trials, in terms of stratification factors, histology, disease stage, gender, ECOG performance status, presence of brain metastases at diagnosis, </w:t>
      </w:r>
      <w:r w:rsidR="00524B21" w:rsidRPr="00674669">
        <w:t xml:space="preserve">which </w:t>
      </w:r>
      <w:r w:rsidRPr="00674669">
        <w:t>affect the transitivity assumption that forms the basis of ITC between cemiplimab+PDC and pembrolizumab+PDC.</w:t>
      </w:r>
      <w:r w:rsidR="00ED51C6" w:rsidRPr="00674669">
        <w:t xml:space="preserve"> </w:t>
      </w:r>
      <w:r w:rsidR="00ED51C6" w:rsidRPr="00674669">
        <w:rPr>
          <w:iCs/>
        </w:rPr>
        <w:t xml:space="preserve">The </w:t>
      </w:r>
      <w:r w:rsidR="00600325" w:rsidRPr="00674669">
        <w:rPr>
          <w:iCs/>
        </w:rPr>
        <w:t xml:space="preserve">pre-PBAC </w:t>
      </w:r>
      <w:r w:rsidR="00D06496" w:rsidRPr="00674669">
        <w:rPr>
          <w:iCs/>
        </w:rPr>
        <w:t>R</w:t>
      </w:r>
      <w:r w:rsidR="00600325" w:rsidRPr="00674669">
        <w:rPr>
          <w:iCs/>
        </w:rPr>
        <w:t>esponse</w:t>
      </w:r>
      <w:r w:rsidR="00DD662D" w:rsidRPr="00674669">
        <w:rPr>
          <w:iCs/>
        </w:rPr>
        <w:t xml:space="preserve"> acknowledged that the results of the ITC were subject to uncertainty due to the inherent nature of the comparison and stated </w:t>
      </w:r>
      <w:r w:rsidR="00ED51C6" w:rsidRPr="00674669">
        <w:rPr>
          <w:iCs/>
        </w:rPr>
        <w:t>that there was potential for bias in either direct</w:t>
      </w:r>
      <w:r w:rsidR="00D34D43" w:rsidRPr="00674669">
        <w:rPr>
          <w:iCs/>
        </w:rPr>
        <w:t xml:space="preserve">ion. The </w:t>
      </w:r>
      <w:r w:rsidR="00600325" w:rsidRPr="00674669">
        <w:rPr>
          <w:iCs/>
        </w:rPr>
        <w:t xml:space="preserve">pre-PBAC </w:t>
      </w:r>
      <w:r w:rsidR="00D06496" w:rsidRPr="00674669">
        <w:rPr>
          <w:iCs/>
        </w:rPr>
        <w:t>R</w:t>
      </w:r>
      <w:r w:rsidR="00600325" w:rsidRPr="00674669">
        <w:rPr>
          <w:iCs/>
        </w:rPr>
        <w:t xml:space="preserve">esponse </w:t>
      </w:r>
      <w:r w:rsidR="00D34D43" w:rsidRPr="00674669">
        <w:rPr>
          <w:iCs/>
        </w:rPr>
        <w:t>highlighted that the median OS and PFS in the placebo+PDC arms of the cem</w:t>
      </w:r>
      <w:r w:rsidR="000F52F0" w:rsidRPr="00674669">
        <w:rPr>
          <w:iCs/>
        </w:rPr>
        <w:t>i</w:t>
      </w:r>
      <w:r w:rsidR="00D34D43" w:rsidRPr="00674669">
        <w:rPr>
          <w:iCs/>
        </w:rPr>
        <w:t xml:space="preserve">plimab trial and the pembrolizumab trials were similar, with overlapping </w:t>
      </w:r>
      <w:r w:rsidR="00D34D43" w:rsidRPr="00674669">
        <w:rPr>
          <w:iCs/>
        </w:rPr>
        <w:lastRenderedPageBreak/>
        <w:t>95% CIs (median OS of 12.9, 10.6, 11.6, and median PFS of 5.5. 4.9, 5.1 in study 16113, KN-189, KN-407 respectively)</w:t>
      </w:r>
      <w:r w:rsidR="00DD662D" w:rsidRPr="00674669">
        <w:rPr>
          <w:iCs/>
        </w:rPr>
        <w:t xml:space="preserve">, supporting </w:t>
      </w:r>
      <w:r w:rsidR="000D0ADD" w:rsidRPr="00674669">
        <w:rPr>
          <w:iCs/>
        </w:rPr>
        <w:t xml:space="preserve">the </w:t>
      </w:r>
      <w:r w:rsidR="00DD662D" w:rsidRPr="00674669">
        <w:rPr>
          <w:iCs/>
        </w:rPr>
        <w:t>robustness and validity of the ITC.</w:t>
      </w:r>
      <w:r w:rsidR="00600325" w:rsidRPr="00674669">
        <w:t xml:space="preserve"> </w:t>
      </w:r>
      <w:r w:rsidR="00D06496" w:rsidRPr="00674669">
        <w:t>The</w:t>
      </w:r>
      <w:r w:rsidR="009307BA" w:rsidRPr="00674669">
        <w:rPr>
          <w:iCs/>
        </w:rPr>
        <w:t xml:space="preserve"> ESC considered the ITC had a high risk of bias.</w:t>
      </w:r>
    </w:p>
    <w:p w14:paraId="5DB3D9C0" w14:textId="3559FF28" w:rsidR="00AD26DB" w:rsidRPr="00674669" w:rsidRDefault="000D0ADD" w:rsidP="00AD26DB">
      <w:pPr>
        <w:pStyle w:val="3-BodyText"/>
      </w:pPr>
      <w:r w:rsidRPr="00674669">
        <w:rPr>
          <w:iCs/>
        </w:rPr>
        <w:t>The ESC noted</w:t>
      </w:r>
      <w:r w:rsidR="00AD26DB" w:rsidRPr="00674669">
        <w:rPr>
          <w:iCs/>
        </w:rPr>
        <w:t xml:space="preserve"> </w:t>
      </w:r>
      <w:r w:rsidR="00AD26DB" w:rsidRPr="00674669">
        <w:t xml:space="preserve">the submission did not present </w:t>
      </w:r>
      <w:r w:rsidRPr="00674669">
        <w:t>a</w:t>
      </w:r>
      <w:r w:rsidR="003A76FD" w:rsidRPr="00674669">
        <w:t xml:space="preserve"> </w:t>
      </w:r>
      <w:r w:rsidR="00AD26DB" w:rsidRPr="00674669">
        <w:t>matching-adjusted indirect comparison (MAIC) to adjust for the heterogeneities in the baseline characteristics and demographics. Of note, Halmos et al. (2020) conducted an anchored MAIC to estimate the efficacy of pembrolizumab+PDC against nivolumab+ipilimumab patients and identified age group, gender, region, smoking status, ECOG-PS, brain metastasis, PD-L1 expression, disease at baseline and histology to be potential effect modifiers.</w:t>
      </w:r>
      <w:r w:rsidR="003B57EF" w:rsidRPr="00674669">
        <w:t xml:space="preserve"> </w:t>
      </w:r>
      <w:r w:rsidR="003A7752" w:rsidRPr="00674669">
        <w:t xml:space="preserve">The </w:t>
      </w:r>
      <w:r w:rsidR="00843B4D" w:rsidRPr="00674669">
        <w:t>p</w:t>
      </w:r>
      <w:r w:rsidR="003A7752" w:rsidRPr="00674669">
        <w:t xml:space="preserve">re-PBAC </w:t>
      </w:r>
      <w:r w:rsidR="00674669" w:rsidRPr="00674669">
        <w:t>Response</w:t>
      </w:r>
      <w:r w:rsidR="003A7752" w:rsidRPr="00674669">
        <w:t xml:space="preserve"> </w:t>
      </w:r>
      <w:r w:rsidR="00AF6BEF" w:rsidRPr="00674669">
        <w:t>maintained</w:t>
      </w:r>
      <w:r w:rsidR="003A7752" w:rsidRPr="00674669">
        <w:t xml:space="preserve"> that</w:t>
      </w:r>
      <w:r w:rsidR="00AF6BEF" w:rsidRPr="00674669">
        <w:t xml:space="preserve"> the network meta-analysis support</w:t>
      </w:r>
      <w:r w:rsidR="00843B4D" w:rsidRPr="00674669">
        <w:t>ed</w:t>
      </w:r>
      <w:r w:rsidR="00AF6BEF" w:rsidRPr="00674669">
        <w:t xml:space="preserve"> the robustness and validity of the ITC results, with comparable OS and PFS between cemiplimab</w:t>
      </w:r>
      <w:r w:rsidR="008D64C5" w:rsidRPr="00674669">
        <w:t>+PDC</w:t>
      </w:r>
      <w:r w:rsidR="00AF6BEF" w:rsidRPr="00674669">
        <w:t xml:space="preserve"> and </w:t>
      </w:r>
      <w:r w:rsidR="00674669" w:rsidRPr="00674669">
        <w:t>pembrolizumab</w:t>
      </w:r>
      <w:r w:rsidR="008D64C5" w:rsidRPr="00674669">
        <w:t>+PDC</w:t>
      </w:r>
      <w:r w:rsidR="00AF6BEF" w:rsidRPr="00674669">
        <w:t xml:space="preserve">. </w:t>
      </w:r>
    </w:p>
    <w:p w14:paraId="57B57650" w14:textId="5A786894" w:rsidR="00AD26DB" w:rsidRPr="00674669" w:rsidRDefault="00AD26DB" w:rsidP="00AD26DB">
      <w:pPr>
        <w:pStyle w:val="3-BodyText"/>
        <w:rPr>
          <w:i/>
          <w:iCs/>
        </w:rPr>
      </w:pPr>
      <w:r w:rsidRPr="00674669">
        <w:rPr>
          <w:iCs/>
        </w:rPr>
        <w:t xml:space="preserve">The </w:t>
      </w:r>
      <w:r w:rsidR="00B5056E" w:rsidRPr="00674669">
        <w:rPr>
          <w:iCs/>
        </w:rPr>
        <w:t>ESC noted</w:t>
      </w:r>
      <w:r w:rsidR="00B5056E" w:rsidRPr="00674669">
        <w:t xml:space="preserve"> that the </w:t>
      </w:r>
      <w:r w:rsidRPr="00674669">
        <w:t>submission did not provide a non-inferiority margin.</w:t>
      </w:r>
      <w:r w:rsidR="003B57EF" w:rsidRPr="00674669">
        <w:t xml:space="preserve"> </w:t>
      </w:r>
    </w:p>
    <w:p w14:paraId="6788B38D" w14:textId="77777777" w:rsidR="00AD26DB" w:rsidRPr="00674669" w:rsidRDefault="00AD26DB" w:rsidP="00AD26DB">
      <w:pPr>
        <w:pStyle w:val="4-SubsectionHeading"/>
      </w:pPr>
      <w:bookmarkStart w:id="57" w:name="_Toc22897642"/>
      <w:bookmarkStart w:id="58" w:name="_Toc142622569"/>
      <w:bookmarkStart w:id="59" w:name="_Toc145495066"/>
      <w:r w:rsidRPr="00674669">
        <w:t>Comparative harms</w:t>
      </w:r>
      <w:bookmarkEnd w:id="57"/>
      <w:bookmarkEnd w:id="58"/>
      <w:bookmarkEnd w:id="59"/>
    </w:p>
    <w:p w14:paraId="025D15EC" w14:textId="1F174E74" w:rsidR="00AD26DB" w:rsidRPr="00674669" w:rsidRDefault="00AD26DB" w:rsidP="00AD26DB">
      <w:pPr>
        <w:pStyle w:val="3-BodyText"/>
      </w:pPr>
      <w:r w:rsidRPr="00674669">
        <w:t>In Study 16113, the proportion of patients who experienced any treatment-emergent adverse events (TEAEs) was higher with cemiplimab+PDC when compared with placebo+PDC (RR of 1.02; 95% CI: 0.98, 1.06), with a greater difference in Grade≥ 3 T</w:t>
      </w:r>
      <w:r w:rsidR="00A83499" w:rsidRPr="00674669">
        <w:t>E</w:t>
      </w:r>
      <w:r w:rsidRPr="00674669">
        <w:t>AEs events (1.49; 95% CI: 1.16, 1.92). The most frequently reported TEAEs (Grade≥ 3) in cemiplimab+PDC arm were anaemia (10.9%) and neutropenia (6.4%).</w:t>
      </w:r>
    </w:p>
    <w:p w14:paraId="481EAF36" w14:textId="23A9B3AB" w:rsidR="00AD26DB" w:rsidRPr="00674669" w:rsidRDefault="00AD26DB" w:rsidP="00AD26DB">
      <w:pPr>
        <w:pStyle w:val="3-BodyText"/>
      </w:pPr>
      <w:r w:rsidRPr="00674669">
        <w:t>In KN-189 and KN-407, the proportion of patients who experienced any AEs and Grade≥ 3 AEs was higher in pembrolizumab+PDC arm when compared with placebo+PDC (RR of 1.08; 95</w:t>
      </w:r>
      <w:r w:rsidR="00B7666A" w:rsidRPr="00674669">
        <w:t>%</w:t>
      </w:r>
      <w:r w:rsidRPr="00674669">
        <w:t xml:space="preserve"> CI: 0.97, 1.21 and 1.07; 95% CI: 0.96, 1.18). The most frequently reported AEs (Grade≥ 3) in pembrolizumab+PDC arm were anaemia and neutropenia in KN-189 (19.0% and 17.8%) and KN-407 (15.8% and 23.0%).</w:t>
      </w:r>
    </w:p>
    <w:p w14:paraId="5C349877" w14:textId="42B971BB" w:rsidR="00AD26DB" w:rsidRPr="00674669" w:rsidRDefault="00AD26DB" w:rsidP="00AD26DB">
      <w:pPr>
        <w:pStyle w:val="3-BodyText"/>
      </w:pPr>
      <w:r w:rsidRPr="00674669">
        <w:t xml:space="preserve">The submission presented </w:t>
      </w:r>
      <w:r w:rsidR="00D8578E" w:rsidRPr="00674669">
        <w:t xml:space="preserve">an </w:t>
      </w:r>
      <w:r w:rsidRPr="00674669">
        <w:t>indirect comparison of adverse event</w:t>
      </w:r>
      <w:r w:rsidR="00524B21" w:rsidRPr="00674669">
        <w:t>s</w:t>
      </w:r>
      <w:r w:rsidRPr="00674669">
        <w:t xml:space="preserve"> based on all subjects as treated in Study 16113, KN-189 and KN-407. The results of ITC for safety outcomes are presented in </w:t>
      </w:r>
      <w:r w:rsidR="00D96B26" w:rsidRPr="00674669">
        <w:fldChar w:fldCharType="begin" w:fldLock="1"/>
      </w:r>
      <w:r w:rsidR="00D96B26" w:rsidRPr="00674669">
        <w:instrText xml:space="preserve"> REF _Ref142304447 \h </w:instrText>
      </w:r>
      <w:r w:rsidR="00D96B26" w:rsidRPr="00674669">
        <w:fldChar w:fldCharType="separate"/>
      </w:r>
      <w:r w:rsidR="00D96B26" w:rsidRPr="00674669">
        <w:t>Table 8</w:t>
      </w:r>
      <w:r w:rsidR="00D96B26" w:rsidRPr="00674669">
        <w:fldChar w:fldCharType="end"/>
      </w:r>
      <w:r w:rsidRPr="00674669">
        <w:t>.</w:t>
      </w:r>
    </w:p>
    <w:p w14:paraId="68C9E2A6" w14:textId="52AD41B9" w:rsidR="00AD26DB" w:rsidRPr="00674669" w:rsidRDefault="00AD26DB" w:rsidP="00AD26DB">
      <w:pPr>
        <w:pStyle w:val="TableFigureHeading"/>
      </w:pPr>
      <w:bookmarkStart w:id="60" w:name="_Ref142304447"/>
      <w:r w:rsidRPr="00674669">
        <w:t xml:space="preserve">Table </w:t>
      </w:r>
      <w:bookmarkEnd w:id="60"/>
      <w:r w:rsidR="00D96B26" w:rsidRPr="00674669">
        <w:t>8</w:t>
      </w:r>
      <w:r w:rsidRPr="00674669">
        <w:t xml:space="preserve">: </w:t>
      </w:r>
      <w:r w:rsidRPr="00674669">
        <w:rPr>
          <w:rStyle w:val="CommentReference"/>
          <w:b/>
          <w:szCs w:val="24"/>
        </w:rPr>
        <w:t>Summary of key adverse events in the trials</w:t>
      </w:r>
    </w:p>
    <w:tbl>
      <w:tblPr>
        <w:tblStyle w:val="LashStyleTable1"/>
        <w:tblW w:w="5000" w:type="pct"/>
        <w:tblLook w:val="04A0" w:firstRow="1" w:lastRow="0" w:firstColumn="1" w:lastColumn="0" w:noHBand="0" w:noVBand="1"/>
      </w:tblPr>
      <w:tblGrid>
        <w:gridCol w:w="2108"/>
        <w:gridCol w:w="772"/>
        <w:gridCol w:w="1314"/>
        <w:gridCol w:w="1287"/>
        <w:gridCol w:w="1198"/>
        <w:gridCol w:w="1140"/>
        <w:gridCol w:w="33"/>
        <w:gridCol w:w="1165"/>
      </w:tblGrid>
      <w:tr w:rsidR="00AD26DB" w:rsidRPr="00674669" w14:paraId="231986DF" w14:textId="77777777" w:rsidTr="00C521FE">
        <w:trPr>
          <w:cnfStyle w:val="100000000000" w:firstRow="1" w:lastRow="0" w:firstColumn="0" w:lastColumn="0" w:oddVBand="0" w:evenVBand="0" w:oddHBand="0" w:evenHBand="0" w:firstRowFirstColumn="0" w:firstRowLastColumn="0" w:lastRowFirstColumn="0" w:lastRowLastColumn="0"/>
          <w:cantSplit/>
          <w:tblHeader/>
        </w:trPr>
        <w:tc>
          <w:tcPr>
            <w:tcW w:w="1213" w:type="pct"/>
          </w:tcPr>
          <w:p w14:paraId="2408D6D8" w14:textId="77777777" w:rsidR="00AD26DB" w:rsidRPr="00674669" w:rsidRDefault="00AD26DB" w:rsidP="00C521FE">
            <w:pPr>
              <w:pStyle w:val="In-tableHeading"/>
              <w:keepNext w:val="0"/>
              <w:widowControl w:val="0"/>
              <w:rPr>
                <w:sz w:val="20"/>
                <w:szCs w:val="22"/>
                <w:lang w:val="en-AU"/>
              </w:rPr>
            </w:pPr>
            <w:r w:rsidRPr="00674669">
              <w:rPr>
                <w:sz w:val="20"/>
                <w:szCs w:val="22"/>
                <w:lang w:val="en-AU"/>
              </w:rPr>
              <w:t>Trial type or estimate</w:t>
            </w:r>
          </w:p>
        </w:tc>
        <w:tc>
          <w:tcPr>
            <w:tcW w:w="428" w:type="pct"/>
          </w:tcPr>
          <w:p w14:paraId="0226DC76" w14:textId="77777777" w:rsidR="00AD26DB" w:rsidRPr="00674669" w:rsidRDefault="00AD26DB" w:rsidP="00C521FE">
            <w:pPr>
              <w:pStyle w:val="In-tableHeading"/>
              <w:keepNext w:val="0"/>
              <w:widowControl w:val="0"/>
              <w:jc w:val="center"/>
              <w:rPr>
                <w:sz w:val="20"/>
                <w:szCs w:val="22"/>
                <w:lang w:val="en-AU"/>
              </w:rPr>
            </w:pPr>
            <w:r w:rsidRPr="00674669">
              <w:rPr>
                <w:sz w:val="20"/>
                <w:szCs w:val="22"/>
                <w:lang w:val="en-AU"/>
              </w:rPr>
              <w:t>Trial ID</w:t>
            </w:r>
          </w:p>
        </w:tc>
        <w:tc>
          <w:tcPr>
            <w:tcW w:w="636" w:type="pct"/>
          </w:tcPr>
          <w:p w14:paraId="27E452FE" w14:textId="04AB3E6D" w:rsidR="00AD26DB" w:rsidRPr="00674669" w:rsidRDefault="00AD26DB" w:rsidP="00C521FE">
            <w:pPr>
              <w:pStyle w:val="In-tableHeading"/>
              <w:keepNext w:val="0"/>
              <w:widowControl w:val="0"/>
              <w:jc w:val="center"/>
              <w:rPr>
                <w:sz w:val="20"/>
                <w:szCs w:val="22"/>
                <w:lang w:val="en-AU"/>
              </w:rPr>
            </w:pPr>
            <w:r w:rsidRPr="00674669">
              <w:rPr>
                <w:sz w:val="20"/>
                <w:szCs w:val="22"/>
                <w:lang w:val="en-AU"/>
              </w:rPr>
              <w:t>PD</w:t>
            </w:r>
            <w:r w:rsidRPr="00674669">
              <w:rPr>
                <w:sz w:val="20"/>
                <w:szCs w:val="22"/>
                <w:lang w:val="en-AU"/>
              </w:rPr>
              <w:noBreakHyphen/>
              <w:t>1 inhibitor</w:t>
            </w:r>
            <w:r w:rsidR="00F152CD" w:rsidRPr="00674669">
              <w:rPr>
                <w:sz w:val="20"/>
                <w:szCs w:val="22"/>
                <w:lang w:val="en-AU"/>
              </w:rPr>
              <w:t>+</w:t>
            </w:r>
            <w:r w:rsidRPr="00674669">
              <w:rPr>
                <w:sz w:val="20"/>
                <w:szCs w:val="22"/>
                <w:lang w:val="en-AU"/>
              </w:rPr>
              <w:t>PDC</w:t>
            </w:r>
            <w:r w:rsidRPr="00674669">
              <w:rPr>
                <w:sz w:val="20"/>
                <w:szCs w:val="22"/>
                <w:lang w:val="en-AU"/>
              </w:rPr>
              <w:br/>
              <w:t>n/N (%)</w:t>
            </w:r>
          </w:p>
        </w:tc>
        <w:tc>
          <w:tcPr>
            <w:tcW w:w="629" w:type="pct"/>
          </w:tcPr>
          <w:p w14:paraId="7D508F9F" w14:textId="1E1A32D8" w:rsidR="00AD26DB" w:rsidRPr="00674669" w:rsidRDefault="00AD26DB" w:rsidP="00C521FE">
            <w:pPr>
              <w:pStyle w:val="In-tableHeading"/>
              <w:keepNext w:val="0"/>
              <w:widowControl w:val="0"/>
              <w:jc w:val="center"/>
              <w:rPr>
                <w:sz w:val="20"/>
                <w:szCs w:val="22"/>
                <w:lang w:val="en-AU"/>
              </w:rPr>
            </w:pPr>
            <w:r w:rsidRPr="00674669">
              <w:rPr>
                <w:sz w:val="20"/>
                <w:szCs w:val="22"/>
                <w:lang w:val="en-AU"/>
              </w:rPr>
              <w:t>Placebo</w:t>
            </w:r>
            <w:r w:rsidR="00F152CD" w:rsidRPr="00674669">
              <w:rPr>
                <w:sz w:val="20"/>
                <w:szCs w:val="22"/>
                <w:lang w:val="en-AU"/>
              </w:rPr>
              <w:t>+</w:t>
            </w:r>
            <w:r w:rsidRPr="00674669">
              <w:rPr>
                <w:sz w:val="20"/>
                <w:szCs w:val="22"/>
                <w:lang w:val="en-AU"/>
              </w:rPr>
              <w:t xml:space="preserve">PDC </w:t>
            </w:r>
            <w:r w:rsidRPr="00674669">
              <w:rPr>
                <w:sz w:val="20"/>
                <w:szCs w:val="22"/>
                <w:lang w:val="en-AU"/>
              </w:rPr>
              <w:br/>
              <w:t>n/N (%)</w:t>
            </w:r>
          </w:p>
        </w:tc>
        <w:tc>
          <w:tcPr>
            <w:tcW w:w="708" w:type="pct"/>
          </w:tcPr>
          <w:p w14:paraId="16A2C432" w14:textId="77777777" w:rsidR="00AD26DB" w:rsidRPr="00674669" w:rsidRDefault="00AD26DB" w:rsidP="00C521FE">
            <w:pPr>
              <w:pStyle w:val="In-tableHeading"/>
              <w:keepNext w:val="0"/>
              <w:widowControl w:val="0"/>
              <w:jc w:val="center"/>
              <w:rPr>
                <w:sz w:val="20"/>
                <w:szCs w:val="22"/>
                <w:lang w:val="en-AU"/>
              </w:rPr>
            </w:pPr>
            <w:r w:rsidRPr="00674669">
              <w:rPr>
                <w:sz w:val="20"/>
                <w:szCs w:val="22"/>
                <w:lang w:val="en-AU"/>
              </w:rPr>
              <w:t xml:space="preserve">OR </w:t>
            </w:r>
          </w:p>
          <w:p w14:paraId="7D4D6855" w14:textId="77777777" w:rsidR="00AD26DB" w:rsidRPr="00674669" w:rsidRDefault="00AD26DB" w:rsidP="00C521FE">
            <w:pPr>
              <w:pStyle w:val="In-tableHeading"/>
              <w:keepNext w:val="0"/>
              <w:widowControl w:val="0"/>
              <w:jc w:val="center"/>
              <w:rPr>
                <w:sz w:val="20"/>
                <w:szCs w:val="22"/>
                <w:lang w:val="en-AU"/>
              </w:rPr>
            </w:pPr>
            <w:r w:rsidRPr="00674669">
              <w:rPr>
                <w:sz w:val="20"/>
                <w:szCs w:val="22"/>
                <w:lang w:val="en-AU"/>
              </w:rPr>
              <w:t>(95% CI)</w:t>
            </w:r>
          </w:p>
        </w:tc>
        <w:tc>
          <w:tcPr>
            <w:tcW w:w="698" w:type="pct"/>
            <w:gridSpan w:val="2"/>
          </w:tcPr>
          <w:p w14:paraId="1DA89199" w14:textId="77777777" w:rsidR="00AD26DB" w:rsidRPr="00674669" w:rsidRDefault="00AD26DB" w:rsidP="00C521FE">
            <w:pPr>
              <w:pStyle w:val="In-tableHeading"/>
              <w:keepNext w:val="0"/>
              <w:widowControl w:val="0"/>
              <w:jc w:val="center"/>
              <w:rPr>
                <w:sz w:val="20"/>
                <w:szCs w:val="22"/>
                <w:lang w:val="en-AU"/>
              </w:rPr>
            </w:pPr>
            <w:r w:rsidRPr="00674669">
              <w:rPr>
                <w:sz w:val="20"/>
                <w:szCs w:val="22"/>
                <w:lang w:val="en-AU"/>
              </w:rPr>
              <w:t xml:space="preserve">RR </w:t>
            </w:r>
          </w:p>
          <w:p w14:paraId="66E652DA" w14:textId="77777777" w:rsidR="00AD26DB" w:rsidRPr="00674669" w:rsidRDefault="00AD26DB" w:rsidP="00C521FE">
            <w:pPr>
              <w:pStyle w:val="In-tableHeading"/>
              <w:keepNext w:val="0"/>
              <w:widowControl w:val="0"/>
              <w:jc w:val="center"/>
              <w:rPr>
                <w:sz w:val="20"/>
                <w:szCs w:val="22"/>
                <w:lang w:val="en-AU"/>
              </w:rPr>
            </w:pPr>
            <w:r w:rsidRPr="00674669">
              <w:rPr>
                <w:sz w:val="20"/>
                <w:szCs w:val="22"/>
                <w:lang w:val="en-AU"/>
              </w:rPr>
              <w:t>(95% CI)</w:t>
            </w:r>
          </w:p>
        </w:tc>
        <w:tc>
          <w:tcPr>
            <w:tcW w:w="689" w:type="pct"/>
          </w:tcPr>
          <w:p w14:paraId="2D055ED8" w14:textId="77777777" w:rsidR="00AD26DB" w:rsidRPr="00674669" w:rsidRDefault="00AD26DB" w:rsidP="00C521FE">
            <w:pPr>
              <w:pStyle w:val="In-tableHeading"/>
              <w:keepNext w:val="0"/>
              <w:widowControl w:val="0"/>
              <w:jc w:val="center"/>
              <w:rPr>
                <w:sz w:val="20"/>
                <w:szCs w:val="22"/>
                <w:lang w:val="en-AU"/>
              </w:rPr>
            </w:pPr>
            <w:r w:rsidRPr="00674669">
              <w:rPr>
                <w:sz w:val="20"/>
                <w:szCs w:val="22"/>
                <w:lang w:val="en-AU"/>
              </w:rPr>
              <w:t xml:space="preserve">RD </w:t>
            </w:r>
          </w:p>
          <w:p w14:paraId="421462A7" w14:textId="77777777" w:rsidR="00AD26DB" w:rsidRPr="00674669" w:rsidRDefault="00AD26DB" w:rsidP="00C521FE">
            <w:pPr>
              <w:pStyle w:val="In-tableHeading"/>
              <w:keepNext w:val="0"/>
              <w:widowControl w:val="0"/>
              <w:jc w:val="center"/>
              <w:rPr>
                <w:sz w:val="20"/>
                <w:szCs w:val="22"/>
                <w:lang w:val="en-AU"/>
              </w:rPr>
            </w:pPr>
            <w:r w:rsidRPr="00674669">
              <w:rPr>
                <w:sz w:val="20"/>
                <w:szCs w:val="22"/>
                <w:lang w:val="en-AU"/>
              </w:rPr>
              <w:t>(95% CI)</w:t>
            </w:r>
          </w:p>
        </w:tc>
      </w:tr>
      <w:tr w:rsidR="00AD26DB" w:rsidRPr="00674669" w14:paraId="38A7F6E8" w14:textId="77777777" w:rsidTr="00C521FE">
        <w:trPr>
          <w:cantSplit/>
        </w:trPr>
        <w:tc>
          <w:tcPr>
            <w:tcW w:w="5000" w:type="pct"/>
            <w:gridSpan w:val="8"/>
          </w:tcPr>
          <w:p w14:paraId="2557E990" w14:textId="77777777" w:rsidR="00AD26DB" w:rsidRPr="00674669" w:rsidRDefault="00AD26DB" w:rsidP="00C521FE">
            <w:pPr>
              <w:widowControl w:val="0"/>
              <w:jc w:val="left"/>
              <w:rPr>
                <w:rFonts w:ascii="Arial Narrow" w:hAnsi="Arial Narrow" w:cs="Verdana"/>
                <w:b/>
                <w:sz w:val="20"/>
                <w:szCs w:val="20"/>
                <w:lang w:val="en-AU"/>
              </w:rPr>
            </w:pPr>
            <w:r w:rsidRPr="00674669">
              <w:rPr>
                <w:rFonts w:ascii="Arial Narrow" w:hAnsi="Arial Narrow" w:cs="Verdana"/>
                <w:b/>
                <w:sz w:val="20"/>
                <w:szCs w:val="20"/>
                <w:lang w:val="en-AU"/>
              </w:rPr>
              <w:t>AEs regardless of attribution</w:t>
            </w:r>
          </w:p>
        </w:tc>
      </w:tr>
      <w:tr w:rsidR="00AD26DB" w:rsidRPr="00674669" w14:paraId="6F141DEF" w14:textId="77777777" w:rsidTr="00C521FE">
        <w:trPr>
          <w:cantSplit/>
        </w:trPr>
        <w:tc>
          <w:tcPr>
            <w:tcW w:w="1213" w:type="pct"/>
          </w:tcPr>
          <w:p w14:paraId="1EB7E199" w14:textId="72FBDFCC" w:rsidR="00AD26DB" w:rsidRPr="00674669" w:rsidRDefault="00AD26DB" w:rsidP="00C521FE">
            <w:pPr>
              <w:pStyle w:val="TableText0"/>
              <w:keepNext w:val="0"/>
              <w:widowControl w:val="0"/>
              <w:rPr>
                <w:sz w:val="20"/>
                <w:szCs w:val="20"/>
                <w:lang w:val="en-AU"/>
              </w:rPr>
            </w:pPr>
            <w:r w:rsidRPr="00674669">
              <w:rPr>
                <w:sz w:val="20"/>
                <w:szCs w:val="20"/>
                <w:lang w:val="en-AU"/>
              </w:rPr>
              <w:t>Cemiplimab</w:t>
            </w:r>
            <w:r w:rsidR="00F152CD" w:rsidRPr="00674669">
              <w:rPr>
                <w:sz w:val="20"/>
                <w:szCs w:val="20"/>
                <w:lang w:val="en-AU"/>
              </w:rPr>
              <w:t>+</w:t>
            </w:r>
            <w:r w:rsidRPr="00674669">
              <w:rPr>
                <w:sz w:val="20"/>
                <w:szCs w:val="20"/>
                <w:lang w:val="en-AU"/>
              </w:rPr>
              <w:t xml:space="preserve">PDC </w:t>
            </w:r>
          </w:p>
          <w:p w14:paraId="0F5670B8" w14:textId="0E14EEC7"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022EF6E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16113</w:t>
            </w:r>
          </w:p>
        </w:tc>
        <w:tc>
          <w:tcPr>
            <w:tcW w:w="636" w:type="pct"/>
          </w:tcPr>
          <w:p w14:paraId="5EC3786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301/312 (96.5%)</w:t>
            </w:r>
          </w:p>
        </w:tc>
        <w:tc>
          <w:tcPr>
            <w:tcW w:w="629" w:type="pct"/>
          </w:tcPr>
          <w:p w14:paraId="0BEFCC6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145/153 (94.8%)</w:t>
            </w:r>
          </w:p>
        </w:tc>
        <w:tc>
          <w:tcPr>
            <w:tcW w:w="708" w:type="pct"/>
          </w:tcPr>
          <w:p w14:paraId="0980B3D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1.51</w:t>
            </w:r>
          </w:p>
          <w:p w14:paraId="297F98E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(0.59, 3.83)</w:t>
            </w:r>
          </w:p>
        </w:tc>
        <w:tc>
          <w:tcPr>
            <w:tcW w:w="676" w:type="pct"/>
          </w:tcPr>
          <w:p w14:paraId="1F194A9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1.02</w:t>
            </w:r>
          </w:p>
          <w:p w14:paraId="284FE5B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(0.98, 1.06)</w:t>
            </w:r>
          </w:p>
        </w:tc>
        <w:tc>
          <w:tcPr>
            <w:tcW w:w="710" w:type="pct"/>
            <w:gridSpan w:val="2"/>
          </w:tcPr>
          <w:p w14:paraId="1C2D5DC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0.02</w:t>
            </w:r>
          </w:p>
          <w:p w14:paraId="137448A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0.02, 0.06)</w:t>
            </w:r>
          </w:p>
        </w:tc>
      </w:tr>
      <w:tr w:rsidR="00AD26DB" w:rsidRPr="00674669" w14:paraId="39CC129E" w14:textId="77777777" w:rsidTr="00C521FE">
        <w:trPr>
          <w:cantSplit/>
        </w:trPr>
        <w:tc>
          <w:tcPr>
            <w:tcW w:w="1213" w:type="pct"/>
            <w:vMerge w:val="restart"/>
          </w:tcPr>
          <w:p w14:paraId="71CD4FE9" w14:textId="5F4891AD" w:rsidR="00AD26DB" w:rsidRPr="00674669" w:rsidRDefault="00AD26DB" w:rsidP="00C521FE">
            <w:pPr>
              <w:pStyle w:val="TableText0"/>
              <w:keepNext w:val="0"/>
              <w:widowControl w:val="0"/>
              <w:rPr>
                <w:sz w:val="20"/>
                <w:szCs w:val="20"/>
                <w:lang w:val="en-AU"/>
              </w:rPr>
            </w:pPr>
            <w:r w:rsidRPr="00674669">
              <w:rPr>
                <w:sz w:val="20"/>
                <w:szCs w:val="20"/>
                <w:lang w:val="en-AU"/>
              </w:rPr>
              <w:t>Pembrolizumab</w:t>
            </w:r>
            <w:r w:rsidR="00F152CD" w:rsidRPr="00674669">
              <w:rPr>
                <w:sz w:val="20"/>
                <w:szCs w:val="20"/>
                <w:lang w:val="en-AU"/>
              </w:rPr>
              <w:t>+</w:t>
            </w:r>
            <w:r w:rsidRPr="00674669">
              <w:rPr>
                <w:sz w:val="20"/>
                <w:szCs w:val="20"/>
                <w:lang w:val="en-AU"/>
              </w:rPr>
              <w:t xml:space="preserve">PDC </w:t>
            </w:r>
          </w:p>
          <w:p w14:paraId="6C7F81AC" w14:textId="4B20DEB0"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729E9034"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KN</w:t>
            </w:r>
            <w:r w:rsidRPr="00674669">
              <w:rPr>
                <w:sz w:val="20"/>
                <w:szCs w:val="20"/>
                <w:lang w:val="en-AU"/>
              </w:rPr>
              <w:noBreakHyphen/>
              <w:t>189</w:t>
            </w:r>
          </w:p>
        </w:tc>
        <w:tc>
          <w:tcPr>
            <w:tcW w:w="636" w:type="pct"/>
          </w:tcPr>
          <w:p w14:paraId="480F0A4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404/405 (99.8%)</w:t>
            </w:r>
          </w:p>
        </w:tc>
        <w:tc>
          <w:tcPr>
            <w:tcW w:w="629" w:type="pct"/>
          </w:tcPr>
          <w:p w14:paraId="040B567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200/202 (99.0%)</w:t>
            </w:r>
          </w:p>
        </w:tc>
        <w:tc>
          <w:tcPr>
            <w:tcW w:w="708" w:type="pct"/>
          </w:tcPr>
          <w:p w14:paraId="41FFC314"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4.04</w:t>
            </w:r>
          </w:p>
          <w:p w14:paraId="0BEBBF8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(0.36, 44.82)</w:t>
            </w:r>
          </w:p>
        </w:tc>
        <w:tc>
          <w:tcPr>
            <w:tcW w:w="676" w:type="pct"/>
          </w:tcPr>
          <w:p w14:paraId="6E1FF2D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1.01</w:t>
            </w:r>
          </w:p>
          <w:p w14:paraId="5AB3F68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(0.99, 1.02)</w:t>
            </w:r>
          </w:p>
        </w:tc>
        <w:tc>
          <w:tcPr>
            <w:tcW w:w="710" w:type="pct"/>
            <w:gridSpan w:val="2"/>
          </w:tcPr>
          <w:p w14:paraId="45064DF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0.01</w:t>
            </w:r>
          </w:p>
          <w:p w14:paraId="1DEA1FA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0.01, 0.02)</w:t>
            </w:r>
          </w:p>
        </w:tc>
      </w:tr>
      <w:tr w:rsidR="00AD26DB" w:rsidRPr="00674669" w14:paraId="543B1A15" w14:textId="77777777" w:rsidTr="00C521FE">
        <w:trPr>
          <w:cantSplit/>
        </w:trPr>
        <w:tc>
          <w:tcPr>
            <w:tcW w:w="1213" w:type="pct"/>
            <w:vMerge/>
          </w:tcPr>
          <w:p w14:paraId="64F31AE7" w14:textId="77777777" w:rsidR="00AD26DB" w:rsidRPr="00674669" w:rsidRDefault="00AD26DB" w:rsidP="00C521FE">
            <w:pPr>
              <w:pStyle w:val="TableText0"/>
              <w:keepNext w:val="0"/>
              <w:widowControl w:val="0"/>
              <w:rPr>
                <w:sz w:val="20"/>
                <w:szCs w:val="20"/>
                <w:lang w:val="en-AU"/>
              </w:rPr>
            </w:pPr>
          </w:p>
        </w:tc>
        <w:tc>
          <w:tcPr>
            <w:tcW w:w="428" w:type="pct"/>
          </w:tcPr>
          <w:p w14:paraId="5D5BF22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KN</w:t>
            </w:r>
            <w:r w:rsidRPr="00674669">
              <w:rPr>
                <w:sz w:val="20"/>
                <w:szCs w:val="20"/>
                <w:lang w:val="en-AU"/>
              </w:rPr>
              <w:noBreakHyphen/>
              <w:t>407</w:t>
            </w:r>
          </w:p>
        </w:tc>
        <w:tc>
          <w:tcPr>
            <w:tcW w:w="636" w:type="pct"/>
          </w:tcPr>
          <w:p w14:paraId="2B657AA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274/278 (98.6%)</w:t>
            </w:r>
          </w:p>
        </w:tc>
        <w:tc>
          <w:tcPr>
            <w:tcW w:w="629" w:type="pct"/>
          </w:tcPr>
          <w:p w14:paraId="6F1FA3F2"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275/280 (98.2%)</w:t>
            </w:r>
          </w:p>
        </w:tc>
        <w:tc>
          <w:tcPr>
            <w:tcW w:w="708" w:type="pct"/>
          </w:tcPr>
          <w:p w14:paraId="2BE1731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1.25</w:t>
            </w:r>
          </w:p>
          <w:p w14:paraId="03096D6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(0.33, 4.69)</w:t>
            </w:r>
          </w:p>
        </w:tc>
        <w:tc>
          <w:tcPr>
            <w:tcW w:w="676" w:type="pct"/>
          </w:tcPr>
          <w:p w14:paraId="1BB71B2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1.00</w:t>
            </w:r>
          </w:p>
          <w:p w14:paraId="5A988D7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(0.99, 1.02)</w:t>
            </w:r>
          </w:p>
        </w:tc>
        <w:tc>
          <w:tcPr>
            <w:tcW w:w="710" w:type="pct"/>
            <w:gridSpan w:val="2"/>
          </w:tcPr>
          <w:p w14:paraId="2978F6B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0.00</w:t>
            </w:r>
          </w:p>
          <w:p w14:paraId="209D791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0.02, 0.02)</w:t>
            </w:r>
          </w:p>
        </w:tc>
      </w:tr>
      <w:tr w:rsidR="00AD26DB" w:rsidRPr="00674669" w14:paraId="77B4ECFC" w14:textId="77777777" w:rsidTr="00C521FE">
        <w:trPr>
          <w:cantSplit/>
        </w:trPr>
        <w:tc>
          <w:tcPr>
            <w:tcW w:w="1213" w:type="pct"/>
            <w:vMerge/>
          </w:tcPr>
          <w:p w14:paraId="7A647057" w14:textId="77777777" w:rsidR="00AD26DB" w:rsidRPr="00674669" w:rsidRDefault="00AD26DB" w:rsidP="00C521FE">
            <w:pPr>
              <w:pStyle w:val="TableText0"/>
              <w:keepNext w:val="0"/>
              <w:widowControl w:val="0"/>
              <w:rPr>
                <w:sz w:val="20"/>
                <w:szCs w:val="20"/>
                <w:lang w:val="en-AU"/>
              </w:rPr>
            </w:pPr>
          </w:p>
        </w:tc>
        <w:tc>
          <w:tcPr>
            <w:tcW w:w="1693" w:type="pct"/>
            <w:gridSpan w:val="3"/>
          </w:tcPr>
          <w:p w14:paraId="7A36BC34" w14:textId="77777777" w:rsidR="00AD26DB" w:rsidRPr="00674669" w:rsidRDefault="00AD26DB" w:rsidP="00C521FE">
            <w:pPr>
              <w:pStyle w:val="TableText0"/>
              <w:keepNext w:val="0"/>
              <w:widowControl w:val="0"/>
              <w:rPr>
                <w:sz w:val="20"/>
                <w:szCs w:val="20"/>
                <w:lang w:val="en-AU"/>
              </w:rPr>
            </w:pPr>
            <w:r w:rsidRPr="00674669">
              <w:rPr>
                <w:sz w:val="20"/>
                <w:szCs w:val="20"/>
                <w:lang w:val="en-AU"/>
              </w:rPr>
              <w:t>KN meta</w:t>
            </w:r>
            <w:r w:rsidRPr="00674669">
              <w:rPr>
                <w:sz w:val="20"/>
                <w:szCs w:val="20"/>
                <w:lang w:val="en-AU"/>
              </w:rPr>
              <w:noBreakHyphen/>
              <w:t xml:space="preserve">analysis </w:t>
            </w:r>
            <w:r w:rsidRPr="00674669">
              <w:rPr>
                <w:i/>
                <w:iCs/>
                <w:sz w:val="20"/>
                <w:szCs w:val="20"/>
                <w:lang w:val="en-AU"/>
              </w:rPr>
              <w:t>k</w:t>
            </w:r>
            <w:r w:rsidRPr="00674669">
              <w:rPr>
                <w:sz w:val="20"/>
                <w:szCs w:val="20"/>
                <w:lang w:val="en-AU"/>
              </w:rPr>
              <w:t>=2</w:t>
            </w:r>
          </w:p>
        </w:tc>
        <w:tc>
          <w:tcPr>
            <w:tcW w:w="708" w:type="pct"/>
          </w:tcPr>
          <w:p w14:paraId="20DF07C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1.64</w:t>
            </w:r>
          </w:p>
          <w:p w14:paraId="273B5FD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 xml:space="preserve">(0.51, 5.23) </w:t>
            </w:r>
          </w:p>
        </w:tc>
        <w:tc>
          <w:tcPr>
            <w:tcW w:w="698" w:type="pct"/>
            <w:gridSpan w:val="2"/>
          </w:tcPr>
          <w:p w14:paraId="2BD8E4E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1.01</w:t>
            </w:r>
          </w:p>
          <w:p w14:paraId="3AD1EF9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 xml:space="preserve">(0.99, 1.02) </w:t>
            </w:r>
          </w:p>
        </w:tc>
        <w:tc>
          <w:tcPr>
            <w:tcW w:w="689" w:type="pct"/>
          </w:tcPr>
          <w:p w14:paraId="22E1823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0.01</w:t>
            </w:r>
          </w:p>
          <w:p w14:paraId="404D7CA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 xml:space="preserve">0.01, 0.02) </w:t>
            </w:r>
          </w:p>
        </w:tc>
      </w:tr>
      <w:tr w:rsidR="00AD26DB" w:rsidRPr="00674669" w14:paraId="251E60E8" w14:textId="77777777" w:rsidTr="00C521FE">
        <w:trPr>
          <w:cantSplit/>
        </w:trPr>
        <w:tc>
          <w:tcPr>
            <w:tcW w:w="1213" w:type="pct"/>
          </w:tcPr>
          <w:p w14:paraId="72F46E37" w14:textId="2DCE2461" w:rsidR="00AD26DB" w:rsidRPr="00674669" w:rsidRDefault="00AD26DB" w:rsidP="00C521FE">
            <w:pPr>
              <w:pStyle w:val="TableText0"/>
              <w:keepNext w:val="0"/>
              <w:widowControl w:val="0"/>
              <w:rPr>
                <w:sz w:val="20"/>
                <w:szCs w:val="20"/>
                <w:lang w:val="en-AU"/>
              </w:rPr>
            </w:pPr>
            <w:r w:rsidRPr="00674669">
              <w:rPr>
                <w:sz w:val="20"/>
                <w:szCs w:val="20"/>
                <w:lang w:val="en-AU"/>
              </w:rPr>
              <w:t>ITC cemiplimab</w:t>
            </w:r>
            <w:r w:rsidR="00F152CD" w:rsidRPr="00674669">
              <w:rPr>
                <w:sz w:val="20"/>
                <w:szCs w:val="20"/>
                <w:lang w:val="en-AU"/>
              </w:rPr>
              <w:t>+</w:t>
            </w:r>
            <w:r w:rsidRPr="00674669">
              <w:rPr>
                <w:sz w:val="20"/>
                <w:szCs w:val="20"/>
                <w:lang w:val="en-AU"/>
              </w:rPr>
              <w:t xml:space="preserve">PDC </w:t>
            </w:r>
          </w:p>
          <w:p w14:paraId="263518C3" w14:textId="0737568C" w:rsidR="00AD26DB" w:rsidRPr="00674669" w:rsidRDefault="00AD26DB" w:rsidP="00C521FE">
            <w:pPr>
              <w:pStyle w:val="TableText0"/>
              <w:keepNext w:val="0"/>
              <w:widowControl w:val="0"/>
              <w:rPr>
                <w:sz w:val="20"/>
                <w:szCs w:val="20"/>
                <w:lang w:val="en-AU"/>
              </w:rPr>
            </w:pPr>
            <w:r w:rsidRPr="00674669">
              <w:rPr>
                <w:sz w:val="20"/>
                <w:szCs w:val="20"/>
                <w:lang w:val="en-AU"/>
              </w:rPr>
              <w:t>vs. pembrolizumab</w:t>
            </w:r>
            <w:r w:rsidR="00F152CD" w:rsidRPr="00674669">
              <w:rPr>
                <w:sz w:val="20"/>
                <w:szCs w:val="20"/>
                <w:lang w:val="en-AU"/>
              </w:rPr>
              <w:t>+</w:t>
            </w:r>
            <w:r w:rsidRPr="00674669">
              <w:rPr>
                <w:sz w:val="20"/>
                <w:szCs w:val="20"/>
                <w:lang w:val="en-AU"/>
              </w:rPr>
              <w:t>PDC</w:t>
            </w:r>
          </w:p>
        </w:tc>
        <w:tc>
          <w:tcPr>
            <w:tcW w:w="1693" w:type="pct"/>
            <w:gridSpan w:val="3"/>
          </w:tcPr>
          <w:p w14:paraId="5E03B027" w14:textId="1549C77B" w:rsidR="00AD26DB" w:rsidRPr="00674669" w:rsidRDefault="00AD26DB" w:rsidP="00C521FE">
            <w:pPr>
              <w:pStyle w:val="TableText0"/>
              <w:keepNext w:val="0"/>
              <w:widowControl w:val="0"/>
              <w:rPr>
                <w:sz w:val="20"/>
                <w:szCs w:val="20"/>
                <w:lang w:val="en-AU"/>
              </w:rPr>
            </w:pPr>
            <w:r w:rsidRPr="00674669">
              <w:rPr>
                <w:sz w:val="20"/>
                <w:szCs w:val="20"/>
                <w:lang w:val="en-AU"/>
              </w:rPr>
              <w:t>16113 vs. KN meta</w:t>
            </w:r>
            <w:r w:rsidRPr="00674669">
              <w:rPr>
                <w:sz w:val="20"/>
                <w:szCs w:val="20"/>
                <w:lang w:val="en-AU"/>
              </w:rPr>
              <w:noBreakHyphen/>
              <w:t>analysis</w:t>
            </w:r>
          </w:p>
        </w:tc>
        <w:tc>
          <w:tcPr>
            <w:tcW w:w="708" w:type="pct"/>
          </w:tcPr>
          <w:p w14:paraId="4E89B4A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0.92</w:t>
            </w:r>
          </w:p>
          <w:p w14:paraId="13E4B83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(0.21, 4.09)</w:t>
            </w:r>
          </w:p>
        </w:tc>
        <w:tc>
          <w:tcPr>
            <w:tcW w:w="698" w:type="pct"/>
            <w:gridSpan w:val="2"/>
          </w:tcPr>
          <w:p w14:paraId="487B393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1.01</w:t>
            </w:r>
          </w:p>
          <w:p w14:paraId="3A4EF82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(0.96, 1.05)</w:t>
            </w:r>
          </w:p>
        </w:tc>
        <w:tc>
          <w:tcPr>
            <w:tcW w:w="689" w:type="pct"/>
          </w:tcPr>
          <w:p w14:paraId="0291DB3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0.01</w:t>
            </w:r>
          </w:p>
          <w:p w14:paraId="30937C9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0.04, 0.05)</w:t>
            </w:r>
          </w:p>
        </w:tc>
      </w:tr>
      <w:tr w:rsidR="00AD26DB" w:rsidRPr="00674669" w14:paraId="39CB53A4" w14:textId="77777777" w:rsidTr="00C521FE">
        <w:trPr>
          <w:cantSplit/>
        </w:trPr>
        <w:tc>
          <w:tcPr>
            <w:tcW w:w="5000" w:type="pct"/>
            <w:gridSpan w:val="8"/>
          </w:tcPr>
          <w:p w14:paraId="19785E6E" w14:textId="77777777" w:rsidR="00AD26DB" w:rsidRPr="00674669" w:rsidRDefault="00AD26DB" w:rsidP="00C521FE">
            <w:pPr>
              <w:pStyle w:val="TableText0"/>
              <w:keepNext w:val="0"/>
              <w:widowControl w:val="0"/>
              <w:rPr>
                <w:b/>
                <w:sz w:val="20"/>
                <w:szCs w:val="20"/>
                <w:lang w:val="en-AU"/>
              </w:rPr>
            </w:pPr>
            <w:r w:rsidRPr="00674669">
              <w:rPr>
                <w:b/>
                <w:sz w:val="20"/>
                <w:szCs w:val="20"/>
                <w:lang w:val="en-AU"/>
              </w:rPr>
              <w:t>AEs regardless of attribution (Grade 3</w:t>
            </w:r>
            <w:r w:rsidRPr="00674669">
              <w:rPr>
                <w:b/>
                <w:sz w:val="20"/>
                <w:szCs w:val="20"/>
                <w:lang w:val="en-AU"/>
              </w:rPr>
              <w:noBreakHyphen/>
              <w:t>5)</w:t>
            </w:r>
          </w:p>
        </w:tc>
      </w:tr>
      <w:tr w:rsidR="00AD26DB" w:rsidRPr="00674669" w14:paraId="7D3F46F6" w14:textId="77777777" w:rsidTr="00C521FE">
        <w:trPr>
          <w:cantSplit/>
        </w:trPr>
        <w:tc>
          <w:tcPr>
            <w:tcW w:w="1213" w:type="pct"/>
          </w:tcPr>
          <w:p w14:paraId="48547E77" w14:textId="77B733EE" w:rsidR="00AD26DB" w:rsidRPr="00674669" w:rsidRDefault="00AD26DB" w:rsidP="00C521FE">
            <w:pPr>
              <w:pStyle w:val="TableText0"/>
              <w:keepNext w:val="0"/>
              <w:widowControl w:val="0"/>
              <w:rPr>
                <w:sz w:val="20"/>
                <w:szCs w:val="20"/>
                <w:lang w:val="en-AU"/>
              </w:rPr>
            </w:pPr>
            <w:r w:rsidRPr="00674669">
              <w:rPr>
                <w:sz w:val="20"/>
                <w:szCs w:val="20"/>
                <w:lang w:val="en-AU"/>
              </w:rPr>
              <w:lastRenderedPageBreak/>
              <w:t>Cemiplimab</w:t>
            </w:r>
            <w:r w:rsidR="00F152CD" w:rsidRPr="00674669">
              <w:rPr>
                <w:sz w:val="20"/>
                <w:szCs w:val="20"/>
                <w:lang w:val="en-AU"/>
              </w:rPr>
              <w:t>+</w:t>
            </w:r>
            <w:r w:rsidRPr="00674669">
              <w:rPr>
                <w:sz w:val="20"/>
                <w:szCs w:val="20"/>
                <w:lang w:val="en-AU"/>
              </w:rPr>
              <w:t>PDC vs. placebo</w:t>
            </w:r>
            <w:r w:rsidR="00F152CD" w:rsidRPr="00674669">
              <w:rPr>
                <w:sz w:val="20"/>
                <w:szCs w:val="20"/>
                <w:lang w:val="en-AU"/>
              </w:rPr>
              <w:t>+</w:t>
            </w:r>
            <w:r w:rsidRPr="00674669">
              <w:rPr>
                <w:sz w:val="20"/>
                <w:szCs w:val="20"/>
                <w:lang w:val="en-AU"/>
              </w:rPr>
              <w:t>PDC</w:t>
            </w:r>
          </w:p>
        </w:tc>
        <w:tc>
          <w:tcPr>
            <w:tcW w:w="428" w:type="pct"/>
          </w:tcPr>
          <w:p w14:paraId="6C84646F" w14:textId="77777777" w:rsidR="00AD26DB" w:rsidRPr="00674669" w:rsidRDefault="00AD26DB" w:rsidP="00C521FE">
            <w:pPr>
              <w:pStyle w:val="TableText0"/>
              <w:keepNext w:val="0"/>
              <w:widowControl w:val="0"/>
              <w:rPr>
                <w:sz w:val="20"/>
                <w:szCs w:val="20"/>
                <w:lang w:val="en-AU"/>
              </w:rPr>
            </w:pPr>
            <w:r w:rsidRPr="00674669">
              <w:rPr>
                <w:sz w:val="20"/>
                <w:szCs w:val="20"/>
                <w:lang w:val="en-AU"/>
              </w:rPr>
              <w:t>16113</w:t>
            </w:r>
          </w:p>
        </w:tc>
        <w:tc>
          <w:tcPr>
            <w:tcW w:w="636" w:type="pct"/>
          </w:tcPr>
          <w:p w14:paraId="2E0DE1E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152/312 (48.7%)</w:t>
            </w:r>
          </w:p>
        </w:tc>
        <w:tc>
          <w:tcPr>
            <w:tcW w:w="629" w:type="pct"/>
          </w:tcPr>
          <w:p w14:paraId="65A0EE4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50/153 (32.7%)</w:t>
            </w:r>
          </w:p>
        </w:tc>
        <w:tc>
          <w:tcPr>
            <w:tcW w:w="708" w:type="pct"/>
          </w:tcPr>
          <w:p w14:paraId="69E207E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1.96</w:t>
            </w:r>
          </w:p>
          <w:p w14:paraId="1F575C7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(1.31, 2.93)</w:t>
            </w:r>
          </w:p>
        </w:tc>
        <w:tc>
          <w:tcPr>
            <w:tcW w:w="698" w:type="pct"/>
            <w:gridSpan w:val="2"/>
          </w:tcPr>
          <w:p w14:paraId="7583897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1.49</w:t>
            </w:r>
          </w:p>
          <w:p w14:paraId="523C74B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(1.16, 1.92)</w:t>
            </w:r>
          </w:p>
        </w:tc>
        <w:tc>
          <w:tcPr>
            <w:tcW w:w="689" w:type="pct"/>
          </w:tcPr>
          <w:p w14:paraId="7456610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0.16</w:t>
            </w:r>
          </w:p>
          <w:p w14:paraId="30D52D8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(0.07, 0.25)</w:t>
            </w:r>
          </w:p>
        </w:tc>
      </w:tr>
      <w:tr w:rsidR="00AD26DB" w:rsidRPr="00674669" w14:paraId="61A43E95" w14:textId="77777777" w:rsidTr="00C521FE">
        <w:trPr>
          <w:cantSplit/>
        </w:trPr>
        <w:tc>
          <w:tcPr>
            <w:tcW w:w="1213" w:type="pct"/>
            <w:vMerge w:val="restart"/>
          </w:tcPr>
          <w:p w14:paraId="7F9245CC" w14:textId="015A5AD6" w:rsidR="00AD26DB" w:rsidRPr="00674669" w:rsidRDefault="00AD26DB" w:rsidP="00C521FE">
            <w:pPr>
              <w:pStyle w:val="TableText0"/>
              <w:keepNext w:val="0"/>
              <w:widowControl w:val="0"/>
              <w:rPr>
                <w:sz w:val="20"/>
                <w:szCs w:val="20"/>
                <w:lang w:val="en-AU"/>
              </w:rPr>
            </w:pPr>
            <w:r w:rsidRPr="00674669">
              <w:rPr>
                <w:sz w:val="20"/>
                <w:szCs w:val="20"/>
                <w:lang w:val="en-AU"/>
              </w:rPr>
              <w:t>Pembrolizumab</w:t>
            </w:r>
            <w:r w:rsidR="00F152CD" w:rsidRPr="00674669">
              <w:rPr>
                <w:sz w:val="20"/>
                <w:szCs w:val="20"/>
                <w:lang w:val="en-AU"/>
              </w:rPr>
              <w:t>+</w:t>
            </w:r>
            <w:r w:rsidRPr="00674669">
              <w:rPr>
                <w:sz w:val="20"/>
                <w:szCs w:val="20"/>
                <w:lang w:val="en-AU"/>
              </w:rPr>
              <w:t xml:space="preserve">PDC </w:t>
            </w:r>
          </w:p>
          <w:p w14:paraId="298C9BD2" w14:textId="0A91CA2B"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124292BF"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189</w:t>
            </w:r>
          </w:p>
        </w:tc>
        <w:tc>
          <w:tcPr>
            <w:tcW w:w="636" w:type="pct"/>
          </w:tcPr>
          <w:p w14:paraId="1F04597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295/405 (72.8%)</w:t>
            </w:r>
          </w:p>
        </w:tc>
        <w:tc>
          <w:tcPr>
            <w:tcW w:w="629" w:type="pct"/>
          </w:tcPr>
          <w:p w14:paraId="04EA01C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136/202 (67.3%)</w:t>
            </w:r>
          </w:p>
        </w:tc>
        <w:tc>
          <w:tcPr>
            <w:tcW w:w="708" w:type="pct"/>
          </w:tcPr>
          <w:p w14:paraId="2053025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1.30</w:t>
            </w:r>
          </w:p>
          <w:p w14:paraId="2B8C9AC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(0.90, 1.88)</w:t>
            </w:r>
          </w:p>
        </w:tc>
        <w:tc>
          <w:tcPr>
            <w:tcW w:w="698" w:type="pct"/>
            <w:gridSpan w:val="2"/>
          </w:tcPr>
          <w:p w14:paraId="4C1B2E8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1.08</w:t>
            </w:r>
          </w:p>
          <w:p w14:paraId="49D476D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(0.97, 1.21)</w:t>
            </w:r>
          </w:p>
        </w:tc>
        <w:tc>
          <w:tcPr>
            <w:tcW w:w="689" w:type="pct"/>
          </w:tcPr>
          <w:p w14:paraId="76DEE2E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0.06</w:t>
            </w:r>
          </w:p>
          <w:p w14:paraId="5FB298F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0.02, 0.13)</w:t>
            </w:r>
          </w:p>
        </w:tc>
      </w:tr>
      <w:tr w:rsidR="00AD26DB" w:rsidRPr="00674669" w14:paraId="4004B2E7" w14:textId="77777777" w:rsidTr="00C521FE">
        <w:trPr>
          <w:cantSplit/>
        </w:trPr>
        <w:tc>
          <w:tcPr>
            <w:tcW w:w="1213" w:type="pct"/>
            <w:vMerge/>
          </w:tcPr>
          <w:p w14:paraId="7501D30F" w14:textId="77777777" w:rsidR="00AD26DB" w:rsidRPr="00674669" w:rsidRDefault="00AD26DB" w:rsidP="00C521FE">
            <w:pPr>
              <w:pStyle w:val="TableText0"/>
              <w:keepNext w:val="0"/>
              <w:widowControl w:val="0"/>
              <w:rPr>
                <w:sz w:val="20"/>
                <w:szCs w:val="20"/>
                <w:lang w:val="en-AU"/>
              </w:rPr>
            </w:pPr>
          </w:p>
        </w:tc>
        <w:tc>
          <w:tcPr>
            <w:tcW w:w="428" w:type="pct"/>
          </w:tcPr>
          <w:p w14:paraId="620AED18"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407</w:t>
            </w:r>
          </w:p>
        </w:tc>
        <w:tc>
          <w:tcPr>
            <w:tcW w:w="636" w:type="pct"/>
          </w:tcPr>
          <w:p w14:paraId="58369B4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208/278 (74.8%)</w:t>
            </w:r>
          </w:p>
        </w:tc>
        <w:tc>
          <w:tcPr>
            <w:tcW w:w="629" w:type="pct"/>
          </w:tcPr>
          <w:p w14:paraId="41F0637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196/280 (70.0%)</w:t>
            </w:r>
          </w:p>
        </w:tc>
        <w:tc>
          <w:tcPr>
            <w:tcW w:w="708" w:type="pct"/>
          </w:tcPr>
          <w:p w14:paraId="3E24903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1.27</w:t>
            </w:r>
          </w:p>
          <w:p w14:paraId="1BBC77F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(0.88, 1.85)</w:t>
            </w:r>
          </w:p>
        </w:tc>
        <w:tc>
          <w:tcPr>
            <w:tcW w:w="698" w:type="pct"/>
            <w:gridSpan w:val="2"/>
          </w:tcPr>
          <w:p w14:paraId="285372E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1.07</w:t>
            </w:r>
          </w:p>
          <w:p w14:paraId="246D0EB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(0.96, 1.18)</w:t>
            </w:r>
          </w:p>
        </w:tc>
        <w:tc>
          <w:tcPr>
            <w:tcW w:w="689" w:type="pct"/>
          </w:tcPr>
          <w:p w14:paraId="06DB79A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0.05</w:t>
            </w:r>
          </w:p>
          <w:p w14:paraId="2CD69AF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0.03, 0.12)</w:t>
            </w:r>
          </w:p>
        </w:tc>
      </w:tr>
      <w:tr w:rsidR="00AD26DB" w:rsidRPr="00674669" w14:paraId="48F4B95C" w14:textId="77777777" w:rsidTr="00C521FE">
        <w:trPr>
          <w:cantSplit/>
        </w:trPr>
        <w:tc>
          <w:tcPr>
            <w:tcW w:w="1213" w:type="pct"/>
            <w:vMerge/>
          </w:tcPr>
          <w:p w14:paraId="0F501D57" w14:textId="77777777" w:rsidR="00AD26DB" w:rsidRPr="00674669" w:rsidRDefault="00AD26DB" w:rsidP="00C521FE">
            <w:pPr>
              <w:pStyle w:val="TableText0"/>
              <w:keepNext w:val="0"/>
              <w:widowControl w:val="0"/>
              <w:rPr>
                <w:sz w:val="20"/>
                <w:szCs w:val="20"/>
                <w:lang w:val="en-AU"/>
              </w:rPr>
            </w:pPr>
          </w:p>
        </w:tc>
        <w:tc>
          <w:tcPr>
            <w:tcW w:w="1693" w:type="pct"/>
            <w:gridSpan w:val="3"/>
          </w:tcPr>
          <w:p w14:paraId="0F8248C8" w14:textId="77777777" w:rsidR="00AD26DB" w:rsidRPr="00674669" w:rsidRDefault="00AD26DB" w:rsidP="00C521FE">
            <w:pPr>
              <w:pStyle w:val="TableText0"/>
              <w:keepNext w:val="0"/>
              <w:widowControl w:val="0"/>
              <w:rPr>
                <w:sz w:val="20"/>
                <w:szCs w:val="20"/>
                <w:lang w:val="en-AU"/>
              </w:rPr>
            </w:pPr>
            <w:r w:rsidRPr="00674669">
              <w:rPr>
                <w:sz w:val="20"/>
                <w:szCs w:val="20"/>
                <w:lang w:val="en-AU"/>
              </w:rPr>
              <w:t>KN meta</w:t>
            </w:r>
            <w:r w:rsidRPr="00674669">
              <w:rPr>
                <w:sz w:val="20"/>
                <w:szCs w:val="20"/>
                <w:lang w:val="en-AU"/>
              </w:rPr>
              <w:noBreakHyphen/>
              <w:t xml:space="preserve">analysis </w:t>
            </w:r>
            <w:r w:rsidRPr="00674669">
              <w:rPr>
                <w:i/>
                <w:iCs/>
                <w:sz w:val="20"/>
                <w:szCs w:val="20"/>
                <w:lang w:val="en-AU"/>
              </w:rPr>
              <w:t>k</w:t>
            </w:r>
            <w:r w:rsidRPr="00674669">
              <w:rPr>
                <w:sz w:val="20"/>
                <w:szCs w:val="20"/>
                <w:lang w:val="en-AU"/>
              </w:rPr>
              <w:t>=2</w:t>
            </w:r>
          </w:p>
        </w:tc>
        <w:tc>
          <w:tcPr>
            <w:tcW w:w="708" w:type="pct"/>
          </w:tcPr>
          <w:p w14:paraId="142EE0A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1.29</w:t>
            </w:r>
          </w:p>
          <w:p w14:paraId="656CF86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(0.99, 1.67)</w:t>
            </w:r>
          </w:p>
        </w:tc>
        <w:tc>
          <w:tcPr>
            <w:tcW w:w="698" w:type="pct"/>
            <w:gridSpan w:val="2"/>
          </w:tcPr>
          <w:p w14:paraId="2083495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1.07</w:t>
            </w:r>
          </w:p>
          <w:p w14:paraId="67A0422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(1.00, 1.16)</w:t>
            </w:r>
          </w:p>
        </w:tc>
        <w:tc>
          <w:tcPr>
            <w:tcW w:w="689" w:type="pct"/>
          </w:tcPr>
          <w:p w14:paraId="0A15AB1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0.05</w:t>
            </w:r>
          </w:p>
          <w:p w14:paraId="7C50F5D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(0, 0.11)</w:t>
            </w:r>
          </w:p>
        </w:tc>
      </w:tr>
      <w:tr w:rsidR="00AD26DB" w:rsidRPr="00674669" w14:paraId="6CF27A27" w14:textId="77777777" w:rsidTr="00C521FE">
        <w:trPr>
          <w:cantSplit/>
        </w:trPr>
        <w:tc>
          <w:tcPr>
            <w:tcW w:w="1213" w:type="pct"/>
          </w:tcPr>
          <w:p w14:paraId="6F77E05A" w14:textId="6AC80F98" w:rsidR="00AD26DB" w:rsidRPr="00674669" w:rsidRDefault="00AD26DB" w:rsidP="00C521FE">
            <w:pPr>
              <w:pStyle w:val="TableText0"/>
              <w:keepNext w:val="0"/>
              <w:widowControl w:val="0"/>
              <w:rPr>
                <w:sz w:val="20"/>
                <w:szCs w:val="20"/>
                <w:lang w:val="en-AU"/>
              </w:rPr>
            </w:pPr>
            <w:r w:rsidRPr="00674669">
              <w:rPr>
                <w:sz w:val="20"/>
                <w:szCs w:val="20"/>
                <w:lang w:val="en-AU"/>
              </w:rPr>
              <w:t>ITC cemiplimab</w:t>
            </w:r>
            <w:r w:rsidR="00F152CD" w:rsidRPr="00674669">
              <w:rPr>
                <w:sz w:val="20"/>
                <w:szCs w:val="20"/>
                <w:lang w:val="en-AU"/>
              </w:rPr>
              <w:t>+</w:t>
            </w:r>
            <w:r w:rsidRPr="00674669">
              <w:rPr>
                <w:sz w:val="20"/>
                <w:szCs w:val="20"/>
                <w:lang w:val="en-AU"/>
              </w:rPr>
              <w:t xml:space="preserve">PDC </w:t>
            </w:r>
          </w:p>
          <w:p w14:paraId="64E6C60B" w14:textId="7E6BD9FB" w:rsidR="00AD26DB" w:rsidRPr="00674669" w:rsidRDefault="00AD26DB" w:rsidP="00C521FE">
            <w:pPr>
              <w:pStyle w:val="TableText0"/>
              <w:keepNext w:val="0"/>
              <w:widowControl w:val="0"/>
              <w:rPr>
                <w:sz w:val="20"/>
                <w:szCs w:val="20"/>
                <w:lang w:val="en-AU"/>
              </w:rPr>
            </w:pPr>
            <w:r w:rsidRPr="00674669">
              <w:rPr>
                <w:sz w:val="20"/>
                <w:szCs w:val="20"/>
                <w:lang w:val="en-AU"/>
              </w:rPr>
              <w:t>vs. pembrolizumab</w:t>
            </w:r>
            <w:r w:rsidR="00F152CD" w:rsidRPr="00674669">
              <w:rPr>
                <w:sz w:val="20"/>
                <w:szCs w:val="20"/>
                <w:lang w:val="en-AU"/>
              </w:rPr>
              <w:t>+</w:t>
            </w:r>
            <w:r w:rsidRPr="00674669">
              <w:rPr>
                <w:sz w:val="20"/>
                <w:szCs w:val="20"/>
                <w:lang w:val="en-AU"/>
              </w:rPr>
              <w:t>PDC</w:t>
            </w:r>
          </w:p>
        </w:tc>
        <w:tc>
          <w:tcPr>
            <w:tcW w:w="1693" w:type="pct"/>
            <w:gridSpan w:val="3"/>
          </w:tcPr>
          <w:p w14:paraId="04487CD3" w14:textId="4A7685BC" w:rsidR="00AD26DB" w:rsidRPr="00674669" w:rsidRDefault="00AD26DB" w:rsidP="00C521FE">
            <w:pPr>
              <w:pStyle w:val="TableText0"/>
              <w:keepNext w:val="0"/>
              <w:widowControl w:val="0"/>
              <w:rPr>
                <w:sz w:val="20"/>
                <w:szCs w:val="20"/>
                <w:lang w:val="en-AU"/>
              </w:rPr>
            </w:pPr>
            <w:r w:rsidRPr="00674669">
              <w:rPr>
                <w:sz w:val="20"/>
                <w:szCs w:val="20"/>
                <w:lang w:val="en-AU"/>
              </w:rPr>
              <w:t>16113 vs. KN meta</w:t>
            </w:r>
            <w:r w:rsidRPr="00674669">
              <w:rPr>
                <w:sz w:val="20"/>
                <w:szCs w:val="20"/>
                <w:lang w:val="en-AU"/>
              </w:rPr>
              <w:noBreakHyphen/>
              <w:t>analysis</w:t>
            </w:r>
          </w:p>
        </w:tc>
        <w:tc>
          <w:tcPr>
            <w:tcW w:w="708" w:type="pct"/>
          </w:tcPr>
          <w:p w14:paraId="6BE9628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1.52</w:t>
            </w:r>
          </w:p>
          <w:p w14:paraId="7376820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(0.94, 2.46)</w:t>
            </w:r>
          </w:p>
        </w:tc>
        <w:tc>
          <w:tcPr>
            <w:tcW w:w="698" w:type="pct"/>
            <w:gridSpan w:val="2"/>
          </w:tcPr>
          <w:p w14:paraId="24673969"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1.39</w:t>
            </w:r>
          </w:p>
          <w:p w14:paraId="27123628"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(1.07, 1.82)</w:t>
            </w:r>
          </w:p>
        </w:tc>
        <w:tc>
          <w:tcPr>
            <w:tcW w:w="689" w:type="pct"/>
          </w:tcPr>
          <w:p w14:paraId="00B45B2D"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0.11</w:t>
            </w:r>
          </w:p>
          <w:p w14:paraId="221A7B22"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(0.01, 0.22)</w:t>
            </w:r>
          </w:p>
        </w:tc>
      </w:tr>
      <w:tr w:rsidR="00AD26DB" w:rsidRPr="00674669" w14:paraId="4E510492" w14:textId="77777777" w:rsidTr="00C521FE">
        <w:trPr>
          <w:cantSplit/>
        </w:trPr>
        <w:tc>
          <w:tcPr>
            <w:tcW w:w="5000" w:type="pct"/>
            <w:gridSpan w:val="8"/>
          </w:tcPr>
          <w:p w14:paraId="2D45155B" w14:textId="77777777" w:rsidR="00AD26DB" w:rsidRPr="00674669" w:rsidRDefault="00AD26DB" w:rsidP="00C521FE">
            <w:pPr>
              <w:pStyle w:val="TableText0"/>
              <w:keepNext w:val="0"/>
              <w:widowControl w:val="0"/>
              <w:rPr>
                <w:b/>
                <w:sz w:val="20"/>
                <w:szCs w:val="20"/>
                <w:lang w:val="en-AU"/>
              </w:rPr>
            </w:pPr>
            <w:r w:rsidRPr="00674669">
              <w:rPr>
                <w:b/>
                <w:sz w:val="20"/>
                <w:szCs w:val="20"/>
                <w:lang w:val="en-AU"/>
              </w:rPr>
              <w:t>AEs regardless of attribution leading to discontinuation</w:t>
            </w:r>
          </w:p>
        </w:tc>
      </w:tr>
      <w:tr w:rsidR="00AD26DB" w:rsidRPr="00674669" w14:paraId="5D97CA86" w14:textId="77777777" w:rsidTr="00C521FE">
        <w:trPr>
          <w:cantSplit/>
        </w:trPr>
        <w:tc>
          <w:tcPr>
            <w:tcW w:w="1213" w:type="pct"/>
          </w:tcPr>
          <w:p w14:paraId="15293DF1" w14:textId="46E0469C" w:rsidR="00AD26DB" w:rsidRPr="00674669" w:rsidRDefault="00AD26DB" w:rsidP="00C521FE">
            <w:pPr>
              <w:pStyle w:val="TableText0"/>
              <w:keepNext w:val="0"/>
              <w:widowControl w:val="0"/>
              <w:rPr>
                <w:sz w:val="20"/>
                <w:szCs w:val="20"/>
                <w:lang w:val="en-AU"/>
              </w:rPr>
            </w:pPr>
            <w:r w:rsidRPr="00674669">
              <w:rPr>
                <w:sz w:val="20"/>
                <w:szCs w:val="20"/>
                <w:lang w:val="en-AU"/>
              </w:rPr>
              <w:t>Cemiplimab</w:t>
            </w:r>
            <w:r w:rsidR="00F152CD" w:rsidRPr="00674669">
              <w:rPr>
                <w:sz w:val="20"/>
                <w:szCs w:val="20"/>
                <w:lang w:val="en-AU"/>
              </w:rPr>
              <w:t>+</w:t>
            </w:r>
            <w:r w:rsidRPr="00674669">
              <w:rPr>
                <w:sz w:val="20"/>
                <w:szCs w:val="20"/>
                <w:lang w:val="en-AU"/>
              </w:rPr>
              <w:t xml:space="preserve">PDC </w:t>
            </w:r>
          </w:p>
          <w:p w14:paraId="6A3A056A" w14:textId="49A232AB"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4EEE9C8F" w14:textId="77777777" w:rsidR="00AD26DB" w:rsidRPr="00674669" w:rsidRDefault="00AD26DB" w:rsidP="00C521FE">
            <w:pPr>
              <w:pStyle w:val="TableText0"/>
              <w:keepNext w:val="0"/>
              <w:widowControl w:val="0"/>
              <w:rPr>
                <w:sz w:val="20"/>
                <w:szCs w:val="20"/>
                <w:lang w:val="en-AU"/>
              </w:rPr>
            </w:pPr>
            <w:r w:rsidRPr="00674669">
              <w:rPr>
                <w:sz w:val="20"/>
                <w:szCs w:val="20"/>
                <w:lang w:val="en-AU"/>
              </w:rPr>
              <w:t>16113</w:t>
            </w:r>
          </w:p>
        </w:tc>
        <w:tc>
          <w:tcPr>
            <w:tcW w:w="636" w:type="pct"/>
          </w:tcPr>
          <w:p w14:paraId="32F8E6C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19/312</w:t>
            </w:r>
          </w:p>
          <w:p w14:paraId="11B9348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(6.1%)</w:t>
            </w:r>
          </w:p>
        </w:tc>
        <w:tc>
          <w:tcPr>
            <w:tcW w:w="629" w:type="pct"/>
          </w:tcPr>
          <w:p w14:paraId="09221F8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7/153</w:t>
            </w:r>
          </w:p>
          <w:p w14:paraId="7D1F4B4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(4.6%)</w:t>
            </w:r>
          </w:p>
        </w:tc>
        <w:tc>
          <w:tcPr>
            <w:tcW w:w="708" w:type="pct"/>
          </w:tcPr>
          <w:p w14:paraId="34973A6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1.35</w:t>
            </w:r>
          </w:p>
          <w:p w14:paraId="28A8855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(0.56, 3.29)</w:t>
            </w:r>
          </w:p>
        </w:tc>
        <w:tc>
          <w:tcPr>
            <w:tcW w:w="698" w:type="pct"/>
            <w:gridSpan w:val="2"/>
          </w:tcPr>
          <w:p w14:paraId="64113BF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1.33</w:t>
            </w:r>
          </w:p>
          <w:p w14:paraId="0436644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(0.57, 3.10)</w:t>
            </w:r>
          </w:p>
        </w:tc>
        <w:tc>
          <w:tcPr>
            <w:tcW w:w="689" w:type="pct"/>
          </w:tcPr>
          <w:p w14:paraId="35B0A5D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0.02</w:t>
            </w:r>
          </w:p>
          <w:p w14:paraId="54D72AF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0.03, 0.06)</w:t>
            </w:r>
          </w:p>
        </w:tc>
      </w:tr>
      <w:tr w:rsidR="00AD26DB" w:rsidRPr="00674669" w14:paraId="71ED8277" w14:textId="77777777" w:rsidTr="00C521FE">
        <w:trPr>
          <w:cantSplit/>
        </w:trPr>
        <w:tc>
          <w:tcPr>
            <w:tcW w:w="1213" w:type="pct"/>
            <w:vMerge w:val="restart"/>
          </w:tcPr>
          <w:p w14:paraId="2341687F" w14:textId="0DE02976" w:rsidR="00AD26DB" w:rsidRPr="00674669" w:rsidRDefault="00AD26DB" w:rsidP="00C521FE">
            <w:pPr>
              <w:pStyle w:val="TableText0"/>
              <w:keepNext w:val="0"/>
              <w:widowControl w:val="0"/>
              <w:rPr>
                <w:sz w:val="20"/>
                <w:szCs w:val="20"/>
                <w:lang w:val="en-AU"/>
              </w:rPr>
            </w:pPr>
            <w:r w:rsidRPr="00674669">
              <w:rPr>
                <w:sz w:val="20"/>
                <w:szCs w:val="20"/>
                <w:lang w:val="en-AU"/>
              </w:rPr>
              <w:t>Pembrolizumab</w:t>
            </w:r>
            <w:r w:rsidR="00F152CD" w:rsidRPr="00674669">
              <w:rPr>
                <w:sz w:val="20"/>
                <w:szCs w:val="20"/>
                <w:lang w:val="en-AU"/>
              </w:rPr>
              <w:t>+</w:t>
            </w:r>
            <w:r w:rsidRPr="00674669">
              <w:rPr>
                <w:sz w:val="20"/>
                <w:szCs w:val="20"/>
                <w:lang w:val="en-AU"/>
              </w:rPr>
              <w:t xml:space="preserve">PDC </w:t>
            </w:r>
          </w:p>
          <w:p w14:paraId="1F52A69B" w14:textId="7364BC16"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40CE5350"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189</w:t>
            </w:r>
          </w:p>
        </w:tc>
        <w:tc>
          <w:tcPr>
            <w:tcW w:w="636" w:type="pct"/>
          </w:tcPr>
          <w:p w14:paraId="465EF71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145/405 (35.8%)</w:t>
            </w:r>
          </w:p>
        </w:tc>
        <w:tc>
          <w:tcPr>
            <w:tcW w:w="629" w:type="pct"/>
          </w:tcPr>
          <w:p w14:paraId="4439C45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35/202 (17.3%)</w:t>
            </w:r>
          </w:p>
        </w:tc>
        <w:tc>
          <w:tcPr>
            <w:tcW w:w="708" w:type="pct"/>
          </w:tcPr>
          <w:p w14:paraId="772ECE3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2.66</w:t>
            </w:r>
          </w:p>
          <w:p w14:paraId="59A926A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(1.75, 4.04)</w:t>
            </w:r>
          </w:p>
        </w:tc>
        <w:tc>
          <w:tcPr>
            <w:tcW w:w="698" w:type="pct"/>
            <w:gridSpan w:val="2"/>
          </w:tcPr>
          <w:p w14:paraId="493CFAC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2.07</w:t>
            </w:r>
          </w:p>
          <w:p w14:paraId="436DBF3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(1.49, 2.87)</w:t>
            </w:r>
          </w:p>
        </w:tc>
        <w:tc>
          <w:tcPr>
            <w:tcW w:w="689" w:type="pct"/>
          </w:tcPr>
          <w:p w14:paraId="644E9FA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0.18</w:t>
            </w:r>
          </w:p>
          <w:p w14:paraId="374F228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(0.11, 0.25)</w:t>
            </w:r>
          </w:p>
        </w:tc>
      </w:tr>
      <w:tr w:rsidR="00AD26DB" w:rsidRPr="00674669" w14:paraId="11F934FB" w14:textId="77777777" w:rsidTr="00C521FE">
        <w:trPr>
          <w:cantSplit/>
        </w:trPr>
        <w:tc>
          <w:tcPr>
            <w:tcW w:w="1213" w:type="pct"/>
            <w:vMerge/>
          </w:tcPr>
          <w:p w14:paraId="3FB30A1D" w14:textId="77777777" w:rsidR="00AD26DB" w:rsidRPr="00674669" w:rsidRDefault="00AD26DB" w:rsidP="00C521FE">
            <w:pPr>
              <w:pStyle w:val="TableText0"/>
              <w:keepNext w:val="0"/>
              <w:widowControl w:val="0"/>
              <w:rPr>
                <w:sz w:val="20"/>
                <w:szCs w:val="20"/>
                <w:lang w:val="en-AU"/>
              </w:rPr>
            </w:pPr>
          </w:p>
        </w:tc>
        <w:tc>
          <w:tcPr>
            <w:tcW w:w="428" w:type="pct"/>
          </w:tcPr>
          <w:p w14:paraId="5297D02D"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407</w:t>
            </w:r>
          </w:p>
        </w:tc>
        <w:tc>
          <w:tcPr>
            <w:tcW w:w="636" w:type="pct"/>
          </w:tcPr>
          <w:p w14:paraId="251A3FC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48/278 (17.3%)</w:t>
            </w:r>
          </w:p>
        </w:tc>
        <w:tc>
          <w:tcPr>
            <w:tcW w:w="629" w:type="pct"/>
          </w:tcPr>
          <w:p w14:paraId="7B0E025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21/280</w:t>
            </w:r>
          </w:p>
          <w:p w14:paraId="637DD61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(7.5%)</w:t>
            </w:r>
          </w:p>
        </w:tc>
        <w:tc>
          <w:tcPr>
            <w:tcW w:w="708" w:type="pct"/>
          </w:tcPr>
          <w:p w14:paraId="6D8C346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2.57</w:t>
            </w:r>
          </w:p>
          <w:p w14:paraId="36C36F1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(1.50, 4.43)</w:t>
            </w:r>
          </w:p>
        </w:tc>
        <w:tc>
          <w:tcPr>
            <w:tcW w:w="698" w:type="pct"/>
            <w:gridSpan w:val="2"/>
          </w:tcPr>
          <w:p w14:paraId="028ABD2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2.30</w:t>
            </w:r>
          </w:p>
          <w:p w14:paraId="1F86255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(1.42, 3.74)</w:t>
            </w:r>
          </w:p>
        </w:tc>
        <w:tc>
          <w:tcPr>
            <w:tcW w:w="689" w:type="pct"/>
          </w:tcPr>
          <w:p w14:paraId="7852E3E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0.10</w:t>
            </w:r>
          </w:p>
          <w:p w14:paraId="1EFE045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(0.04, 0.15)</w:t>
            </w:r>
          </w:p>
        </w:tc>
      </w:tr>
      <w:tr w:rsidR="00AD26DB" w:rsidRPr="00674669" w14:paraId="51DD2405" w14:textId="77777777" w:rsidTr="00C521FE">
        <w:trPr>
          <w:cantSplit/>
        </w:trPr>
        <w:tc>
          <w:tcPr>
            <w:tcW w:w="1213" w:type="pct"/>
            <w:vMerge/>
          </w:tcPr>
          <w:p w14:paraId="20723D94" w14:textId="77777777" w:rsidR="00AD26DB" w:rsidRPr="00674669" w:rsidRDefault="00AD26DB" w:rsidP="00C521FE">
            <w:pPr>
              <w:pStyle w:val="TableText0"/>
              <w:keepNext w:val="0"/>
              <w:widowControl w:val="0"/>
              <w:rPr>
                <w:sz w:val="20"/>
                <w:szCs w:val="20"/>
                <w:lang w:val="en-AU"/>
              </w:rPr>
            </w:pPr>
          </w:p>
        </w:tc>
        <w:tc>
          <w:tcPr>
            <w:tcW w:w="1693" w:type="pct"/>
            <w:gridSpan w:val="3"/>
          </w:tcPr>
          <w:p w14:paraId="59B119AD" w14:textId="77777777" w:rsidR="00AD26DB" w:rsidRPr="00674669" w:rsidRDefault="00AD26DB" w:rsidP="00C521FE">
            <w:pPr>
              <w:pStyle w:val="TableText0"/>
              <w:keepNext w:val="0"/>
              <w:widowControl w:val="0"/>
              <w:rPr>
                <w:sz w:val="20"/>
                <w:szCs w:val="20"/>
                <w:lang w:val="en-AU"/>
              </w:rPr>
            </w:pPr>
            <w:r w:rsidRPr="00674669">
              <w:rPr>
                <w:sz w:val="20"/>
                <w:szCs w:val="20"/>
                <w:lang w:val="en-AU"/>
              </w:rPr>
              <w:t>KN meta</w:t>
            </w:r>
            <w:r w:rsidRPr="00674669">
              <w:rPr>
                <w:sz w:val="20"/>
                <w:szCs w:val="20"/>
                <w:lang w:val="en-AU"/>
              </w:rPr>
              <w:noBreakHyphen/>
              <w:t xml:space="preserve">analysis </w:t>
            </w:r>
            <w:r w:rsidRPr="00674669">
              <w:rPr>
                <w:i/>
                <w:iCs/>
                <w:sz w:val="20"/>
                <w:szCs w:val="20"/>
                <w:lang w:val="en-AU"/>
              </w:rPr>
              <w:t>k</w:t>
            </w:r>
            <w:r w:rsidRPr="00674669">
              <w:rPr>
                <w:sz w:val="20"/>
                <w:szCs w:val="20"/>
                <w:lang w:val="en-AU"/>
              </w:rPr>
              <w:t>=2</w:t>
            </w:r>
          </w:p>
        </w:tc>
        <w:tc>
          <w:tcPr>
            <w:tcW w:w="708" w:type="pct"/>
          </w:tcPr>
          <w:p w14:paraId="7A32E38D"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2.63</w:t>
            </w:r>
          </w:p>
          <w:p w14:paraId="0D509309" w14:textId="77777777" w:rsidR="00AD26DB" w:rsidRPr="00674669" w:rsidRDefault="00AD26DB" w:rsidP="00C521FE">
            <w:pPr>
              <w:pStyle w:val="TableText0"/>
              <w:keepNext w:val="0"/>
              <w:widowControl w:val="0"/>
              <w:jc w:val="center"/>
              <w:rPr>
                <w:sz w:val="20"/>
                <w:szCs w:val="20"/>
                <w:lang w:val="en-AU"/>
              </w:rPr>
            </w:pPr>
            <w:r w:rsidRPr="00674669">
              <w:rPr>
                <w:b/>
                <w:bCs w:val="0"/>
                <w:sz w:val="20"/>
                <w:szCs w:val="20"/>
                <w:lang w:val="en-AU"/>
              </w:rPr>
              <w:t>(1.89, 3.66)</w:t>
            </w:r>
          </w:p>
        </w:tc>
        <w:tc>
          <w:tcPr>
            <w:tcW w:w="698" w:type="pct"/>
            <w:gridSpan w:val="2"/>
          </w:tcPr>
          <w:p w14:paraId="672568A7"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2.14</w:t>
            </w:r>
          </w:p>
          <w:p w14:paraId="212CCB33"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(1.63, 2.81)</w:t>
            </w:r>
          </w:p>
        </w:tc>
        <w:tc>
          <w:tcPr>
            <w:tcW w:w="689" w:type="pct"/>
          </w:tcPr>
          <w:p w14:paraId="4E7C3905"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0.14</w:t>
            </w:r>
          </w:p>
          <w:p w14:paraId="0EA45853"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(0.05, 0.23)</w:t>
            </w:r>
          </w:p>
        </w:tc>
      </w:tr>
      <w:tr w:rsidR="00AD26DB" w:rsidRPr="00674669" w14:paraId="67F1B6E7" w14:textId="77777777" w:rsidTr="00C521FE">
        <w:trPr>
          <w:cantSplit/>
        </w:trPr>
        <w:tc>
          <w:tcPr>
            <w:tcW w:w="1213" w:type="pct"/>
          </w:tcPr>
          <w:p w14:paraId="2BBBB2AD" w14:textId="13D03A18" w:rsidR="00AD26DB" w:rsidRPr="00674669" w:rsidRDefault="00AD26DB" w:rsidP="00C521FE">
            <w:pPr>
              <w:pStyle w:val="TableText0"/>
              <w:keepNext w:val="0"/>
              <w:widowControl w:val="0"/>
              <w:rPr>
                <w:sz w:val="20"/>
                <w:szCs w:val="20"/>
                <w:lang w:val="en-AU"/>
              </w:rPr>
            </w:pPr>
            <w:r w:rsidRPr="00674669">
              <w:rPr>
                <w:sz w:val="20"/>
                <w:szCs w:val="20"/>
                <w:lang w:val="en-AU"/>
              </w:rPr>
              <w:t>ITC cemiplimab</w:t>
            </w:r>
            <w:r w:rsidR="00F152CD" w:rsidRPr="00674669">
              <w:rPr>
                <w:sz w:val="20"/>
                <w:szCs w:val="20"/>
                <w:lang w:val="en-AU"/>
              </w:rPr>
              <w:t>+</w:t>
            </w:r>
            <w:r w:rsidRPr="00674669">
              <w:rPr>
                <w:sz w:val="20"/>
                <w:szCs w:val="20"/>
                <w:lang w:val="en-AU"/>
              </w:rPr>
              <w:t xml:space="preserve">PDC </w:t>
            </w:r>
          </w:p>
          <w:p w14:paraId="5AC26F09" w14:textId="69BCFFAA" w:rsidR="00AD26DB" w:rsidRPr="00674669" w:rsidRDefault="00AD26DB" w:rsidP="00C521FE">
            <w:pPr>
              <w:pStyle w:val="TableText0"/>
              <w:keepNext w:val="0"/>
              <w:widowControl w:val="0"/>
              <w:rPr>
                <w:sz w:val="20"/>
                <w:szCs w:val="20"/>
                <w:lang w:val="en-AU"/>
              </w:rPr>
            </w:pPr>
            <w:r w:rsidRPr="00674669">
              <w:rPr>
                <w:sz w:val="20"/>
                <w:szCs w:val="20"/>
                <w:lang w:val="en-AU"/>
              </w:rPr>
              <w:t>vs. pembrolizumab</w:t>
            </w:r>
            <w:r w:rsidR="00F152CD" w:rsidRPr="00674669">
              <w:rPr>
                <w:sz w:val="20"/>
                <w:szCs w:val="20"/>
                <w:lang w:val="en-AU"/>
              </w:rPr>
              <w:t>+</w:t>
            </w:r>
            <w:r w:rsidRPr="00674669">
              <w:rPr>
                <w:sz w:val="20"/>
                <w:szCs w:val="20"/>
                <w:lang w:val="en-AU"/>
              </w:rPr>
              <w:t>PDC</w:t>
            </w:r>
          </w:p>
        </w:tc>
        <w:tc>
          <w:tcPr>
            <w:tcW w:w="1693" w:type="pct"/>
            <w:gridSpan w:val="3"/>
          </w:tcPr>
          <w:p w14:paraId="702AA474" w14:textId="4D312AB4" w:rsidR="00AD26DB" w:rsidRPr="00674669" w:rsidRDefault="00AD26DB" w:rsidP="00C521FE">
            <w:pPr>
              <w:pStyle w:val="TableText0"/>
              <w:keepNext w:val="0"/>
              <w:widowControl w:val="0"/>
              <w:rPr>
                <w:sz w:val="20"/>
                <w:szCs w:val="20"/>
                <w:lang w:val="en-AU"/>
              </w:rPr>
            </w:pPr>
            <w:r w:rsidRPr="00674669">
              <w:rPr>
                <w:sz w:val="20"/>
                <w:szCs w:val="20"/>
                <w:lang w:val="en-AU"/>
              </w:rPr>
              <w:t>16113 vs. KN meta</w:t>
            </w:r>
            <w:r w:rsidRPr="00674669">
              <w:rPr>
                <w:sz w:val="20"/>
                <w:szCs w:val="20"/>
                <w:lang w:val="en-AU"/>
              </w:rPr>
              <w:noBreakHyphen/>
              <w:t>analysis</w:t>
            </w:r>
          </w:p>
        </w:tc>
        <w:tc>
          <w:tcPr>
            <w:tcW w:w="708" w:type="pct"/>
          </w:tcPr>
          <w:p w14:paraId="2EF3DD7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0.51</w:t>
            </w:r>
          </w:p>
          <w:p w14:paraId="5C840AA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(0.20, 1.33)</w:t>
            </w:r>
          </w:p>
        </w:tc>
        <w:tc>
          <w:tcPr>
            <w:tcW w:w="698" w:type="pct"/>
            <w:gridSpan w:val="2"/>
          </w:tcPr>
          <w:p w14:paraId="50997C2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0.62</w:t>
            </w:r>
          </w:p>
          <w:p w14:paraId="2B3C31E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(0.26, 1.51)</w:t>
            </w:r>
          </w:p>
        </w:tc>
        <w:tc>
          <w:tcPr>
            <w:tcW w:w="689" w:type="pct"/>
          </w:tcPr>
          <w:p w14:paraId="3F52D63D"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noBreakHyphen/>
              <w:t>0.12 (</w:t>
            </w:r>
            <w:r w:rsidRPr="00674669">
              <w:rPr>
                <w:b/>
                <w:bCs w:val="0"/>
                <w:sz w:val="20"/>
                <w:szCs w:val="20"/>
                <w:lang w:val="en-AU"/>
              </w:rPr>
              <w:noBreakHyphen/>
              <w:t xml:space="preserve">0.22, </w:t>
            </w:r>
            <w:r w:rsidRPr="00674669">
              <w:rPr>
                <w:b/>
                <w:bCs w:val="0"/>
                <w:sz w:val="20"/>
                <w:szCs w:val="20"/>
                <w:lang w:val="en-AU"/>
              </w:rPr>
              <w:noBreakHyphen/>
              <w:t>0.03)</w:t>
            </w:r>
          </w:p>
        </w:tc>
      </w:tr>
      <w:tr w:rsidR="00AD26DB" w:rsidRPr="00674669" w14:paraId="63B9084F" w14:textId="77777777" w:rsidTr="00C521FE">
        <w:trPr>
          <w:cantSplit/>
        </w:trPr>
        <w:tc>
          <w:tcPr>
            <w:tcW w:w="5000" w:type="pct"/>
            <w:gridSpan w:val="8"/>
          </w:tcPr>
          <w:p w14:paraId="3F02A677" w14:textId="77777777" w:rsidR="00AD26DB" w:rsidRPr="00674669" w:rsidRDefault="00AD26DB" w:rsidP="00C521FE">
            <w:pPr>
              <w:pStyle w:val="TableText0"/>
              <w:keepNext w:val="0"/>
              <w:widowControl w:val="0"/>
              <w:rPr>
                <w:b/>
                <w:sz w:val="20"/>
                <w:szCs w:val="20"/>
                <w:lang w:val="en-AU"/>
              </w:rPr>
            </w:pPr>
            <w:r w:rsidRPr="00674669">
              <w:rPr>
                <w:b/>
                <w:sz w:val="20"/>
                <w:szCs w:val="20"/>
                <w:lang w:val="en-AU"/>
              </w:rPr>
              <w:t>AEs regardless of attribution leading to discontinuation (Grade 3</w:t>
            </w:r>
            <w:r w:rsidRPr="00674669">
              <w:rPr>
                <w:b/>
                <w:sz w:val="20"/>
                <w:szCs w:val="20"/>
                <w:lang w:val="en-AU"/>
              </w:rPr>
              <w:noBreakHyphen/>
              <w:t>5)</w:t>
            </w:r>
          </w:p>
        </w:tc>
      </w:tr>
      <w:tr w:rsidR="00AD26DB" w:rsidRPr="00674669" w14:paraId="65F81377" w14:textId="77777777" w:rsidTr="00C521FE">
        <w:trPr>
          <w:cantSplit/>
        </w:trPr>
        <w:tc>
          <w:tcPr>
            <w:tcW w:w="1213" w:type="pct"/>
          </w:tcPr>
          <w:p w14:paraId="4C8099D0" w14:textId="77E9532A" w:rsidR="00AD26DB" w:rsidRPr="00674669" w:rsidRDefault="00AD26DB" w:rsidP="00C521FE">
            <w:pPr>
              <w:pStyle w:val="TableText0"/>
              <w:keepNext w:val="0"/>
              <w:widowControl w:val="0"/>
              <w:rPr>
                <w:sz w:val="20"/>
                <w:szCs w:val="20"/>
                <w:lang w:val="en-AU"/>
              </w:rPr>
            </w:pPr>
            <w:r w:rsidRPr="00674669">
              <w:rPr>
                <w:sz w:val="20"/>
                <w:szCs w:val="20"/>
                <w:lang w:val="en-AU"/>
              </w:rPr>
              <w:t>Cemiplimab</w:t>
            </w:r>
            <w:r w:rsidR="00F152CD" w:rsidRPr="00674669">
              <w:rPr>
                <w:sz w:val="20"/>
                <w:szCs w:val="20"/>
                <w:lang w:val="en-AU"/>
              </w:rPr>
              <w:t>+</w:t>
            </w:r>
            <w:r w:rsidRPr="00674669">
              <w:rPr>
                <w:sz w:val="20"/>
                <w:szCs w:val="20"/>
                <w:lang w:val="en-AU"/>
              </w:rPr>
              <w:t xml:space="preserve">PDC </w:t>
            </w:r>
          </w:p>
          <w:p w14:paraId="7C99959A" w14:textId="217D047B"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2B0D3B5E" w14:textId="77777777" w:rsidR="00AD26DB" w:rsidRPr="00674669" w:rsidRDefault="00AD26DB" w:rsidP="00C521FE">
            <w:pPr>
              <w:pStyle w:val="TableText0"/>
              <w:keepNext w:val="0"/>
              <w:widowControl w:val="0"/>
              <w:rPr>
                <w:sz w:val="20"/>
                <w:szCs w:val="20"/>
                <w:lang w:val="en-AU"/>
              </w:rPr>
            </w:pPr>
            <w:r w:rsidRPr="00674669">
              <w:rPr>
                <w:sz w:val="20"/>
                <w:szCs w:val="20"/>
                <w:lang w:val="en-AU"/>
              </w:rPr>
              <w:t>16113</w:t>
            </w:r>
          </w:p>
        </w:tc>
        <w:tc>
          <w:tcPr>
            <w:tcW w:w="636" w:type="pct"/>
          </w:tcPr>
          <w:p w14:paraId="35AB59E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15/312</w:t>
            </w:r>
          </w:p>
          <w:p w14:paraId="09A46A6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(4.8%)</w:t>
            </w:r>
          </w:p>
        </w:tc>
        <w:tc>
          <w:tcPr>
            <w:tcW w:w="629" w:type="pct"/>
          </w:tcPr>
          <w:p w14:paraId="0391C9F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4/153</w:t>
            </w:r>
          </w:p>
          <w:p w14:paraId="0AFD70C2"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(2.6%)</w:t>
            </w:r>
          </w:p>
        </w:tc>
        <w:tc>
          <w:tcPr>
            <w:tcW w:w="708" w:type="pct"/>
          </w:tcPr>
          <w:p w14:paraId="37DB712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1.88</w:t>
            </w:r>
          </w:p>
          <w:p w14:paraId="7890EB9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(0.61, 5.77)</w:t>
            </w:r>
          </w:p>
        </w:tc>
        <w:tc>
          <w:tcPr>
            <w:tcW w:w="698" w:type="pct"/>
            <w:gridSpan w:val="2"/>
          </w:tcPr>
          <w:p w14:paraId="6AAAD472"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1.84</w:t>
            </w:r>
          </w:p>
          <w:p w14:paraId="36A51C7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(0.62, 5.45)</w:t>
            </w:r>
          </w:p>
        </w:tc>
        <w:tc>
          <w:tcPr>
            <w:tcW w:w="689" w:type="pct"/>
          </w:tcPr>
          <w:p w14:paraId="7741CF2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0.02</w:t>
            </w:r>
          </w:p>
          <w:p w14:paraId="32B507C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0.01, 0.06)</w:t>
            </w:r>
          </w:p>
        </w:tc>
      </w:tr>
      <w:tr w:rsidR="00AD26DB" w:rsidRPr="00674669" w14:paraId="0EFAED2F" w14:textId="77777777" w:rsidTr="00C521FE">
        <w:trPr>
          <w:cantSplit/>
        </w:trPr>
        <w:tc>
          <w:tcPr>
            <w:tcW w:w="1213" w:type="pct"/>
            <w:vMerge w:val="restart"/>
          </w:tcPr>
          <w:p w14:paraId="790FA294" w14:textId="2B4D693E" w:rsidR="00AD26DB" w:rsidRPr="00674669" w:rsidRDefault="00AD26DB" w:rsidP="00C521FE">
            <w:pPr>
              <w:pStyle w:val="TableText0"/>
              <w:keepNext w:val="0"/>
              <w:widowControl w:val="0"/>
              <w:rPr>
                <w:sz w:val="20"/>
                <w:szCs w:val="20"/>
                <w:lang w:val="en-AU"/>
              </w:rPr>
            </w:pPr>
            <w:r w:rsidRPr="00674669">
              <w:rPr>
                <w:sz w:val="20"/>
                <w:szCs w:val="20"/>
                <w:lang w:val="en-AU"/>
              </w:rPr>
              <w:t>Pembrolizumab</w:t>
            </w:r>
            <w:r w:rsidR="00F152CD" w:rsidRPr="00674669">
              <w:rPr>
                <w:sz w:val="20"/>
                <w:szCs w:val="20"/>
                <w:lang w:val="en-AU"/>
              </w:rPr>
              <w:t>+</w:t>
            </w:r>
            <w:r w:rsidRPr="00674669">
              <w:rPr>
                <w:sz w:val="20"/>
                <w:szCs w:val="20"/>
                <w:lang w:val="en-AU"/>
              </w:rPr>
              <w:t xml:space="preserve">PDC </w:t>
            </w:r>
          </w:p>
          <w:p w14:paraId="67DD0C9D" w14:textId="38CD2654"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2639BED3"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189</w:t>
            </w:r>
          </w:p>
        </w:tc>
        <w:tc>
          <w:tcPr>
            <w:tcW w:w="636" w:type="pct"/>
          </w:tcPr>
          <w:p w14:paraId="105A6BB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48/405 (11.9%)</w:t>
            </w:r>
          </w:p>
        </w:tc>
        <w:tc>
          <w:tcPr>
            <w:tcW w:w="629" w:type="pct"/>
          </w:tcPr>
          <w:p w14:paraId="77E1F9E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14/202</w:t>
            </w:r>
          </w:p>
          <w:p w14:paraId="333D114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(6.9%)</w:t>
            </w:r>
          </w:p>
        </w:tc>
        <w:tc>
          <w:tcPr>
            <w:tcW w:w="708" w:type="pct"/>
          </w:tcPr>
          <w:p w14:paraId="48CB815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1.81</w:t>
            </w:r>
          </w:p>
          <w:p w14:paraId="422CDBB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(0.97, 3.36)</w:t>
            </w:r>
          </w:p>
        </w:tc>
        <w:tc>
          <w:tcPr>
            <w:tcW w:w="698" w:type="pct"/>
            <w:gridSpan w:val="2"/>
          </w:tcPr>
          <w:p w14:paraId="4DF4D1E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1.71</w:t>
            </w:r>
          </w:p>
          <w:p w14:paraId="4425FC3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(0.97, 3.03)</w:t>
            </w:r>
          </w:p>
        </w:tc>
        <w:tc>
          <w:tcPr>
            <w:tcW w:w="689" w:type="pct"/>
          </w:tcPr>
          <w:p w14:paraId="004892C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0.05</w:t>
            </w:r>
          </w:p>
          <w:p w14:paraId="7B33D83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(0.00, 0.10)</w:t>
            </w:r>
          </w:p>
        </w:tc>
      </w:tr>
      <w:tr w:rsidR="00AD26DB" w:rsidRPr="00674669" w14:paraId="0379A3FE" w14:textId="77777777" w:rsidTr="00C521FE">
        <w:trPr>
          <w:cantSplit/>
        </w:trPr>
        <w:tc>
          <w:tcPr>
            <w:tcW w:w="1213" w:type="pct"/>
            <w:vMerge/>
          </w:tcPr>
          <w:p w14:paraId="4B69EA48" w14:textId="77777777" w:rsidR="00AD26DB" w:rsidRPr="00674669" w:rsidRDefault="00AD26DB" w:rsidP="00C521FE">
            <w:pPr>
              <w:pStyle w:val="TableText0"/>
              <w:keepNext w:val="0"/>
              <w:widowControl w:val="0"/>
              <w:rPr>
                <w:sz w:val="20"/>
                <w:szCs w:val="20"/>
                <w:lang w:val="en-AU"/>
              </w:rPr>
            </w:pPr>
          </w:p>
        </w:tc>
        <w:tc>
          <w:tcPr>
            <w:tcW w:w="428" w:type="pct"/>
          </w:tcPr>
          <w:p w14:paraId="394DAD90"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407</w:t>
            </w:r>
          </w:p>
        </w:tc>
        <w:tc>
          <w:tcPr>
            <w:tcW w:w="636" w:type="pct"/>
          </w:tcPr>
          <w:p w14:paraId="74084C3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34/278 (12.2%)</w:t>
            </w:r>
          </w:p>
        </w:tc>
        <w:tc>
          <w:tcPr>
            <w:tcW w:w="629" w:type="pct"/>
          </w:tcPr>
          <w:p w14:paraId="7D61EC0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18/280</w:t>
            </w:r>
          </w:p>
          <w:p w14:paraId="30A9563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(6.4%)</w:t>
            </w:r>
          </w:p>
        </w:tc>
        <w:tc>
          <w:tcPr>
            <w:tcW w:w="708" w:type="pct"/>
          </w:tcPr>
          <w:p w14:paraId="6B5D24F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2.03</w:t>
            </w:r>
          </w:p>
          <w:p w14:paraId="6F5FFF4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(1.12, 3.69)</w:t>
            </w:r>
          </w:p>
        </w:tc>
        <w:tc>
          <w:tcPr>
            <w:tcW w:w="698" w:type="pct"/>
            <w:gridSpan w:val="2"/>
          </w:tcPr>
          <w:p w14:paraId="50D14832"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1.90</w:t>
            </w:r>
          </w:p>
          <w:p w14:paraId="07CB745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(1.10, 3.29)</w:t>
            </w:r>
          </w:p>
        </w:tc>
        <w:tc>
          <w:tcPr>
            <w:tcW w:w="689" w:type="pct"/>
          </w:tcPr>
          <w:p w14:paraId="233A0C3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0.06</w:t>
            </w:r>
          </w:p>
          <w:p w14:paraId="04F343B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(0.01, 0.11)</w:t>
            </w:r>
          </w:p>
        </w:tc>
      </w:tr>
      <w:tr w:rsidR="00AD26DB" w:rsidRPr="00674669" w14:paraId="05826C57" w14:textId="77777777" w:rsidTr="00C521FE">
        <w:trPr>
          <w:cantSplit/>
        </w:trPr>
        <w:tc>
          <w:tcPr>
            <w:tcW w:w="1213" w:type="pct"/>
            <w:vMerge/>
          </w:tcPr>
          <w:p w14:paraId="6C94F8F3" w14:textId="77777777" w:rsidR="00AD26DB" w:rsidRPr="00674669" w:rsidRDefault="00AD26DB" w:rsidP="00C521FE">
            <w:pPr>
              <w:pStyle w:val="TableText0"/>
              <w:keepNext w:val="0"/>
              <w:widowControl w:val="0"/>
              <w:rPr>
                <w:sz w:val="20"/>
                <w:szCs w:val="20"/>
                <w:lang w:val="en-AU"/>
              </w:rPr>
            </w:pPr>
          </w:p>
        </w:tc>
        <w:tc>
          <w:tcPr>
            <w:tcW w:w="1693" w:type="pct"/>
            <w:gridSpan w:val="3"/>
          </w:tcPr>
          <w:p w14:paraId="2A1F6C87" w14:textId="77777777" w:rsidR="00AD26DB" w:rsidRPr="00674669" w:rsidRDefault="00AD26DB" w:rsidP="00C521FE">
            <w:pPr>
              <w:pStyle w:val="TableText0"/>
              <w:keepNext w:val="0"/>
              <w:widowControl w:val="0"/>
              <w:rPr>
                <w:sz w:val="20"/>
                <w:szCs w:val="20"/>
                <w:lang w:val="en-AU"/>
              </w:rPr>
            </w:pPr>
            <w:r w:rsidRPr="00674669">
              <w:rPr>
                <w:sz w:val="20"/>
                <w:szCs w:val="20"/>
                <w:lang w:val="en-AU"/>
              </w:rPr>
              <w:t>KN meta</w:t>
            </w:r>
            <w:r w:rsidRPr="00674669">
              <w:rPr>
                <w:sz w:val="20"/>
                <w:szCs w:val="20"/>
                <w:lang w:val="en-AU"/>
              </w:rPr>
              <w:noBreakHyphen/>
              <w:t xml:space="preserve">analysis </w:t>
            </w:r>
            <w:r w:rsidRPr="00674669">
              <w:rPr>
                <w:i/>
                <w:iCs/>
                <w:sz w:val="20"/>
                <w:szCs w:val="20"/>
                <w:lang w:val="en-AU"/>
              </w:rPr>
              <w:t>k</w:t>
            </w:r>
            <w:r w:rsidRPr="00674669">
              <w:rPr>
                <w:sz w:val="20"/>
                <w:szCs w:val="20"/>
                <w:lang w:val="en-AU"/>
              </w:rPr>
              <w:t>=2</w:t>
            </w:r>
          </w:p>
        </w:tc>
        <w:tc>
          <w:tcPr>
            <w:tcW w:w="708" w:type="pct"/>
          </w:tcPr>
          <w:p w14:paraId="12934067"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1.92</w:t>
            </w:r>
          </w:p>
          <w:p w14:paraId="361A5C3A"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 xml:space="preserve">(1.25, 2.95) </w:t>
            </w:r>
          </w:p>
        </w:tc>
        <w:tc>
          <w:tcPr>
            <w:tcW w:w="698" w:type="pct"/>
            <w:gridSpan w:val="2"/>
          </w:tcPr>
          <w:p w14:paraId="2C50E860"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1.81</w:t>
            </w:r>
          </w:p>
          <w:p w14:paraId="36EF7368"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(1.22, 2.68)</w:t>
            </w:r>
          </w:p>
        </w:tc>
        <w:tc>
          <w:tcPr>
            <w:tcW w:w="689" w:type="pct"/>
          </w:tcPr>
          <w:p w14:paraId="1B2B3007"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0.05</w:t>
            </w:r>
          </w:p>
          <w:p w14:paraId="62DE4ED0"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(0.02, 0.09)</w:t>
            </w:r>
          </w:p>
        </w:tc>
      </w:tr>
      <w:tr w:rsidR="00AD26DB" w:rsidRPr="00674669" w14:paraId="237E8DB3" w14:textId="77777777" w:rsidTr="00C521FE">
        <w:trPr>
          <w:cantSplit/>
        </w:trPr>
        <w:tc>
          <w:tcPr>
            <w:tcW w:w="1213" w:type="pct"/>
          </w:tcPr>
          <w:p w14:paraId="7782F2DC" w14:textId="2169A29F" w:rsidR="00AD26DB" w:rsidRPr="00674669" w:rsidRDefault="00AD26DB" w:rsidP="00C521FE">
            <w:pPr>
              <w:pStyle w:val="TableText0"/>
              <w:keepNext w:val="0"/>
              <w:widowControl w:val="0"/>
              <w:rPr>
                <w:sz w:val="20"/>
                <w:szCs w:val="20"/>
                <w:lang w:val="en-AU"/>
              </w:rPr>
            </w:pPr>
            <w:r w:rsidRPr="00674669">
              <w:rPr>
                <w:sz w:val="20"/>
                <w:szCs w:val="20"/>
                <w:lang w:val="en-AU"/>
              </w:rPr>
              <w:t>ITC cemiplimab</w:t>
            </w:r>
            <w:r w:rsidR="00F152CD" w:rsidRPr="00674669">
              <w:rPr>
                <w:sz w:val="20"/>
                <w:szCs w:val="20"/>
                <w:lang w:val="en-AU"/>
              </w:rPr>
              <w:t>+</w:t>
            </w:r>
            <w:r w:rsidRPr="00674669">
              <w:rPr>
                <w:sz w:val="20"/>
                <w:szCs w:val="20"/>
                <w:lang w:val="en-AU"/>
              </w:rPr>
              <w:t xml:space="preserve">PDC </w:t>
            </w:r>
          </w:p>
          <w:p w14:paraId="75ABD708" w14:textId="7D0B6F01" w:rsidR="00AD26DB" w:rsidRPr="00674669" w:rsidRDefault="00AD26DB" w:rsidP="00C521FE">
            <w:pPr>
              <w:pStyle w:val="TableText0"/>
              <w:keepNext w:val="0"/>
              <w:widowControl w:val="0"/>
              <w:rPr>
                <w:sz w:val="20"/>
                <w:szCs w:val="20"/>
                <w:lang w:val="en-AU"/>
              </w:rPr>
            </w:pPr>
            <w:r w:rsidRPr="00674669">
              <w:rPr>
                <w:sz w:val="20"/>
                <w:szCs w:val="20"/>
                <w:lang w:val="en-AU"/>
              </w:rPr>
              <w:t>vs. pembrolizumab</w:t>
            </w:r>
            <w:r w:rsidR="00F152CD" w:rsidRPr="00674669">
              <w:rPr>
                <w:sz w:val="20"/>
                <w:szCs w:val="20"/>
                <w:lang w:val="en-AU"/>
              </w:rPr>
              <w:t>+</w:t>
            </w:r>
            <w:r w:rsidRPr="00674669">
              <w:rPr>
                <w:sz w:val="20"/>
                <w:szCs w:val="20"/>
                <w:lang w:val="en-AU"/>
              </w:rPr>
              <w:t>PDC</w:t>
            </w:r>
          </w:p>
        </w:tc>
        <w:tc>
          <w:tcPr>
            <w:tcW w:w="1693" w:type="pct"/>
            <w:gridSpan w:val="3"/>
          </w:tcPr>
          <w:p w14:paraId="5C654A83" w14:textId="25C482DE" w:rsidR="00AD26DB" w:rsidRPr="00674669" w:rsidRDefault="00AD26DB" w:rsidP="00C521FE">
            <w:pPr>
              <w:pStyle w:val="TableText0"/>
              <w:keepNext w:val="0"/>
              <w:widowControl w:val="0"/>
              <w:rPr>
                <w:sz w:val="20"/>
                <w:szCs w:val="20"/>
                <w:lang w:val="en-AU"/>
              </w:rPr>
            </w:pPr>
            <w:r w:rsidRPr="00674669">
              <w:rPr>
                <w:sz w:val="20"/>
                <w:szCs w:val="20"/>
                <w:lang w:val="en-AU"/>
              </w:rPr>
              <w:t>16113 vs. KN meta</w:t>
            </w:r>
            <w:r w:rsidRPr="00674669">
              <w:rPr>
                <w:sz w:val="20"/>
                <w:szCs w:val="20"/>
                <w:lang w:val="en-AU"/>
              </w:rPr>
              <w:noBreakHyphen/>
              <w:t>analysis</w:t>
            </w:r>
          </w:p>
        </w:tc>
        <w:tc>
          <w:tcPr>
            <w:tcW w:w="708" w:type="pct"/>
          </w:tcPr>
          <w:p w14:paraId="34E8602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0.98</w:t>
            </w:r>
          </w:p>
          <w:p w14:paraId="51BC91F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(0.30, 3.25)</w:t>
            </w:r>
          </w:p>
        </w:tc>
        <w:tc>
          <w:tcPr>
            <w:tcW w:w="698" w:type="pct"/>
            <w:gridSpan w:val="2"/>
          </w:tcPr>
          <w:p w14:paraId="4A39024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1.02</w:t>
            </w:r>
          </w:p>
          <w:p w14:paraId="081A460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(0.32, 3.22)</w:t>
            </w:r>
          </w:p>
        </w:tc>
        <w:tc>
          <w:tcPr>
            <w:tcW w:w="689" w:type="pct"/>
          </w:tcPr>
          <w:p w14:paraId="72FE20C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noBreakHyphen/>
              <w:t>0.03</w:t>
            </w:r>
          </w:p>
          <w:p w14:paraId="1A3CA47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0.07, 0.02)</w:t>
            </w:r>
          </w:p>
        </w:tc>
      </w:tr>
      <w:tr w:rsidR="00AD26DB" w:rsidRPr="00674669" w14:paraId="59DD7B1B" w14:textId="77777777" w:rsidTr="00C521FE">
        <w:trPr>
          <w:cantSplit/>
        </w:trPr>
        <w:tc>
          <w:tcPr>
            <w:tcW w:w="5000" w:type="pct"/>
            <w:gridSpan w:val="8"/>
          </w:tcPr>
          <w:p w14:paraId="490EDA67" w14:textId="77777777" w:rsidR="00AD26DB" w:rsidRPr="00674669" w:rsidDel="00677986" w:rsidRDefault="00AD26DB" w:rsidP="00C521FE">
            <w:pPr>
              <w:pStyle w:val="TableText0"/>
              <w:keepNext w:val="0"/>
              <w:widowControl w:val="0"/>
              <w:rPr>
                <w:b/>
                <w:sz w:val="20"/>
                <w:szCs w:val="20"/>
                <w:lang w:val="en-AU"/>
              </w:rPr>
            </w:pPr>
            <w:r w:rsidRPr="00674669">
              <w:rPr>
                <w:b/>
                <w:sz w:val="20"/>
                <w:szCs w:val="20"/>
                <w:lang w:val="en-AU"/>
              </w:rPr>
              <w:t>AEs regardless of attribution leading to death</w:t>
            </w:r>
          </w:p>
        </w:tc>
      </w:tr>
      <w:tr w:rsidR="00AD26DB" w:rsidRPr="00674669" w14:paraId="0E1447AA" w14:textId="77777777" w:rsidTr="00C521FE">
        <w:trPr>
          <w:cantSplit/>
        </w:trPr>
        <w:tc>
          <w:tcPr>
            <w:tcW w:w="1213" w:type="pct"/>
          </w:tcPr>
          <w:p w14:paraId="20C8A4E9" w14:textId="53D371E7" w:rsidR="00AD26DB" w:rsidRPr="00674669" w:rsidRDefault="00AD26DB" w:rsidP="00C521FE">
            <w:pPr>
              <w:pStyle w:val="TableText0"/>
              <w:keepNext w:val="0"/>
              <w:widowControl w:val="0"/>
              <w:rPr>
                <w:sz w:val="20"/>
                <w:szCs w:val="20"/>
                <w:lang w:val="en-AU"/>
              </w:rPr>
            </w:pPr>
            <w:r w:rsidRPr="00674669">
              <w:rPr>
                <w:sz w:val="20"/>
                <w:szCs w:val="20"/>
                <w:lang w:val="en-AU"/>
              </w:rPr>
              <w:t>Cemiplimab</w:t>
            </w:r>
            <w:r w:rsidR="00F152CD" w:rsidRPr="00674669">
              <w:rPr>
                <w:sz w:val="20"/>
                <w:szCs w:val="20"/>
                <w:lang w:val="en-AU"/>
              </w:rPr>
              <w:t>+</w:t>
            </w:r>
            <w:r w:rsidRPr="00674669">
              <w:rPr>
                <w:sz w:val="20"/>
                <w:szCs w:val="20"/>
                <w:lang w:val="en-AU"/>
              </w:rPr>
              <w:t xml:space="preserve">PDC </w:t>
            </w:r>
          </w:p>
          <w:p w14:paraId="4C6B39EA" w14:textId="431DE5A8"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4899937C" w14:textId="77777777" w:rsidR="00AD26DB" w:rsidRPr="00674669" w:rsidRDefault="00AD26DB" w:rsidP="00C521FE">
            <w:pPr>
              <w:pStyle w:val="TableText0"/>
              <w:keepNext w:val="0"/>
              <w:widowControl w:val="0"/>
              <w:rPr>
                <w:sz w:val="20"/>
                <w:szCs w:val="20"/>
                <w:lang w:val="en-AU"/>
              </w:rPr>
            </w:pPr>
            <w:r w:rsidRPr="00674669">
              <w:rPr>
                <w:sz w:val="20"/>
                <w:szCs w:val="20"/>
                <w:lang w:val="en-AU"/>
              </w:rPr>
              <w:t>16113</w:t>
            </w:r>
          </w:p>
        </w:tc>
        <w:tc>
          <w:tcPr>
            <w:tcW w:w="636" w:type="pct"/>
          </w:tcPr>
          <w:p w14:paraId="46BBCED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27/312</w:t>
            </w:r>
          </w:p>
          <w:p w14:paraId="2DFB034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(8.7%)</w:t>
            </w:r>
          </w:p>
        </w:tc>
        <w:tc>
          <w:tcPr>
            <w:tcW w:w="629" w:type="pct"/>
          </w:tcPr>
          <w:p w14:paraId="11BA316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14/153</w:t>
            </w:r>
          </w:p>
          <w:p w14:paraId="2F054DF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(9.2%)</w:t>
            </w:r>
          </w:p>
        </w:tc>
        <w:tc>
          <w:tcPr>
            <w:tcW w:w="708" w:type="pct"/>
          </w:tcPr>
          <w:p w14:paraId="798D2D5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0.94</w:t>
            </w:r>
          </w:p>
          <w:p w14:paraId="38111AF4"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(0.48, 1.85)</w:t>
            </w:r>
          </w:p>
        </w:tc>
        <w:tc>
          <w:tcPr>
            <w:tcW w:w="698" w:type="pct"/>
            <w:gridSpan w:val="2"/>
          </w:tcPr>
          <w:p w14:paraId="0343CCE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0.95</w:t>
            </w:r>
          </w:p>
          <w:p w14:paraId="5B18474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(0.51, 1.75)</w:t>
            </w:r>
          </w:p>
        </w:tc>
        <w:tc>
          <w:tcPr>
            <w:tcW w:w="689" w:type="pct"/>
          </w:tcPr>
          <w:p w14:paraId="4D726F3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noBreakHyphen/>
              <w:t>0.005</w:t>
            </w:r>
          </w:p>
          <w:p w14:paraId="3A208ED5"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0.06, 0.05)</w:t>
            </w:r>
          </w:p>
        </w:tc>
      </w:tr>
      <w:tr w:rsidR="00AD26DB" w:rsidRPr="00674669" w14:paraId="2F796CB6" w14:textId="77777777" w:rsidTr="00C521FE">
        <w:trPr>
          <w:cantSplit/>
        </w:trPr>
        <w:tc>
          <w:tcPr>
            <w:tcW w:w="1213" w:type="pct"/>
            <w:vMerge w:val="restart"/>
          </w:tcPr>
          <w:p w14:paraId="3B0E06C5" w14:textId="3A4A1042" w:rsidR="00AD26DB" w:rsidRPr="00674669" w:rsidRDefault="00AD26DB" w:rsidP="00C521FE">
            <w:pPr>
              <w:pStyle w:val="TableText0"/>
              <w:keepNext w:val="0"/>
              <w:widowControl w:val="0"/>
              <w:rPr>
                <w:sz w:val="20"/>
                <w:szCs w:val="20"/>
                <w:lang w:val="en-AU"/>
              </w:rPr>
            </w:pPr>
            <w:r w:rsidRPr="00674669">
              <w:rPr>
                <w:sz w:val="20"/>
                <w:szCs w:val="20"/>
                <w:lang w:val="en-AU"/>
              </w:rPr>
              <w:t>Pembrolizumab</w:t>
            </w:r>
            <w:r w:rsidR="00F152CD" w:rsidRPr="00674669">
              <w:rPr>
                <w:sz w:val="20"/>
                <w:szCs w:val="20"/>
                <w:lang w:val="en-AU"/>
              </w:rPr>
              <w:t>+</w:t>
            </w:r>
            <w:r w:rsidRPr="00674669">
              <w:rPr>
                <w:sz w:val="20"/>
                <w:szCs w:val="20"/>
                <w:lang w:val="en-AU"/>
              </w:rPr>
              <w:t xml:space="preserve">PDC </w:t>
            </w:r>
          </w:p>
          <w:p w14:paraId="24268E62" w14:textId="30FE046E"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7630FEC5"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189</w:t>
            </w:r>
          </w:p>
        </w:tc>
        <w:tc>
          <w:tcPr>
            <w:tcW w:w="636" w:type="pct"/>
          </w:tcPr>
          <w:p w14:paraId="50AABC1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29/405</w:t>
            </w:r>
          </w:p>
          <w:p w14:paraId="40FF516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(7.2%)</w:t>
            </w:r>
          </w:p>
        </w:tc>
        <w:tc>
          <w:tcPr>
            <w:tcW w:w="629" w:type="pct"/>
          </w:tcPr>
          <w:p w14:paraId="1DE3482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14/202</w:t>
            </w:r>
          </w:p>
          <w:p w14:paraId="335377D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(6.9%)</w:t>
            </w:r>
          </w:p>
        </w:tc>
        <w:tc>
          <w:tcPr>
            <w:tcW w:w="708" w:type="pct"/>
          </w:tcPr>
          <w:p w14:paraId="2429B9D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1.04</w:t>
            </w:r>
          </w:p>
          <w:p w14:paraId="6FCA55A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(0.53, 2.01)</w:t>
            </w:r>
          </w:p>
        </w:tc>
        <w:tc>
          <w:tcPr>
            <w:tcW w:w="698" w:type="pct"/>
            <w:gridSpan w:val="2"/>
          </w:tcPr>
          <w:p w14:paraId="4045A404"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1.03</w:t>
            </w:r>
          </w:p>
          <w:p w14:paraId="4AB2031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(0.56, 1.91)</w:t>
            </w:r>
          </w:p>
        </w:tc>
        <w:tc>
          <w:tcPr>
            <w:tcW w:w="689" w:type="pct"/>
          </w:tcPr>
          <w:p w14:paraId="2A2DA129"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0.00</w:t>
            </w:r>
          </w:p>
          <w:p w14:paraId="338C7BE2"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0.04, 0.05)</w:t>
            </w:r>
          </w:p>
        </w:tc>
      </w:tr>
      <w:tr w:rsidR="00AD26DB" w:rsidRPr="00674669" w14:paraId="6F2AB87E" w14:textId="77777777" w:rsidTr="00C521FE">
        <w:trPr>
          <w:cantSplit/>
        </w:trPr>
        <w:tc>
          <w:tcPr>
            <w:tcW w:w="1213" w:type="pct"/>
            <w:vMerge/>
          </w:tcPr>
          <w:p w14:paraId="604C5343" w14:textId="77777777" w:rsidR="00AD26DB" w:rsidRPr="00674669" w:rsidRDefault="00AD26DB" w:rsidP="00C521FE">
            <w:pPr>
              <w:pStyle w:val="TableText0"/>
              <w:keepNext w:val="0"/>
              <w:widowControl w:val="0"/>
              <w:rPr>
                <w:sz w:val="20"/>
                <w:szCs w:val="20"/>
                <w:lang w:val="en-AU"/>
              </w:rPr>
            </w:pPr>
          </w:p>
        </w:tc>
        <w:tc>
          <w:tcPr>
            <w:tcW w:w="428" w:type="pct"/>
          </w:tcPr>
          <w:p w14:paraId="6B2326AD"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407</w:t>
            </w:r>
          </w:p>
        </w:tc>
        <w:tc>
          <w:tcPr>
            <w:tcW w:w="636" w:type="pct"/>
          </w:tcPr>
          <w:p w14:paraId="3E8FA5E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32/278 (11.5%)</w:t>
            </w:r>
          </w:p>
        </w:tc>
        <w:tc>
          <w:tcPr>
            <w:tcW w:w="629" w:type="pct"/>
          </w:tcPr>
          <w:p w14:paraId="27DD17F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20/280</w:t>
            </w:r>
          </w:p>
          <w:p w14:paraId="67EC3DC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(7.1%)</w:t>
            </w:r>
          </w:p>
        </w:tc>
        <w:tc>
          <w:tcPr>
            <w:tcW w:w="708" w:type="pct"/>
          </w:tcPr>
          <w:p w14:paraId="6D0B1B9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1.69</w:t>
            </w:r>
          </w:p>
          <w:p w14:paraId="5E2D5175"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(0.94, 3.04)</w:t>
            </w:r>
          </w:p>
        </w:tc>
        <w:tc>
          <w:tcPr>
            <w:tcW w:w="698" w:type="pct"/>
            <w:gridSpan w:val="2"/>
          </w:tcPr>
          <w:p w14:paraId="0B9ACFF2"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1.61</w:t>
            </w:r>
          </w:p>
          <w:p w14:paraId="4D28339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(0.95, 2.75)</w:t>
            </w:r>
          </w:p>
        </w:tc>
        <w:tc>
          <w:tcPr>
            <w:tcW w:w="689" w:type="pct"/>
          </w:tcPr>
          <w:p w14:paraId="1A50A01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0.04</w:t>
            </w:r>
          </w:p>
          <w:p w14:paraId="221A89F1"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(0, 0.09)</w:t>
            </w:r>
          </w:p>
        </w:tc>
      </w:tr>
      <w:tr w:rsidR="00AD26DB" w:rsidRPr="00674669" w14:paraId="04F15203" w14:textId="77777777" w:rsidTr="00C521FE">
        <w:trPr>
          <w:cantSplit/>
        </w:trPr>
        <w:tc>
          <w:tcPr>
            <w:tcW w:w="1213" w:type="pct"/>
            <w:vMerge/>
          </w:tcPr>
          <w:p w14:paraId="54F4A0B9" w14:textId="77777777" w:rsidR="00AD26DB" w:rsidRPr="00674669" w:rsidRDefault="00AD26DB" w:rsidP="00C521FE">
            <w:pPr>
              <w:pStyle w:val="TableText0"/>
              <w:keepNext w:val="0"/>
              <w:widowControl w:val="0"/>
              <w:rPr>
                <w:sz w:val="20"/>
                <w:szCs w:val="20"/>
                <w:lang w:val="en-AU"/>
              </w:rPr>
            </w:pPr>
          </w:p>
        </w:tc>
        <w:tc>
          <w:tcPr>
            <w:tcW w:w="1693" w:type="pct"/>
            <w:gridSpan w:val="3"/>
          </w:tcPr>
          <w:p w14:paraId="47C6C93A" w14:textId="77777777" w:rsidR="00AD26DB" w:rsidRPr="00674669" w:rsidRDefault="00AD26DB" w:rsidP="00C521FE">
            <w:pPr>
              <w:pStyle w:val="TableText0"/>
              <w:keepNext w:val="0"/>
              <w:widowControl w:val="0"/>
              <w:rPr>
                <w:sz w:val="20"/>
                <w:szCs w:val="20"/>
                <w:lang w:val="en-AU"/>
              </w:rPr>
            </w:pPr>
            <w:r w:rsidRPr="00674669">
              <w:rPr>
                <w:sz w:val="20"/>
                <w:szCs w:val="20"/>
                <w:lang w:val="en-AU"/>
              </w:rPr>
              <w:t>KN meta</w:t>
            </w:r>
            <w:r w:rsidRPr="00674669">
              <w:rPr>
                <w:sz w:val="20"/>
                <w:szCs w:val="20"/>
                <w:lang w:val="en-AU"/>
              </w:rPr>
              <w:noBreakHyphen/>
              <w:t xml:space="preserve">analysis </w:t>
            </w:r>
            <w:r w:rsidRPr="00674669">
              <w:rPr>
                <w:i/>
                <w:iCs/>
                <w:sz w:val="20"/>
                <w:szCs w:val="20"/>
                <w:lang w:val="en-AU"/>
              </w:rPr>
              <w:t>k</w:t>
            </w:r>
            <w:r w:rsidRPr="00674669">
              <w:rPr>
                <w:sz w:val="20"/>
                <w:szCs w:val="20"/>
                <w:lang w:val="en-AU"/>
              </w:rPr>
              <w:t>=2</w:t>
            </w:r>
          </w:p>
        </w:tc>
        <w:tc>
          <w:tcPr>
            <w:tcW w:w="708" w:type="pct"/>
          </w:tcPr>
          <w:p w14:paraId="30227EC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1.36</w:t>
            </w:r>
          </w:p>
          <w:p w14:paraId="36656CE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 xml:space="preserve">(0.84, 2.19) </w:t>
            </w:r>
          </w:p>
        </w:tc>
        <w:tc>
          <w:tcPr>
            <w:tcW w:w="698" w:type="pct"/>
            <w:gridSpan w:val="2"/>
          </w:tcPr>
          <w:p w14:paraId="6C10D6D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1.33 (0.86, 2.04)</w:t>
            </w:r>
          </w:p>
        </w:tc>
        <w:tc>
          <w:tcPr>
            <w:tcW w:w="689" w:type="pct"/>
          </w:tcPr>
          <w:p w14:paraId="5D0F54B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0.02</w:t>
            </w:r>
          </w:p>
          <w:p w14:paraId="3031E37F"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0.02, 0.06)</w:t>
            </w:r>
          </w:p>
        </w:tc>
      </w:tr>
      <w:tr w:rsidR="00AD26DB" w:rsidRPr="00674669" w14:paraId="36280B91" w14:textId="77777777" w:rsidTr="00C521FE">
        <w:trPr>
          <w:cantSplit/>
        </w:trPr>
        <w:tc>
          <w:tcPr>
            <w:tcW w:w="1213" w:type="pct"/>
          </w:tcPr>
          <w:p w14:paraId="38E3EC85" w14:textId="4C43CA3B" w:rsidR="00AD26DB" w:rsidRPr="00674669" w:rsidRDefault="00AD26DB" w:rsidP="00C521FE">
            <w:pPr>
              <w:pStyle w:val="TableText0"/>
              <w:keepNext w:val="0"/>
              <w:widowControl w:val="0"/>
              <w:rPr>
                <w:sz w:val="20"/>
                <w:szCs w:val="20"/>
                <w:lang w:val="en-AU"/>
              </w:rPr>
            </w:pPr>
            <w:r w:rsidRPr="00674669">
              <w:rPr>
                <w:sz w:val="20"/>
                <w:szCs w:val="20"/>
                <w:lang w:val="en-AU"/>
              </w:rPr>
              <w:t>ITC cemiplimab</w:t>
            </w:r>
            <w:r w:rsidR="00F152CD" w:rsidRPr="00674669">
              <w:rPr>
                <w:sz w:val="20"/>
                <w:szCs w:val="20"/>
                <w:lang w:val="en-AU"/>
              </w:rPr>
              <w:t>+</w:t>
            </w:r>
            <w:r w:rsidRPr="00674669">
              <w:rPr>
                <w:sz w:val="20"/>
                <w:szCs w:val="20"/>
                <w:lang w:val="en-AU"/>
              </w:rPr>
              <w:t xml:space="preserve">PDC </w:t>
            </w:r>
          </w:p>
          <w:p w14:paraId="1AF58355" w14:textId="4D103C4F" w:rsidR="00AD26DB" w:rsidRPr="00674669" w:rsidRDefault="00AD26DB" w:rsidP="00C521FE">
            <w:pPr>
              <w:pStyle w:val="TableText0"/>
              <w:keepNext w:val="0"/>
              <w:widowControl w:val="0"/>
              <w:rPr>
                <w:sz w:val="20"/>
                <w:szCs w:val="20"/>
                <w:lang w:val="en-AU"/>
              </w:rPr>
            </w:pPr>
            <w:r w:rsidRPr="00674669">
              <w:rPr>
                <w:sz w:val="20"/>
                <w:szCs w:val="20"/>
                <w:lang w:val="en-AU"/>
              </w:rPr>
              <w:t>vs. pembrolizumab</w:t>
            </w:r>
            <w:r w:rsidR="00F152CD" w:rsidRPr="00674669">
              <w:rPr>
                <w:sz w:val="20"/>
                <w:szCs w:val="20"/>
                <w:lang w:val="en-AU"/>
              </w:rPr>
              <w:t>+</w:t>
            </w:r>
            <w:r w:rsidRPr="00674669">
              <w:rPr>
                <w:sz w:val="20"/>
                <w:szCs w:val="20"/>
                <w:lang w:val="en-AU"/>
              </w:rPr>
              <w:t>PDC</w:t>
            </w:r>
          </w:p>
        </w:tc>
        <w:tc>
          <w:tcPr>
            <w:tcW w:w="1693" w:type="pct"/>
            <w:gridSpan w:val="3"/>
          </w:tcPr>
          <w:p w14:paraId="57BC25A0" w14:textId="10A1AC90" w:rsidR="00AD26DB" w:rsidRPr="00674669" w:rsidRDefault="00D96B26" w:rsidP="00C521FE">
            <w:pPr>
              <w:pStyle w:val="TableText0"/>
              <w:keepNext w:val="0"/>
              <w:widowControl w:val="0"/>
              <w:rPr>
                <w:sz w:val="20"/>
                <w:szCs w:val="20"/>
                <w:lang w:val="en-AU"/>
              </w:rPr>
            </w:pPr>
            <w:r w:rsidRPr="00674669">
              <w:rPr>
                <w:sz w:val="20"/>
                <w:szCs w:val="20"/>
                <w:lang w:val="en-AU"/>
              </w:rPr>
              <w:t>16113 vs.</w:t>
            </w:r>
            <w:r w:rsidR="00AD26DB" w:rsidRPr="00674669">
              <w:rPr>
                <w:sz w:val="20"/>
                <w:szCs w:val="20"/>
                <w:lang w:val="en-AU"/>
              </w:rPr>
              <w:t xml:space="preserve"> KN meta</w:t>
            </w:r>
            <w:r w:rsidR="00AD26DB" w:rsidRPr="00674669">
              <w:rPr>
                <w:sz w:val="20"/>
                <w:szCs w:val="20"/>
                <w:lang w:val="en-AU"/>
              </w:rPr>
              <w:noBreakHyphen/>
              <w:t>analysis</w:t>
            </w:r>
          </w:p>
        </w:tc>
        <w:tc>
          <w:tcPr>
            <w:tcW w:w="708" w:type="pct"/>
          </w:tcPr>
          <w:p w14:paraId="67FC4B7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0.69</w:t>
            </w:r>
          </w:p>
          <w:p w14:paraId="54E89E2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(0.30, 1.58)</w:t>
            </w:r>
          </w:p>
        </w:tc>
        <w:tc>
          <w:tcPr>
            <w:tcW w:w="698" w:type="pct"/>
            <w:gridSpan w:val="2"/>
          </w:tcPr>
          <w:p w14:paraId="7B080A4B"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0.71</w:t>
            </w:r>
          </w:p>
          <w:p w14:paraId="7E7FCE1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(0.34, 1.51)</w:t>
            </w:r>
          </w:p>
        </w:tc>
        <w:tc>
          <w:tcPr>
            <w:tcW w:w="689" w:type="pct"/>
          </w:tcPr>
          <w:p w14:paraId="08112E88"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noBreakHyphen/>
              <w:t>0.02</w:t>
            </w:r>
          </w:p>
          <w:p w14:paraId="1632CE7B"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w:t>
            </w:r>
            <w:r w:rsidRPr="00674669">
              <w:rPr>
                <w:sz w:val="20"/>
                <w:szCs w:val="20"/>
                <w:lang w:val="en-AU"/>
              </w:rPr>
              <w:noBreakHyphen/>
              <w:t>0.09, 0.04)</w:t>
            </w:r>
          </w:p>
        </w:tc>
      </w:tr>
      <w:tr w:rsidR="00AD26DB" w:rsidRPr="00674669" w14:paraId="6240CBBF" w14:textId="77777777" w:rsidTr="00C521FE">
        <w:trPr>
          <w:cantSplit/>
        </w:trPr>
        <w:tc>
          <w:tcPr>
            <w:tcW w:w="5000" w:type="pct"/>
            <w:gridSpan w:val="8"/>
          </w:tcPr>
          <w:p w14:paraId="39508D12" w14:textId="77777777" w:rsidR="00AD26DB" w:rsidRPr="00674669" w:rsidDel="00677986" w:rsidRDefault="00AD26DB" w:rsidP="00C521FE">
            <w:pPr>
              <w:pStyle w:val="TableText0"/>
              <w:keepNext w:val="0"/>
              <w:widowControl w:val="0"/>
              <w:rPr>
                <w:b/>
                <w:sz w:val="20"/>
                <w:szCs w:val="20"/>
                <w:lang w:val="en-AU"/>
              </w:rPr>
            </w:pPr>
            <w:r w:rsidRPr="00674669">
              <w:rPr>
                <w:b/>
                <w:sz w:val="20"/>
                <w:szCs w:val="20"/>
                <w:lang w:val="en-AU"/>
              </w:rPr>
              <w:t>Immune AEs (Grade 3</w:t>
            </w:r>
            <w:r w:rsidRPr="00674669">
              <w:rPr>
                <w:b/>
                <w:sz w:val="20"/>
                <w:szCs w:val="20"/>
                <w:lang w:val="en-AU"/>
              </w:rPr>
              <w:noBreakHyphen/>
              <w:t>5)</w:t>
            </w:r>
          </w:p>
        </w:tc>
      </w:tr>
      <w:tr w:rsidR="00AD26DB" w:rsidRPr="00674669" w14:paraId="7D9D4325" w14:textId="77777777" w:rsidTr="00C521FE">
        <w:trPr>
          <w:cantSplit/>
        </w:trPr>
        <w:tc>
          <w:tcPr>
            <w:tcW w:w="1213" w:type="pct"/>
          </w:tcPr>
          <w:p w14:paraId="6AD540EA" w14:textId="6019423C" w:rsidR="00AD26DB" w:rsidRPr="00674669" w:rsidRDefault="00AD26DB" w:rsidP="00C521FE">
            <w:pPr>
              <w:pStyle w:val="TableText0"/>
              <w:keepNext w:val="0"/>
              <w:widowControl w:val="0"/>
              <w:rPr>
                <w:sz w:val="20"/>
                <w:szCs w:val="20"/>
                <w:lang w:val="en-AU"/>
              </w:rPr>
            </w:pPr>
            <w:r w:rsidRPr="00674669">
              <w:rPr>
                <w:sz w:val="20"/>
                <w:szCs w:val="20"/>
                <w:lang w:val="en-AU"/>
              </w:rPr>
              <w:t>Cemiplimab</w:t>
            </w:r>
            <w:r w:rsidR="00F152CD" w:rsidRPr="00674669">
              <w:rPr>
                <w:sz w:val="20"/>
                <w:szCs w:val="20"/>
                <w:lang w:val="en-AU"/>
              </w:rPr>
              <w:t>+</w:t>
            </w:r>
            <w:r w:rsidRPr="00674669">
              <w:rPr>
                <w:sz w:val="20"/>
                <w:szCs w:val="20"/>
                <w:lang w:val="en-AU"/>
              </w:rPr>
              <w:t xml:space="preserve">PDC </w:t>
            </w:r>
          </w:p>
          <w:p w14:paraId="12284BBE" w14:textId="07C6C04F"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2EEE7FE2" w14:textId="77777777" w:rsidR="00AD26DB" w:rsidRPr="00674669" w:rsidRDefault="00AD26DB" w:rsidP="00C521FE">
            <w:pPr>
              <w:pStyle w:val="TableText0"/>
              <w:keepNext w:val="0"/>
              <w:widowControl w:val="0"/>
              <w:rPr>
                <w:sz w:val="20"/>
                <w:szCs w:val="20"/>
                <w:lang w:val="en-AU"/>
              </w:rPr>
            </w:pPr>
            <w:r w:rsidRPr="00674669">
              <w:rPr>
                <w:sz w:val="20"/>
                <w:szCs w:val="20"/>
                <w:lang w:val="en-AU"/>
              </w:rPr>
              <w:t>16113</w:t>
            </w:r>
          </w:p>
        </w:tc>
        <w:tc>
          <w:tcPr>
            <w:tcW w:w="636" w:type="pct"/>
          </w:tcPr>
          <w:p w14:paraId="0EACBC00"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14/312</w:t>
            </w:r>
          </w:p>
          <w:p w14:paraId="13B4F6A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(4.6%)</w:t>
            </w:r>
          </w:p>
        </w:tc>
        <w:tc>
          <w:tcPr>
            <w:tcW w:w="629" w:type="pct"/>
          </w:tcPr>
          <w:p w14:paraId="20668C4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0/153</w:t>
            </w:r>
          </w:p>
          <w:p w14:paraId="191F669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w:t>
            </w:r>
          </w:p>
        </w:tc>
        <w:tc>
          <w:tcPr>
            <w:tcW w:w="708" w:type="pct"/>
          </w:tcPr>
          <w:p w14:paraId="64AE910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14.89</w:t>
            </w:r>
          </w:p>
          <w:p w14:paraId="17FFB1C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(0.88, 251.29)</w:t>
            </w:r>
          </w:p>
        </w:tc>
        <w:tc>
          <w:tcPr>
            <w:tcW w:w="698" w:type="pct"/>
            <w:gridSpan w:val="2"/>
          </w:tcPr>
          <w:p w14:paraId="475339F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14.27</w:t>
            </w:r>
          </w:p>
          <w:p w14:paraId="5EE488E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(0.86, 237.61)</w:t>
            </w:r>
          </w:p>
        </w:tc>
        <w:tc>
          <w:tcPr>
            <w:tcW w:w="689" w:type="pct"/>
          </w:tcPr>
          <w:p w14:paraId="0066137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0.04</w:t>
            </w:r>
          </w:p>
          <w:p w14:paraId="67067401"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(0.02, 0.07)</w:t>
            </w:r>
          </w:p>
        </w:tc>
      </w:tr>
      <w:tr w:rsidR="00AD26DB" w:rsidRPr="00674669" w14:paraId="24BA1365" w14:textId="77777777" w:rsidTr="00C521FE">
        <w:trPr>
          <w:cantSplit/>
        </w:trPr>
        <w:tc>
          <w:tcPr>
            <w:tcW w:w="1213" w:type="pct"/>
            <w:vMerge w:val="restart"/>
          </w:tcPr>
          <w:p w14:paraId="1525E98A" w14:textId="2BFEEC46" w:rsidR="00AD26DB" w:rsidRPr="00674669" w:rsidRDefault="00AD26DB" w:rsidP="00C521FE">
            <w:pPr>
              <w:pStyle w:val="TableText0"/>
              <w:keepNext w:val="0"/>
              <w:widowControl w:val="0"/>
              <w:rPr>
                <w:sz w:val="20"/>
                <w:szCs w:val="20"/>
                <w:lang w:val="en-AU"/>
              </w:rPr>
            </w:pPr>
            <w:r w:rsidRPr="00674669">
              <w:rPr>
                <w:sz w:val="20"/>
                <w:szCs w:val="20"/>
                <w:lang w:val="en-AU"/>
              </w:rPr>
              <w:t>Pembrolizumab</w:t>
            </w:r>
            <w:r w:rsidR="00F152CD" w:rsidRPr="00674669">
              <w:rPr>
                <w:sz w:val="20"/>
                <w:szCs w:val="20"/>
                <w:lang w:val="en-AU"/>
              </w:rPr>
              <w:t>+</w:t>
            </w:r>
            <w:r w:rsidRPr="00674669">
              <w:rPr>
                <w:sz w:val="20"/>
                <w:szCs w:val="20"/>
                <w:lang w:val="en-AU"/>
              </w:rPr>
              <w:t xml:space="preserve">PDC </w:t>
            </w:r>
          </w:p>
          <w:p w14:paraId="6A7D19CA" w14:textId="3BB41D30" w:rsidR="00AD26DB" w:rsidRPr="00674669" w:rsidRDefault="00AD26DB" w:rsidP="00C521FE">
            <w:pPr>
              <w:pStyle w:val="TableText0"/>
              <w:keepNext w:val="0"/>
              <w:widowControl w:val="0"/>
              <w:rPr>
                <w:sz w:val="20"/>
                <w:szCs w:val="20"/>
                <w:lang w:val="en-AU"/>
              </w:rPr>
            </w:pPr>
            <w:r w:rsidRPr="00674669">
              <w:rPr>
                <w:sz w:val="20"/>
                <w:szCs w:val="20"/>
                <w:lang w:val="en-AU"/>
              </w:rPr>
              <w:t>vs. placebo</w:t>
            </w:r>
            <w:r w:rsidR="00F152CD" w:rsidRPr="00674669">
              <w:rPr>
                <w:sz w:val="20"/>
                <w:szCs w:val="20"/>
                <w:lang w:val="en-AU"/>
              </w:rPr>
              <w:t>+</w:t>
            </w:r>
            <w:r w:rsidRPr="00674669">
              <w:rPr>
                <w:sz w:val="20"/>
                <w:szCs w:val="20"/>
                <w:lang w:val="en-AU"/>
              </w:rPr>
              <w:t>PDC</w:t>
            </w:r>
          </w:p>
        </w:tc>
        <w:tc>
          <w:tcPr>
            <w:tcW w:w="428" w:type="pct"/>
          </w:tcPr>
          <w:p w14:paraId="5C533F3C"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189</w:t>
            </w:r>
          </w:p>
        </w:tc>
        <w:tc>
          <w:tcPr>
            <w:tcW w:w="636" w:type="pct"/>
          </w:tcPr>
          <w:p w14:paraId="00ADCD5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52/405 (12.8%)</w:t>
            </w:r>
          </w:p>
        </w:tc>
        <w:tc>
          <w:tcPr>
            <w:tcW w:w="629" w:type="pct"/>
          </w:tcPr>
          <w:p w14:paraId="26AC708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9/202</w:t>
            </w:r>
          </w:p>
          <w:p w14:paraId="4066D68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(4.5%)</w:t>
            </w:r>
          </w:p>
        </w:tc>
        <w:tc>
          <w:tcPr>
            <w:tcW w:w="708" w:type="pct"/>
          </w:tcPr>
          <w:p w14:paraId="444096F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3.16</w:t>
            </w:r>
          </w:p>
          <w:p w14:paraId="7CECD121"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(1.52, 6.55)</w:t>
            </w:r>
          </w:p>
        </w:tc>
        <w:tc>
          <w:tcPr>
            <w:tcW w:w="698" w:type="pct"/>
            <w:gridSpan w:val="2"/>
          </w:tcPr>
          <w:p w14:paraId="241FD6C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2.88</w:t>
            </w:r>
          </w:p>
          <w:p w14:paraId="74803B0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(1.45, 5.73)</w:t>
            </w:r>
          </w:p>
        </w:tc>
        <w:tc>
          <w:tcPr>
            <w:tcW w:w="689" w:type="pct"/>
          </w:tcPr>
          <w:p w14:paraId="76658376"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0.08</w:t>
            </w:r>
          </w:p>
          <w:p w14:paraId="2F7132E4"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(0.04, 0.13)</w:t>
            </w:r>
          </w:p>
        </w:tc>
      </w:tr>
      <w:tr w:rsidR="00AD26DB" w:rsidRPr="00674669" w14:paraId="32EF5F64" w14:textId="77777777" w:rsidTr="00C521FE">
        <w:trPr>
          <w:cantSplit/>
        </w:trPr>
        <w:tc>
          <w:tcPr>
            <w:tcW w:w="1213" w:type="pct"/>
            <w:vMerge/>
          </w:tcPr>
          <w:p w14:paraId="1186D6DF" w14:textId="77777777" w:rsidR="00AD26DB" w:rsidRPr="00674669" w:rsidRDefault="00AD26DB" w:rsidP="00C521FE">
            <w:pPr>
              <w:pStyle w:val="TableText0"/>
              <w:keepNext w:val="0"/>
              <w:widowControl w:val="0"/>
              <w:rPr>
                <w:sz w:val="20"/>
                <w:szCs w:val="20"/>
                <w:lang w:val="en-AU"/>
              </w:rPr>
            </w:pPr>
          </w:p>
        </w:tc>
        <w:tc>
          <w:tcPr>
            <w:tcW w:w="428" w:type="pct"/>
          </w:tcPr>
          <w:p w14:paraId="7CEDDFEE" w14:textId="77777777" w:rsidR="00AD26DB" w:rsidRPr="00674669" w:rsidRDefault="00AD26DB" w:rsidP="00C521FE">
            <w:pPr>
              <w:pStyle w:val="TableText0"/>
              <w:keepNext w:val="0"/>
              <w:widowControl w:val="0"/>
              <w:rPr>
                <w:sz w:val="20"/>
                <w:szCs w:val="20"/>
                <w:lang w:val="en-AU"/>
              </w:rPr>
            </w:pPr>
            <w:r w:rsidRPr="00674669">
              <w:rPr>
                <w:sz w:val="20"/>
                <w:szCs w:val="20"/>
                <w:lang w:val="en-AU"/>
              </w:rPr>
              <w:t>KN</w:t>
            </w:r>
            <w:r w:rsidRPr="00674669">
              <w:rPr>
                <w:sz w:val="20"/>
                <w:szCs w:val="20"/>
                <w:lang w:val="en-AU"/>
              </w:rPr>
              <w:noBreakHyphen/>
              <w:t>407</w:t>
            </w:r>
          </w:p>
        </w:tc>
        <w:tc>
          <w:tcPr>
            <w:tcW w:w="636" w:type="pct"/>
          </w:tcPr>
          <w:p w14:paraId="4CB4B322"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37/278 (13.3%)</w:t>
            </w:r>
          </w:p>
        </w:tc>
        <w:tc>
          <w:tcPr>
            <w:tcW w:w="629" w:type="pct"/>
          </w:tcPr>
          <w:p w14:paraId="4B48FAFD"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9/280</w:t>
            </w:r>
          </w:p>
          <w:p w14:paraId="49D19B5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(3.2%)</w:t>
            </w:r>
          </w:p>
        </w:tc>
        <w:tc>
          <w:tcPr>
            <w:tcW w:w="708" w:type="pct"/>
          </w:tcPr>
          <w:p w14:paraId="09424EB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4.62</w:t>
            </w:r>
          </w:p>
          <w:p w14:paraId="4FD2E66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(2.19, 9.78)</w:t>
            </w:r>
          </w:p>
        </w:tc>
        <w:tc>
          <w:tcPr>
            <w:tcW w:w="698" w:type="pct"/>
            <w:gridSpan w:val="2"/>
          </w:tcPr>
          <w:p w14:paraId="68DEA78E"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4.14</w:t>
            </w:r>
          </w:p>
          <w:p w14:paraId="40CEE91F"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(2.04, 8.42)</w:t>
            </w:r>
          </w:p>
        </w:tc>
        <w:tc>
          <w:tcPr>
            <w:tcW w:w="689" w:type="pct"/>
          </w:tcPr>
          <w:p w14:paraId="5CD231BC"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0.10</w:t>
            </w:r>
          </w:p>
          <w:p w14:paraId="06CAF395" w14:textId="77777777" w:rsidR="00AD26DB" w:rsidRPr="00674669" w:rsidDel="00677986" w:rsidRDefault="00AD26DB" w:rsidP="00C521FE">
            <w:pPr>
              <w:pStyle w:val="TableText0"/>
              <w:keepNext w:val="0"/>
              <w:widowControl w:val="0"/>
              <w:jc w:val="center"/>
              <w:rPr>
                <w:sz w:val="20"/>
                <w:szCs w:val="20"/>
                <w:lang w:val="en-AU"/>
              </w:rPr>
            </w:pPr>
            <w:r w:rsidRPr="00674669">
              <w:rPr>
                <w:sz w:val="20"/>
                <w:szCs w:val="20"/>
                <w:lang w:val="en-AU"/>
              </w:rPr>
              <w:t>(0.06, 0.15)</w:t>
            </w:r>
          </w:p>
        </w:tc>
      </w:tr>
      <w:tr w:rsidR="00AD26DB" w:rsidRPr="00674669" w14:paraId="62784941" w14:textId="77777777" w:rsidTr="00C521FE">
        <w:trPr>
          <w:cantSplit/>
        </w:trPr>
        <w:tc>
          <w:tcPr>
            <w:tcW w:w="1213" w:type="pct"/>
            <w:vMerge/>
          </w:tcPr>
          <w:p w14:paraId="242B4503" w14:textId="77777777" w:rsidR="00AD26DB" w:rsidRPr="00674669" w:rsidRDefault="00AD26DB" w:rsidP="00C521FE">
            <w:pPr>
              <w:pStyle w:val="TableText0"/>
              <w:keepNext w:val="0"/>
              <w:widowControl w:val="0"/>
              <w:rPr>
                <w:sz w:val="20"/>
                <w:szCs w:val="20"/>
                <w:lang w:val="en-AU"/>
              </w:rPr>
            </w:pPr>
          </w:p>
        </w:tc>
        <w:tc>
          <w:tcPr>
            <w:tcW w:w="1693" w:type="pct"/>
            <w:gridSpan w:val="3"/>
          </w:tcPr>
          <w:p w14:paraId="2B035B15" w14:textId="77777777" w:rsidR="00AD26DB" w:rsidRPr="00674669" w:rsidRDefault="00AD26DB" w:rsidP="00C521FE">
            <w:pPr>
              <w:pStyle w:val="TableText0"/>
              <w:keepNext w:val="0"/>
              <w:widowControl w:val="0"/>
              <w:rPr>
                <w:sz w:val="20"/>
                <w:szCs w:val="20"/>
                <w:lang w:val="en-AU"/>
              </w:rPr>
            </w:pPr>
            <w:r w:rsidRPr="00674669">
              <w:rPr>
                <w:sz w:val="20"/>
                <w:szCs w:val="20"/>
                <w:lang w:val="en-AU"/>
              </w:rPr>
              <w:t>KN meta</w:t>
            </w:r>
            <w:r w:rsidRPr="00674669">
              <w:rPr>
                <w:sz w:val="20"/>
                <w:szCs w:val="20"/>
                <w:lang w:val="en-AU"/>
              </w:rPr>
              <w:noBreakHyphen/>
              <w:t xml:space="preserve">analysis </w:t>
            </w:r>
            <w:r w:rsidRPr="00674669">
              <w:rPr>
                <w:i/>
                <w:iCs/>
                <w:sz w:val="20"/>
                <w:szCs w:val="20"/>
                <w:lang w:val="en-AU"/>
              </w:rPr>
              <w:t>k</w:t>
            </w:r>
            <w:r w:rsidRPr="00674669">
              <w:rPr>
                <w:sz w:val="20"/>
                <w:szCs w:val="20"/>
                <w:lang w:val="en-AU"/>
              </w:rPr>
              <w:t>=2</w:t>
            </w:r>
          </w:p>
        </w:tc>
        <w:tc>
          <w:tcPr>
            <w:tcW w:w="708" w:type="pct"/>
          </w:tcPr>
          <w:p w14:paraId="3ACA0A0C"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3.80</w:t>
            </w:r>
          </w:p>
          <w:p w14:paraId="73F04AE5"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 xml:space="preserve">(2.26, 6.41) </w:t>
            </w:r>
          </w:p>
        </w:tc>
        <w:tc>
          <w:tcPr>
            <w:tcW w:w="698" w:type="pct"/>
            <w:gridSpan w:val="2"/>
          </w:tcPr>
          <w:p w14:paraId="6476198B"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3.43</w:t>
            </w:r>
          </w:p>
          <w:p w14:paraId="21BEC822"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(2.10, 5.63)</w:t>
            </w:r>
          </w:p>
        </w:tc>
        <w:tc>
          <w:tcPr>
            <w:tcW w:w="689" w:type="pct"/>
          </w:tcPr>
          <w:p w14:paraId="2F1083A3" w14:textId="77777777" w:rsidR="00AD26DB" w:rsidRPr="00674669" w:rsidRDefault="00AD26DB" w:rsidP="00C521FE">
            <w:pPr>
              <w:pStyle w:val="TableText0"/>
              <w:keepNext w:val="0"/>
              <w:widowControl w:val="0"/>
              <w:jc w:val="center"/>
              <w:rPr>
                <w:b/>
                <w:bCs w:val="0"/>
                <w:sz w:val="20"/>
                <w:szCs w:val="20"/>
                <w:lang w:val="en-AU"/>
              </w:rPr>
            </w:pPr>
            <w:r w:rsidRPr="00674669">
              <w:rPr>
                <w:b/>
                <w:bCs w:val="0"/>
                <w:sz w:val="20"/>
                <w:szCs w:val="20"/>
                <w:lang w:val="en-AU"/>
              </w:rPr>
              <w:t>0.09</w:t>
            </w:r>
          </w:p>
          <w:p w14:paraId="2796E267" w14:textId="77777777" w:rsidR="00AD26DB" w:rsidRPr="00674669" w:rsidDel="00677986" w:rsidRDefault="00AD26DB" w:rsidP="00C521FE">
            <w:pPr>
              <w:pStyle w:val="TableText0"/>
              <w:keepNext w:val="0"/>
              <w:widowControl w:val="0"/>
              <w:jc w:val="center"/>
              <w:rPr>
                <w:b/>
                <w:bCs w:val="0"/>
                <w:sz w:val="20"/>
                <w:szCs w:val="20"/>
                <w:lang w:val="en-AU"/>
              </w:rPr>
            </w:pPr>
            <w:r w:rsidRPr="00674669">
              <w:rPr>
                <w:b/>
                <w:bCs w:val="0"/>
                <w:sz w:val="20"/>
                <w:szCs w:val="20"/>
                <w:lang w:val="en-AU"/>
              </w:rPr>
              <w:t xml:space="preserve">(0.06, 0.12) </w:t>
            </w:r>
          </w:p>
        </w:tc>
      </w:tr>
      <w:tr w:rsidR="00AD26DB" w:rsidRPr="00674669" w14:paraId="0A40B2CF" w14:textId="77777777" w:rsidTr="00C521FE">
        <w:trPr>
          <w:cantSplit/>
        </w:trPr>
        <w:tc>
          <w:tcPr>
            <w:tcW w:w="1213" w:type="pct"/>
          </w:tcPr>
          <w:p w14:paraId="3B9F3986" w14:textId="68C6AE99" w:rsidR="00AD26DB" w:rsidRPr="00674669" w:rsidRDefault="00AD26DB" w:rsidP="00C521FE">
            <w:pPr>
              <w:pStyle w:val="TableText0"/>
              <w:keepNext w:val="0"/>
              <w:widowControl w:val="0"/>
              <w:rPr>
                <w:sz w:val="20"/>
                <w:szCs w:val="20"/>
                <w:lang w:val="en-AU"/>
              </w:rPr>
            </w:pPr>
            <w:r w:rsidRPr="00674669">
              <w:rPr>
                <w:sz w:val="20"/>
                <w:szCs w:val="20"/>
                <w:lang w:val="en-AU"/>
              </w:rPr>
              <w:t>ITC cemiplimab</w:t>
            </w:r>
            <w:r w:rsidR="00F152CD" w:rsidRPr="00674669">
              <w:rPr>
                <w:sz w:val="20"/>
                <w:szCs w:val="20"/>
                <w:lang w:val="en-AU"/>
              </w:rPr>
              <w:t>+</w:t>
            </w:r>
            <w:r w:rsidRPr="00674669">
              <w:rPr>
                <w:sz w:val="20"/>
                <w:szCs w:val="20"/>
                <w:lang w:val="en-AU"/>
              </w:rPr>
              <w:t xml:space="preserve">PDC </w:t>
            </w:r>
          </w:p>
          <w:p w14:paraId="666EADA2" w14:textId="10A6EA06" w:rsidR="00AD26DB" w:rsidRPr="00674669" w:rsidRDefault="00AD26DB" w:rsidP="00C521FE">
            <w:pPr>
              <w:pStyle w:val="TableText0"/>
              <w:keepNext w:val="0"/>
              <w:widowControl w:val="0"/>
              <w:rPr>
                <w:sz w:val="20"/>
                <w:szCs w:val="20"/>
                <w:lang w:val="en-AU"/>
              </w:rPr>
            </w:pPr>
            <w:r w:rsidRPr="00674669">
              <w:rPr>
                <w:sz w:val="20"/>
                <w:szCs w:val="20"/>
                <w:lang w:val="en-AU"/>
              </w:rPr>
              <w:t>vs. pembrolizumab</w:t>
            </w:r>
            <w:r w:rsidR="00F152CD" w:rsidRPr="00674669">
              <w:rPr>
                <w:sz w:val="20"/>
                <w:szCs w:val="20"/>
                <w:lang w:val="en-AU"/>
              </w:rPr>
              <w:t>+</w:t>
            </w:r>
            <w:r w:rsidRPr="00674669">
              <w:rPr>
                <w:sz w:val="20"/>
                <w:szCs w:val="20"/>
                <w:lang w:val="en-AU"/>
              </w:rPr>
              <w:t>PDC</w:t>
            </w:r>
          </w:p>
        </w:tc>
        <w:tc>
          <w:tcPr>
            <w:tcW w:w="1693" w:type="pct"/>
            <w:gridSpan w:val="3"/>
          </w:tcPr>
          <w:p w14:paraId="3F080588" w14:textId="7EDD405B" w:rsidR="00AD26DB" w:rsidRPr="00674669" w:rsidRDefault="00AD26DB" w:rsidP="00C521FE">
            <w:pPr>
              <w:pStyle w:val="TableText0"/>
              <w:keepNext w:val="0"/>
              <w:widowControl w:val="0"/>
              <w:rPr>
                <w:sz w:val="20"/>
                <w:szCs w:val="20"/>
                <w:lang w:val="en-AU"/>
              </w:rPr>
            </w:pPr>
            <w:r w:rsidRPr="00674669">
              <w:rPr>
                <w:sz w:val="20"/>
                <w:szCs w:val="20"/>
                <w:lang w:val="en-AU"/>
              </w:rPr>
              <w:t>16113 vs. KN meta</w:t>
            </w:r>
            <w:r w:rsidRPr="00674669">
              <w:rPr>
                <w:sz w:val="20"/>
                <w:szCs w:val="20"/>
                <w:lang w:val="en-AU"/>
              </w:rPr>
              <w:noBreakHyphen/>
              <w:t>analysis</w:t>
            </w:r>
          </w:p>
        </w:tc>
        <w:tc>
          <w:tcPr>
            <w:tcW w:w="708" w:type="pct"/>
          </w:tcPr>
          <w:p w14:paraId="31C8F88A"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3.92</w:t>
            </w:r>
          </w:p>
          <w:p w14:paraId="05F3A093"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(0.22, 69.36)</w:t>
            </w:r>
          </w:p>
        </w:tc>
        <w:tc>
          <w:tcPr>
            <w:tcW w:w="698" w:type="pct"/>
            <w:gridSpan w:val="2"/>
          </w:tcPr>
          <w:p w14:paraId="6E63E417"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4.16</w:t>
            </w:r>
          </w:p>
          <w:p w14:paraId="09324B82" w14:textId="77777777" w:rsidR="00AD26DB" w:rsidRPr="00674669" w:rsidRDefault="00AD26DB" w:rsidP="00C521FE">
            <w:pPr>
              <w:pStyle w:val="TableText0"/>
              <w:keepNext w:val="0"/>
              <w:widowControl w:val="0"/>
              <w:jc w:val="center"/>
              <w:rPr>
                <w:sz w:val="20"/>
                <w:szCs w:val="20"/>
                <w:lang w:val="en-AU"/>
              </w:rPr>
            </w:pPr>
            <w:r w:rsidRPr="00674669">
              <w:rPr>
                <w:sz w:val="20"/>
                <w:szCs w:val="20"/>
                <w:lang w:val="en-AU"/>
              </w:rPr>
              <w:t>(0.0, 5077.8)</w:t>
            </w:r>
          </w:p>
        </w:tc>
        <w:tc>
          <w:tcPr>
            <w:tcW w:w="689" w:type="pct"/>
          </w:tcPr>
          <w:p w14:paraId="69876529" w14:textId="77777777" w:rsidR="00AD26DB" w:rsidRPr="00674669" w:rsidDel="00677986" w:rsidRDefault="00AD26DB" w:rsidP="00C521FE">
            <w:pPr>
              <w:pStyle w:val="TableText0"/>
              <w:keepNext w:val="0"/>
              <w:widowControl w:val="0"/>
              <w:jc w:val="center"/>
              <w:rPr>
                <w:b/>
                <w:bCs w:val="0"/>
                <w:sz w:val="20"/>
                <w:szCs w:val="20"/>
                <w:lang w:val="en-AU"/>
              </w:rPr>
            </w:pPr>
            <w:r w:rsidRPr="00674669">
              <w:rPr>
                <w:b/>
                <w:bCs w:val="0"/>
                <w:sz w:val="20"/>
                <w:szCs w:val="20"/>
                <w:lang w:val="en-AU"/>
              </w:rPr>
              <w:noBreakHyphen/>
              <w:t>0.05 (</w:t>
            </w:r>
            <w:r w:rsidRPr="00674669">
              <w:rPr>
                <w:b/>
                <w:bCs w:val="0"/>
                <w:sz w:val="20"/>
                <w:szCs w:val="20"/>
                <w:lang w:val="en-AU"/>
              </w:rPr>
              <w:noBreakHyphen/>
              <w:t xml:space="preserve">0.09, </w:t>
            </w:r>
            <w:r w:rsidRPr="00674669">
              <w:rPr>
                <w:b/>
                <w:bCs w:val="0"/>
                <w:sz w:val="20"/>
                <w:szCs w:val="20"/>
                <w:lang w:val="en-AU"/>
              </w:rPr>
              <w:noBreakHyphen/>
              <w:t>0.01)</w:t>
            </w:r>
          </w:p>
        </w:tc>
      </w:tr>
    </w:tbl>
    <w:p w14:paraId="6F186BAA" w14:textId="77777777" w:rsidR="00AD26DB" w:rsidRPr="00674669" w:rsidRDefault="00AD26DB" w:rsidP="00AD26DB">
      <w:pPr>
        <w:pStyle w:val="FooterTableFigure"/>
        <w:rPr>
          <w:sz w:val="20"/>
        </w:rPr>
      </w:pPr>
      <w:r w:rsidRPr="00674669">
        <w:t>Source: Table 2-25, pp60-61 of the submission.</w:t>
      </w:r>
    </w:p>
    <w:p w14:paraId="16E74901" w14:textId="700D3227" w:rsidR="00AD26DB" w:rsidRPr="00674669" w:rsidRDefault="00AD26DB" w:rsidP="00AD26DB">
      <w:pPr>
        <w:pStyle w:val="FooterTableFigure"/>
        <w:rPr>
          <w:rFonts w:eastAsia="Calibri"/>
        </w:rPr>
      </w:pPr>
      <w:r w:rsidRPr="00674669">
        <w:rPr>
          <w:rFonts w:eastAsia="Calibri"/>
        </w:rPr>
        <w:t>AE = adverse events; CI = confidence interval; ITC = indirect treatment comparison; ITT = intention-to-treat; k = number of studies contributing to the pooled estimate of effect; n = number of participants reporting data; N = total participants in group; OR = odds ratio; PDC = platinum doublet chemotherapy</w:t>
      </w:r>
      <w:r w:rsidR="00674669">
        <w:rPr>
          <w:rFonts w:eastAsia="Calibri"/>
        </w:rPr>
        <w:t xml:space="preserve"> </w:t>
      </w:r>
      <w:r w:rsidRPr="00674669">
        <w:rPr>
          <w:rFonts w:eastAsia="Calibri"/>
        </w:rPr>
        <w:t>PD-L1 = programmed cell death ligand 1; RD = risk difference; RR = relative risk.</w:t>
      </w:r>
    </w:p>
    <w:p w14:paraId="41E862BC" w14:textId="77777777" w:rsidR="00AD26DB" w:rsidRPr="00674669" w:rsidRDefault="00AD26DB" w:rsidP="00AD26DB">
      <w:pPr>
        <w:pStyle w:val="FooterTableFigure"/>
        <w:rPr>
          <w:rFonts w:eastAsia="Calibri"/>
        </w:rPr>
      </w:pPr>
      <w:r w:rsidRPr="00674669">
        <w:rPr>
          <w:rFonts w:eastAsia="Calibri"/>
          <w:b/>
          <w:bCs/>
        </w:rPr>
        <w:t>Bold</w:t>
      </w:r>
      <w:r w:rsidRPr="00674669">
        <w:rPr>
          <w:rFonts w:eastAsia="Calibri"/>
          <w:b/>
          <w:bCs/>
          <w:i/>
          <w:iCs/>
        </w:rPr>
        <w:t xml:space="preserve"> </w:t>
      </w:r>
      <w:r w:rsidRPr="00674669">
        <w:rPr>
          <w:rFonts w:eastAsia="Calibri"/>
        </w:rPr>
        <w:t xml:space="preserve">indicates statistical significance. </w:t>
      </w:r>
    </w:p>
    <w:p w14:paraId="0B20A90E" w14:textId="7A389878" w:rsidR="00AD26DB" w:rsidRPr="00674669" w:rsidRDefault="00AD26DB" w:rsidP="00AD26DB">
      <w:pPr>
        <w:pStyle w:val="3-BodyText"/>
      </w:pPr>
      <w:bookmarkStart w:id="61" w:name="_Toc22897643"/>
      <w:r w:rsidRPr="00674669">
        <w:t xml:space="preserve">The risk of any AEs was similar between cemiplimab+PDC and pembrolizumab+PDC. However, there were statistically significant differences in the indirect </w:t>
      </w:r>
      <w:r w:rsidR="00465BD5" w:rsidRPr="00674669">
        <w:t>RR</w:t>
      </w:r>
      <w:r w:rsidRPr="00674669">
        <w:t xml:space="preserve"> and </w:t>
      </w:r>
      <w:r w:rsidR="00465BD5" w:rsidRPr="00674669">
        <w:t>RD</w:t>
      </w:r>
      <w:r w:rsidRPr="00674669">
        <w:t xml:space="preserve"> for AEs Grade≥ 3, favouring pembrolizumab+PDC. In contrast, there were statistically significant differences in the indirect </w:t>
      </w:r>
      <w:r w:rsidR="00465BD5" w:rsidRPr="00674669">
        <w:t>RD</w:t>
      </w:r>
      <w:r w:rsidRPr="00674669">
        <w:t xml:space="preserve"> for AEs leading to discontinuation and immune AEs, favouring cemiplimab</w:t>
      </w:r>
      <w:r w:rsidR="00F152CD" w:rsidRPr="00674669">
        <w:t>+</w:t>
      </w:r>
      <w:r w:rsidRPr="00674669">
        <w:t xml:space="preserve">PDC. </w:t>
      </w:r>
      <w:r w:rsidR="002C66A4" w:rsidRPr="00674669">
        <w:t xml:space="preserve">This difference was not seen in </w:t>
      </w:r>
      <w:r w:rsidR="00465BD5" w:rsidRPr="00674669">
        <w:t>RR</w:t>
      </w:r>
      <w:r w:rsidR="002C66A4" w:rsidRPr="00674669">
        <w:t xml:space="preserve"> and </w:t>
      </w:r>
      <w:r w:rsidR="00465BD5" w:rsidRPr="00674669">
        <w:t>OR</w:t>
      </w:r>
      <w:r w:rsidR="002C66A4" w:rsidRPr="00674669">
        <w:t xml:space="preserve">. </w:t>
      </w:r>
      <w:r w:rsidRPr="00674669">
        <w:t>The wide 95% confidence intervals for most of the indirect estimates of treatment effects suggest that the ITC of AEs was statistically underpowered.</w:t>
      </w:r>
    </w:p>
    <w:p w14:paraId="7F0240FE" w14:textId="6B27FEBD" w:rsidR="00AD26DB" w:rsidRPr="00674669" w:rsidRDefault="00AD26DB" w:rsidP="00AD26DB">
      <w:pPr>
        <w:pStyle w:val="3-BodyText"/>
      </w:pPr>
      <w:r w:rsidRPr="00674669">
        <w:t xml:space="preserve">Of note, the PBAC has previously considered that the safety profiles of PD-L1 inhibitors are likely to be similar (para 7.9, Cemiplimab, </w:t>
      </w:r>
      <w:r w:rsidR="00386C2D">
        <w:t>PSD</w:t>
      </w:r>
      <w:r w:rsidRPr="00674669">
        <w:t>, November 2021 PBAC Meeting).</w:t>
      </w:r>
    </w:p>
    <w:p w14:paraId="14845859" w14:textId="77777777" w:rsidR="00AD26DB" w:rsidRPr="00674669" w:rsidRDefault="00AD26DB" w:rsidP="00AD26DB">
      <w:pPr>
        <w:pStyle w:val="4-SubsectionHeading"/>
      </w:pPr>
      <w:bookmarkStart w:id="62" w:name="_Toc142622570"/>
      <w:bookmarkStart w:id="63" w:name="_Toc145495067"/>
      <w:r w:rsidRPr="00674669">
        <w:t>Benefits/harms</w:t>
      </w:r>
      <w:bookmarkEnd w:id="61"/>
      <w:bookmarkEnd w:id="62"/>
      <w:bookmarkEnd w:id="63"/>
    </w:p>
    <w:p w14:paraId="343DFC6A" w14:textId="7CFD6D24" w:rsidR="00AD26DB" w:rsidRPr="00674669" w:rsidRDefault="00AD26DB" w:rsidP="00AD26DB">
      <w:pPr>
        <w:pStyle w:val="3-BodyText"/>
      </w:pPr>
      <w:r w:rsidRPr="00674669">
        <w:rPr>
          <w:snapToGrid/>
        </w:rPr>
        <w:t xml:space="preserve">A benefits and harms table </w:t>
      </w:r>
      <w:proofErr w:type="gramStart"/>
      <w:r w:rsidR="001E648C" w:rsidRPr="00674669">
        <w:rPr>
          <w:snapToGrid/>
        </w:rPr>
        <w:t>wa</w:t>
      </w:r>
      <w:r w:rsidRPr="00674669">
        <w:rPr>
          <w:snapToGrid/>
        </w:rPr>
        <w:t>s</w:t>
      </w:r>
      <w:proofErr w:type="gramEnd"/>
      <w:r w:rsidRPr="00674669">
        <w:rPr>
          <w:snapToGrid/>
        </w:rPr>
        <w:t xml:space="preserve"> not presented as the submission made a claim of non-inferiority. </w:t>
      </w:r>
    </w:p>
    <w:p w14:paraId="49093D2F" w14:textId="77777777" w:rsidR="00AD26DB" w:rsidRPr="00674669" w:rsidRDefault="00AD26DB" w:rsidP="00AD26DB">
      <w:pPr>
        <w:pStyle w:val="4-SubsectionHeading"/>
      </w:pPr>
      <w:bookmarkStart w:id="64" w:name="_Toc22897644"/>
      <w:bookmarkStart w:id="65" w:name="_Toc142622571"/>
      <w:bookmarkStart w:id="66" w:name="_Toc145495068"/>
      <w:r w:rsidRPr="00674669">
        <w:t>Clinical claim</w:t>
      </w:r>
      <w:bookmarkEnd w:id="64"/>
      <w:bookmarkEnd w:id="65"/>
      <w:bookmarkEnd w:id="66"/>
    </w:p>
    <w:p w14:paraId="027D0347" w14:textId="23326A6C" w:rsidR="00AD26DB" w:rsidRPr="00674669" w:rsidRDefault="00AD26DB" w:rsidP="00AD26DB">
      <w:pPr>
        <w:pStyle w:val="3-BodyText"/>
        <w:rPr>
          <w:rFonts w:eastAsia="Calibri"/>
        </w:rPr>
      </w:pPr>
      <w:bookmarkStart w:id="67" w:name="_Hlk143366688"/>
      <w:r w:rsidRPr="00674669">
        <w:rPr>
          <w:rFonts w:eastAsia="Calibri"/>
        </w:rPr>
        <w:t>The submission described cemiplimab+PDC as non-inferior in terms of effectiveness compared to pembrolizumab+PDC</w:t>
      </w:r>
      <w:r w:rsidR="00674669">
        <w:rPr>
          <w:rFonts w:eastAsia="Calibri"/>
        </w:rPr>
        <w:t xml:space="preserve">. </w:t>
      </w:r>
      <w:r w:rsidRPr="00674669">
        <w:rPr>
          <w:rFonts w:eastAsia="Calibri"/>
          <w:iCs/>
        </w:rPr>
        <w:t>Th</w:t>
      </w:r>
      <w:r w:rsidR="00793D9F" w:rsidRPr="00674669">
        <w:rPr>
          <w:rFonts w:eastAsia="Calibri"/>
          <w:iCs/>
        </w:rPr>
        <w:t>e evaluation considered</w:t>
      </w:r>
      <w:r w:rsidR="00793D9F" w:rsidRPr="00674669">
        <w:rPr>
          <w:rFonts w:eastAsia="Calibri"/>
        </w:rPr>
        <w:t xml:space="preserve"> the</w:t>
      </w:r>
      <w:r w:rsidRPr="00674669">
        <w:rPr>
          <w:rFonts w:eastAsia="Calibri"/>
        </w:rPr>
        <w:t xml:space="preserve"> claim was adequately supported by evidence, but the following issues need to be considered:</w:t>
      </w:r>
    </w:p>
    <w:p w14:paraId="16D6D71F" w14:textId="26D1B44E" w:rsidR="002304A3" w:rsidRPr="00674669" w:rsidRDefault="002304A3" w:rsidP="002304A3">
      <w:pPr>
        <w:pStyle w:val="ListParagraph"/>
        <w:rPr>
          <w:rFonts w:eastAsia="Calibri"/>
        </w:rPr>
      </w:pPr>
      <w:r w:rsidRPr="00674669">
        <w:rPr>
          <w:rFonts w:eastAsia="Calibri"/>
        </w:rPr>
        <w:t>The effectiveness of cemiplimab+PDC in patients with PD-L1&lt;1% remained uncertain due to a lower median OS reported in the cemiplimab+PDC arm (12.8 months) compared to the placebo+PDC arm (14.2 months) in the primary analysis</w:t>
      </w:r>
      <w:r w:rsidR="00286BCC" w:rsidRPr="00674669">
        <w:rPr>
          <w:rFonts w:eastAsia="Calibri"/>
        </w:rPr>
        <w:t xml:space="preserve"> of Study 16113</w:t>
      </w:r>
      <w:r w:rsidRPr="00674669">
        <w:rPr>
          <w:rFonts w:eastAsia="Calibri"/>
        </w:rPr>
        <w:t xml:space="preserve">, with a HR of 1.006 (95% CI: 0.63, 1.60). </w:t>
      </w:r>
      <w:r w:rsidR="003279B6" w:rsidRPr="00674669">
        <w:rPr>
          <w:rFonts w:eastAsia="Calibri"/>
        </w:rPr>
        <w:t>The r</w:t>
      </w:r>
      <w:r w:rsidRPr="00674669">
        <w:rPr>
          <w:rFonts w:eastAsia="Calibri"/>
        </w:rPr>
        <w:t xml:space="preserve">esults from the </w:t>
      </w:r>
      <w:r w:rsidR="00257B05" w:rsidRPr="00674669">
        <w:rPr>
          <w:rFonts w:eastAsia="Calibri"/>
        </w:rPr>
        <w:t xml:space="preserve">final </w:t>
      </w:r>
      <w:r w:rsidRPr="00674669">
        <w:rPr>
          <w:rFonts w:eastAsia="Calibri"/>
        </w:rPr>
        <w:t xml:space="preserve">analyses </w:t>
      </w:r>
      <w:r w:rsidR="0050332D" w:rsidRPr="00674669">
        <w:rPr>
          <w:rFonts w:eastAsia="Calibri"/>
        </w:rPr>
        <w:t>also did not support the claim of superior efficacy in patients with PD-L1&lt;1%</w:t>
      </w:r>
      <w:r w:rsidRPr="00674669">
        <w:rPr>
          <w:rFonts w:eastAsia="Calibri"/>
        </w:rPr>
        <w:t xml:space="preserve">, with a HR for OS of 0.94 (95% CI: 0.62, 1.42). </w:t>
      </w:r>
      <w:r w:rsidR="0096765D" w:rsidRPr="00674669">
        <w:rPr>
          <w:rFonts w:eastAsia="Calibri"/>
          <w:iCs/>
        </w:rPr>
        <w:t xml:space="preserve">The </w:t>
      </w:r>
      <w:r w:rsidR="00A16D1B">
        <w:rPr>
          <w:rFonts w:eastAsia="Calibri"/>
          <w:iCs/>
        </w:rPr>
        <w:t>Pre-Sub-Committee Response (</w:t>
      </w:r>
      <w:r w:rsidR="0096765D" w:rsidRPr="00674669">
        <w:rPr>
          <w:rFonts w:eastAsia="Calibri"/>
          <w:iCs/>
        </w:rPr>
        <w:t>PSCR</w:t>
      </w:r>
      <w:r w:rsidR="00A16D1B">
        <w:rPr>
          <w:rFonts w:eastAsia="Calibri"/>
          <w:iCs/>
        </w:rPr>
        <w:t>)</w:t>
      </w:r>
      <w:r w:rsidR="0096765D" w:rsidRPr="00674669">
        <w:rPr>
          <w:rFonts w:eastAsia="Calibri"/>
          <w:iCs/>
        </w:rPr>
        <w:t xml:space="preserve"> argued that the OS </w:t>
      </w:r>
      <w:r w:rsidR="0096765D" w:rsidRPr="0064159D">
        <w:rPr>
          <w:rFonts w:eastAsia="Calibri"/>
          <w:iCs/>
        </w:rPr>
        <w:t>hazard ratio (HR) point estimate in this subgroup improved from 1.006 to 0.94 in the final analysis</w:t>
      </w:r>
      <w:r w:rsidR="0096765D" w:rsidRPr="00674669">
        <w:rPr>
          <w:rFonts w:eastAsia="Calibri"/>
          <w:iCs/>
        </w:rPr>
        <w:t xml:space="preserve"> (data cut-off: June 2022) and that there was no biological plausibility to suggest a worsening survival benefit in patients with PD-L1&lt;1% given the improved PFS (HR: 0.73; 95% CI: 0.50, 1.08) when compared to placebo+PDC.</w:t>
      </w:r>
      <w:r w:rsidR="00C73939" w:rsidRPr="00674669">
        <w:rPr>
          <w:rFonts w:eastAsia="Calibri"/>
          <w:iCs/>
        </w:rPr>
        <w:t xml:space="preserve"> The ESC did not consider the efficacy in patients with PD-L1&lt;1% to be a key issue for the PBAC to consider.</w:t>
      </w:r>
    </w:p>
    <w:bookmarkEnd w:id="67"/>
    <w:p w14:paraId="10F36E0C" w14:textId="1F42650A" w:rsidR="00AD26DB" w:rsidRPr="00674669" w:rsidRDefault="00AD26DB" w:rsidP="00AD26DB">
      <w:pPr>
        <w:pStyle w:val="ListParagraph"/>
        <w:rPr>
          <w:rFonts w:eastAsia="Calibri"/>
        </w:rPr>
      </w:pPr>
      <w:r w:rsidRPr="00674669">
        <w:rPr>
          <w:rFonts w:eastAsia="Calibri"/>
        </w:rPr>
        <w:t xml:space="preserve">Transitivity issues across the trials in terms of stratification factors, histology, disease stage, gender, ECOG performance status, presence of brain metastases at </w:t>
      </w:r>
      <w:r w:rsidRPr="00674669">
        <w:rPr>
          <w:rFonts w:eastAsia="Calibri"/>
        </w:rPr>
        <w:lastRenderedPageBreak/>
        <w:t xml:space="preserve">diagnosis, affect the transitivity assumption that forms the basis of ITC between cemiplimab+PDC and pembrolizumab+PDC. </w:t>
      </w:r>
    </w:p>
    <w:p w14:paraId="65D17F20" w14:textId="6DD76595" w:rsidR="00AD26DB" w:rsidRPr="00674669" w:rsidRDefault="00286BCC" w:rsidP="00AD26DB">
      <w:pPr>
        <w:pStyle w:val="ListParagraph"/>
        <w:rPr>
          <w:rFonts w:eastAsia="Calibri"/>
        </w:rPr>
      </w:pPr>
      <w:r w:rsidRPr="00674669">
        <w:rPr>
          <w:rFonts w:eastAsia="Calibri"/>
        </w:rPr>
        <w:t>The</w:t>
      </w:r>
      <w:r w:rsidR="00AD26DB" w:rsidRPr="00674669">
        <w:rPr>
          <w:rFonts w:eastAsia="Calibri"/>
        </w:rPr>
        <w:t xml:space="preserve"> submission did not present any </w:t>
      </w:r>
      <w:r w:rsidR="002304A3" w:rsidRPr="00674669">
        <w:rPr>
          <w:rFonts w:eastAsia="Calibri"/>
        </w:rPr>
        <w:t>MAIC</w:t>
      </w:r>
      <w:r w:rsidR="00AD26DB" w:rsidRPr="00674669">
        <w:rPr>
          <w:rFonts w:eastAsia="Calibri"/>
        </w:rPr>
        <w:t xml:space="preserve"> to adjust for the heterogeneities in the baseline characteristics and demographics. </w:t>
      </w:r>
    </w:p>
    <w:p w14:paraId="7180D2A2" w14:textId="24A481AB" w:rsidR="00AD26DB" w:rsidRPr="00674669" w:rsidRDefault="00AD26DB" w:rsidP="00AD26DB">
      <w:pPr>
        <w:pStyle w:val="ListParagraph"/>
        <w:rPr>
          <w:rFonts w:eastAsia="Calibri"/>
        </w:rPr>
      </w:pPr>
      <w:r w:rsidRPr="00674669">
        <w:rPr>
          <w:rFonts w:eastAsia="Calibri"/>
        </w:rPr>
        <w:t>The submission did not provide a non-inferiority margin</w:t>
      </w:r>
      <w:r w:rsidR="001C0ED6" w:rsidRPr="00674669">
        <w:rPr>
          <w:rFonts w:eastAsia="Calibri"/>
        </w:rPr>
        <w:t>.</w:t>
      </w:r>
    </w:p>
    <w:p w14:paraId="761D8E5A" w14:textId="543051FD" w:rsidR="00AD26DB" w:rsidRPr="00674669" w:rsidRDefault="00AD26DB" w:rsidP="00AD26DB">
      <w:pPr>
        <w:pStyle w:val="3-BodyText"/>
        <w:rPr>
          <w:iCs/>
        </w:rPr>
      </w:pPr>
      <w:r w:rsidRPr="00674669">
        <w:rPr>
          <w:rFonts w:eastAsia="Calibri"/>
        </w:rPr>
        <w:t xml:space="preserve">The submission described cemiplimab+PDC as non-inferior in terms of safety compared to pembrolizumab+PDC. </w:t>
      </w:r>
    </w:p>
    <w:p w14:paraId="48E6AF12" w14:textId="2A236B59" w:rsidR="00C73939" w:rsidRPr="00674669" w:rsidRDefault="00C73939" w:rsidP="00AD26DB">
      <w:pPr>
        <w:pStyle w:val="3-BodyText"/>
      </w:pPr>
      <w:r w:rsidRPr="00674669">
        <w:t>The ESC considered that while the clinical claim was reasonably well supported</w:t>
      </w:r>
      <w:r w:rsidR="00285725" w:rsidRPr="00674669">
        <w:t>,</w:t>
      </w:r>
      <w:r w:rsidR="001C0ED6" w:rsidRPr="00674669">
        <w:t xml:space="preserve"> a MAIC would have been informative to account for transitivity issues with the ITC.</w:t>
      </w:r>
    </w:p>
    <w:p w14:paraId="6657213D" w14:textId="44E0A5E8" w:rsidR="008C2083" w:rsidRPr="00674669" w:rsidRDefault="008C2083" w:rsidP="008C2083">
      <w:pPr>
        <w:widowControl w:val="0"/>
        <w:numPr>
          <w:ilvl w:val="1"/>
          <w:numId w:val="1"/>
        </w:numPr>
        <w:spacing w:after="120"/>
        <w:rPr>
          <w:rFonts w:asciiTheme="minorHAnsi" w:hAnsiTheme="minorHAnsi"/>
          <w:snapToGrid w:val="0"/>
          <w:szCs w:val="20"/>
        </w:rPr>
      </w:pPr>
      <w:bookmarkStart w:id="68" w:name="_Hlk76376200"/>
      <w:r w:rsidRPr="00674669">
        <w:rPr>
          <w:rFonts w:asciiTheme="minorHAnsi" w:hAnsiTheme="minorHAnsi"/>
          <w:iCs/>
          <w:snapToGrid w:val="0"/>
        </w:rPr>
        <w:t>The</w:t>
      </w:r>
      <w:r w:rsidRPr="00674669">
        <w:rPr>
          <w:rFonts w:asciiTheme="minorHAnsi" w:hAnsiTheme="minorHAnsi"/>
          <w:snapToGrid w:val="0"/>
          <w:szCs w:val="20"/>
        </w:rPr>
        <w:t xml:space="preserve"> PBAC considered that the claim of non-inferior comparative effectiveness was reasonable.</w:t>
      </w:r>
    </w:p>
    <w:p w14:paraId="37A2FC33" w14:textId="357B851D" w:rsidR="008C2083" w:rsidRPr="00674669" w:rsidRDefault="008C2083" w:rsidP="008C2083">
      <w:pPr>
        <w:widowControl w:val="0"/>
        <w:numPr>
          <w:ilvl w:val="1"/>
          <w:numId w:val="1"/>
        </w:numPr>
        <w:spacing w:after="120"/>
        <w:rPr>
          <w:rFonts w:asciiTheme="minorHAnsi" w:hAnsiTheme="minorHAnsi"/>
          <w:snapToGrid w:val="0"/>
          <w:szCs w:val="20"/>
        </w:rPr>
      </w:pPr>
      <w:r w:rsidRPr="00674669">
        <w:rPr>
          <w:rFonts w:asciiTheme="minorHAnsi" w:hAnsiTheme="minorHAnsi"/>
          <w:snapToGrid w:val="0"/>
          <w:szCs w:val="20"/>
        </w:rPr>
        <w:t>The PBAC considered that the claim of non-inferior comparative safety was reasonable.</w:t>
      </w:r>
    </w:p>
    <w:p w14:paraId="66EB1C7D" w14:textId="77777777" w:rsidR="00AD26DB" w:rsidRPr="00674669" w:rsidRDefault="00AD26DB" w:rsidP="00AD26DB">
      <w:pPr>
        <w:pStyle w:val="4-SubsectionHeading"/>
      </w:pPr>
      <w:bookmarkStart w:id="69" w:name="_Toc22897645"/>
      <w:bookmarkStart w:id="70" w:name="_Toc142622572"/>
      <w:bookmarkStart w:id="71" w:name="_Toc145495069"/>
      <w:bookmarkEnd w:id="68"/>
      <w:r w:rsidRPr="00674669">
        <w:t>Economic analysis</w:t>
      </w:r>
      <w:bookmarkEnd w:id="69"/>
      <w:bookmarkEnd w:id="70"/>
      <w:bookmarkEnd w:id="71"/>
      <w:r w:rsidRPr="00674669">
        <w:t xml:space="preserve"> </w:t>
      </w:r>
    </w:p>
    <w:p w14:paraId="64B0C2BF" w14:textId="77914BFC" w:rsidR="00AD26DB" w:rsidRPr="00674669" w:rsidRDefault="00AD26DB" w:rsidP="00AD26DB">
      <w:pPr>
        <w:pStyle w:val="3-BodyText"/>
      </w:pPr>
      <w:bookmarkStart w:id="72" w:name="_Hlk142906278"/>
      <w:r w:rsidRPr="00674669">
        <w:t xml:space="preserve">The submission presented a cost-minimisation approach (CMA) based on the indirect comparison between cemiplimab+PDC to pembrolizumab+PDC using placebo+PDC as the common reference for patients with Stage IV NSCLC. </w:t>
      </w:r>
    </w:p>
    <w:p w14:paraId="6C2C0355" w14:textId="77777777" w:rsidR="00AD26DB" w:rsidRPr="00674669" w:rsidRDefault="00AD26DB" w:rsidP="00AD26DB">
      <w:pPr>
        <w:pStyle w:val="3-BodyText"/>
      </w:pPr>
      <w:r w:rsidRPr="00674669">
        <w:t>The equi-effective doses were estimated as cemiplimab 350 mg Q3W administered as an IV infusion over 30 minutes plus PDC administered as an IV infusion and pembrolizumab 200 mg Q3W administered as an IV infusion over 30 minutes plus PDC administered as an IV infusion, assuming the same treatment durations and dose intensities.</w:t>
      </w:r>
    </w:p>
    <w:bookmarkStart w:id="73" w:name="_Ref142924139"/>
    <w:p w14:paraId="671C4F17" w14:textId="60D5DD5C" w:rsidR="004964FD" w:rsidRPr="00674669" w:rsidRDefault="004964FD" w:rsidP="00A266E0">
      <w:pPr>
        <w:pStyle w:val="3-BodyText"/>
      </w:pPr>
      <w:r w:rsidRPr="00674669">
        <w:fldChar w:fldCharType="begin" w:fldLock="1"/>
      </w:r>
      <w:r w:rsidRPr="00674669">
        <w:instrText xml:space="preserve"> REF _Ref144811484 \h </w:instrText>
      </w:r>
      <w:r w:rsidR="00E567B6" w:rsidRPr="00674669">
        <w:instrText xml:space="preserve"> \* MERGEFORMAT </w:instrText>
      </w:r>
      <w:r w:rsidRPr="00674669">
        <w:fldChar w:fldCharType="separate"/>
      </w:r>
      <w:r w:rsidRPr="00674669">
        <w:t xml:space="preserve">Table </w:t>
      </w:r>
      <w:r w:rsidR="00D96B26" w:rsidRPr="00674669">
        <w:t>9</w:t>
      </w:r>
      <w:r w:rsidRPr="00674669">
        <w:fldChar w:fldCharType="end"/>
      </w:r>
      <w:r w:rsidR="00A43731" w:rsidRPr="00674669">
        <w:t xml:space="preserve"> summarises the data cut-off and median follow-up duration of Study 16113, KN-189 and KN-407 </w:t>
      </w:r>
      <w:r w:rsidR="00236C55" w:rsidRPr="00674669">
        <w:t>used by the submission to</w:t>
      </w:r>
      <w:r w:rsidR="00DB5E2D" w:rsidRPr="00674669">
        <w:t xml:space="preserve"> determine </w:t>
      </w:r>
      <w:r w:rsidR="00236C55" w:rsidRPr="00674669">
        <w:t>duration of treatment</w:t>
      </w:r>
      <w:r w:rsidR="0010252C" w:rsidRPr="00674669">
        <w:t xml:space="preserve"> in </w:t>
      </w:r>
      <w:r w:rsidR="003A750B" w:rsidRPr="00674669">
        <w:t>the CMA</w:t>
      </w:r>
      <w:r w:rsidR="0010252C" w:rsidRPr="00674669">
        <w:t>. The</w:t>
      </w:r>
      <w:r w:rsidR="00DB5E2D" w:rsidRPr="00674669">
        <w:t xml:space="preserve"> submission compared the results</w:t>
      </w:r>
      <w:r w:rsidRPr="00674669">
        <w:t xml:space="preserve"> of KN-189 (median follow-up of 23.1 months; data cut-off September 2018) and KN-407 (median follow-up of 14.3 months; data cut-off: May 2019) at data cut-offs that provide the most similar </w:t>
      </w:r>
      <w:r w:rsidR="001B2F81" w:rsidRPr="00674669">
        <w:t>length of follow-up</w:t>
      </w:r>
      <w:r w:rsidR="00A266E0" w:rsidRPr="00674669">
        <w:t xml:space="preserve"> </w:t>
      </w:r>
      <w:r w:rsidRPr="00674669">
        <w:t xml:space="preserve">to </w:t>
      </w:r>
      <w:r w:rsidR="00A266E0" w:rsidRPr="00674669">
        <w:t xml:space="preserve">that of </w:t>
      </w:r>
      <w:r w:rsidRPr="00674669">
        <w:t xml:space="preserve">Study 16113 (median follow-up of 16.4 months; data cut-off: June 2021). </w:t>
      </w:r>
      <w:r w:rsidR="00A266E0" w:rsidRPr="00674669">
        <w:t xml:space="preserve">This approach was inconsistent with </w:t>
      </w:r>
      <w:r w:rsidR="003A750B" w:rsidRPr="00674669">
        <w:t>the approach taken in the clinical evaluation</w:t>
      </w:r>
      <w:r w:rsidR="00A266E0" w:rsidRPr="00674669">
        <w:t>, which utilised results of Study 16113 from the recent cut-off date (median follow-up of 28.4 months; data cut-off; June 2022). The results of Study 16113 from the June 2022 data cut-off are more closely aligned with those of KN-189 from either the September 2018 or May 2019 data cut-offs, given the similar median follow-up durations (28.4 months vs 23.1 or 31 months)</w:t>
      </w:r>
      <w:r w:rsidR="008C0468" w:rsidRPr="00674669">
        <w:t>.</w:t>
      </w:r>
    </w:p>
    <w:p w14:paraId="3E800960" w14:textId="532F5E53" w:rsidR="008437A4" w:rsidRPr="00674669" w:rsidRDefault="00A266E0" w:rsidP="008437A4">
      <w:pPr>
        <w:pStyle w:val="3-BodyText"/>
      </w:pPr>
      <w:r w:rsidRPr="00674669">
        <w:t xml:space="preserve">The submission assumed the </w:t>
      </w:r>
      <w:bookmarkEnd w:id="73"/>
      <w:r w:rsidRPr="00674669">
        <w:t>m</w:t>
      </w:r>
      <w:r w:rsidR="00AD26DB" w:rsidRPr="00674669">
        <w:t>ean duration of treatment to be similar between cemiplimab (10.5 months in Study 16113) and pembrolizumab (9.8 months in KN-189). Mean duration of treatment was not reported for KN-407</w:t>
      </w:r>
      <w:r w:rsidR="00527482" w:rsidRPr="00674669">
        <w:t>; however, a</w:t>
      </w:r>
      <w:r w:rsidR="00AD26DB" w:rsidRPr="00674669">
        <w:t xml:space="preserve"> difference was </w:t>
      </w:r>
      <w:r w:rsidR="00AD26DB" w:rsidRPr="00674669">
        <w:lastRenderedPageBreak/>
        <w:t xml:space="preserve">observed in the median treatment duration between cemiplimab (9.7 months) and pembrolizumab (7.1 months in KN-407). </w:t>
      </w:r>
    </w:p>
    <w:p w14:paraId="7DC733F9" w14:textId="1724635D" w:rsidR="008437A4" w:rsidRPr="00674669" w:rsidRDefault="008437A4" w:rsidP="008437A4">
      <w:pPr>
        <w:pStyle w:val="TableFigureHeading"/>
      </w:pPr>
      <w:bookmarkStart w:id="74" w:name="_Ref144811484"/>
      <w:r w:rsidRPr="00674669">
        <w:t xml:space="preserve">Table </w:t>
      </w:r>
      <w:bookmarkEnd w:id="74"/>
      <w:r w:rsidR="006E6632" w:rsidRPr="00674669">
        <w:t>9</w:t>
      </w:r>
      <w:r w:rsidRPr="00674669">
        <w:t xml:space="preserve">: </w:t>
      </w:r>
      <w:r w:rsidR="0010252C" w:rsidRPr="00674669">
        <w:t>Duration</w:t>
      </w:r>
      <w:r w:rsidRPr="00674669">
        <w:t xml:space="preserve"> of treatment </w:t>
      </w:r>
      <w:r w:rsidR="000509BD" w:rsidRPr="00674669">
        <w:t>of</w:t>
      </w:r>
      <w:r w:rsidRPr="00674669">
        <w:t xml:space="preserve"> cemiplimab+PDC and pembrolizumab+PDC</w:t>
      </w:r>
      <w:r w:rsidR="0010252C" w:rsidRPr="0067466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588"/>
        <w:gridCol w:w="1588"/>
        <w:gridCol w:w="1880"/>
        <w:gridCol w:w="1880"/>
      </w:tblGrid>
      <w:tr w:rsidR="001C0ED6" w:rsidRPr="00674669" w14:paraId="7EDBE179" w14:textId="77777777" w:rsidTr="001C0ED6">
        <w:trPr>
          <w:trHeight w:val="477"/>
        </w:trPr>
        <w:tc>
          <w:tcPr>
            <w:tcW w:w="1390" w:type="pct"/>
          </w:tcPr>
          <w:p w14:paraId="5E21DAE1" w14:textId="77777777" w:rsidR="001C0ED6" w:rsidRPr="00674669" w:rsidRDefault="001C0ED6" w:rsidP="00C521FE">
            <w:pPr>
              <w:keepNext/>
              <w:jc w:val="left"/>
              <w:rPr>
                <w:rFonts w:ascii="Arial Narrow" w:eastAsiaTheme="majorEastAsia" w:hAnsi="Arial Narrow" w:cs="Times New Roman"/>
                <w:b/>
                <w:sz w:val="20"/>
              </w:rPr>
            </w:pPr>
            <w:r w:rsidRPr="00674669">
              <w:rPr>
                <w:rFonts w:ascii="Arial Narrow" w:eastAsiaTheme="majorEastAsia" w:hAnsi="Arial Narrow" w:cs="Times New Roman"/>
                <w:b/>
                <w:sz w:val="20"/>
              </w:rPr>
              <w:t>Factor</w:t>
            </w:r>
          </w:p>
        </w:tc>
        <w:tc>
          <w:tcPr>
            <w:tcW w:w="910" w:type="pct"/>
          </w:tcPr>
          <w:p w14:paraId="193A0FDD" w14:textId="77777777" w:rsidR="001C0ED6" w:rsidRPr="00674669" w:rsidRDefault="001C0ED6" w:rsidP="001C0ED6">
            <w:pPr>
              <w:keepNext/>
              <w:jc w:val="center"/>
              <w:rPr>
                <w:rFonts w:ascii="Arial Narrow" w:eastAsiaTheme="majorEastAsia" w:hAnsi="Arial Narrow" w:cs="Times New Roman"/>
                <w:b/>
                <w:iCs/>
                <w:sz w:val="20"/>
              </w:rPr>
            </w:pPr>
            <w:r w:rsidRPr="00674669">
              <w:rPr>
                <w:rFonts w:ascii="Arial Narrow" w:eastAsiaTheme="majorEastAsia" w:hAnsi="Arial Narrow" w:cs="Times New Roman"/>
                <w:b/>
                <w:iCs/>
                <w:sz w:val="20"/>
              </w:rPr>
              <w:t>Cemiplimab+PDC</w:t>
            </w:r>
          </w:p>
          <w:p w14:paraId="7471F8F1" w14:textId="77777777" w:rsidR="001C0ED6" w:rsidRPr="00674669" w:rsidRDefault="001C0ED6" w:rsidP="001C0ED6">
            <w:pPr>
              <w:keepNext/>
              <w:jc w:val="center"/>
              <w:rPr>
                <w:rFonts w:ascii="Arial Narrow" w:eastAsiaTheme="majorEastAsia" w:hAnsi="Arial Narrow" w:cs="Times New Roman"/>
                <w:b/>
                <w:iCs/>
                <w:sz w:val="20"/>
              </w:rPr>
            </w:pPr>
            <w:r w:rsidRPr="00674669">
              <w:rPr>
                <w:rFonts w:ascii="Arial Narrow" w:eastAsiaTheme="majorEastAsia" w:hAnsi="Arial Narrow" w:cs="Times New Roman"/>
                <w:b/>
                <w:iCs/>
                <w:sz w:val="20"/>
              </w:rPr>
              <w:t>Study 16113</w:t>
            </w:r>
          </w:p>
          <w:p w14:paraId="14F600E8" w14:textId="0B61D162" w:rsidR="001C0ED6" w:rsidRPr="00674669" w:rsidRDefault="001C0ED6" w:rsidP="001C0ED6">
            <w:pPr>
              <w:keepNext/>
              <w:jc w:val="center"/>
              <w:rPr>
                <w:rFonts w:ascii="Arial Narrow" w:eastAsiaTheme="majorEastAsia" w:hAnsi="Arial Narrow" w:cs="Times New Roman"/>
                <w:b/>
                <w:i/>
                <w:iCs/>
                <w:sz w:val="20"/>
              </w:rPr>
            </w:pPr>
            <w:r w:rsidRPr="00674669">
              <w:rPr>
                <w:rFonts w:ascii="Arial Narrow" w:eastAsiaTheme="majorEastAsia" w:hAnsi="Arial Narrow" w:cs="Times New Roman"/>
                <w:b/>
                <w:iCs/>
                <w:sz w:val="20"/>
              </w:rPr>
              <w:t>(used in clinical evaluation)</w:t>
            </w:r>
            <w:r w:rsidR="00320E41" w:rsidRPr="00674669">
              <w:rPr>
                <w:rFonts w:ascii="Arial Narrow" w:eastAsiaTheme="majorEastAsia" w:hAnsi="Arial Narrow" w:cs="Times New Roman"/>
                <w:b/>
                <w:iCs/>
                <w:sz w:val="20"/>
                <w:vertAlign w:val="superscript"/>
              </w:rPr>
              <w:t>a</w:t>
            </w:r>
          </w:p>
        </w:tc>
        <w:tc>
          <w:tcPr>
            <w:tcW w:w="910" w:type="pct"/>
          </w:tcPr>
          <w:p w14:paraId="53D6DAA8" w14:textId="2917E697" w:rsidR="001C0ED6" w:rsidRPr="00674669" w:rsidRDefault="001C0ED6"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Cemiplimab+PDC</w:t>
            </w:r>
          </w:p>
          <w:p w14:paraId="25712448" w14:textId="77777777" w:rsidR="001C0ED6" w:rsidRPr="00674669" w:rsidRDefault="001C0ED6"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Study 16113</w:t>
            </w:r>
          </w:p>
          <w:p w14:paraId="748F2E9A" w14:textId="22389871" w:rsidR="001C0ED6" w:rsidRPr="00674669" w:rsidRDefault="001C0ED6" w:rsidP="00C521FE">
            <w:pPr>
              <w:keepNext/>
              <w:jc w:val="center"/>
              <w:rPr>
                <w:rFonts w:ascii="Arial Narrow" w:eastAsiaTheme="majorEastAsia" w:hAnsi="Arial Narrow" w:cs="Times New Roman"/>
                <w:b/>
                <w:i/>
                <w:iCs/>
                <w:sz w:val="20"/>
              </w:rPr>
            </w:pPr>
            <w:r w:rsidRPr="00674669">
              <w:rPr>
                <w:rFonts w:ascii="Arial Narrow" w:eastAsiaTheme="majorEastAsia" w:hAnsi="Arial Narrow" w:cs="Times New Roman"/>
                <w:b/>
                <w:iCs/>
                <w:sz w:val="20"/>
              </w:rPr>
              <w:t>(used in economic evaluation)</w:t>
            </w:r>
          </w:p>
        </w:tc>
        <w:tc>
          <w:tcPr>
            <w:tcW w:w="896" w:type="pct"/>
          </w:tcPr>
          <w:p w14:paraId="33FBC667" w14:textId="77777777" w:rsidR="001C0ED6" w:rsidRPr="00674669" w:rsidRDefault="001C0ED6"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Pembrolizumab+PDC</w:t>
            </w:r>
          </w:p>
          <w:p w14:paraId="5CF72C04" w14:textId="77777777" w:rsidR="001C0ED6" w:rsidRPr="00674669" w:rsidRDefault="001C0ED6"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KN-189 (NSQ)</w:t>
            </w:r>
          </w:p>
        </w:tc>
        <w:tc>
          <w:tcPr>
            <w:tcW w:w="894" w:type="pct"/>
          </w:tcPr>
          <w:p w14:paraId="1160840D" w14:textId="77777777" w:rsidR="001C0ED6" w:rsidRPr="00674669" w:rsidRDefault="001C0ED6"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Pembrolizumab+PDC</w:t>
            </w:r>
          </w:p>
          <w:p w14:paraId="3EB69E18" w14:textId="77777777" w:rsidR="001C0ED6" w:rsidRPr="00674669" w:rsidRDefault="001C0ED6"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KN-407 (SQ)</w:t>
            </w:r>
          </w:p>
        </w:tc>
      </w:tr>
      <w:tr w:rsidR="001C0ED6" w:rsidRPr="00674669" w14:paraId="6CF3DF75" w14:textId="77777777" w:rsidTr="001C0ED6">
        <w:trPr>
          <w:trHeight w:val="238"/>
        </w:trPr>
        <w:tc>
          <w:tcPr>
            <w:tcW w:w="1390" w:type="pct"/>
            <w:vAlign w:val="center"/>
          </w:tcPr>
          <w:p w14:paraId="5465C83B" w14:textId="2D3855E3" w:rsidR="001C0ED6" w:rsidRPr="00674669" w:rsidRDefault="001C0ED6"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 xml:space="preserve">Median follow-up in treatment arm </w:t>
            </w:r>
          </w:p>
        </w:tc>
        <w:tc>
          <w:tcPr>
            <w:tcW w:w="910" w:type="pct"/>
            <w:vAlign w:val="center"/>
          </w:tcPr>
          <w:p w14:paraId="199FC601" w14:textId="79D801D9" w:rsidR="001C0ED6" w:rsidRPr="00674669" w:rsidRDefault="001C0ED6" w:rsidP="001C0ED6">
            <w:pPr>
              <w:keepNext/>
              <w:jc w:val="center"/>
              <w:rPr>
                <w:rFonts w:ascii="Arial Narrow" w:eastAsiaTheme="majorEastAsia" w:hAnsi="Arial Narrow" w:cstheme="majorBidi"/>
                <w:bCs/>
                <w:iCs/>
                <w:sz w:val="20"/>
              </w:rPr>
            </w:pPr>
            <w:r w:rsidRPr="00674669">
              <w:rPr>
                <w:rFonts w:ascii="Arial Narrow" w:eastAsiaTheme="majorEastAsia" w:hAnsi="Arial Narrow" w:cstheme="majorBidi"/>
                <w:bCs/>
                <w:iCs/>
                <w:sz w:val="20"/>
              </w:rPr>
              <w:t>28</w:t>
            </w:r>
            <w:r w:rsidR="00332F02" w:rsidRPr="00674669">
              <w:rPr>
                <w:rFonts w:ascii="Arial Narrow" w:eastAsiaTheme="majorEastAsia" w:hAnsi="Arial Narrow" w:cstheme="majorBidi"/>
                <w:bCs/>
                <w:iCs/>
                <w:sz w:val="20"/>
              </w:rPr>
              <w:t>.</w:t>
            </w:r>
            <w:r w:rsidRPr="00674669">
              <w:rPr>
                <w:rFonts w:ascii="Arial Narrow" w:eastAsiaTheme="majorEastAsia" w:hAnsi="Arial Narrow" w:cstheme="majorBidi"/>
                <w:bCs/>
                <w:iCs/>
                <w:sz w:val="20"/>
              </w:rPr>
              <w:t>4 months</w:t>
            </w:r>
          </w:p>
        </w:tc>
        <w:tc>
          <w:tcPr>
            <w:tcW w:w="910" w:type="pct"/>
            <w:vAlign w:val="center"/>
          </w:tcPr>
          <w:p w14:paraId="5FBF6137" w14:textId="3C8D73C9"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16.4 months</w:t>
            </w:r>
          </w:p>
        </w:tc>
        <w:tc>
          <w:tcPr>
            <w:tcW w:w="896" w:type="pct"/>
            <w:vAlign w:val="center"/>
          </w:tcPr>
          <w:p w14:paraId="4C015664" w14:textId="77777777"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23.1 months</w:t>
            </w:r>
          </w:p>
        </w:tc>
        <w:tc>
          <w:tcPr>
            <w:tcW w:w="894" w:type="pct"/>
            <w:vAlign w:val="center"/>
          </w:tcPr>
          <w:p w14:paraId="6A5C2B3E" w14:textId="77777777"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14.3 months</w:t>
            </w:r>
          </w:p>
        </w:tc>
      </w:tr>
      <w:tr w:rsidR="001C0ED6" w:rsidRPr="00674669" w14:paraId="35CE7039" w14:textId="77777777" w:rsidTr="001C0ED6">
        <w:trPr>
          <w:trHeight w:val="120"/>
        </w:trPr>
        <w:tc>
          <w:tcPr>
            <w:tcW w:w="1390" w:type="pct"/>
            <w:vAlign w:val="center"/>
          </w:tcPr>
          <w:p w14:paraId="62D087F5" w14:textId="77777777" w:rsidR="001C0ED6" w:rsidRPr="00674669" w:rsidRDefault="001C0ED6"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Data cut-off date</w:t>
            </w:r>
          </w:p>
        </w:tc>
        <w:tc>
          <w:tcPr>
            <w:tcW w:w="910" w:type="pct"/>
            <w:vAlign w:val="center"/>
          </w:tcPr>
          <w:p w14:paraId="289987A5" w14:textId="0B7DF304" w:rsidR="001C0ED6" w:rsidRPr="00674669" w:rsidRDefault="00320E41" w:rsidP="001C0ED6">
            <w:pPr>
              <w:keepNext/>
              <w:jc w:val="center"/>
              <w:rPr>
                <w:rFonts w:ascii="Arial Narrow" w:eastAsiaTheme="majorEastAsia" w:hAnsi="Arial Narrow" w:cstheme="majorBidi"/>
                <w:bCs/>
                <w:iCs/>
                <w:sz w:val="20"/>
              </w:rPr>
            </w:pPr>
            <w:r w:rsidRPr="00674669">
              <w:rPr>
                <w:rFonts w:ascii="Arial Narrow" w:eastAsiaTheme="majorEastAsia" w:hAnsi="Arial Narrow" w:cstheme="majorBidi"/>
                <w:bCs/>
                <w:iCs/>
                <w:sz w:val="20"/>
              </w:rPr>
              <w:t xml:space="preserve">14 </w:t>
            </w:r>
            <w:r w:rsidR="001C0ED6" w:rsidRPr="00674669">
              <w:rPr>
                <w:rFonts w:ascii="Arial Narrow" w:eastAsiaTheme="majorEastAsia" w:hAnsi="Arial Narrow" w:cstheme="majorBidi"/>
                <w:bCs/>
                <w:iCs/>
                <w:sz w:val="20"/>
              </w:rPr>
              <w:t>June 2022</w:t>
            </w:r>
          </w:p>
        </w:tc>
        <w:tc>
          <w:tcPr>
            <w:tcW w:w="910" w:type="pct"/>
            <w:vAlign w:val="center"/>
          </w:tcPr>
          <w:p w14:paraId="74FCB6F7" w14:textId="217BE1FE"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14 Jun 2021</w:t>
            </w:r>
          </w:p>
        </w:tc>
        <w:tc>
          <w:tcPr>
            <w:tcW w:w="896" w:type="pct"/>
            <w:vAlign w:val="center"/>
          </w:tcPr>
          <w:p w14:paraId="1E041054" w14:textId="77777777"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21 Sep 2018</w:t>
            </w:r>
          </w:p>
        </w:tc>
        <w:tc>
          <w:tcPr>
            <w:tcW w:w="894" w:type="pct"/>
            <w:vAlign w:val="center"/>
          </w:tcPr>
          <w:p w14:paraId="1CF31DE4" w14:textId="77777777"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9 May 2019</w:t>
            </w:r>
          </w:p>
        </w:tc>
      </w:tr>
      <w:tr w:rsidR="001C0ED6" w:rsidRPr="00674669" w14:paraId="6DDBFA3B" w14:textId="77777777" w:rsidTr="001C0ED6">
        <w:trPr>
          <w:trHeight w:val="238"/>
        </w:trPr>
        <w:tc>
          <w:tcPr>
            <w:tcW w:w="1390" w:type="pct"/>
            <w:vAlign w:val="center"/>
          </w:tcPr>
          <w:p w14:paraId="4BB3FD9E" w14:textId="77777777" w:rsidR="001C0ED6" w:rsidRPr="00674669" w:rsidRDefault="001C0ED6"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Mean duration of treatment (SD) (months)</w:t>
            </w:r>
          </w:p>
        </w:tc>
        <w:tc>
          <w:tcPr>
            <w:tcW w:w="910" w:type="pct"/>
            <w:vAlign w:val="center"/>
          </w:tcPr>
          <w:p w14:paraId="7AF67190" w14:textId="73E67B4A" w:rsidR="001C0ED6" w:rsidRPr="00674669" w:rsidRDefault="001C0ED6" w:rsidP="001C0ED6">
            <w:pPr>
              <w:pStyle w:val="Default"/>
              <w:jc w:val="center"/>
              <w:rPr>
                <w:rFonts w:ascii="Arial Narrow" w:eastAsiaTheme="majorEastAsia" w:hAnsi="Arial Narrow" w:cstheme="majorBidi"/>
                <w:bCs/>
                <w:iCs/>
                <w:color w:val="auto"/>
                <w:sz w:val="20"/>
              </w:rPr>
            </w:pPr>
            <w:r w:rsidRPr="00674669">
              <w:rPr>
                <w:rFonts w:ascii="Arial Narrow" w:eastAsiaTheme="majorEastAsia" w:hAnsi="Arial Narrow" w:cstheme="majorBidi"/>
                <w:bCs/>
                <w:iCs/>
                <w:color w:val="auto"/>
                <w:sz w:val="20"/>
              </w:rPr>
              <w:t>12.3</w:t>
            </w:r>
          </w:p>
        </w:tc>
        <w:tc>
          <w:tcPr>
            <w:tcW w:w="910" w:type="pct"/>
            <w:vAlign w:val="center"/>
          </w:tcPr>
          <w:p w14:paraId="5315781B" w14:textId="24F58B87" w:rsidR="001C0ED6" w:rsidRPr="00674669" w:rsidRDefault="001C0ED6" w:rsidP="00C521FE">
            <w:pPr>
              <w:pStyle w:val="Default"/>
              <w:jc w:val="center"/>
              <w:rPr>
                <w:rFonts w:ascii="Arial Narrow" w:eastAsiaTheme="majorEastAsia" w:hAnsi="Arial Narrow" w:cstheme="majorBidi"/>
                <w:bCs/>
                <w:color w:val="auto"/>
                <w:sz w:val="20"/>
              </w:rPr>
            </w:pPr>
            <w:r w:rsidRPr="00674669">
              <w:rPr>
                <w:rFonts w:ascii="Arial Narrow" w:eastAsiaTheme="majorEastAsia" w:hAnsi="Arial Narrow" w:cstheme="majorBidi"/>
                <w:bCs/>
                <w:color w:val="auto"/>
                <w:sz w:val="20"/>
              </w:rPr>
              <w:t>10.5 (6.4)</w:t>
            </w:r>
          </w:p>
        </w:tc>
        <w:tc>
          <w:tcPr>
            <w:tcW w:w="896" w:type="pct"/>
            <w:vAlign w:val="center"/>
          </w:tcPr>
          <w:p w14:paraId="79AD7840" w14:textId="77777777" w:rsidR="001C0ED6" w:rsidRPr="00674669" w:rsidRDefault="001C0ED6" w:rsidP="00C521FE">
            <w:pPr>
              <w:pStyle w:val="Default"/>
              <w:jc w:val="center"/>
              <w:rPr>
                <w:rFonts w:ascii="Arial Narrow" w:eastAsiaTheme="majorEastAsia" w:hAnsi="Arial Narrow" w:cstheme="majorBidi"/>
                <w:bCs/>
                <w:color w:val="auto"/>
                <w:sz w:val="20"/>
              </w:rPr>
            </w:pPr>
            <w:r w:rsidRPr="00674669">
              <w:rPr>
                <w:rFonts w:ascii="Arial Narrow" w:eastAsiaTheme="majorEastAsia" w:hAnsi="Arial Narrow" w:cstheme="majorBidi"/>
                <w:bCs/>
                <w:color w:val="auto"/>
                <w:sz w:val="20"/>
              </w:rPr>
              <w:t>9.8 (7.8)</w:t>
            </w:r>
          </w:p>
        </w:tc>
        <w:tc>
          <w:tcPr>
            <w:tcW w:w="894" w:type="pct"/>
            <w:vAlign w:val="center"/>
          </w:tcPr>
          <w:p w14:paraId="0EEB244B" w14:textId="77777777"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Not reported</w:t>
            </w:r>
          </w:p>
        </w:tc>
      </w:tr>
      <w:tr w:rsidR="001C0ED6" w:rsidRPr="00674669" w14:paraId="42EE39C7" w14:textId="77777777" w:rsidTr="001C0ED6">
        <w:trPr>
          <w:trHeight w:val="238"/>
        </w:trPr>
        <w:tc>
          <w:tcPr>
            <w:tcW w:w="1390" w:type="pct"/>
            <w:vAlign w:val="center"/>
          </w:tcPr>
          <w:p w14:paraId="2B1B90FC" w14:textId="77777777" w:rsidR="001C0ED6" w:rsidRPr="00674669" w:rsidRDefault="001C0ED6"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Median duration of treatment (months)</w:t>
            </w:r>
          </w:p>
        </w:tc>
        <w:tc>
          <w:tcPr>
            <w:tcW w:w="910" w:type="pct"/>
            <w:vAlign w:val="center"/>
          </w:tcPr>
          <w:p w14:paraId="62411165" w14:textId="0F017BAD" w:rsidR="001C0ED6" w:rsidRPr="00674669" w:rsidRDefault="00524078" w:rsidP="001C0ED6">
            <w:pPr>
              <w:pStyle w:val="Default"/>
              <w:jc w:val="center"/>
              <w:rPr>
                <w:rFonts w:ascii="Arial Narrow" w:eastAsiaTheme="majorEastAsia" w:hAnsi="Arial Narrow" w:cstheme="majorBidi"/>
                <w:bCs/>
                <w:iCs/>
                <w:color w:val="auto"/>
                <w:sz w:val="20"/>
              </w:rPr>
            </w:pPr>
            <w:r w:rsidRPr="00674669">
              <w:rPr>
                <w:rFonts w:ascii="Arial Narrow" w:eastAsiaTheme="majorEastAsia" w:hAnsi="Arial Narrow" w:cstheme="majorBidi"/>
                <w:bCs/>
                <w:iCs/>
                <w:color w:val="auto"/>
                <w:sz w:val="20"/>
              </w:rPr>
              <w:t>9.0</w:t>
            </w:r>
          </w:p>
        </w:tc>
        <w:tc>
          <w:tcPr>
            <w:tcW w:w="910" w:type="pct"/>
            <w:vAlign w:val="center"/>
          </w:tcPr>
          <w:p w14:paraId="5B95EE95" w14:textId="5B6F9201" w:rsidR="001C0ED6" w:rsidRPr="00674669" w:rsidRDefault="001C0ED6" w:rsidP="00C521FE">
            <w:pPr>
              <w:pStyle w:val="Default"/>
              <w:jc w:val="center"/>
              <w:rPr>
                <w:rFonts w:ascii="Arial Narrow" w:eastAsiaTheme="majorEastAsia" w:hAnsi="Arial Narrow" w:cstheme="majorBidi"/>
                <w:bCs/>
                <w:color w:val="auto"/>
                <w:sz w:val="20"/>
              </w:rPr>
            </w:pPr>
            <w:r w:rsidRPr="00674669">
              <w:rPr>
                <w:rFonts w:ascii="Arial Narrow" w:eastAsiaTheme="majorEastAsia" w:hAnsi="Arial Narrow" w:cstheme="majorBidi"/>
                <w:bCs/>
                <w:color w:val="auto"/>
                <w:sz w:val="20"/>
              </w:rPr>
              <w:t>9.7</w:t>
            </w:r>
          </w:p>
        </w:tc>
        <w:tc>
          <w:tcPr>
            <w:tcW w:w="896" w:type="pct"/>
            <w:vAlign w:val="center"/>
          </w:tcPr>
          <w:p w14:paraId="21EEBE92" w14:textId="77777777" w:rsidR="001C0ED6" w:rsidRPr="00674669" w:rsidRDefault="001C0ED6" w:rsidP="00C521FE">
            <w:pPr>
              <w:pStyle w:val="Default"/>
              <w:jc w:val="center"/>
              <w:rPr>
                <w:rFonts w:ascii="Arial Narrow" w:eastAsiaTheme="majorEastAsia" w:hAnsi="Arial Narrow" w:cstheme="majorBidi"/>
                <w:bCs/>
                <w:color w:val="auto"/>
                <w:sz w:val="20"/>
              </w:rPr>
            </w:pPr>
            <w:r w:rsidRPr="00674669">
              <w:rPr>
                <w:rFonts w:ascii="Arial Narrow" w:eastAsiaTheme="majorEastAsia" w:hAnsi="Arial Narrow" w:cstheme="majorBidi"/>
                <w:bCs/>
                <w:color w:val="auto"/>
                <w:sz w:val="20"/>
              </w:rPr>
              <w:t>Not reported</w:t>
            </w:r>
          </w:p>
        </w:tc>
        <w:tc>
          <w:tcPr>
            <w:tcW w:w="894" w:type="pct"/>
            <w:vAlign w:val="center"/>
          </w:tcPr>
          <w:p w14:paraId="5F11A4DA" w14:textId="7A30A1FB"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 xml:space="preserve">7.1 </w:t>
            </w:r>
          </w:p>
        </w:tc>
      </w:tr>
      <w:tr w:rsidR="001C0ED6" w:rsidRPr="00674669" w14:paraId="11D9F474" w14:textId="77777777" w:rsidTr="001C0ED6">
        <w:trPr>
          <w:trHeight w:val="238"/>
        </w:trPr>
        <w:tc>
          <w:tcPr>
            <w:tcW w:w="1390" w:type="pct"/>
            <w:vAlign w:val="center"/>
          </w:tcPr>
          <w:p w14:paraId="482B676D" w14:textId="77777777" w:rsidR="001C0ED6" w:rsidRPr="00674669" w:rsidRDefault="001C0ED6"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Treatment ongoing at median follow-up, n/N (%)</w:t>
            </w:r>
          </w:p>
        </w:tc>
        <w:tc>
          <w:tcPr>
            <w:tcW w:w="910" w:type="pct"/>
            <w:vAlign w:val="center"/>
          </w:tcPr>
          <w:p w14:paraId="7AA1A934" w14:textId="32FA68DC" w:rsidR="001C0ED6" w:rsidRPr="00674669" w:rsidRDefault="00320E41" w:rsidP="001C0ED6">
            <w:pPr>
              <w:pStyle w:val="Default"/>
              <w:jc w:val="center"/>
              <w:rPr>
                <w:rFonts w:ascii="Arial Narrow" w:eastAsiaTheme="majorEastAsia" w:hAnsi="Arial Narrow" w:cstheme="majorBidi"/>
                <w:bCs/>
                <w:iCs/>
                <w:color w:val="auto"/>
                <w:sz w:val="20"/>
              </w:rPr>
            </w:pPr>
            <w:r w:rsidRPr="00674669">
              <w:rPr>
                <w:rFonts w:ascii="Arial Narrow" w:eastAsiaTheme="majorEastAsia" w:hAnsi="Arial Narrow" w:cstheme="majorBidi"/>
                <w:bCs/>
                <w:iCs/>
                <w:color w:val="auto"/>
                <w:sz w:val="20"/>
              </w:rPr>
              <w:t>20/312 (</w:t>
            </w:r>
            <w:r w:rsidR="00E357B7" w:rsidRPr="00674669">
              <w:rPr>
                <w:rFonts w:ascii="Arial Narrow" w:eastAsiaTheme="majorEastAsia" w:hAnsi="Arial Narrow" w:cstheme="majorBidi"/>
                <w:bCs/>
                <w:iCs/>
                <w:color w:val="auto"/>
                <w:sz w:val="20"/>
              </w:rPr>
              <w:t>6.4%</w:t>
            </w:r>
            <w:r w:rsidR="009D0118" w:rsidRPr="00674669">
              <w:rPr>
                <w:rFonts w:ascii="Arial Narrow" w:eastAsiaTheme="majorEastAsia" w:hAnsi="Arial Narrow" w:cstheme="majorBidi"/>
                <w:bCs/>
                <w:iCs/>
                <w:color w:val="auto"/>
                <w:sz w:val="20"/>
              </w:rPr>
              <w:t>)</w:t>
            </w:r>
          </w:p>
        </w:tc>
        <w:tc>
          <w:tcPr>
            <w:tcW w:w="910" w:type="pct"/>
            <w:vAlign w:val="center"/>
          </w:tcPr>
          <w:p w14:paraId="442B9C29" w14:textId="0264F813" w:rsidR="001C0ED6" w:rsidRPr="00674669" w:rsidRDefault="001C0ED6" w:rsidP="00C521FE">
            <w:pPr>
              <w:pStyle w:val="Default"/>
              <w:jc w:val="center"/>
              <w:rPr>
                <w:rFonts w:ascii="Arial Narrow" w:eastAsiaTheme="majorEastAsia" w:hAnsi="Arial Narrow" w:cstheme="majorBidi"/>
                <w:bCs/>
                <w:color w:val="auto"/>
                <w:sz w:val="20"/>
              </w:rPr>
            </w:pPr>
            <w:r w:rsidRPr="00674669">
              <w:rPr>
                <w:rFonts w:ascii="Arial Narrow" w:eastAsiaTheme="majorEastAsia" w:hAnsi="Arial Narrow" w:cstheme="majorBidi"/>
                <w:bCs/>
                <w:sz w:val="20"/>
              </w:rPr>
              <w:t>108/312 (34.6%)</w:t>
            </w:r>
          </w:p>
        </w:tc>
        <w:tc>
          <w:tcPr>
            <w:tcW w:w="896" w:type="pct"/>
            <w:vAlign w:val="center"/>
          </w:tcPr>
          <w:p w14:paraId="5812A962" w14:textId="77777777" w:rsidR="001C0ED6" w:rsidRPr="00674669" w:rsidRDefault="001C0ED6" w:rsidP="00C521FE">
            <w:pPr>
              <w:pStyle w:val="Default"/>
              <w:jc w:val="center"/>
              <w:rPr>
                <w:rFonts w:ascii="Arial Narrow" w:eastAsiaTheme="majorEastAsia" w:hAnsi="Arial Narrow" w:cstheme="majorBidi"/>
                <w:bCs/>
                <w:color w:val="auto"/>
                <w:sz w:val="20"/>
              </w:rPr>
            </w:pPr>
            <w:r w:rsidRPr="00674669">
              <w:rPr>
                <w:rFonts w:ascii="Arial Narrow" w:eastAsiaTheme="majorEastAsia" w:hAnsi="Arial Narrow" w:cstheme="majorBidi"/>
                <w:bCs/>
                <w:sz w:val="20"/>
              </w:rPr>
              <w:t>58/616 (14.1%)</w:t>
            </w:r>
          </w:p>
        </w:tc>
        <w:tc>
          <w:tcPr>
            <w:tcW w:w="894" w:type="pct"/>
            <w:vAlign w:val="center"/>
          </w:tcPr>
          <w:p w14:paraId="5EF9024C" w14:textId="77777777" w:rsidR="001C0ED6" w:rsidRPr="00674669" w:rsidRDefault="001C0ED6"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40/278 (14.4%)</w:t>
            </w:r>
          </w:p>
        </w:tc>
      </w:tr>
    </w:tbl>
    <w:p w14:paraId="7183CD9F" w14:textId="77777777" w:rsidR="008437A4" w:rsidRPr="00674669" w:rsidRDefault="008437A4" w:rsidP="008437A4">
      <w:pPr>
        <w:pStyle w:val="FooterTableFigure"/>
      </w:pPr>
      <w:r w:rsidRPr="00674669">
        <w:t xml:space="preserve">Source: Table 3-3, p88 of the submission. </w:t>
      </w:r>
    </w:p>
    <w:p w14:paraId="6874318A" w14:textId="440B3289" w:rsidR="008437A4" w:rsidRPr="00674669" w:rsidRDefault="008437A4" w:rsidP="008437A4">
      <w:pPr>
        <w:pStyle w:val="FooterTableFigure"/>
      </w:pPr>
      <w:r w:rsidRPr="00674669">
        <w:t>n = number of participants reporting data; N = total participants in group; NSQ = non-squamous; PDC = platinum doublet chemotherapy; SD = standard deviation; SQ = squamous.</w:t>
      </w:r>
    </w:p>
    <w:p w14:paraId="7C9E7E91" w14:textId="28EE08FE" w:rsidR="00320E41" w:rsidRPr="00674669" w:rsidRDefault="00320E41" w:rsidP="008437A4">
      <w:pPr>
        <w:pStyle w:val="FooterTableFigure"/>
        <w:rPr>
          <w:iCs/>
        </w:rPr>
      </w:pPr>
      <w:r w:rsidRPr="00674669">
        <w:rPr>
          <w:iCs/>
          <w:vertAlign w:val="superscript"/>
        </w:rPr>
        <w:t>a</w:t>
      </w:r>
      <w:r w:rsidRPr="00674669">
        <w:rPr>
          <w:iCs/>
        </w:rPr>
        <w:t xml:space="preserve"> Makharadze et al, 2023</w:t>
      </w:r>
    </w:p>
    <w:p w14:paraId="3EF68746" w14:textId="38FC29DF" w:rsidR="00AD26DB" w:rsidRPr="00674669" w:rsidRDefault="00AD26DB" w:rsidP="00AD26DB">
      <w:pPr>
        <w:pStyle w:val="3-BodyText"/>
      </w:pPr>
      <w:bookmarkStart w:id="75" w:name="_Hlk150415385"/>
      <w:r w:rsidRPr="00674669">
        <w:t xml:space="preserve">Given high utilisation of pembrolizumab (200 mg Q3W; 92%) as per PBS and RPBS items processed, the submission considered cemiplimab+PDC (350 mg Q3W) was unlikely to substitute for pembrolizumab (400 mg Q6W) to a significant extent. This was consistent with approach used for CMA in cemiplimab monotherapy for Stage IV NSCLC (paragraph 6.38, cemiplimab, </w:t>
      </w:r>
      <w:r w:rsidR="00386C2D">
        <w:t>PSD</w:t>
      </w:r>
      <w:r w:rsidRPr="00674669">
        <w:t xml:space="preserve">, November 2021 PBAC meeting). </w:t>
      </w:r>
      <w:bookmarkEnd w:id="75"/>
      <w:r w:rsidRPr="00674669">
        <w:t xml:space="preserve">The use of pembrolizumab 200 mg Q3W and 400 mg Q6W was tested in the sensitivity analyses conducted during </w:t>
      </w:r>
      <w:r w:rsidR="00524B21" w:rsidRPr="00674669">
        <w:t xml:space="preserve">the </w:t>
      </w:r>
      <w:r w:rsidRPr="00674669">
        <w:t>evaluation.</w:t>
      </w:r>
    </w:p>
    <w:p w14:paraId="12B06139" w14:textId="15B06E62" w:rsidR="00AD26DB" w:rsidRPr="00674669" w:rsidRDefault="00AD26DB" w:rsidP="00AD26DB">
      <w:pPr>
        <w:pStyle w:val="3-BodyText"/>
      </w:pPr>
      <w:r w:rsidRPr="00674669">
        <w:t xml:space="preserve">The equi-effective doses did not account for differences in relative dose intensity (RDI), as the dosing intensity data were missing from the KN studies. </w:t>
      </w:r>
    </w:p>
    <w:p w14:paraId="138E848D" w14:textId="77777777" w:rsidR="00AD26DB" w:rsidRPr="00674669" w:rsidRDefault="00AD26DB" w:rsidP="00AD26DB">
      <w:pPr>
        <w:pStyle w:val="3-BodyText"/>
      </w:pPr>
      <w:r w:rsidRPr="00674669">
        <w:t xml:space="preserve">The submission excluded the costs of chemotherapy in the CMA for both cemiplimab+PDC and pembrolizumab+PDC, assuming that the type and number of courses of chemotherapy would not differ between the two arms. This was reasonable given that the number of doses for chemotherapy and chemotherapy regimen was largely similar across the studies. </w:t>
      </w:r>
    </w:p>
    <w:p w14:paraId="5D7FDB94" w14:textId="2A98F21D" w:rsidR="00AD26DB" w:rsidRPr="00674669" w:rsidRDefault="00AD26DB" w:rsidP="00AD26DB">
      <w:pPr>
        <w:pStyle w:val="3-BodyText"/>
      </w:pPr>
      <w:r w:rsidRPr="00674669">
        <w:t xml:space="preserve">The submission did not include the cost of conducting PD-L1 test (MBS Item: 72814) given that the test is conducted once for every new patient diagnosed with NSCLC to determine the choice of therapy and the PBS listing of cemiplimab+PDC was not expected to change the clinical practice or increase the utilisation of the test. This was reasonable and consistent with cemiplimab monotherapy for Stage IV (metastatic) NSCLC (paragraph 6.41, cemiplimab, </w:t>
      </w:r>
      <w:r w:rsidR="00386C2D">
        <w:t>PSD</w:t>
      </w:r>
      <w:r w:rsidRPr="00674669">
        <w:t>, November 2021 PBAC meeting).</w:t>
      </w:r>
    </w:p>
    <w:p w14:paraId="0D17AC1D" w14:textId="77777777" w:rsidR="00AD26DB" w:rsidRPr="00674669" w:rsidRDefault="00AD26DB" w:rsidP="00AD26DB">
      <w:pPr>
        <w:pStyle w:val="3-BodyText"/>
      </w:pPr>
      <w:r w:rsidRPr="00674669">
        <w:t>The submission also excluded the cost of adverse events based on the assumption that the safety profiles of cemiplimab+PDC and pembrolizumab+PDC are non-inferior. This was reasonable given that the safety profiles of PD-L1 inhibitors are likely to be similar.</w:t>
      </w:r>
    </w:p>
    <w:p w14:paraId="603284DD" w14:textId="36216133" w:rsidR="00AD26DB" w:rsidRPr="00674669" w:rsidRDefault="00AD26DB" w:rsidP="00AD26DB">
      <w:pPr>
        <w:pStyle w:val="3-BodyText"/>
      </w:pPr>
      <w:r w:rsidRPr="00674669">
        <w:rPr>
          <w:iCs/>
        </w:rPr>
        <w:lastRenderedPageBreak/>
        <w:t xml:space="preserve">The results of the CMA are summarised in </w:t>
      </w:r>
      <w:r w:rsidRPr="00674669">
        <w:rPr>
          <w:iCs/>
        </w:rPr>
        <w:fldChar w:fldCharType="begin" w:fldLock="1"/>
      </w:r>
      <w:r w:rsidRPr="00674669">
        <w:rPr>
          <w:iCs/>
        </w:rPr>
        <w:instrText xml:space="preserve"> REF _Ref141803935 \h </w:instrText>
      </w:r>
      <w:r w:rsidRPr="00674669">
        <w:rPr>
          <w:iCs/>
        </w:rPr>
      </w:r>
      <w:r w:rsidRPr="00674669">
        <w:rPr>
          <w:iCs/>
        </w:rPr>
        <w:fldChar w:fldCharType="separate"/>
      </w:r>
      <w:r w:rsidR="003E788A" w:rsidRPr="00674669">
        <w:t xml:space="preserve">Table </w:t>
      </w:r>
      <w:r w:rsidR="006E6632" w:rsidRPr="00674669">
        <w:t>10</w:t>
      </w:r>
      <w:r w:rsidRPr="00674669">
        <w:rPr>
          <w:iCs/>
        </w:rPr>
        <w:fldChar w:fldCharType="end"/>
      </w:r>
      <w:r w:rsidRPr="00674669">
        <w:rPr>
          <w:iCs/>
        </w:rPr>
        <w:t>.</w:t>
      </w:r>
    </w:p>
    <w:p w14:paraId="0D1FF232" w14:textId="32A1D34D" w:rsidR="00AD26DB" w:rsidRPr="00674669" w:rsidRDefault="00AD26DB" w:rsidP="00AD26DB">
      <w:pPr>
        <w:pStyle w:val="Caption"/>
      </w:pPr>
      <w:bookmarkStart w:id="76" w:name="_Ref141803935"/>
      <w:r w:rsidRPr="00674669">
        <w:t xml:space="preserve">Table </w:t>
      </w:r>
      <w:bookmarkEnd w:id="76"/>
      <w:r w:rsidR="006E6632" w:rsidRPr="00674669">
        <w:t>10</w:t>
      </w:r>
      <w:r w:rsidRPr="00674669">
        <w:t>: Result of cost-minimisation approach using effective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552"/>
        <w:gridCol w:w="2784"/>
      </w:tblGrid>
      <w:tr w:rsidR="00AD26DB" w:rsidRPr="00674669" w14:paraId="5C4919B6" w14:textId="77777777" w:rsidTr="00C521FE">
        <w:tc>
          <w:tcPr>
            <w:tcW w:w="2041" w:type="pct"/>
          </w:tcPr>
          <w:p w14:paraId="1D9B2ED3" w14:textId="77777777" w:rsidR="00AD26DB" w:rsidRPr="00674669" w:rsidRDefault="00AD26DB" w:rsidP="00C521FE">
            <w:pPr>
              <w:keepNext/>
              <w:jc w:val="left"/>
              <w:rPr>
                <w:rFonts w:ascii="Arial Narrow" w:eastAsiaTheme="majorEastAsia" w:hAnsi="Arial Narrow" w:cs="Times New Roman"/>
                <w:b/>
                <w:sz w:val="20"/>
              </w:rPr>
            </w:pPr>
            <w:r w:rsidRPr="00674669">
              <w:rPr>
                <w:rFonts w:ascii="Arial Narrow" w:eastAsiaTheme="majorEastAsia" w:hAnsi="Arial Narrow" w:cs="Times New Roman"/>
                <w:b/>
                <w:sz w:val="20"/>
              </w:rPr>
              <w:t>Component</w:t>
            </w:r>
          </w:p>
        </w:tc>
        <w:tc>
          <w:tcPr>
            <w:tcW w:w="1415" w:type="pct"/>
          </w:tcPr>
          <w:p w14:paraId="65601324"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Cemiplimab 350 mg</w:t>
            </w:r>
          </w:p>
        </w:tc>
        <w:tc>
          <w:tcPr>
            <w:tcW w:w="1544" w:type="pct"/>
          </w:tcPr>
          <w:p w14:paraId="31CB38A7" w14:textId="77777777" w:rsidR="00AD26DB" w:rsidRPr="00674669" w:rsidRDefault="00AD26DB" w:rsidP="00C521FE">
            <w:pPr>
              <w:keepNext/>
              <w:jc w:val="center"/>
              <w:rPr>
                <w:rFonts w:ascii="Arial Narrow" w:eastAsiaTheme="majorEastAsia" w:hAnsi="Arial Narrow" w:cs="Times New Roman"/>
                <w:b/>
                <w:sz w:val="20"/>
              </w:rPr>
            </w:pPr>
            <w:r w:rsidRPr="00674669">
              <w:rPr>
                <w:rFonts w:ascii="Arial Narrow" w:eastAsiaTheme="majorEastAsia" w:hAnsi="Arial Narrow" w:cs="Times New Roman"/>
                <w:b/>
                <w:sz w:val="20"/>
              </w:rPr>
              <w:t>Pembrolizumab 200 mg</w:t>
            </w:r>
          </w:p>
        </w:tc>
      </w:tr>
      <w:tr w:rsidR="00AD26DB" w:rsidRPr="00674669" w14:paraId="01FBE3E3" w14:textId="77777777" w:rsidTr="00C521FE">
        <w:tc>
          <w:tcPr>
            <w:tcW w:w="5000" w:type="pct"/>
            <w:gridSpan w:val="3"/>
          </w:tcPr>
          <w:p w14:paraId="7B6C3A0C" w14:textId="77777777" w:rsidR="00AD26DB" w:rsidRPr="00674669" w:rsidRDefault="00AD26DB" w:rsidP="00C521FE">
            <w:pPr>
              <w:keepNext/>
              <w:jc w:val="left"/>
              <w:rPr>
                <w:rFonts w:ascii="Arial Narrow" w:eastAsiaTheme="majorEastAsia" w:hAnsi="Arial Narrow" w:cstheme="majorBidi"/>
                <w:b/>
                <w:sz w:val="20"/>
              </w:rPr>
            </w:pPr>
            <w:r w:rsidRPr="00674669">
              <w:rPr>
                <w:rFonts w:ascii="Arial Narrow" w:eastAsiaTheme="majorEastAsia" w:hAnsi="Arial Narrow" w:cstheme="majorBidi"/>
                <w:b/>
                <w:sz w:val="20"/>
              </w:rPr>
              <w:t>Drug cost (ex-manufacturer price) per administration</w:t>
            </w:r>
          </w:p>
        </w:tc>
      </w:tr>
      <w:tr w:rsidR="00AD26DB" w:rsidRPr="00674669" w14:paraId="1027C62A" w14:textId="77777777" w:rsidTr="00C521FE">
        <w:tc>
          <w:tcPr>
            <w:tcW w:w="2041" w:type="pct"/>
          </w:tcPr>
          <w:p w14:paraId="376222F4"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Dose per administration</w:t>
            </w:r>
          </w:p>
        </w:tc>
        <w:tc>
          <w:tcPr>
            <w:tcW w:w="1415" w:type="pct"/>
          </w:tcPr>
          <w:p w14:paraId="4AE3B9EB" w14:textId="7F61C746"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350</w:t>
            </w:r>
            <w:r w:rsidR="00B7666A" w:rsidRPr="00674669">
              <w:rPr>
                <w:rFonts w:ascii="Arial Narrow" w:eastAsiaTheme="majorEastAsia" w:hAnsi="Arial Narrow" w:cstheme="majorBidi"/>
                <w:bCs/>
                <w:sz w:val="20"/>
              </w:rPr>
              <w:t xml:space="preserve"> </w:t>
            </w:r>
            <w:r w:rsidRPr="00674669">
              <w:rPr>
                <w:rFonts w:ascii="Arial Narrow" w:eastAsiaTheme="majorEastAsia" w:hAnsi="Arial Narrow" w:cstheme="majorBidi"/>
                <w:bCs/>
                <w:sz w:val="20"/>
              </w:rPr>
              <w:t>mg</w:t>
            </w:r>
          </w:p>
        </w:tc>
        <w:tc>
          <w:tcPr>
            <w:tcW w:w="1544" w:type="pct"/>
          </w:tcPr>
          <w:p w14:paraId="1D603D99" w14:textId="51794A12"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200</w:t>
            </w:r>
            <w:r w:rsidR="00B7666A" w:rsidRPr="00674669">
              <w:rPr>
                <w:rFonts w:ascii="Arial Narrow" w:eastAsiaTheme="majorEastAsia" w:hAnsi="Arial Narrow" w:cstheme="majorBidi"/>
                <w:bCs/>
                <w:sz w:val="20"/>
              </w:rPr>
              <w:t xml:space="preserve"> </w:t>
            </w:r>
            <w:r w:rsidRPr="00674669">
              <w:rPr>
                <w:rFonts w:ascii="Arial Narrow" w:eastAsiaTheme="majorEastAsia" w:hAnsi="Arial Narrow" w:cstheme="majorBidi"/>
                <w:bCs/>
                <w:sz w:val="20"/>
              </w:rPr>
              <w:t>mg</w:t>
            </w:r>
          </w:p>
        </w:tc>
      </w:tr>
      <w:tr w:rsidR="00AD26DB" w:rsidRPr="00674669" w14:paraId="2BD08EC2" w14:textId="77777777" w:rsidTr="00C521FE">
        <w:tc>
          <w:tcPr>
            <w:tcW w:w="2041" w:type="pct"/>
          </w:tcPr>
          <w:p w14:paraId="60E9F9D8"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Vials required per administration (mg)</w:t>
            </w:r>
          </w:p>
        </w:tc>
        <w:tc>
          <w:tcPr>
            <w:tcW w:w="1415" w:type="pct"/>
          </w:tcPr>
          <w:p w14:paraId="0B22C357"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 (350 mg)</w:t>
            </w:r>
          </w:p>
        </w:tc>
        <w:tc>
          <w:tcPr>
            <w:tcW w:w="1544" w:type="pct"/>
          </w:tcPr>
          <w:p w14:paraId="4FAC9B59"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 (100 mg)</w:t>
            </w:r>
          </w:p>
        </w:tc>
      </w:tr>
      <w:tr w:rsidR="00AD26DB" w:rsidRPr="00674669" w14:paraId="46E8B23E" w14:textId="77777777" w:rsidTr="00C521FE">
        <w:tc>
          <w:tcPr>
            <w:tcW w:w="2041" w:type="pct"/>
          </w:tcPr>
          <w:p w14:paraId="7B0171C1"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 xml:space="preserve">Effective AEMP per vial </w:t>
            </w:r>
          </w:p>
        </w:tc>
        <w:tc>
          <w:tcPr>
            <w:tcW w:w="1415" w:type="pct"/>
          </w:tcPr>
          <w:p w14:paraId="0175EBAF" w14:textId="2593DB3D"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r w:rsidR="00FD694A">
              <w:rPr>
                <w:rFonts w:ascii="Arial Narrow" w:eastAsiaTheme="majorEastAsia" w:hAnsi="Arial Narrow" w:cstheme="majorBidi"/>
                <w:bCs/>
                <w:sz w:val="20"/>
              </w:rPr>
              <w:t xml:space="preserve"> </w:t>
            </w:r>
            <w:r w:rsidR="00FD694A" w:rsidRPr="00FD694A">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FB31DD" w:rsidRPr="00674669">
              <w:rPr>
                <w:rFonts w:ascii="Arial Narrow" w:eastAsiaTheme="majorEastAsia" w:hAnsi="Arial Narrow" w:cstheme="majorBidi"/>
                <w:bCs/>
                <w:sz w:val="20"/>
                <w:vertAlign w:val="superscript"/>
              </w:rPr>
              <w:t>a</w:t>
            </w:r>
          </w:p>
        </w:tc>
        <w:tc>
          <w:tcPr>
            <w:tcW w:w="1544" w:type="pct"/>
          </w:tcPr>
          <w:p w14:paraId="23DF41B6" w14:textId="62112700" w:rsidR="00AD26DB" w:rsidRPr="00505DA0" w:rsidRDefault="00AD26DB" w:rsidP="00C521FE">
            <w:pPr>
              <w:keepNext/>
              <w:jc w:val="center"/>
              <w:rPr>
                <w:rFonts w:ascii="Arial Narrow" w:eastAsiaTheme="majorEastAsia" w:hAnsi="Arial Narrow" w:cstheme="majorBidi"/>
                <w:bCs/>
                <w:sz w:val="20"/>
              </w:rPr>
            </w:pPr>
            <w:r w:rsidRPr="00505DA0">
              <w:rPr>
                <w:rFonts w:ascii="Arial Narrow" w:eastAsiaTheme="majorEastAsia" w:hAnsi="Arial Narrow" w:cstheme="majorBidi"/>
                <w:bCs/>
                <w:sz w:val="20"/>
              </w:rPr>
              <w:t>$</w:t>
            </w:r>
            <w:r w:rsidR="00FD694A">
              <w:rPr>
                <w:rFonts w:ascii="Arial Narrow" w:eastAsiaTheme="majorEastAsia" w:hAnsi="Arial Narrow" w:cstheme="majorBidi"/>
                <w:bCs/>
                <w:sz w:val="20"/>
              </w:rPr>
              <w:t xml:space="preserve"> </w:t>
            </w:r>
            <w:r w:rsidR="00FD694A" w:rsidRPr="00FD694A">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AD26DB" w:rsidRPr="00674669" w14:paraId="770A2405" w14:textId="77777777" w:rsidTr="00C521FE">
        <w:tc>
          <w:tcPr>
            <w:tcW w:w="2041" w:type="pct"/>
          </w:tcPr>
          <w:p w14:paraId="680AD2AB"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Effective AEMP per administration</w:t>
            </w:r>
          </w:p>
        </w:tc>
        <w:tc>
          <w:tcPr>
            <w:tcW w:w="1415" w:type="pct"/>
          </w:tcPr>
          <w:p w14:paraId="0240E010" w14:textId="33C2B5CC"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r w:rsidR="00FD694A">
              <w:rPr>
                <w:rFonts w:ascii="Arial Narrow" w:eastAsiaTheme="majorEastAsia" w:hAnsi="Arial Narrow" w:cstheme="majorBidi"/>
                <w:bCs/>
                <w:sz w:val="20"/>
              </w:rPr>
              <w:t xml:space="preserve"> </w:t>
            </w:r>
            <w:r w:rsidR="00FD694A" w:rsidRPr="00FD694A">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544" w:type="pct"/>
          </w:tcPr>
          <w:p w14:paraId="0DE0758C" w14:textId="15B19D57" w:rsidR="00AD26DB" w:rsidRPr="00505DA0" w:rsidRDefault="00AD26DB" w:rsidP="00C521FE">
            <w:pPr>
              <w:keepNext/>
              <w:jc w:val="center"/>
              <w:rPr>
                <w:rFonts w:ascii="Arial Narrow" w:eastAsiaTheme="majorEastAsia" w:hAnsi="Arial Narrow" w:cstheme="majorBidi"/>
                <w:bCs/>
                <w:sz w:val="20"/>
              </w:rPr>
            </w:pPr>
            <w:r w:rsidRPr="00505DA0">
              <w:rPr>
                <w:rFonts w:ascii="Arial Narrow" w:eastAsiaTheme="majorEastAsia" w:hAnsi="Arial Narrow" w:cstheme="majorBidi"/>
                <w:bCs/>
                <w:sz w:val="20"/>
              </w:rPr>
              <w:t>$</w:t>
            </w:r>
            <w:r w:rsidR="00FD694A">
              <w:rPr>
                <w:rFonts w:ascii="Arial Narrow" w:eastAsiaTheme="majorEastAsia" w:hAnsi="Arial Narrow" w:cstheme="majorBidi"/>
                <w:bCs/>
                <w:sz w:val="20"/>
              </w:rPr>
              <w:t xml:space="preserve"> </w:t>
            </w:r>
            <w:r w:rsidR="00FD694A" w:rsidRPr="00FD694A">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AD26DB" w:rsidRPr="00674669" w14:paraId="48DA385B" w14:textId="77777777" w:rsidTr="00C521FE">
        <w:tc>
          <w:tcPr>
            <w:tcW w:w="5000" w:type="pct"/>
            <w:gridSpan w:val="3"/>
          </w:tcPr>
          <w:p w14:paraId="5B14D272" w14:textId="77777777" w:rsidR="00AD26DB" w:rsidRPr="00505DA0" w:rsidRDefault="00AD26DB" w:rsidP="00C521FE">
            <w:pPr>
              <w:keepNext/>
              <w:jc w:val="left"/>
              <w:rPr>
                <w:rFonts w:ascii="Arial Narrow" w:eastAsiaTheme="majorEastAsia" w:hAnsi="Arial Narrow" w:cstheme="majorBidi"/>
                <w:b/>
                <w:sz w:val="20"/>
              </w:rPr>
            </w:pPr>
            <w:r w:rsidRPr="00505DA0">
              <w:rPr>
                <w:rFonts w:ascii="Arial Narrow" w:eastAsiaTheme="majorEastAsia" w:hAnsi="Arial Narrow" w:cstheme="majorBidi"/>
                <w:b/>
                <w:sz w:val="20"/>
              </w:rPr>
              <w:t>Equi-effective dose</w:t>
            </w:r>
          </w:p>
        </w:tc>
      </w:tr>
      <w:tr w:rsidR="00AD26DB" w:rsidRPr="00674669" w14:paraId="789EFB47" w14:textId="77777777" w:rsidTr="00C521FE">
        <w:tc>
          <w:tcPr>
            <w:tcW w:w="2041" w:type="pct"/>
          </w:tcPr>
          <w:p w14:paraId="76B0C5D6"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Administration per Q3W</w:t>
            </w:r>
          </w:p>
        </w:tc>
        <w:tc>
          <w:tcPr>
            <w:tcW w:w="1415" w:type="pct"/>
          </w:tcPr>
          <w:p w14:paraId="76A28738"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w:t>
            </w:r>
          </w:p>
        </w:tc>
        <w:tc>
          <w:tcPr>
            <w:tcW w:w="1544" w:type="pct"/>
          </w:tcPr>
          <w:p w14:paraId="542A5F83" w14:textId="77777777"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1</w:t>
            </w:r>
          </w:p>
        </w:tc>
      </w:tr>
      <w:tr w:rsidR="00AD26DB" w:rsidRPr="00674669" w14:paraId="50DCF301" w14:textId="77777777" w:rsidTr="00C521FE">
        <w:tc>
          <w:tcPr>
            <w:tcW w:w="2041" w:type="pct"/>
          </w:tcPr>
          <w:p w14:paraId="061AD911"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Equi-effective dose per Q3W</w:t>
            </w:r>
          </w:p>
        </w:tc>
        <w:tc>
          <w:tcPr>
            <w:tcW w:w="1415" w:type="pct"/>
          </w:tcPr>
          <w:p w14:paraId="4F0627D5" w14:textId="21D06F34"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350</w:t>
            </w:r>
            <w:r w:rsidR="00B7666A" w:rsidRPr="00674669">
              <w:rPr>
                <w:rFonts w:ascii="Arial Narrow" w:eastAsiaTheme="majorEastAsia" w:hAnsi="Arial Narrow" w:cstheme="majorBidi"/>
                <w:bCs/>
                <w:sz w:val="20"/>
              </w:rPr>
              <w:t xml:space="preserve"> </w:t>
            </w:r>
            <w:r w:rsidRPr="00674669">
              <w:rPr>
                <w:rFonts w:ascii="Arial Narrow" w:eastAsiaTheme="majorEastAsia" w:hAnsi="Arial Narrow" w:cstheme="majorBidi"/>
                <w:bCs/>
                <w:sz w:val="20"/>
              </w:rPr>
              <w:t>mg</w:t>
            </w:r>
          </w:p>
        </w:tc>
        <w:tc>
          <w:tcPr>
            <w:tcW w:w="1544" w:type="pct"/>
          </w:tcPr>
          <w:p w14:paraId="3A32FB3C" w14:textId="7CA26269"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200</w:t>
            </w:r>
            <w:r w:rsidR="00B7666A" w:rsidRPr="00674669">
              <w:rPr>
                <w:rFonts w:ascii="Arial Narrow" w:eastAsiaTheme="majorEastAsia" w:hAnsi="Arial Narrow" w:cstheme="majorBidi"/>
                <w:bCs/>
                <w:sz w:val="20"/>
              </w:rPr>
              <w:t xml:space="preserve"> </w:t>
            </w:r>
            <w:r w:rsidRPr="00674669">
              <w:rPr>
                <w:rFonts w:ascii="Arial Narrow" w:eastAsiaTheme="majorEastAsia" w:hAnsi="Arial Narrow" w:cstheme="majorBidi"/>
                <w:bCs/>
                <w:sz w:val="20"/>
              </w:rPr>
              <w:t>mg</w:t>
            </w:r>
          </w:p>
        </w:tc>
      </w:tr>
      <w:tr w:rsidR="00AD26DB" w:rsidRPr="00674669" w14:paraId="47D1BA80" w14:textId="77777777" w:rsidTr="00C521FE">
        <w:tc>
          <w:tcPr>
            <w:tcW w:w="5000" w:type="pct"/>
            <w:gridSpan w:val="3"/>
          </w:tcPr>
          <w:p w14:paraId="47634EC5" w14:textId="77777777" w:rsidR="00AD26DB" w:rsidRPr="00674669" w:rsidRDefault="00AD26DB" w:rsidP="00C521FE">
            <w:pPr>
              <w:keepNext/>
              <w:jc w:val="left"/>
              <w:rPr>
                <w:rFonts w:ascii="Arial Narrow" w:eastAsiaTheme="majorEastAsia" w:hAnsi="Arial Narrow" w:cstheme="majorBidi"/>
                <w:b/>
                <w:sz w:val="20"/>
              </w:rPr>
            </w:pPr>
            <w:r w:rsidRPr="00674669">
              <w:rPr>
                <w:rFonts w:ascii="Arial Narrow" w:eastAsiaTheme="majorEastAsia" w:hAnsi="Arial Narrow" w:cstheme="majorBidi"/>
                <w:b/>
                <w:sz w:val="20"/>
              </w:rPr>
              <w:t>Drug cost (ex-manufacturer price) Q3W at equi-effective dose</w:t>
            </w:r>
          </w:p>
        </w:tc>
      </w:tr>
      <w:tr w:rsidR="00AD26DB" w:rsidRPr="00674669" w14:paraId="063F75B3" w14:textId="77777777" w:rsidTr="00C521FE">
        <w:tc>
          <w:tcPr>
            <w:tcW w:w="2041" w:type="pct"/>
          </w:tcPr>
          <w:p w14:paraId="53EC9FA8"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Total drug costs per Q3W</w:t>
            </w:r>
          </w:p>
        </w:tc>
        <w:tc>
          <w:tcPr>
            <w:tcW w:w="1415" w:type="pct"/>
          </w:tcPr>
          <w:p w14:paraId="37B5E419" w14:textId="5A4EBC0D"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r w:rsidR="00FD694A">
              <w:rPr>
                <w:rFonts w:ascii="Arial Narrow" w:eastAsiaTheme="majorEastAsia" w:hAnsi="Arial Narrow" w:cstheme="majorBidi"/>
                <w:bCs/>
                <w:sz w:val="20"/>
              </w:rPr>
              <w:t xml:space="preserve"> </w:t>
            </w:r>
            <w:r w:rsidR="00FD694A" w:rsidRPr="00FD694A">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544" w:type="pct"/>
          </w:tcPr>
          <w:p w14:paraId="57FC546B" w14:textId="63B8DC70"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r w:rsidR="00FD694A">
              <w:rPr>
                <w:rFonts w:ascii="Arial Narrow" w:eastAsiaTheme="majorEastAsia" w:hAnsi="Arial Narrow" w:cstheme="majorBidi"/>
                <w:bCs/>
                <w:sz w:val="20"/>
              </w:rPr>
              <w:t xml:space="preserve"> </w:t>
            </w:r>
            <w:r w:rsidR="00FD694A" w:rsidRPr="00FD694A">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AD26DB" w:rsidRPr="00674669" w14:paraId="414915B5" w14:textId="77777777" w:rsidTr="00C521FE">
        <w:tc>
          <w:tcPr>
            <w:tcW w:w="2041" w:type="pct"/>
          </w:tcPr>
          <w:p w14:paraId="4B930BEC" w14:textId="77777777" w:rsidR="00AD26DB" w:rsidRPr="00674669" w:rsidRDefault="00AD26DB" w:rsidP="00C521FE">
            <w:pPr>
              <w:keepNext/>
              <w:jc w:val="left"/>
              <w:rPr>
                <w:rFonts w:ascii="Arial Narrow" w:eastAsiaTheme="majorEastAsia" w:hAnsi="Arial Narrow" w:cstheme="majorBidi"/>
                <w:bCs/>
                <w:sz w:val="20"/>
              </w:rPr>
            </w:pPr>
            <w:r w:rsidRPr="00674669">
              <w:rPr>
                <w:rFonts w:ascii="Arial Narrow" w:eastAsiaTheme="majorEastAsia" w:hAnsi="Arial Narrow" w:cstheme="majorBidi"/>
                <w:bCs/>
                <w:sz w:val="20"/>
              </w:rPr>
              <w:t>Total incremental cost per Q3W</w:t>
            </w:r>
          </w:p>
        </w:tc>
        <w:tc>
          <w:tcPr>
            <w:tcW w:w="2959" w:type="pct"/>
            <w:gridSpan w:val="2"/>
          </w:tcPr>
          <w:p w14:paraId="633D49E7" w14:textId="4D7644F3" w:rsidR="00AD26DB" w:rsidRPr="00674669" w:rsidRDefault="00AD26DB" w:rsidP="00C521FE">
            <w:pPr>
              <w:keepNext/>
              <w:jc w:val="center"/>
              <w:rPr>
                <w:rFonts w:ascii="Arial Narrow" w:eastAsiaTheme="majorEastAsia" w:hAnsi="Arial Narrow" w:cstheme="majorBidi"/>
                <w:bCs/>
                <w:sz w:val="20"/>
              </w:rPr>
            </w:pPr>
            <w:r w:rsidRPr="00674669">
              <w:rPr>
                <w:rFonts w:ascii="Arial Narrow" w:eastAsiaTheme="majorEastAsia" w:hAnsi="Arial Narrow" w:cstheme="majorBidi"/>
                <w:bCs/>
                <w:sz w:val="20"/>
              </w:rPr>
              <w:t>$</w:t>
            </w:r>
            <w:r w:rsidR="00FD694A">
              <w:rPr>
                <w:rFonts w:ascii="Arial Narrow" w:eastAsiaTheme="majorEastAsia" w:hAnsi="Arial Narrow" w:cstheme="majorBidi"/>
                <w:bCs/>
                <w:sz w:val="20"/>
              </w:rPr>
              <w:t xml:space="preserve"> </w:t>
            </w:r>
            <w:r w:rsidR="00FD694A" w:rsidRPr="00FD694A">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bl>
    <w:p w14:paraId="2BD2A516" w14:textId="7E2D2BEF" w:rsidR="00AD26DB" w:rsidRPr="00674669" w:rsidRDefault="00AD26DB" w:rsidP="004F08E2">
      <w:pPr>
        <w:pStyle w:val="FooterTableFigure"/>
      </w:pPr>
      <w:r w:rsidRPr="00674669">
        <w:t>Source: Table 3-</w:t>
      </w:r>
      <w:r w:rsidR="004F08E2" w:rsidRPr="00674669">
        <w:t>4</w:t>
      </w:r>
      <w:r w:rsidRPr="00674669">
        <w:t>, p</w:t>
      </w:r>
      <w:r w:rsidR="004F08E2" w:rsidRPr="00674669">
        <w:t>90</w:t>
      </w:r>
      <w:r w:rsidRPr="00674669">
        <w:t xml:space="preserve"> of the submission. </w:t>
      </w:r>
    </w:p>
    <w:p w14:paraId="6AFFD939" w14:textId="77777777" w:rsidR="00E707E5" w:rsidRPr="00674669" w:rsidRDefault="00AD26DB" w:rsidP="004F08E2">
      <w:pPr>
        <w:pStyle w:val="FooterTableFigure"/>
      </w:pPr>
      <w:r w:rsidRPr="00674669">
        <w:t>AEMP = approved ex-manufacturer price; Q3W = every three weeks.</w:t>
      </w:r>
    </w:p>
    <w:p w14:paraId="4B13F8C9" w14:textId="6B728CFA" w:rsidR="00AD26DB" w:rsidRPr="00674669" w:rsidRDefault="00E707E5" w:rsidP="004F08E2">
      <w:pPr>
        <w:pStyle w:val="FooterTableFigure"/>
      </w:pPr>
      <w:proofErr w:type="spellStart"/>
      <w:r w:rsidRPr="00674669">
        <w:t>a</w:t>
      </w:r>
      <w:proofErr w:type="spellEnd"/>
      <w:r w:rsidRPr="00674669">
        <w:t xml:space="preserve"> The current AEMP for cemiplimab for the treatment of NSCLC. </w:t>
      </w:r>
    </w:p>
    <w:p w14:paraId="583C0EE9" w14:textId="16B3DC95" w:rsidR="00AD26DB" w:rsidRPr="00674669" w:rsidRDefault="00AD26DB" w:rsidP="00AD26DB">
      <w:pPr>
        <w:pStyle w:val="3-BodyText"/>
        <w:rPr>
          <w:iCs/>
        </w:rPr>
      </w:pPr>
      <w:r w:rsidRPr="00674669">
        <w:rPr>
          <w:iCs/>
        </w:rPr>
        <w:t>The submission stated that an effective price of $</w:t>
      </w:r>
      <w:r w:rsidR="00FD694A">
        <w:rPr>
          <w:iCs/>
        </w:rPr>
        <w:t xml:space="preserve"> </w:t>
      </w:r>
      <w:r w:rsidR="00FD694A" w:rsidRPr="00D07055">
        <w:rPr>
          <w:iCs/>
          <w:color w:val="000000"/>
          <w:w w:val="60"/>
          <w:shd w:val="solid" w:color="000000" w:fill="000000"/>
          <w:fitText w:val="470" w:id="-1032660992"/>
          <w14:textFill>
            <w14:solidFill>
              <w14:srgbClr w14:val="000000">
                <w14:alpha w14:val="100000"/>
              </w14:srgbClr>
            </w14:solidFill>
          </w14:textFill>
        </w:rPr>
        <w:t>|||  ||</w:t>
      </w:r>
      <w:r w:rsidR="00FD694A" w:rsidRPr="00D07055">
        <w:rPr>
          <w:iCs/>
          <w:color w:val="000000"/>
          <w:spacing w:val="6"/>
          <w:w w:val="60"/>
          <w:shd w:val="solid" w:color="000000" w:fill="000000"/>
          <w:fitText w:val="470" w:id="-1032660992"/>
          <w14:textFill>
            <w14:solidFill>
              <w14:srgbClr w14:val="000000">
                <w14:alpha w14:val="100000"/>
              </w14:srgbClr>
            </w14:solidFill>
          </w14:textFill>
        </w:rPr>
        <w:t>|</w:t>
      </w:r>
      <w:r w:rsidRPr="00674669">
        <w:rPr>
          <w:iCs/>
        </w:rPr>
        <w:t xml:space="preserve"> for a 350 mg cemiplimab vial will provide the same cost per administration to pembrolizumab 200 mg, at its effective price (equivalent to 2 </w:t>
      </w:r>
      <w:r w:rsidRPr="00674669">
        <w:rPr>
          <w:rFonts w:cstheme="minorHAnsi"/>
          <w:iCs/>
        </w:rPr>
        <w:t>×</w:t>
      </w:r>
      <w:r w:rsidRPr="00674669">
        <w:rPr>
          <w:iCs/>
        </w:rPr>
        <w:t xml:space="preserve"> $</w:t>
      </w:r>
      <w:r w:rsidR="00FD694A">
        <w:rPr>
          <w:iCs/>
        </w:rPr>
        <w:t xml:space="preserve"> </w:t>
      </w:r>
      <w:r w:rsidR="00FD694A" w:rsidRPr="00DA05A6">
        <w:rPr>
          <w:iCs/>
          <w:color w:val="000000"/>
          <w:w w:val="15"/>
          <w:shd w:val="solid" w:color="000000" w:fill="000000"/>
          <w:fitText w:val="-20" w:id="-1032660991"/>
          <w14:textFill>
            <w14:solidFill>
              <w14:srgbClr w14:val="000000">
                <w14:alpha w14:val="100000"/>
              </w14:srgbClr>
            </w14:solidFill>
          </w14:textFill>
        </w:rPr>
        <w:t xml:space="preserve">|  </w:t>
      </w:r>
      <w:r w:rsidR="00FD694A" w:rsidRPr="00DA05A6">
        <w:rPr>
          <w:iCs/>
          <w:color w:val="000000"/>
          <w:spacing w:val="-69"/>
          <w:w w:val="15"/>
          <w:shd w:val="solid" w:color="000000" w:fill="000000"/>
          <w:fitText w:val="-20" w:id="-1032660991"/>
          <w14:textFill>
            <w14:solidFill>
              <w14:srgbClr w14:val="000000">
                <w14:alpha w14:val="100000"/>
              </w14:srgbClr>
            </w14:solidFill>
          </w14:textFill>
        </w:rPr>
        <w:t>|</w:t>
      </w:r>
      <w:r w:rsidRPr="00674669">
        <w:rPr>
          <w:iCs/>
        </w:rPr>
        <w:t xml:space="preserve"> for 100 mg vial). The submission assumed that the effective price of pembrolizumab when used in combination with chemotherapy was same as that of pembrolizumab monotherapy, given the broad PBS listing of pembrolizumab for Stage IV NSCLC. </w:t>
      </w:r>
    </w:p>
    <w:p w14:paraId="3A0EF7A0" w14:textId="6CFC6E33" w:rsidR="00602213" w:rsidRPr="00674669" w:rsidRDefault="008C0468" w:rsidP="00602213">
      <w:pPr>
        <w:pStyle w:val="3-BodyText"/>
      </w:pPr>
      <w:r w:rsidRPr="00674669">
        <w:t>Based on the updated analysis for cemiplimab (data cut-off: June 2022), the mean duration of treatment was approximately 12.3 months (53.34 weeks). A longer mean duration of treatment with cemiplimab+PDC compared to pembrolizumab+PDC would result in a higher treatment cost</w:t>
      </w:r>
      <w:r w:rsidR="008A2FCF" w:rsidRPr="00674669">
        <w:t xml:space="preserve"> if the CMA was based on equivalent per cycle cost</w:t>
      </w:r>
      <w:r w:rsidR="003A750B" w:rsidRPr="00674669">
        <w:t>.</w:t>
      </w:r>
      <w:r w:rsidR="00BA17B8" w:rsidRPr="00674669">
        <w:t xml:space="preserve"> </w:t>
      </w:r>
    </w:p>
    <w:p w14:paraId="1314DCF6" w14:textId="7D66B599" w:rsidR="00AD26DB" w:rsidRPr="00674669" w:rsidRDefault="00AD26DB" w:rsidP="00C521FE">
      <w:pPr>
        <w:pStyle w:val="3-BodyText"/>
      </w:pPr>
      <w:r w:rsidRPr="00674669">
        <w:t>Sensitivity analyses have been conducted as a part of the evaluation to establish that the cost per patient for treatment with cemiplimab+PDC would be no more than the cost per patient for treatment with pembrolizumab+PDC</w:t>
      </w:r>
      <w:r w:rsidR="00813CB6" w:rsidRPr="00674669">
        <w:t xml:space="preserve"> using the longer duration of treatment for cemiplimab+PDC (data cut-off: June 2022)</w:t>
      </w:r>
      <w:r w:rsidRPr="00674669">
        <w:t xml:space="preserve">. The results of the sensitivity analyses are presented in </w:t>
      </w:r>
      <w:r w:rsidRPr="00674669">
        <w:fldChar w:fldCharType="begin" w:fldLock="1"/>
      </w:r>
      <w:r w:rsidRPr="00674669">
        <w:instrText xml:space="preserve"> REF _Ref142592534 \h </w:instrText>
      </w:r>
      <w:r w:rsidR="00933625" w:rsidRPr="00674669">
        <w:instrText xml:space="preserve"> \* MERGEFORMAT </w:instrText>
      </w:r>
      <w:r w:rsidRPr="00674669">
        <w:fldChar w:fldCharType="separate"/>
      </w:r>
      <w:r w:rsidR="00066CBC" w:rsidRPr="00674669">
        <w:t>Table 1</w:t>
      </w:r>
      <w:r w:rsidR="006E6632" w:rsidRPr="00674669">
        <w:t>1</w:t>
      </w:r>
      <w:r w:rsidRPr="00674669">
        <w:fldChar w:fldCharType="end"/>
      </w:r>
      <w:r w:rsidRPr="00674669">
        <w:t>.</w:t>
      </w:r>
    </w:p>
    <w:p w14:paraId="226D7474" w14:textId="1E1BC441" w:rsidR="00AD26DB" w:rsidRPr="00674669" w:rsidRDefault="00AD26DB" w:rsidP="00AD26DB">
      <w:pPr>
        <w:pStyle w:val="Caption"/>
      </w:pPr>
      <w:bookmarkStart w:id="77" w:name="_Ref142592534"/>
      <w:r w:rsidRPr="00674669">
        <w:lastRenderedPageBreak/>
        <w:t xml:space="preserve">Table </w:t>
      </w:r>
      <w:fldSimple w:instr=" SEQ Table \* ARABIC " w:fldLock="1">
        <w:r w:rsidR="003E788A" w:rsidRPr="00674669">
          <w:t>1</w:t>
        </w:r>
        <w:r w:rsidR="006E6632" w:rsidRPr="00674669">
          <w:t>1</w:t>
        </w:r>
      </w:fldSimple>
      <w:bookmarkEnd w:id="77"/>
      <w:r w:rsidRPr="00674669">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835"/>
        <w:gridCol w:w="1701"/>
        <w:gridCol w:w="1793"/>
      </w:tblGrid>
      <w:tr w:rsidR="00AD26DB" w:rsidRPr="00674669" w14:paraId="2993E9B7"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hideMark/>
          </w:tcPr>
          <w:p w14:paraId="5C194AA0" w14:textId="77777777" w:rsidR="00AD26DB" w:rsidRPr="00674669" w:rsidRDefault="00AD26DB" w:rsidP="00C521FE">
            <w:pPr>
              <w:keepNext/>
              <w:jc w:val="left"/>
              <w:rPr>
                <w:rFonts w:ascii="Arial Narrow" w:eastAsiaTheme="majorEastAsia" w:hAnsi="Arial Narrow" w:cs="Times New Roman"/>
                <w:b/>
                <w:snapToGrid w:val="0"/>
                <w:sz w:val="20"/>
              </w:rPr>
            </w:pPr>
            <w:r w:rsidRPr="00674669">
              <w:rPr>
                <w:rFonts w:ascii="Arial Narrow" w:eastAsiaTheme="majorEastAsia" w:hAnsi="Arial Narrow" w:cs="Times New Roman"/>
                <w:b/>
                <w:snapToGrid w:val="0"/>
                <w:sz w:val="20"/>
              </w:rPr>
              <w:t>Component</w:t>
            </w:r>
          </w:p>
        </w:tc>
        <w:tc>
          <w:tcPr>
            <w:tcW w:w="1572" w:type="pct"/>
            <w:tcBorders>
              <w:top w:val="single" w:sz="4" w:space="0" w:color="auto"/>
              <w:left w:val="single" w:sz="4" w:space="0" w:color="auto"/>
              <w:bottom w:val="single" w:sz="4" w:space="0" w:color="auto"/>
              <w:right w:val="single" w:sz="4" w:space="0" w:color="auto"/>
            </w:tcBorders>
            <w:hideMark/>
          </w:tcPr>
          <w:p w14:paraId="5150B6B6" w14:textId="77777777" w:rsidR="00AD26DB" w:rsidRPr="00674669" w:rsidRDefault="00AD26DB" w:rsidP="00C521FE">
            <w:pPr>
              <w:keepNext/>
              <w:jc w:val="center"/>
              <w:rPr>
                <w:rFonts w:ascii="Arial Narrow" w:eastAsiaTheme="majorEastAsia" w:hAnsi="Arial Narrow" w:cs="Times New Roman"/>
                <w:b/>
                <w:snapToGrid w:val="0"/>
                <w:sz w:val="20"/>
              </w:rPr>
            </w:pPr>
            <w:r w:rsidRPr="00674669">
              <w:rPr>
                <w:rFonts w:ascii="Arial Narrow" w:eastAsiaTheme="majorEastAsia" w:hAnsi="Arial Narrow" w:cs="Times New Roman"/>
                <w:b/>
                <w:snapToGrid w:val="0"/>
                <w:sz w:val="20"/>
              </w:rPr>
              <w:t>Cemiplimab+PDC</w:t>
            </w:r>
          </w:p>
        </w:tc>
        <w:tc>
          <w:tcPr>
            <w:tcW w:w="1937" w:type="pct"/>
            <w:gridSpan w:val="2"/>
            <w:tcBorders>
              <w:top w:val="single" w:sz="4" w:space="0" w:color="auto"/>
              <w:left w:val="single" w:sz="4" w:space="0" w:color="auto"/>
              <w:bottom w:val="single" w:sz="4" w:space="0" w:color="auto"/>
              <w:right w:val="single" w:sz="4" w:space="0" w:color="auto"/>
            </w:tcBorders>
            <w:hideMark/>
          </w:tcPr>
          <w:p w14:paraId="207E551C" w14:textId="77777777" w:rsidR="00AD26DB" w:rsidRPr="00674669" w:rsidRDefault="00AD26DB" w:rsidP="00C521FE">
            <w:pPr>
              <w:keepNext/>
              <w:jc w:val="center"/>
              <w:rPr>
                <w:rFonts w:ascii="Arial Narrow" w:eastAsiaTheme="majorEastAsia" w:hAnsi="Arial Narrow" w:cs="Times New Roman"/>
                <w:b/>
                <w:snapToGrid w:val="0"/>
                <w:sz w:val="20"/>
              </w:rPr>
            </w:pPr>
            <w:r w:rsidRPr="00674669">
              <w:rPr>
                <w:rFonts w:ascii="Arial Narrow" w:eastAsiaTheme="majorEastAsia" w:hAnsi="Arial Narrow" w:cs="Times New Roman"/>
                <w:b/>
                <w:snapToGrid w:val="0"/>
                <w:sz w:val="20"/>
              </w:rPr>
              <w:t>Pembrolizumab+PDC</w:t>
            </w:r>
          </w:p>
        </w:tc>
      </w:tr>
      <w:tr w:rsidR="00AD26DB" w:rsidRPr="00674669" w14:paraId="2117A80B" w14:textId="77777777" w:rsidTr="00C521FE">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2A79E374" w14:textId="77777777" w:rsidR="00AD26DB" w:rsidRPr="00674669" w:rsidRDefault="00AD26DB" w:rsidP="00C521FE">
            <w:pPr>
              <w:keepNext/>
              <w:jc w:val="left"/>
              <w:rPr>
                <w:rFonts w:ascii="Arial Narrow" w:eastAsiaTheme="majorEastAsia" w:hAnsi="Arial Narrow" w:cstheme="majorBidi"/>
                <w:b/>
                <w:snapToGrid w:val="0"/>
                <w:sz w:val="20"/>
              </w:rPr>
            </w:pPr>
            <w:r w:rsidRPr="00674669">
              <w:rPr>
                <w:rFonts w:ascii="Arial Narrow" w:eastAsiaTheme="majorEastAsia" w:hAnsi="Arial Narrow" w:cstheme="majorBidi"/>
                <w:b/>
                <w:snapToGrid w:val="0"/>
                <w:sz w:val="20"/>
              </w:rPr>
              <w:t>Base case</w:t>
            </w:r>
          </w:p>
        </w:tc>
      </w:tr>
      <w:tr w:rsidR="00AD26DB" w:rsidRPr="00674669" w14:paraId="4AD596BE"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hideMark/>
          </w:tcPr>
          <w:p w14:paraId="23966BBD" w14:textId="77777777" w:rsidR="00AD26DB" w:rsidRPr="00674669" w:rsidRDefault="00AD26DB" w:rsidP="00C521FE">
            <w:pPr>
              <w:keepNext/>
              <w:jc w:val="left"/>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 xml:space="preserve">Effective AEMP </w:t>
            </w:r>
          </w:p>
        </w:tc>
        <w:tc>
          <w:tcPr>
            <w:tcW w:w="1572" w:type="pct"/>
            <w:tcBorders>
              <w:top w:val="single" w:sz="4" w:space="0" w:color="auto"/>
              <w:left w:val="single" w:sz="4" w:space="0" w:color="auto"/>
              <w:bottom w:val="single" w:sz="4" w:space="0" w:color="auto"/>
              <w:right w:val="single" w:sz="4" w:space="0" w:color="auto"/>
            </w:tcBorders>
            <w:hideMark/>
          </w:tcPr>
          <w:p w14:paraId="5CAFFEE9" w14:textId="1AE6FF26"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1937" w:type="pct"/>
            <w:gridSpan w:val="2"/>
            <w:tcBorders>
              <w:top w:val="single" w:sz="4" w:space="0" w:color="auto"/>
              <w:left w:val="single" w:sz="4" w:space="0" w:color="auto"/>
              <w:bottom w:val="single" w:sz="4" w:space="0" w:color="auto"/>
              <w:right w:val="single" w:sz="4" w:space="0" w:color="auto"/>
            </w:tcBorders>
            <w:hideMark/>
          </w:tcPr>
          <w:p w14:paraId="66D314E6" w14:textId="3C265F2A"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7720DC34" w14:textId="77777777" w:rsidTr="00C521FE">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7F04D308" w14:textId="2B5DD108" w:rsidR="00AD26DB" w:rsidRPr="00674669" w:rsidRDefault="00AD26DB" w:rsidP="00C521FE">
            <w:pPr>
              <w:keepNext/>
              <w:jc w:val="left"/>
              <w:rPr>
                <w:rFonts w:ascii="Arial Narrow" w:eastAsiaTheme="majorEastAsia" w:hAnsi="Arial Narrow" w:cstheme="majorBidi"/>
                <w:b/>
                <w:snapToGrid w:val="0"/>
                <w:sz w:val="20"/>
              </w:rPr>
            </w:pPr>
            <w:r w:rsidRPr="00674669">
              <w:rPr>
                <w:rFonts w:ascii="Arial Narrow" w:eastAsiaTheme="majorEastAsia" w:hAnsi="Arial Narrow" w:cstheme="majorBidi"/>
                <w:b/>
                <w:snapToGrid w:val="0"/>
                <w:sz w:val="20"/>
              </w:rPr>
              <w:t>Using the mean treatment duration from Study 16113 (</w:t>
            </w:r>
            <w:r w:rsidR="0098134F" w:rsidRPr="00674669">
              <w:rPr>
                <w:rFonts w:ascii="Arial Narrow" w:eastAsiaTheme="majorEastAsia" w:hAnsi="Arial Narrow" w:cstheme="majorBidi"/>
                <w:b/>
                <w:snapToGrid w:val="0"/>
                <w:sz w:val="20"/>
              </w:rPr>
              <w:t>12.3 months</w:t>
            </w:r>
            <w:r w:rsidRPr="00674669">
              <w:rPr>
                <w:rFonts w:ascii="Arial Narrow" w:eastAsiaTheme="majorEastAsia" w:hAnsi="Arial Narrow" w:cstheme="majorBidi"/>
                <w:b/>
                <w:snapToGrid w:val="0"/>
                <w:sz w:val="20"/>
              </w:rPr>
              <w:t xml:space="preserve">) </w:t>
            </w:r>
            <w:r w:rsidR="00813CB6" w:rsidRPr="00674669">
              <w:rPr>
                <w:rFonts w:ascii="Arial Narrow" w:eastAsiaTheme="majorEastAsia" w:hAnsi="Arial Narrow" w:cstheme="majorBidi"/>
                <w:b/>
                <w:snapToGrid w:val="0"/>
                <w:sz w:val="20"/>
              </w:rPr>
              <w:t>from the recent data-cut off (June 2022)</w:t>
            </w:r>
          </w:p>
        </w:tc>
      </w:tr>
      <w:tr w:rsidR="00AD26DB" w:rsidRPr="00674669" w14:paraId="3691EC22"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42ACB24C" w14:textId="77777777" w:rsidR="00AD26DB" w:rsidRPr="00674669" w:rsidRDefault="00AD26DB" w:rsidP="00C521FE">
            <w:pPr>
              <w:pStyle w:val="TableText0"/>
              <w:rPr>
                <w:snapToGrid w:val="0"/>
              </w:rPr>
            </w:pPr>
            <w:r w:rsidRPr="00674669">
              <w:t>Effective AEMP</w:t>
            </w:r>
          </w:p>
        </w:tc>
        <w:tc>
          <w:tcPr>
            <w:tcW w:w="1572" w:type="pct"/>
            <w:tcBorders>
              <w:top w:val="single" w:sz="4" w:space="0" w:color="auto"/>
              <w:left w:val="single" w:sz="4" w:space="0" w:color="auto"/>
              <w:bottom w:val="single" w:sz="4" w:space="0" w:color="auto"/>
              <w:right w:val="single" w:sz="4" w:space="0" w:color="auto"/>
            </w:tcBorders>
          </w:tcPr>
          <w:p w14:paraId="7640EDBD" w14:textId="7D910415"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r w:rsidR="0098134F" w:rsidRPr="00674669">
              <w:rPr>
                <w:rFonts w:ascii="Arial Narrow" w:eastAsiaTheme="majorEastAsia" w:hAnsi="Arial Narrow" w:cstheme="majorBidi"/>
                <w:bCs/>
                <w:snapToGrid w:val="0"/>
                <w:sz w:val="20"/>
                <w:vertAlign w:val="superscript"/>
              </w:rPr>
              <w:t>a</w:t>
            </w:r>
          </w:p>
        </w:tc>
        <w:tc>
          <w:tcPr>
            <w:tcW w:w="1937" w:type="pct"/>
            <w:gridSpan w:val="2"/>
            <w:tcBorders>
              <w:top w:val="single" w:sz="4" w:space="0" w:color="auto"/>
              <w:left w:val="single" w:sz="4" w:space="0" w:color="auto"/>
              <w:bottom w:val="single" w:sz="4" w:space="0" w:color="auto"/>
              <w:right w:val="single" w:sz="4" w:space="0" w:color="auto"/>
            </w:tcBorders>
          </w:tcPr>
          <w:p w14:paraId="33ED6D96" w14:textId="28455091"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4706CE30"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171CA99F" w14:textId="15A485F1" w:rsidR="00AD26DB" w:rsidRPr="00674669" w:rsidRDefault="00AD26DB" w:rsidP="00C521FE">
            <w:pPr>
              <w:pStyle w:val="TableText0"/>
              <w:rPr>
                <w:snapToGrid w:val="0"/>
              </w:rPr>
            </w:pPr>
            <w:r w:rsidRPr="00674669">
              <w:t xml:space="preserve">Cycles </w:t>
            </w:r>
            <w:r w:rsidR="0098134F" w:rsidRPr="00674669">
              <w:rPr>
                <w:vertAlign w:val="superscript"/>
              </w:rPr>
              <w:t>b</w:t>
            </w:r>
          </w:p>
        </w:tc>
        <w:tc>
          <w:tcPr>
            <w:tcW w:w="1572" w:type="pct"/>
            <w:tcBorders>
              <w:top w:val="single" w:sz="4" w:space="0" w:color="auto"/>
              <w:left w:val="single" w:sz="4" w:space="0" w:color="auto"/>
              <w:bottom w:val="single" w:sz="4" w:space="0" w:color="auto"/>
              <w:right w:val="single" w:sz="4" w:space="0" w:color="auto"/>
            </w:tcBorders>
          </w:tcPr>
          <w:p w14:paraId="41A4075D" w14:textId="658F902C" w:rsidR="00AD26DB" w:rsidRPr="00674669" w:rsidRDefault="0098134F"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17.780</w:t>
            </w:r>
          </w:p>
        </w:tc>
        <w:tc>
          <w:tcPr>
            <w:tcW w:w="1937" w:type="pct"/>
            <w:gridSpan w:val="2"/>
            <w:tcBorders>
              <w:top w:val="single" w:sz="4" w:space="0" w:color="auto"/>
              <w:left w:val="single" w:sz="4" w:space="0" w:color="auto"/>
              <w:bottom w:val="single" w:sz="4" w:space="0" w:color="auto"/>
              <w:right w:val="single" w:sz="4" w:space="0" w:color="auto"/>
            </w:tcBorders>
          </w:tcPr>
          <w:p w14:paraId="4CBB4304" w14:textId="777777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14.155</w:t>
            </w:r>
          </w:p>
        </w:tc>
      </w:tr>
      <w:tr w:rsidR="00AD26DB" w:rsidRPr="00674669" w14:paraId="27D241FD"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6B20EA31" w14:textId="77777777" w:rsidR="00AD26DB" w:rsidRPr="00674669" w:rsidRDefault="00AD26DB" w:rsidP="00C521FE">
            <w:pPr>
              <w:pStyle w:val="TableText0"/>
              <w:rPr>
                <w:snapToGrid w:val="0"/>
              </w:rPr>
            </w:pPr>
            <w:r w:rsidRPr="00674669">
              <w:t>Total cost of treatment</w:t>
            </w:r>
          </w:p>
        </w:tc>
        <w:tc>
          <w:tcPr>
            <w:tcW w:w="1572" w:type="pct"/>
            <w:tcBorders>
              <w:top w:val="single" w:sz="4" w:space="0" w:color="auto"/>
              <w:left w:val="single" w:sz="4" w:space="0" w:color="auto"/>
              <w:bottom w:val="single" w:sz="4" w:space="0" w:color="auto"/>
              <w:right w:val="single" w:sz="4" w:space="0" w:color="auto"/>
            </w:tcBorders>
          </w:tcPr>
          <w:p w14:paraId="68C54313" w14:textId="55F1F9E9"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1937" w:type="pct"/>
            <w:gridSpan w:val="2"/>
            <w:tcBorders>
              <w:top w:val="single" w:sz="4" w:space="0" w:color="auto"/>
              <w:left w:val="single" w:sz="4" w:space="0" w:color="auto"/>
              <w:bottom w:val="single" w:sz="4" w:space="0" w:color="auto"/>
              <w:right w:val="single" w:sz="4" w:space="0" w:color="auto"/>
            </w:tcBorders>
          </w:tcPr>
          <w:p w14:paraId="72AB11AE" w14:textId="3C11D4BB"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005411CF" w14:textId="77777777" w:rsidTr="00813CB6">
        <w:trPr>
          <w:trHeight w:val="157"/>
        </w:trPr>
        <w:tc>
          <w:tcPr>
            <w:tcW w:w="5000" w:type="pct"/>
            <w:gridSpan w:val="4"/>
            <w:tcBorders>
              <w:top w:val="single" w:sz="4" w:space="0" w:color="auto"/>
              <w:left w:val="single" w:sz="4" w:space="0" w:color="auto"/>
              <w:bottom w:val="single" w:sz="4" w:space="0" w:color="auto"/>
              <w:right w:val="single" w:sz="4" w:space="0" w:color="auto"/>
            </w:tcBorders>
            <w:hideMark/>
          </w:tcPr>
          <w:p w14:paraId="483A5177" w14:textId="42CDD9FC" w:rsidR="00AD26DB" w:rsidRPr="00674669" w:rsidRDefault="00AD26DB" w:rsidP="00C521FE">
            <w:pPr>
              <w:keepNext/>
              <w:jc w:val="left"/>
              <w:rPr>
                <w:rFonts w:ascii="Arial Narrow" w:eastAsiaTheme="majorEastAsia" w:hAnsi="Arial Narrow" w:cstheme="majorBidi"/>
                <w:bCs/>
                <w:snapToGrid w:val="0"/>
                <w:sz w:val="20"/>
                <w:vertAlign w:val="superscript"/>
              </w:rPr>
            </w:pPr>
            <w:r w:rsidRPr="00674669">
              <w:rPr>
                <w:rFonts w:ascii="Arial Narrow" w:eastAsiaTheme="majorEastAsia" w:hAnsi="Arial Narrow" w:cstheme="majorBidi"/>
                <w:b/>
                <w:snapToGrid w:val="0"/>
                <w:sz w:val="20"/>
              </w:rPr>
              <w:t>Using the mean treatment duration from the Study 16113 (</w:t>
            </w:r>
            <w:r w:rsidR="0098134F" w:rsidRPr="00674669">
              <w:rPr>
                <w:rFonts w:ascii="Arial Narrow" w:eastAsiaTheme="majorEastAsia" w:hAnsi="Arial Narrow" w:cstheme="majorBidi"/>
                <w:b/>
                <w:snapToGrid w:val="0"/>
                <w:sz w:val="20"/>
              </w:rPr>
              <w:t>12.3 months</w:t>
            </w:r>
            <w:r w:rsidRPr="00674669">
              <w:rPr>
                <w:rFonts w:ascii="Arial Narrow" w:eastAsiaTheme="majorEastAsia" w:hAnsi="Arial Narrow" w:cstheme="majorBidi"/>
                <w:b/>
                <w:snapToGrid w:val="0"/>
                <w:sz w:val="20"/>
              </w:rPr>
              <w:t xml:space="preserve">) and the cost of IV administration </w:t>
            </w:r>
            <w:r w:rsidR="0098134F" w:rsidRPr="00674669">
              <w:rPr>
                <w:rFonts w:ascii="Arial Narrow" w:eastAsiaTheme="majorEastAsia" w:hAnsi="Arial Narrow" w:cstheme="majorBidi"/>
                <w:b/>
                <w:snapToGrid w:val="0"/>
                <w:sz w:val="20"/>
                <w:vertAlign w:val="superscript"/>
              </w:rPr>
              <w:t>c</w:t>
            </w:r>
          </w:p>
        </w:tc>
      </w:tr>
      <w:tr w:rsidR="00AD26DB" w:rsidRPr="00674669" w14:paraId="6D9F1D15"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hideMark/>
          </w:tcPr>
          <w:p w14:paraId="343BE1EE" w14:textId="77777777" w:rsidR="00AD26DB" w:rsidRPr="00674669" w:rsidRDefault="00AD26DB" w:rsidP="00C521FE">
            <w:pPr>
              <w:pStyle w:val="TableText0"/>
              <w:rPr>
                <w:snapToGrid w:val="0"/>
              </w:rPr>
            </w:pPr>
            <w:r w:rsidRPr="00674669">
              <w:t>Effective AEMP</w:t>
            </w:r>
          </w:p>
        </w:tc>
        <w:tc>
          <w:tcPr>
            <w:tcW w:w="1572" w:type="pct"/>
            <w:tcBorders>
              <w:top w:val="single" w:sz="4" w:space="0" w:color="auto"/>
              <w:left w:val="single" w:sz="4" w:space="0" w:color="auto"/>
              <w:bottom w:val="single" w:sz="4" w:space="0" w:color="auto"/>
              <w:right w:val="single" w:sz="4" w:space="0" w:color="auto"/>
            </w:tcBorders>
            <w:hideMark/>
          </w:tcPr>
          <w:p w14:paraId="785735FC" w14:textId="2B38BBE5"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r w:rsidRPr="00674669">
              <w:rPr>
                <w:rFonts w:ascii="Arial Narrow" w:eastAsiaTheme="majorEastAsia" w:hAnsi="Arial Narrow" w:cstheme="majorBidi"/>
                <w:bCs/>
                <w:snapToGrid w:val="0"/>
                <w:sz w:val="20"/>
              </w:rPr>
              <w:t xml:space="preserve"> </w:t>
            </w:r>
            <w:r w:rsidR="0098134F" w:rsidRPr="00674669">
              <w:rPr>
                <w:rFonts w:ascii="Arial Narrow" w:eastAsiaTheme="majorEastAsia" w:hAnsi="Arial Narrow" w:cstheme="majorBidi"/>
                <w:bCs/>
                <w:snapToGrid w:val="0"/>
                <w:sz w:val="20"/>
                <w:vertAlign w:val="superscript"/>
              </w:rPr>
              <w:t>a</w:t>
            </w:r>
          </w:p>
        </w:tc>
        <w:tc>
          <w:tcPr>
            <w:tcW w:w="1937" w:type="pct"/>
            <w:gridSpan w:val="2"/>
            <w:tcBorders>
              <w:top w:val="single" w:sz="4" w:space="0" w:color="auto"/>
              <w:left w:val="single" w:sz="4" w:space="0" w:color="auto"/>
              <w:bottom w:val="single" w:sz="4" w:space="0" w:color="auto"/>
              <w:right w:val="single" w:sz="4" w:space="0" w:color="auto"/>
            </w:tcBorders>
            <w:hideMark/>
          </w:tcPr>
          <w:p w14:paraId="44BEFA8F" w14:textId="084C2F2C"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310A7AA2"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0C2BA65E" w14:textId="77777777" w:rsidR="00AD26DB" w:rsidRPr="00674669" w:rsidRDefault="00AD26DB" w:rsidP="00C521FE">
            <w:pPr>
              <w:pStyle w:val="TableText0"/>
            </w:pPr>
            <w:r w:rsidRPr="00674669">
              <w:t>Cycles</w:t>
            </w:r>
          </w:p>
        </w:tc>
        <w:tc>
          <w:tcPr>
            <w:tcW w:w="1572" w:type="pct"/>
            <w:tcBorders>
              <w:top w:val="single" w:sz="4" w:space="0" w:color="auto"/>
              <w:left w:val="single" w:sz="4" w:space="0" w:color="auto"/>
              <w:bottom w:val="single" w:sz="4" w:space="0" w:color="auto"/>
              <w:right w:val="single" w:sz="4" w:space="0" w:color="auto"/>
            </w:tcBorders>
          </w:tcPr>
          <w:p w14:paraId="019A21D2" w14:textId="7E9A5BEB" w:rsidR="00AD26DB" w:rsidRPr="00674669" w:rsidRDefault="0098134F"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17.780</w:t>
            </w:r>
          </w:p>
        </w:tc>
        <w:tc>
          <w:tcPr>
            <w:tcW w:w="1937" w:type="pct"/>
            <w:gridSpan w:val="2"/>
            <w:tcBorders>
              <w:top w:val="single" w:sz="4" w:space="0" w:color="auto"/>
              <w:left w:val="single" w:sz="4" w:space="0" w:color="auto"/>
              <w:bottom w:val="single" w:sz="4" w:space="0" w:color="auto"/>
              <w:right w:val="single" w:sz="4" w:space="0" w:color="auto"/>
            </w:tcBorders>
          </w:tcPr>
          <w:p w14:paraId="11101536" w14:textId="777777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14.155</w:t>
            </w:r>
          </w:p>
        </w:tc>
      </w:tr>
      <w:tr w:rsidR="00AD26DB" w:rsidRPr="00674669" w14:paraId="6A7DD2CE"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7A0F58CD" w14:textId="77777777" w:rsidR="00AD26DB" w:rsidRPr="00674669" w:rsidRDefault="00AD26DB" w:rsidP="00C521FE">
            <w:pPr>
              <w:pStyle w:val="TableText0"/>
            </w:pPr>
            <w:r w:rsidRPr="00674669">
              <w:t>Total drug cost</w:t>
            </w:r>
          </w:p>
        </w:tc>
        <w:tc>
          <w:tcPr>
            <w:tcW w:w="1572" w:type="pct"/>
            <w:tcBorders>
              <w:top w:val="single" w:sz="4" w:space="0" w:color="auto"/>
              <w:left w:val="single" w:sz="4" w:space="0" w:color="auto"/>
              <w:bottom w:val="single" w:sz="4" w:space="0" w:color="auto"/>
              <w:right w:val="single" w:sz="4" w:space="0" w:color="auto"/>
            </w:tcBorders>
          </w:tcPr>
          <w:p w14:paraId="39CE9EA8" w14:textId="2DCDF62D"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1937" w:type="pct"/>
            <w:gridSpan w:val="2"/>
            <w:tcBorders>
              <w:top w:val="single" w:sz="4" w:space="0" w:color="auto"/>
              <w:left w:val="single" w:sz="4" w:space="0" w:color="auto"/>
              <w:bottom w:val="single" w:sz="4" w:space="0" w:color="auto"/>
              <w:right w:val="single" w:sz="4" w:space="0" w:color="auto"/>
            </w:tcBorders>
          </w:tcPr>
          <w:p w14:paraId="46A95DBC" w14:textId="253908E4"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32107818"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780D1D0C" w14:textId="77777777" w:rsidR="00AD26DB" w:rsidRPr="00674669" w:rsidRDefault="00AD26DB" w:rsidP="00C521FE">
            <w:pPr>
              <w:pStyle w:val="TableText0"/>
            </w:pPr>
            <w:r w:rsidRPr="00674669">
              <w:t xml:space="preserve">Total cost of IV administration </w:t>
            </w:r>
          </w:p>
        </w:tc>
        <w:tc>
          <w:tcPr>
            <w:tcW w:w="1572" w:type="pct"/>
            <w:tcBorders>
              <w:top w:val="single" w:sz="4" w:space="0" w:color="auto"/>
              <w:left w:val="single" w:sz="4" w:space="0" w:color="auto"/>
              <w:bottom w:val="single" w:sz="4" w:space="0" w:color="auto"/>
              <w:right w:val="single" w:sz="4" w:space="0" w:color="auto"/>
            </w:tcBorders>
          </w:tcPr>
          <w:p w14:paraId="2A204B00" w14:textId="04F9CDDE" w:rsidR="00AD26DB" w:rsidRPr="00D767D2" w:rsidRDefault="00AD26DB" w:rsidP="00C521FE">
            <w:pPr>
              <w:keepNext/>
              <w:jc w:val="center"/>
              <w:rPr>
                <w:rFonts w:ascii="Arial Narrow" w:eastAsiaTheme="majorEastAsia" w:hAnsi="Arial Narrow" w:cstheme="majorBidi"/>
                <w:bCs/>
                <w:snapToGrid w:val="0"/>
                <w:sz w:val="20"/>
              </w:rPr>
            </w:pPr>
            <w:r w:rsidRPr="00D767D2">
              <w:rPr>
                <w:rFonts w:ascii="Arial Narrow" w:eastAsiaTheme="majorEastAsia" w:hAnsi="Arial Narrow" w:cstheme="majorBidi"/>
                <w:bCs/>
                <w:snapToGrid w:val="0"/>
                <w:sz w:val="20"/>
              </w:rPr>
              <w:t>$</w:t>
            </w:r>
            <w:r w:rsidR="0098134F" w:rsidRPr="00D767D2">
              <w:rPr>
                <w:rFonts w:ascii="Arial Narrow" w:eastAsiaTheme="majorEastAsia" w:hAnsi="Arial Narrow" w:cstheme="majorBidi"/>
                <w:bCs/>
                <w:snapToGrid w:val="0"/>
                <w:sz w:val="20"/>
              </w:rPr>
              <w:t>2,103.37</w:t>
            </w:r>
          </w:p>
        </w:tc>
        <w:tc>
          <w:tcPr>
            <w:tcW w:w="1937" w:type="pct"/>
            <w:gridSpan w:val="2"/>
            <w:tcBorders>
              <w:top w:val="single" w:sz="4" w:space="0" w:color="auto"/>
              <w:left w:val="single" w:sz="4" w:space="0" w:color="auto"/>
              <w:bottom w:val="single" w:sz="4" w:space="0" w:color="auto"/>
              <w:right w:val="single" w:sz="4" w:space="0" w:color="auto"/>
            </w:tcBorders>
          </w:tcPr>
          <w:p w14:paraId="33E9F95F" w14:textId="77777777" w:rsidR="00AD26DB" w:rsidRPr="00D767D2" w:rsidRDefault="00AD26DB" w:rsidP="00C521FE">
            <w:pPr>
              <w:keepNext/>
              <w:jc w:val="center"/>
              <w:rPr>
                <w:rFonts w:ascii="Arial Narrow" w:eastAsiaTheme="majorEastAsia" w:hAnsi="Arial Narrow" w:cstheme="majorBidi"/>
                <w:bCs/>
                <w:snapToGrid w:val="0"/>
                <w:sz w:val="20"/>
              </w:rPr>
            </w:pPr>
            <w:r w:rsidRPr="00D767D2">
              <w:rPr>
                <w:rFonts w:ascii="Arial Narrow" w:eastAsiaTheme="majorEastAsia" w:hAnsi="Arial Narrow" w:cstheme="majorBidi"/>
                <w:bCs/>
                <w:snapToGrid w:val="0"/>
                <w:sz w:val="20"/>
              </w:rPr>
              <w:t>$1,674.60</w:t>
            </w:r>
          </w:p>
        </w:tc>
      </w:tr>
      <w:tr w:rsidR="00AD26DB" w:rsidRPr="00674669" w14:paraId="08AF1359"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3CDC0E9B" w14:textId="77777777" w:rsidR="00AD26DB" w:rsidRPr="00674669" w:rsidRDefault="00AD26DB" w:rsidP="00C521FE">
            <w:pPr>
              <w:pStyle w:val="TableText0"/>
            </w:pPr>
            <w:r w:rsidRPr="00674669">
              <w:t>Total cost of treatment</w:t>
            </w:r>
          </w:p>
        </w:tc>
        <w:tc>
          <w:tcPr>
            <w:tcW w:w="1572" w:type="pct"/>
            <w:tcBorders>
              <w:top w:val="single" w:sz="4" w:space="0" w:color="auto"/>
              <w:left w:val="single" w:sz="4" w:space="0" w:color="auto"/>
              <w:bottom w:val="single" w:sz="4" w:space="0" w:color="auto"/>
              <w:right w:val="single" w:sz="4" w:space="0" w:color="auto"/>
            </w:tcBorders>
          </w:tcPr>
          <w:p w14:paraId="61291AA3" w14:textId="23A391FE"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1937" w:type="pct"/>
            <w:gridSpan w:val="2"/>
            <w:tcBorders>
              <w:top w:val="single" w:sz="4" w:space="0" w:color="auto"/>
              <w:left w:val="single" w:sz="4" w:space="0" w:color="auto"/>
              <w:bottom w:val="single" w:sz="4" w:space="0" w:color="auto"/>
              <w:right w:val="single" w:sz="4" w:space="0" w:color="auto"/>
            </w:tcBorders>
          </w:tcPr>
          <w:p w14:paraId="00EFC040" w14:textId="3B771118"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0E96E7D8" w14:textId="77777777" w:rsidTr="00C521FE">
        <w:trPr>
          <w:trHeight w:val="442"/>
        </w:trPr>
        <w:tc>
          <w:tcPr>
            <w:tcW w:w="5000" w:type="pct"/>
            <w:gridSpan w:val="4"/>
            <w:tcBorders>
              <w:top w:val="single" w:sz="4" w:space="0" w:color="auto"/>
              <w:left w:val="single" w:sz="4" w:space="0" w:color="auto"/>
              <w:bottom w:val="single" w:sz="4" w:space="0" w:color="auto"/>
              <w:right w:val="single" w:sz="4" w:space="0" w:color="auto"/>
            </w:tcBorders>
            <w:hideMark/>
          </w:tcPr>
          <w:p w14:paraId="3F85E45F" w14:textId="26E36D99" w:rsidR="00AD26DB" w:rsidRPr="00674669" w:rsidRDefault="00AD26DB" w:rsidP="00C521FE">
            <w:pPr>
              <w:pStyle w:val="In-tableHeading"/>
              <w:rPr>
                <w:lang w:val="en-AU"/>
              </w:rPr>
            </w:pPr>
            <w:r w:rsidRPr="00674669">
              <w:rPr>
                <w:lang w:val="en-AU"/>
              </w:rPr>
              <w:t>Using the mean treatment duration from the Study 16113 (</w:t>
            </w:r>
            <w:r w:rsidR="0098134F" w:rsidRPr="00674669">
              <w:rPr>
                <w:rFonts w:cstheme="majorBidi"/>
                <w:bCs/>
                <w:snapToGrid w:val="0"/>
                <w:lang w:val="en-AU"/>
              </w:rPr>
              <w:t>12.3 months</w:t>
            </w:r>
            <w:r w:rsidRPr="00674669">
              <w:rPr>
                <w:lang w:val="en-AU"/>
              </w:rPr>
              <w:t>) the cost of IV administration</w:t>
            </w:r>
            <w:r w:rsidR="0098134F" w:rsidRPr="00674669">
              <w:rPr>
                <w:lang w:val="en-AU"/>
              </w:rPr>
              <w:t xml:space="preserve"> </w:t>
            </w:r>
            <w:r w:rsidR="0098134F" w:rsidRPr="00674669">
              <w:rPr>
                <w:rFonts w:cstheme="majorBidi"/>
                <w:b w:val="0"/>
                <w:snapToGrid w:val="0"/>
                <w:vertAlign w:val="superscript"/>
                <w:lang w:val="en-AU"/>
              </w:rPr>
              <w:t>c</w:t>
            </w:r>
            <w:r w:rsidRPr="00674669">
              <w:rPr>
                <w:lang w:val="en-AU"/>
              </w:rPr>
              <w:t>, and weighted utilisation of pembrolizumab 200 mg Q3W</w:t>
            </w:r>
            <w:r w:rsidR="0098134F" w:rsidRPr="00674669">
              <w:rPr>
                <w:lang w:val="en-AU"/>
              </w:rPr>
              <w:t xml:space="preserve"> (92%)</w:t>
            </w:r>
            <w:r w:rsidRPr="00674669">
              <w:rPr>
                <w:lang w:val="en-AU"/>
              </w:rPr>
              <w:t xml:space="preserve"> and 400 mg Q6W </w:t>
            </w:r>
            <w:r w:rsidR="0098134F" w:rsidRPr="00674669">
              <w:rPr>
                <w:lang w:val="en-AU"/>
              </w:rPr>
              <w:t>(8%)</w:t>
            </w:r>
          </w:p>
        </w:tc>
      </w:tr>
      <w:tr w:rsidR="00AD26DB" w:rsidRPr="00674669" w14:paraId="59A6D546" w14:textId="77777777" w:rsidTr="00C521FE">
        <w:trPr>
          <w:trHeight w:val="20"/>
        </w:trPr>
        <w:tc>
          <w:tcPr>
            <w:tcW w:w="1491" w:type="pct"/>
            <w:vMerge w:val="restart"/>
            <w:tcBorders>
              <w:top w:val="single" w:sz="4" w:space="0" w:color="auto"/>
              <w:left w:val="single" w:sz="4" w:space="0" w:color="auto"/>
              <w:right w:val="single" w:sz="4" w:space="0" w:color="auto"/>
            </w:tcBorders>
          </w:tcPr>
          <w:p w14:paraId="4E4904A9" w14:textId="77777777" w:rsidR="00AD26DB" w:rsidRPr="00674669" w:rsidRDefault="00AD26DB" w:rsidP="00C521FE">
            <w:pPr>
              <w:pStyle w:val="TableText0"/>
            </w:pPr>
            <w:r w:rsidRPr="00674669">
              <w:t>Effective AEMP</w:t>
            </w:r>
          </w:p>
        </w:tc>
        <w:tc>
          <w:tcPr>
            <w:tcW w:w="1572" w:type="pct"/>
            <w:tcBorders>
              <w:top w:val="single" w:sz="4" w:space="0" w:color="auto"/>
              <w:left w:val="single" w:sz="4" w:space="0" w:color="auto"/>
              <w:bottom w:val="single" w:sz="4" w:space="0" w:color="auto"/>
              <w:right w:val="single" w:sz="4" w:space="0" w:color="auto"/>
            </w:tcBorders>
          </w:tcPr>
          <w:p w14:paraId="6244B443" w14:textId="77777777" w:rsidR="00AD26DB" w:rsidRPr="00674669" w:rsidRDefault="00AD26DB" w:rsidP="00C521FE">
            <w:pPr>
              <w:keepNext/>
              <w:jc w:val="center"/>
              <w:rPr>
                <w:rFonts w:ascii="Arial Narrow" w:eastAsiaTheme="majorEastAsia" w:hAnsi="Arial Narrow" w:cstheme="majorBidi"/>
                <w:b/>
                <w:snapToGrid w:val="0"/>
                <w:sz w:val="20"/>
              </w:rPr>
            </w:pPr>
            <w:r w:rsidRPr="00674669">
              <w:rPr>
                <w:rFonts w:ascii="Arial Narrow" w:eastAsiaTheme="majorEastAsia" w:hAnsi="Arial Narrow" w:cstheme="majorBidi"/>
                <w:b/>
                <w:snapToGrid w:val="0"/>
                <w:sz w:val="20"/>
              </w:rPr>
              <w:t>350 mg Q3W</w:t>
            </w:r>
          </w:p>
        </w:tc>
        <w:tc>
          <w:tcPr>
            <w:tcW w:w="943" w:type="pct"/>
            <w:tcBorders>
              <w:top w:val="single" w:sz="4" w:space="0" w:color="auto"/>
              <w:left w:val="single" w:sz="4" w:space="0" w:color="auto"/>
              <w:bottom w:val="single" w:sz="4" w:space="0" w:color="auto"/>
              <w:right w:val="single" w:sz="4" w:space="0" w:color="auto"/>
            </w:tcBorders>
          </w:tcPr>
          <w:p w14:paraId="00C46BA0" w14:textId="77777777" w:rsidR="00AD26DB" w:rsidRPr="00674669" w:rsidRDefault="00AD26DB" w:rsidP="00C521FE">
            <w:pPr>
              <w:keepNext/>
              <w:jc w:val="center"/>
              <w:rPr>
                <w:rFonts w:ascii="Arial Narrow" w:eastAsiaTheme="majorEastAsia" w:hAnsi="Arial Narrow" w:cstheme="majorBidi"/>
                <w:b/>
                <w:snapToGrid w:val="0"/>
                <w:sz w:val="20"/>
              </w:rPr>
            </w:pPr>
            <w:r w:rsidRPr="00674669">
              <w:rPr>
                <w:rFonts w:ascii="Arial Narrow" w:eastAsiaTheme="majorEastAsia" w:hAnsi="Arial Narrow" w:cstheme="majorBidi"/>
                <w:b/>
                <w:snapToGrid w:val="0"/>
                <w:sz w:val="20"/>
              </w:rPr>
              <w:t>200 mg Q3W</w:t>
            </w:r>
          </w:p>
        </w:tc>
        <w:tc>
          <w:tcPr>
            <w:tcW w:w="994" w:type="pct"/>
            <w:tcBorders>
              <w:top w:val="single" w:sz="4" w:space="0" w:color="auto"/>
              <w:left w:val="single" w:sz="4" w:space="0" w:color="auto"/>
              <w:bottom w:val="single" w:sz="4" w:space="0" w:color="auto"/>
              <w:right w:val="single" w:sz="4" w:space="0" w:color="auto"/>
            </w:tcBorders>
          </w:tcPr>
          <w:p w14:paraId="0A618137" w14:textId="77777777" w:rsidR="00AD26DB" w:rsidRPr="00674669" w:rsidRDefault="00AD26DB" w:rsidP="00C521FE">
            <w:pPr>
              <w:keepNext/>
              <w:jc w:val="center"/>
              <w:rPr>
                <w:rFonts w:ascii="Arial Narrow" w:eastAsiaTheme="majorEastAsia" w:hAnsi="Arial Narrow" w:cstheme="majorBidi"/>
                <w:b/>
                <w:snapToGrid w:val="0"/>
                <w:sz w:val="20"/>
              </w:rPr>
            </w:pPr>
            <w:r w:rsidRPr="00674669">
              <w:rPr>
                <w:rFonts w:ascii="Arial Narrow" w:eastAsiaTheme="majorEastAsia" w:hAnsi="Arial Narrow" w:cstheme="majorBidi"/>
                <w:b/>
                <w:snapToGrid w:val="0"/>
                <w:sz w:val="20"/>
              </w:rPr>
              <w:t>400 mg Q6W</w:t>
            </w:r>
          </w:p>
        </w:tc>
      </w:tr>
      <w:tr w:rsidR="00AD26DB" w:rsidRPr="00674669" w14:paraId="5C5E170C" w14:textId="77777777" w:rsidTr="00C521FE">
        <w:trPr>
          <w:trHeight w:val="20"/>
        </w:trPr>
        <w:tc>
          <w:tcPr>
            <w:tcW w:w="1491" w:type="pct"/>
            <w:vMerge/>
            <w:tcBorders>
              <w:left w:val="single" w:sz="4" w:space="0" w:color="auto"/>
              <w:bottom w:val="single" w:sz="4" w:space="0" w:color="auto"/>
              <w:right w:val="single" w:sz="4" w:space="0" w:color="auto"/>
            </w:tcBorders>
            <w:hideMark/>
          </w:tcPr>
          <w:p w14:paraId="7050CFE8" w14:textId="77777777" w:rsidR="00AD26DB" w:rsidRPr="00674669" w:rsidRDefault="00AD26DB" w:rsidP="00C521FE">
            <w:pPr>
              <w:pStyle w:val="TableText0"/>
              <w:rPr>
                <w:snapToGrid w:val="0"/>
              </w:rPr>
            </w:pPr>
          </w:p>
        </w:tc>
        <w:tc>
          <w:tcPr>
            <w:tcW w:w="1572" w:type="pct"/>
            <w:tcBorders>
              <w:top w:val="single" w:sz="4" w:space="0" w:color="auto"/>
              <w:left w:val="single" w:sz="4" w:space="0" w:color="auto"/>
              <w:bottom w:val="single" w:sz="4" w:space="0" w:color="auto"/>
              <w:right w:val="single" w:sz="4" w:space="0" w:color="auto"/>
            </w:tcBorders>
            <w:hideMark/>
          </w:tcPr>
          <w:p w14:paraId="6744E7F9" w14:textId="11D1F9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r w:rsidRPr="00674669">
              <w:rPr>
                <w:rFonts w:ascii="Arial Narrow" w:eastAsiaTheme="majorEastAsia" w:hAnsi="Arial Narrow" w:cstheme="majorBidi"/>
                <w:bCs/>
                <w:snapToGrid w:val="0"/>
                <w:sz w:val="20"/>
                <w:vertAlign w:val="superscript"/>
              </w:rPr>
              <w:t xml:space="preserve"> </w:t>
            </w:r>
            <w:r w:rsidR="0098134F" w:rsidRPr="00674669">
              <w:rPr>
                <w:rFonts w:ascii="Arial Narrow" w:eastAsiaTheme="majorEastAsia" w:hAnsi="Arial Narrow" w:cstheme="majorBidi"/>
                <w:bCs/>
                <w:snapToGrid w:val="0"/>
                <w:sz w:val="20"/>
                <w:vertAlign w:val="superscript"/>
              </w:rPr>
              <w:t>a</w:t>
            </w:r>
          </w:p>
        </w:tc>
        <w:tc>
          <w:tcPr>
            <w:tcW w:w="943" w:type="pct"/>
            <w:tcBorders>
              <w:top w:val="single" w:sz="4" w:space="0" w:color="auto"/>
              <w:left w:val="single" w:sz="4" w:space="0" w:color="auto"/>
              <w:bottom w:val="single" w:sz="4" w:space="0" w:color="auto"/>
              <w:right w:val="single" w:sz="4" w:space="0" w:color="auto"/>
            </w:tcBorders>
            <w:hideMark/>
          </w:tcPr>
          <w:p w14:paraId="59841C7D" w14:textId="4A4B561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994" w:type="pct"/>
            <w:tcBorders>
              <w:top w:val="single" w:sz="4" w:space="0" w:color="auto"/>
              <w:left w:val="single" w:sz="4" w:space="0" w:color="auto"/>
              <w:bottom w:val="single" w:sz="4" w:space="0" w:color="auto"/>
              <w:right w:val="single" w:sz="4" w:space="0" w:color="auto"/>
            </w:tcBorders>
          </w:tcPr>
          <w:p w14:paraId="3C45C9DE" w14:textId="5A891FF1"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6C393941"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20A7198D" w14:textId="77777777" w:rsidR="00AD26DB" w:rsidRPr="00674669" w:rsidRDefault="00AD26DB" w:rsidP="00C521FE">
            <w:pPr>
              <w:pStyle w:val="TableText0"/>
            </w:pPr>
            <w:r w:rsidRPr="00674669">
              <w:t>Cycles</w:t>
            </w:r>
          </w:p>
        </w:tc>
        <w:tc>
          <w:tcPr>
            <w:tcW w:w="1572" w:type="pct"/>
            <w:tcBorders>
              <w:top w:val="single" w:sz="4" w:space="0" w:color="auto"/>
              <w:left w:val="single" w:sz="4" w:space="0" w:color="auto"/>
              <w:bottom w:val="single" w:sz="4" w:space="0" w:color="auto"/>
              <w:right w:val="single" w:sz="4" w:space="0" w:color="auto"/>
            </w:tcBorders>
          </w:tcPr>
          <w:p w14:paraId="458C092B" w14:textId="067AFDA6" w:rsidR="00AD26DB" w:rsidRPr="00674669" w:rsidRDefault="0098134F"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17.780</w:t>
            </w:r>
          </w:p>
        </w:tc>
        <w:tc>
          <w:tcPr>
            <w:tcW w:w="943" w:type="pct"/>
            <w:tcBorders>
              <w:top w:val="single" w:sz="4" w:space="0" w:color="auto"/>
              <w:left w:val="single" w:sz="4" w:space="0" w:color="auto"/>
              <w:bottom w:val="single" w:sz="4" w:space="0" w:color="auto"/>
              <w:right w:val="single" w:sz="4" w:space="0" w:color="auto"/>
            </w:tcBorders>
          </w:tcPr>
          <w:p w14:paraId="28489362" w14:textId="777777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14.155</w:t>
            </w:r>
          </w:p>
        </w:tc>
        <w:tc>
          <w:tcPr>
            <w:tcW w:w="994" w:type="pct"/>
            <w:tcBorders>
              <w:top w:val="single" w:sz="4" w:space="0" w:color="auto"/>
              <w:left w:val="single" w:sz="4" w:space="0" w:color="auto"/>
              <w:bottom w:val="single" w:sz="4" w:space="0" w:color="auto"/>
              <w:right w:val="single" w:sz="4" w:space="0" w:color="auto"/>
            </w:tcBorders>
          </w:tcPr>
          <w:p w14:paraId="034AEB80" w14:textId="777777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7.077</w:t>
            </w:r>
          </w:p>
        </w:tc>
      </w:tr>
      <w:tr w:rsidR="00AD26DB" w:rsidRPr="00674669" w14:paraId="115FF757"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6A5675D0" w14:textId="77777777" w:rsidR="00AD26DB" w:rsidRPr="00674669" w:rsidRDefault="00AD26DB" w:rsidP="00C521FE">
            <w:pPr>
              <w:pStyle w:val="TableText0"/>
            </w:pPr>
            <w:r w:rsidRPr="00674669">
              <w:t>Total drug cost</w:t>
            </w:r>
          </w:p>
        </w:tc>
        <w:tc>
          <w:tcPr>
            <w:tcW w:w="1572" w:type="pct"/>
            <w:tcBorders>
              <w:top w:val="single" w:sz="4" w:space="0" w:color="auto"/>
              <w:left w:val="single" w:sz="4" w:space="0" w:color="auto"/>
              <w:bottom w:val="single" w:sz="4" w:space="0" w:color="auto"/>
              <w:right w:val="single" w:sz="4" w:space="0" w:color="auto"/>
            </w:tcBorders>
          </w:tcPr>
          <w:p w14:paraId="11F29F6E" w14:textId="147BDF3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943" w:type="pct"/>
            <w:tcBorders>
              <w:top w:val="single" w:sz="4" w:space="0" w:color="auto"/>
              <w:left w:val="single" w:sz="4" w:space="0" w:color="auto"/>
              <w:bottom w:val="single" w:sz="4" w:space="0" w:color="auto"/>
              <w:right w:val="single" w:sz="4" w:space="0" w:color="auto"/>
            </w:tcBorders>
          </w:tcPr>
          <w:p w14:paraId="23DB03E6" w14:textId="04EE27EE"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994" w:type="pct"/>
            <w:tcBorders>
              <w:top w:val="single" w:sz="4" w:space="0" w:color="auto"/>
              <w:left w:val="single" w:sz="4" w:space="0" w:color="auto"/>
              <w:bottom w:val="single" w:sz="4" w:space="0" w:color="auto"/>
              <w:right w:val="single" w:sz="4" w:space="0" w:color="auto"/>
            </w:tcBorders>
          </w:tcPr>
          <w:p w14:paraId="2431463A" w14:textId="633F8A04"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54FB03D3"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29A07709" w14:textId="77777777" w:rsidR="00AD26DB" w:rsidRPr="00674669" w:rsidRDefault="00AD26DB" w:rsidP="00C521FE">
            <w:pPr>
              <w:pStyle w:val="TableText0"/>
            </w:pPr>
            <w:r w:rsidRPr="00674669">
              <w:t xml:space="preserve">Total cost of IV administration </w:t>
            </w:r>
          </w:p>
        </w:tc>
        <w:tc>
          <w:tcPr>
            <w:tcW w:w="1572" w:type="pct"/>
            <w:tcBorders>
              <w:top w:val="single" w:sz="4" w:space="0" w:color="auto"/>
              <w:left w:val="single" w:sz="4" w:space="0" w:color="auto"/>
              <w:bottom w:val="single" w:sz="4" w:space="0" w:color="auto"/>
              <w:right w:val="single" w:sz="4" w:space="0" w:color="auto"/>
            </w:tcBorders>
          </w:tcPr>
          <w:p w14:paraId="0C03511D" w14:textId="50313021" w:rsidR="00AD26DB" w:rsidRPr="00D767D2" w:rsidRDefault="00AD26DB" w:rsidP="00C521FE">
            <w:pPr>
              <w:keepNext/>
              <w:jc w:val="center"/>
              <w:rPr>
                <w:rFonts w:ascii="Arial Narrow" w:eastAsiaTheme="majorEastAsia" w:hAnsi="Arial Narrow" w:cstheme="majorBidi"/>
                <w:bCs/>
                <w:snapToGrid w:val="0"/>
                <w:sz w:val="20"/>
              </w:rPr>
            </w:pPr>
            <w:r w:rsidRPr="00D767D2">
              <w:rPr>
                <w:rFonts w:ascii="Arial Narrow" w:eastAsiaTheme="majorEastAsia" w:hAnsi="Arial Narrow" w:cstheme="majorBidi"/>
                <w:bCs/>
                <w:snapToGrid w:val="0"/>
                <w:sz w:val="20"/>
              </w:rPr>
              <w:t>$</w:t>
            </w:r>
            <w:r w:rsidR="0098134F" w:rsidRPr="00D767D2">
              <w:rPr>
                <w:rFonts w:ascii="Arial Narrow" w:eastAsiaTheme="majorEastAsia" w:hAnsi="Arial Narrow" w:cstheme="majorBidi"/>
                <w:bCs/>
                <w:snapToGrid w:val="0"/>
                <w:sz w:val="20"/>
              </w:rPr>
              <w:t>2,103.37</w:t>
            </w:r>
          </w:p>
        </w:tc>
        <w:tc>
          <w:tcPr>
            <w:tcW w:w="943" w:type="pct"/>
            <w:tcBorders>
              <w:top w:val="single" w:sz="4" w:space="0" w:color="auto"/>
              <w:left w:val="single" w:sz="4" w:space="0" w:color="auto"/>
              <w:bottom w:val="single" w:sz="4" w:space="0" w:color="auto"/>
              <w:right w:val="single" w:sz="4" w:space="0" w:color="auto"/>
            </w:tcBorders>
          </w:tcPr>
          <w:p w14:paraId="764B8BE4" w14:textId="77777777" w:rsidR="00AD26DB" w:rsidRPr="00D767D2" w:rsidRDefault="00AD26DB" w:rsidP="00C521FE">
            <w:pPr>
              <w:keepNext/>
              <w:jc w:val="center"/>
              <w:rPr>
                <w:rFonts w:ascii="Arial Narrow" w:eastAsiaTheme="majorEastAsia" w:hAnsi="Arial Narrow" w:cstheme="majorBidi"/>
                <w:bCs/>
                <w:snapToGrid w:val="0"/>
                <w:sz w:val="20"/>
              </w:rPr>
            </w:pPr>
            <w:r w:rsidRPr="00D767D2">
              <w:rPr>
                <w:rFonts w:ascii="Arial Narrow" w:eastAsiaTheme="majorEastAsia" w:hAnsi="Arial Narrow" w:cstheme="majorBidi"/>
                <w:bCs/>
                <w:snapToGrid w:val="0"/>
                <w:sz w:val="20"/>
              </w:rPr>
              <w:t>$1,674.60</w:t>
            </w:r>
          </w:p>
        </w:tc>
        <w:tc>
          <w:tcPr>
            <w:tcW w:w="994" w:type="pct"/>
            <w:tcBorders>
              <w:top w:val="single" w:sz="4" w:space="0" w:color="auto"/>
              <w:left w:val="single" w:sz="4" w:space="0" w:color="auto"/>
              <w:bottom w:val="single" w:sz="4" w:space="0" w:color="auto"/>
              <w:right w:val="single" w:sz="4" w:space="0" w:color="auto"/>
            </w:tcBorders>
          </w:tcPr>
          <w:p w14:paraId="4B42992C" w14:textId="77777777" w:rsidR="00AD26DB" w:rsidRPr="00D767D2" w:rsidRDefault="00AD26DB" w:rsidP="00C521FE">
            <w:pPr>
              <w:keepNext/>
              <w:jc w:val="center"/>
              <w:rPr>
                <w:rFonts w:ascii="Arial Narrow" w:eastAsiaTheme="majorEastAsia" w:hAnsi="Arial Narrow" w:cstheme="majorBidi"/>
                <w:bCs/>
                <w:snapToGrid w:val="0"/>
                <w:sz w:val="20"/>
              </w:rPr>
            </w:pPr>
            <w:r w:rsidRPr="00D767D2">
              <w:rPr>
                <w:rFonts w:ascii="Arial Narrow" w:eastAsiaTheme="majorEastAsia" w:hAnsi="Arial Narrow" w:cstheme="majorBidi"/>
                <w:bCs/>
                <w:snapToGrid w:val="0"/>
                <w:sz w:val="20"/>
              </w:rPr>
              <w:t>$837.30</w:t>
            </w:r>
          </w:p>
        </w:tc>
      </w:tr>
      <w:tr w:rsidR="00AD26DB" w:rsidRPr="00674669" w14:paraId="4933C616"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3CCEA37F" w14:textId="77777777" w:rsidR="00AD26DB" w:rsidRPr="00674669" w:rsidRDefault="00AD26DB" w:rsidP="00C521FE">
            <w:pPr>
              <w:pStyle w:val="TableText0"/>
            </w:pPr>
            <w:r w:rsidRPr="00674669">
              <w:t>Total cost of treatment</w:t>
            </w:r>
          </w:p>
        </w:tc>
        <w:tc>
          <w:tcPr>
            <w:tcW w:w="1572" w:type="pct"/>
            <w:tcBorders>
              <w:top w:val="single" w:sz="4" w:space="0" w:color="auto"/>
              <w:left w:val="single" w:sz="4" w:space="0" w:color="auto"/>
              <w:bottom w:val="single" w:sz="4" w:space="0" w:color="auto"/>
              <w:right w:val="single" w:sz="4" w:space="0" w:color="auto"/>
            </w:tcBorders>
          </w:tcPr>
          <w:p w14:paraId="5E6323EA" w14:textId="685ED3B9"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943" w:type="pct"/>
            <w:tcBorders>
              <w:top w:val="single" w:sz="4" w:space="0" w:color="auto"/>
              <w:left w:val="single" w:sz="4" w:space="0" w:color="auto"/>
              <w:bottom w:val="single" w:sz="4" w:space="0" w:color="auto"/>
              <w:right w:val="single" w:sz="4" w:space="0" w:color="auto"/>
            </w:tcBorders>
          </w:tcPr>
          <w:p w14:paraId="1C65AD9D" w14:textId="7A65BE63"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994" w:type="pct"/>
            <w:tcBorders>
              <w:top w:val="single" w:sz="4" w:space="0" w:color="auto"/>
              <w:left w:val="single" w:sz="4" w:space="0" w:color="auto"/>
              <w:bottom w:val="single" w:sz="4" w:space="0" w:color="auto"/>
              <w:right w:val="single" w:sz="4" w:space="0" w:color="auto"/>
            </w:tcBorders>
          </w:tcPr>
          <w:p w14:paraId="03C21F34" w14:textId="637F9F7C"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r w:rsidR="00AD26DB" w:rsidRPr="00674669" w14:paraId="41557822"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62431CAC" w14:textId="77777777" w:rsidR="00AD26DB" w:rsidRPr="00674669" w:rsidRDefault="00AD26DB" w:rsidP="00C521FE">
            <w:pPr>
              <w:pStyle w:val="TableText0"/>
            </w:pPr>
            <w:r w:rsidRPr="00674669">
              <w:t>Weighted utilisation</w:t>
            </w:r>
          </w:p>
        </w:tc>
        <w:tc>
          <w:tcPr>
            <w:tcW w:w="1572" w:type="pct"/>
            <w:tcBorders>
              <w:top w:val="single" w:sz="4" w:space="0" w:color="auto"/>
              <w:left w:val="single" w:sz="4" w:space="0" w:color="auto"/>
              <w:bottom w:val="single" w:sz="4" w:space="0" w:color="auto"/>
              <w:right w:val="single" w:sz="4" w:space="0" w:color="auto"/>
            </w:tcBorders>
          </w:tcPr>
          <w:p w14:paraId="43AFD4CA" w14:textId="777777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p>
        </w:tc>
        <w:tc>
          <w:tcPr>
            <w:tcW w:w="943" w:type="pct"/>
            <w:tcBorders>
              <w:top w:val="single" w:sz="4" w:space="0" w:color="auto"/>
              <w:left w:val="single" w:sz="4" w:space="0" w:color="auto"/>
              <w:bottom w:val="single" w:sz="4" w:space="0" w:color="auto"/>
              <w:right w:val="single" w:sz="4" w:space="0" w:color="auto"/>
            </w:tcBorders>
          </w:tcPr>
          <w:p w14:paraId="4B832F36" w14:textId="777777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92%</w:t>
            </w:r>
          </w:p>
        </w:tc>
        <w:tc>
          <w:tcPr>
            <w:tcW w:w="994" w:type="pct"/>
            <w:tcBorders>
              <w:top w:val="single" w:sz="4" w:space="0" w:color="auto"/>
              <w:left w:val="single" w:sz="4" w:space="0" w:color="auto"/>
              <w:bottom w:val="single" w:sz="4" w:space="0" w:color="auto"/>
              <w:right w:val="single" w:sz="4" w:space="0" w:color="auto"/>
            </w:tcBorders>
          </w:tcPr>
          <w:p w14:paraId="02B6FEB1" w14:textId="77777777"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8%</w:t>
            </w:r>
          </w:p>
        </w:tc>
      </w:tr>
      <w:tr w:rsidR="00AD26DB" w:rsidRPr="00674669" w14:paraId="7C45DDF5" w14:textId="77777777" w:rsidTr="00C521FE">
        <w:trPr>
          <w:trHeight w:val="20"/>
        </w:trPr>
        <w:tc>
          <w:tcPr>
            <w:tcW w:w="1491" w:type="pct"/>
            <w:tcBorders>
              <w:top w:val="single" w:sz="4" w:space="0" w:color="auto"/>
              <w:left w:val="single" w:sz="4" w:space="0" w:color="auto"/>
              <w:bottom w:val="single" w:sz="4" w:space="0" w:color="auto"/>
              <w:right w:val="single" w:sz="4" w:space="0" w:color="auto"/>
            </w:tcBorders>
          </w:tcPr>
          <w:p w14:paraId="06EE942A" w14:textId="77777777" w:rsidR="00AD26DB" w:rsidRPr="00674669" w:rsidRDefault="00AD26DB" w:rsidP="00C521FE">
            <w:pPr>
              <w:pStyle w:val="TableText0"/>
            </w:pPr>
            <w:r w:rsidRPr="00674669">
              <w:t>Weighted total cost of treatment</w:t>
            </w:r>
          </w:p>
        </w:tc>
        <w:tc>
          <w:tcPr>
            <w:tcW w:w="1572" w:type="pct"/>
            <w:tcBorders>
              <w:top w:val="single" w:sz="4" w:space="0" w:color="auto"/>
              <w:left w:val="single" w:sz="4" w:space="0" w:color="auto"/>
              <w:bottom w:val="single" w:sz="4" w:space="0" w:color="auto"/>
              <w:right w:val="single" w:sz="4" w:space="0" w:color="auto"/>
            </w:tcBorders>
          </w:tcPr>
          <w:p w14:paraId="09B6B147" w14:textId="38188BAD"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c>
          <w:tcPr>
            <w:tcW w:w="1937" w:type="pct"/>
            <w:gridSpan w:val="2"/>
            <w:tcBorders>
              <w:top w:val="single" w:sz="4" w:space="0" w:color="auto"/>
              <w:left w:val="single" w:sz="4" w:space="0" w:color="auto"/>
              <w:bottom w:val="single" w:sz="4" w:space="0" w:color="auto"/>
              <w:right w:val="single" w:sz="4" w:space="0" w:color="auto"/>
            </w:tcBorders>
          </w:tcPr>
          <w:p w14:paraId="40BBB61A" w14:textId="4B84B9E0" w:rsidR="00AD26DB" w:rsidRPr="00674669" w:rsidRDefault="00AD26DB" w:rsidP="00C521FE">
            <w:pPr>
              <w:keepNext/>
              <w:jc w:val="center"/>
              <w:rPr>
                <w:rFonts w:ascii="Arial Narrow" w:eastAsiaTheme="majorEastAsia" w:hAnsi="Arial Narrow" w:cstheme="majorBidi"/>
                <w:bCs/>
                <w:snapToGrid w:val="0"/>
                <w:sz w:val="20"/>
              </w:rPr>
            </w:pPr>
            <w:r w:rsidRPr="00674669">
              <w:rPr>
                <w:rFonts w:ascii="Arial Narrow" w:eastAsiaTheme="majorEastAsia" w:hAnsi="Arial Narrow" w:cstheme="majorBidi"/>
                <w:bCs/>
                <w:snapToGrid w:val="0"/>
                <w:sz w:val="20"/>
              </w:rPr>
              <w:t>$</w:t>
            </w:r>
            <w:r w:rsidR="00FD694A">
              <w:rPr>
                <w:rFonts w:ascii="Arial Narrow" w:eastAsiaTheme="majorEastAsia" w:hAnsi="Arial Narrow" w:cstheme="majorBidi"/>
                <w:bCs/>
                <w:snapToGrid w:val="0"/>
                <w:sz w:val="20"/>
              </w:rPr>
              <w:t xml:space="preserve"> </w:t>
            </w:r>
            <w:r w:rsidR="00FD694A" w:rsidRPr="00FD694A">
              <w:rPr>
                <w:rFonts w:ascii="Arial Narrow" w:eastAsiaTheme="majorEastAsia" w:hAnsi="Arial Narrow" w:cstheme="majorBidi"/>
                <w:bCs/>
                <w:snapToGrid w:val="0"/>
                <w:color w:val="000000"/>
                <w:sz w:val="20"/>
                <w:shd w:val="solid" w:color="000000" w:fill="000000"/>
                <w14:textFill>
                  <w14:solidFill>
                    <w14:srgbClr w14:val="000000">
                      <w14:alpha w14:val="100000"/>
                    </w14:srgbClr>
                  </w14:solidFill>
                </w14:textFill>
              </w:rPr>
              <w:t>|</w:t>
            </w:r>
          </w:p>
        </w:tc>
      </w:tr>
    </w:tbl>
    <w:p w14:paraId="1F60EA08"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Source: Calculated during evaluation.</w:t>
      </w:r>
    </w:p>
    <w:p w14:paraId="63FEE947" w14:textId="77777777" w:rsidR="00AD26DB" w:rsidRPr="00674669" w:rsidRDefault="00AD26DB" w:rsidP="00AD26DB">
      <w:pPr>
        <w:spacing w:after="120"/>
        <w:contextualSpacing/>
        <w:rPr>
          <w:rFonts w:ascii="Arial Narrow" w:hAnsi="Arial Narrow"/>
          <w:snapToGrid w:val="0"/>
          <w:sz w:val="18"/>
          <w:szCs w:val="22"/>
        </w:rPr>
      </w:pPr>
      <w:r w:rsidRPr="00674669">
        <w:rPr>
          <w:rFonts w:ascii="Arial Narrow" w:hAnsi="Arial Narrow"/>
          <w:snapToGrid w:val="0"/>
          <w:sz w:val="18"/>
          <w:szCs w:val="22"/>
        </w:rPr>
        <w:t>AEMP = approved ex-manufacture price; Q3W = every three weeks; Q6W = every six weeks; IV = intravenous; PDC = platinum-doublet chemotherapy.</w:t>
      </w:r>
    </w:p>
    <w:p w14:paraId="00F45283" w14:textId="12031DBF" w:rsidR="00AD26DB" w:rsidRPr="00674669" w:rsidRDefault="0098134F" w:rsidP="00AD26DB">
      <w:pPr>
        <w:spacing w:after="120"/>
        <w:contextualSpacing/>
        <w:rPr>
          <w:rFonts w:ascii="Arial Narrow" w:hAnsi="Arial Narrow"/>
          <w:snapToGrid w:val="0"/>
          <w:sz w:val="18"/>
          <w:szCs w:val="22"/>
        </w:rPr>
      </w:pPr>
      <w:proofErr w:type="spellStart"/>
      <w:proofErr w:type="gramStart"/>
      <w:r w:rsidRPr="00674669">
        <w:rPr>
          <w:rFonts w:ascii="Arial Narrow" w:hAnsi="Arial Narrow"/>
          <w:snapToGrid w:val="0"/>
          <w:sz w:val="18"/>
          <w:szCs w:val="22"/>
          <w:vertAlign w:val="superscript"/>
        </w:rPr>
        <w:t>a</w:t>
      </w:r>
      <w:proofErr w:type="spellEnd"/>
      <w:proofErr w:type="gramEnd"/>
      <w:r w:rsidR="00AD26DB" w:rsidRPr="00674669">
        <w:rPr>
          <w:rFonts w:ascii="Arial Narrow" w:hAnsi="Arial Narrow"/>
          <w:snapToGrid w:val="0"/>
          <w:sz w:val="18"/>
          <w:szCs w:val="22"/>
        </w:rPr>
        <w:t xml:space="preserve"> Effective AEMP for cemiplimab were back calculated assuming the total cost of treatment with cemiplimab+PDC would be no more than that of pembrolizumab+PDC</w:t>
      </w:r>
    </w:p>
    <w:p w14:paraId="380E17F3" w14:textId="5532FFB4" w:rsidR="00AD26DB" w:rsidRPr="00674669" w:rsidRDefault="0098134F" w:rsidP="00AD26DB">
      <w:pPr>
        <w:spacing w:after="120"/>
        <w:contextualSpacing/>
        <w:rPr>
          <w:rFonts w:ascii="Arial Narrow" w:hAnsi="Arial Narrow"/>
          <w:snapToGrid w:val="0"/>
          <w:sz w:val="18"/>
          <w:szCs w:val="22"/>
        </w:rPr>
      </w:pPr>
      <w:r w:rsidRPr="00674669">
        <w:rPr>
          <w:rFonts w:ascii="Arial Narrow" w:hAnsi="Arial Narrow"/>
          <w:snapToGrid w:val="0"/>
          <w:sz w:val="18"/>
          <w:szCs w:val="22"/>
          <w:vertAlign w:val="superscript"/>
        </w:rPr>
        <w:t>b</w:t>
      </w:r>
      <w:r w:rsidR="00AD26DB" w:rsidRPr="00674669">
        <w:rPr>
          <w:rFonts w:ascii="Arial Narrow" w:hAnsi="Arial Narrow"/>
          <w:snapToGrid w:val="0"/>
          <w:sz w:val="18"/>
          <w:szCs w:val="22"/>
        </w:rPr>
        <w:t xml:space="preserve"> No. of cycles (Q3W) = (Mean duration of treatment/12) * (52/3)</w:t>
      </w:r>
      <w:r w:rsidR="00FB079F" w:rsidRPr="00674669">
        <w:rPr>
          <w:rFonts w:ascii="Arial Narrow" w:hAnsi="Arial Narrow"/>
          <w:snapToGrid w:val="0"/>
          <w:sz w:val="18"/>
          <w:szCs w:val="22"/>
        </w:rPr>
        <w:t xml:space="preserve"> or Mean duration of treatment (weeks)/3.</w:t>
      </w:r>
    </w:p>
    <w:p w14:paraId="0FB98D23" w14:textId="07913094" w:rsidR="00AD26DB" w:rsidRPr="00674669" w:rsidRDefault="0098134F" w:rsidP="00AD26DB">
      <w:pPr>
        <w:spacing w:after="120"/>
        <w:contextualSpacing/>
        <w:rPr>
          <w:rFonts w:ascii="Arial Narrow" w:hAnsi="Arial Narrow"/>
          <w:snapToGrid w:val="0"/>
          <w:sz w:val="18"/>
          <w:szCs w:val="22"/>
        </w:rPr>
      </w:pPr>
      <w:r w:rsidRPr="00674669">
        <w:rPr>
          <w:rFonts w:ascii="Arial Narrow" w:hAnsi="Arial Narrow"/>
          <w:snapToGrid w:val="0"/>
          <w:sz w:val="18"/>
          <w:szCs w:val="22"/>
          <w:vertAlign w:val="superscript"/>
        </w:rPr>
        <w:t>c</w:t>
      </w:r>
      <w:r w:rsidR="00AD26DB" w:rsidRPr="00674669">
        <w:rPr>
          <w:rFonts w:ascii="Arial Narrow" w:hAnsi="Arial Narrow"/>
          <w:snapToGrid w:val="0"/>
          <w:sz w:val="18"/>
          <w:szCs w:val="22"/>
        </w:rPr>
        <w:t xml:space="preserve"> Includes the cost of IV administration (MBS Item 13950 = $118.30) given the difference in treatment duration. </w:t>
      </w:r>
    </w:p>
    <w:p w14:paraId="0529091B" w14:textId="199C7DAB" w:rsidR="0036475A" w:rsidRPr="00674669" w:rsidRDefault="00AD26DB" w:rsidP="00217F82">
      <w:pPr>
        <w:pStyle w:val="3-BodyText"/>
      </w:pPr>
      <w:bookmarkStart w:id="78" w:name="_Ref142905819"/>
      <w:r w:rsidRPr="00674669">
        <w:t xml:space="preserve">The sensitivity analyses showed that using the </w:t>
      </w:r>
      <w:r w:rsidR="00E53110" w:rsidRPr="00674669">
        <w:t xml:space="preserve">12.3 months </w:t>
      </w:r>
      <w:r w:rsidRPr="00674669">
        <w:t>duration of treatment from the</w:t>
      </w:r>
      <w:r w:rsidR="00933625" w:rsidRPr="00674669">
        <w:t xml:space="preserve"> recent data cut-off (June 2022) </w:t>
      </w:r>
      <w:r w:rsidR="005F665C" w:rsidRPr="00674669">
        <w:t>of Study 16113,</w:t>
      </w:r>
      <w:r w:rsidRPr="00674669">
        <w:t xml:space="preserve"> lowered the cost for cemiplimab</w:t>
      </w:r>
      <w:r w:rsidR="005F665C" w:rsidRPr="00674669">
        <w:t xml:space="preserve"> </w:t>
      </w:r>
      <w:r w:rsidRPr="00674669">
        <w:t>from $</w:t>
      </w:r>
      <w:r w:rsidR="00FD694A">
        <w:t xml:space="preserve"> </w:t>
      </w:r>
      <w:r w:rsidR="00FD694A" w:rsidRPr="00DA05A6">
        <w:rPr>
          <w:color w:val="000000"/>
          <w:w w:val="15"/>
          <w:shd w:val="solid" w:color="000000" w:fill="000000"/>
          <w:fitText w:val="-20" w:id="-1032660990"/>
          <w14:textFill>
            <w14:solidFill>
              <w14:srgbClr w14:val="000000">
                <w14:alpha w14:val="100000"/>
              </w14:srgbClr>
            </w14:solidFill>
          </w14:textFill>
        </w:rPr>
        <w:t xml:space="preserve">|  </w:t>
      </w:r>
      <w:r w:rsidR="00FD694A" w:rsidRPr="00DA05A6">
        <w:rPr>
          <w:color w:val="000000"/>
          <w:spacing w:val="-69"/>
          <w:w w:val="15"/>
          <w:shd w:val="solid" w:color="000000" w:fill="000000"/>
          <w:fitText w:val="-20" w:id="-1032660990"/>
          <w14:textFill>
            <w14:solidFill>
              <w14:srgbClr w14:val="000000">
                <w14:alpha w14:val="100000"/>
              </w14:srgbClr>
            </w14:solidFill>
          </w14:textFill>
        </w:rPr>
        <w:t>|</w:t>
      </w:r>
      <w:r w:rsidRPr="00674669">
        <w:t xml:space="preserve"> to $</w:t>
      </w:r>
      <w:r w:rsidR="00FD694A">
        <w:t xml:space="preserve"> </w:t>
      </w:r>
      <w:r w:rsidR="00FD694A" w:rsidRPr="00DA05A6">
        <w:rPr>
          <w:color w:val="000000"/>
          <w:w w:val="15"/>
          <w:shd w:val="solid" w:color="000000" w:fill="000000"/>
          <w:fitText w:val="-20" w:id="-1032660989"/>
          <w14:textFill>
            <w14:solidFill>
              <w14:srgbClr w14:val="000000">
                <w14:alpha w14:val="100000"/>
              </w14:srgbClr>
            </w14:solidFill>
          </w14:textFill>
        </w:rPr>
        <w:t xml:space="preserve">|  </w:t>
      </w:r>
      <w:r w:rsidR="00FD694A" w:rsidRPr="00DA05A6">
        <w:rPr>
          <w:color w:val="000000"/>
          <w:spacing w:val="-69"/>
          <w:w w:val="15"/>
          <w:shd w:val="solid" w:color="000000" w:fill="000000"/>
          <w:fitText w:val="-20" w:id="-1032660989"/>
          <w14:textFill>
            <w14:solidFill>
              <w14:srgbClr w14:val="000000">
                <w14:alpha w14:val="100000"/>
              </w14:srgbClr>
            </w14:solidFill>
          </w14:textFill>
        </w:rPr>
        <w:t>|</w:t>
      </w:r>
      <w:r w:rsidRPr="00674669">
        <w:t>. When weighted utilisation for pembrolizumab (200 mg Q3W and 400 mg Q6W) was used, there was a slight further reduction.</w:t>
      </w:r>
      <w:bookmarkEnd w:id="78"/>
      <w:r w:rsidR="00746416" w:rsidRPr="00674669">
        <w:t xml:space="preserve"> </w:t>
      </w:r>
      <w:r w:rsidR="00843B4D" w:rsidRPr="00674669">
        <w:rPr>
          <w:iCs/>
        </w:rPr>
        <w:t xml:space="preserve">The pre-PBAC </w:t>
      </w:r>
      <w:r w:rsidR="00A16D1B">
        <w:rPr>
          <w:iCs/>
        </w:rPr>
        <w:t>r</w:t>
      </w:r>
      <w:r w:rsidR="00843B4D" w:rsidRPr="00674669">
        <w:rPr>
          <w:iCs/>
        </w:rPr>
        <w:t xml:space="preserve">esponse argued that the number of doses administered is the most appropriate comparison, with the mean number of doses being 13.4 for cemiplimab study and 12.6 for the pembrolizumab trials. The pre-PBAC </w:t>
      </w:r>
      <w:r w:rsidR="00A16D1B">
        <w:rPr>
          <w:iCs/>
        </w:rPr>
        <w:t>r</w:t>
      </w:r>
      <w:r w:rsidR="00843B4D" w:rsidRPr="00674669">
        <w:rPr>
          <w:iCs/>
        </w:rPr>
        <w:t>esponse also asserted that it was reasonable to assume the treatment duration to be the same for cemiplimab and pembrolizumab, given the similarities in the intended duration of treatment (maximum of 24 months or 35 cycles).</w:t>
      </w:r>
    </w:p>
    <w:p w14:paraId="01C456A6" w14:textId="12D9C7DD" w:rsidR="00BA17B8" w:rsidRPr="00674669" w:rsidRDefault="00BA17B8" w:rsidP="00217F82">
      <w:pPr>
        <w:pStyle w:val="3-BodyText"/>
      </w:pPr>
      <w:r w:rsidRPr="00674669">
        <w:rPr>
          <w:iCs/>
        </w:rPr>
        <w:t xml:space="preserve">The ESC considered that the difference in mean duration of treatment highlighted the transitivity issues between the studies, </w:t>
      </w:r>
      <w:r w:rsidR="00DF3CC0" w:rsidRPr="00674669">
        <w:rPr>
          <w:iCs/>
        </w:rPr>
        <w:t xml:space="preserve">reflecting different patient populations </w:t>
      </w:r>
      <w:r w:rsidR="009B155F" w:rsidRPr="00674669">
        <w:rPr>
          <w:iCs/>
        </w:rPr>
        <w:t>in the</w:t>
      </w:r>
      <w:r w:rsidR="00DF3CC0" w:rsidRPr="00674669">
        <w:rPr>
          <w:iCs/>
        </w:rPr>
        <w:t xml:space="preserve"> cemiplimab and pembrolizumab studies. </w:t>
      </w:r>
    </w:p>
    <w:p w14:paraId="64263B74" w14:textId="1C6B955B" w:rsidR="0036475A" w:rsidRPr="00674669" w:rsidRDefault="0036475A" w:rsidP="0036475A">
      <w:pPr>
        <w:pStyle w:val="3-BodyText"/>
        <w:rPr>
          <w:iCs/>
        </w:rPr>
      </w:pPr>
      <w:r w:rsidRPr="00674669">
        <w:rPr>
          <w:iCs/>
        </w:rPr>
        <w:t xml:space="preserve">The ESC considered that the treatment duration of cemiplimab is likely to be the same as for pembrolizumab when it is used in the same patient population, and that the observed difference in treatment duration </w:t>
      </w:r>
      <w:r w:rsidR="002C65F5" w:rsidRPr="00674669">
        <w:rPr>
          <w:iCs/>
        </w:rPr>
        <w:t xml:space="preserve">may </w:t>
      </w:r>
      <w:r w:rsidRPr="00674669">
        <w:rPr>
          <w:iCs/>
        </w:rPr>
        <w:t>reflect differences in the patient populations in the clinical trials.</w:t>
      </w:r>
      <w:r w:rsidR="008F5519" w:rsidRPr="00674669">
        <w:t xml:space="preserve"> </w:t>
      </w:r>
    </w:p>
    <w:bookmarkEnd w:id="72"/>
    <w:p w14:paraId="262227E2" w14:textId="72290631" w:rsidR="00AD26DB" w:rsidRPr="00674669" w:rsidRDefault="00AD26DB" w:rsidP="00AD26DB">
      <w:pPr>
        <w:pStyle w:val="3-BodyText"/>
      </w:pPr>
      <w:r w:rsidRPr="00674669">
        <w:lastRenderedPageBreak/>
        <w:t>Should the PBAC accept the clinical claim of overall non-inferior effectiveness and safety, the cost-minimisation approach must establish that the cost per patient for treatment with cemiplimab+PDC would be no more than the cost per patient of pembrolizumab+PDC. Where these cost per patient calculations are uncertain, the guiding principle is that the Australian Government should not bear the financial risk of this uncertainty because the Australian population already has access to therapy that is at least as effective and safe. In this case, the PBAC should consider the following parameters: duration of treatment.</w:t>
      </w:r>
    </w:p>
    <w:p w14:paraId="2ADF7C0A" w14:textId="7AFA58BE" w:rsidR="005D4E7E" w:rsidRPr="00674669" w:rsidRDefault="005D4E7E" w:rsidP="00AD26DB">
      <w:pPr>
        <w:pStyle w:val="3-BodyText"/>
      </w:pPr>
      <w:r w:rsidRPr="00674669">
        <w:t xml:space="preserve">The ESC considered that in the absence of a MAIC, the financial risk to the Government of the treatment duration for cemiplimab being longer than that for pembrolizumab could be mitigated through a price reduction for cemiplimab that was informed by calculation of the cost-minimised price of cemiplimab being based on the treatment duration for cemiplimab of 12.3 months (based on the latest data cut), being equivalent to 9.8 months of pembrolizumab. </w:t>
      </w:r>
      <w:r w:rsidRPr="00674669">
        <w:rPr>
          <w:iCs/>
        </w:rPr>
        <w:t xml:space="preserve">The pre-PBAC </w:t>
      </w:r>
      <w:r w:rsidR="00A16D1B">
        <w:rPr>
          <w:iCs/>
        </w:rPr>
        <w:t>r</w:t>
      </w:r>
      <w:r w:rsidRPr="00674669">
        <w:rPr>
          <w:iCs/>
        </w:rPr>
        <w:t xml:space="preserve">esponse argued that the shorter duration of treatment in the pembrolizumab trials was likely because </w:t>
      </w:r>
      <w:r w:rsidR="006E6632" w:rsidRPr="00674669">
        <w:rPr>
          <w:iCs/>
        </w:rPr>
        <w:t>of higher</w:t>
      </w:r>
      <w:r w:rsidRPr="00674669">
        <w:rPr>
          <w:iCs/>
        </w:rPr>
        <w:t xml:space="preserve"> rates of adverse events in the KEYNOTE trials, leading to discontinuation of the treatment. The pre-PBAC </w:t>
      </w:r>
      <w:r w:rsidR="00A16D1B">
        <w:rPr>
          <w:iCs/>
        </w:rPr>
        <w:t>r</w:t>
      </w:r>
      <w:r w:rsidRPr="00674669">
        <w:rPr>
          <w:iCs/>
        </w:rPr>
        <w:t>esponse maintained that that the non-inferiority claim was well supported, and that the cost-minimisation approach appropriately assumed the same treatment duration for cemiplimab and pembrolizumab at price parity with an effective vial price of $</w:t>
      </w:r>
      <w:r w:rsidR="00FD694A">
        <w:rPr>
          <w:iCs/>
        </w:rPr>
        <w:t xml:space="preserve"> </w:t>
      </w:r>
      <w:r w:rsidR="00FD694A" w:rsidRPr="00DA05A6">
        <w:rPr>
          <w:iCs/>
          <w:color w:val="000000"/>
          <w:w w:val="15"/>
          <w:shd w:val="solid" w:color="000000" w:fill="000000"/>
          <w:fitText w:val="-20" w:id="-1032660988"/>
          <w14:textFill>
            <w14:solidFill>
              <w14:srgbClr w14:val="000000">
                <w14:alpha w14:val="100000"/>
              </w14:srgbClr>
            </w14:solidFill>
          </w14:textFill>
        </w:rPr>
        <w:t xml:space="preserve">|  </w:t>
      </w:r>
      <w:r w:rsidR="00FD694A" w:rsidRPr="00DA05A6">
        <w:rPr>
          <w:iCs/>
          <w:color w:val="000000"/>
          <w:spacing w:val="-69"/>
          <w:w w:val="15"/>
          <w:shd w:val="solid" w:color="000000" w:fill="000000"/>
          <w:fitText w:val="-20" w:id="-1032660988"/>
          <w14:textFill>
            <w14:solidFill>
              <w14:srgbClr w14:val="000000">
                <w14:alpha w14:val="100000"/>
              </w14:srgbClr>
            </w14:solidFill>
          </w14:textFill>
        </w:rPr>
        <w:t>|</w:t>
      </w:r>
      <w:r w:rsidRPr="00674669">
        <w:rPr>
          <w:iCs/>
        </w:rPr>
        <w:t xml:space="preserve">. The pre-PBAC </w:t>
      </w:r>
      <w:r w:rsidR="00A16D1B">
        <w:rPr>
          <w:iCs/>
        </w:rPr>
        <w:t>r</w:t>
      </w:r>
      <w:r w:rsidRPr="00674669">
        <w:rPr>
          <w:iCs/>
        </w:rPr>
        <w:t xml:space="preserve">esponse further argued that any residual uncertainty should be </w:t>
      </w:r>
      <w:r w:rsidR="00C237D2" w:rsidRPr="00674669">
        <w:rPr>
          <w:iCs/>
        </w:rPr>
        <w:t>accounted for</w:t>
      </w:r>
      <w:r w:rsidRPr="00674669">
        <w:rPr>
          <w:iCs/>
        </w:rPr>
        <w:t xml:space="preserve"> through the standard 24-month </w:t>
      </w:r>
      <w:r w:rsidR="00386C2D">
        <w:rPr>
          <w:iCs/>
        </w:rPr>
        <w:t>Drug Utilisation Sub-Committee (</w:t>
      </w:r>
      <w:r w:rsidRPr="00674669">
        <w:rPr>
          <w:iCs/>
        </w:rPr>
        <w:t>DUSC</w:t>
      </w:r>
      <w:r w:rsidR="00386C2D">
        <w:rPr>
          <w:iCs/>
        </w:rPr>
        <w:t>)</w:t>
      </w:r>
      <w:r w:rsidRPr="00674669">
        <w:rPr>
          <w:iCs/>
        </w:rPr>
        <w:t xml:space="preserve"> review.</w:t>
      </w:r>
    </w:p>
    <w:p w14:paraId="0760DFCC" w14:textId="614D6BAF" w:rsidR="00AD26DB" w:rsidRPr="00674669" w:rsidRDefault="00AD26DB" w:rsidP="00AD26DB">
      <w:pPr>
        <w:pStyle w:val="4-SubsectionHeading"/>
      </w:pPr>
      <w:bookmarkStart w:id="79" w:name="_Toc22897646"/>
      <w:bookmarkStart w:id="80" w:name="_Toc142622573"/>
      <w:bookmarkStart w:id="81" w:name="_Toc145495070"/>
      <w:r w:rsidRPr="00674669">
        <w:t>Drug cost/patient/course</w:t>
      </w:r>
      <w:bookmarkEnd w:id="79"/>
      <w:bookmarkEnd w:id="80"/>
      <w:bookmarkEnd w:id="81"/>
    </w:p>
    <w:p w14:paraId="2A764EA8" w14:textId="4093C8DD" w:rsidR="00AD26DB" w:rsidRPr="00674669" w:rsidRDefault="00AD26DB" w:rsidP="00AD26DB">
      <w:pPr>
        <w:pStyle w:val="3-BodyText"/>
      </w:pPr>
      <w:bookmarkStart w:id="82" w:name="_Ref142854655"/>
      <w:bookmarkStart w:id="83" w:name="_Toc22897647"/>
      <w:r w:rsidRPr="00674669">
        <w:t xml:space="preserve">Based on the </w:t>
      </w:r>
      <w:r w:rsidR="00157C12" w:rsidRPr="00674669">
        <w:t xml:space="preserve">weighted </w:t>
      </w:r>
      <w:r w:rsidRPr="00674669">
        <w:t>effect</w:t>
      </w:r>
      <w:r w:rsidR="00157C12" w:rsidRPr="00674669">
        <w:t>ive</w:t>
      </w:r>
      <w:r w:rsidRPr="00674669">
        <w:t xml:space="preserve"> DPMA of $</w:t>
      </w:r>
      <w:r w:rsidR="00FD694A">
        <w:t xml:space="preserve"> </w:t>
      </w:r>
      <w:r w:rsidR="00FD694A" w:rsidRPr="00D07055">
        <w:rPr>
          <w:color w:val="000000"/>
          <w:w w:val="60"/>
          <w:shd w:val="solid" w:color="000000" w:fill="000000"/>
          <w:fitText w:val="470" w:id="-1032660987"/>
          <w14:textFill>
            <w14:solidFill>
              <w14:srgbClr w14:val="000000">
                <w14:alpha w14:val="100000"/>
              </w14:srgbClr>
            </w14:solidFill>
          </w14:textFill>
        </w:rPr>
        <w:t>|||  ||</w:t>
      </w:r>
      <w:r w:rsidR="00FD694A" w:rsidRPr="00D07055">
        <w:rPr>
          <w:color w:val="000000"/>
          <w:spacing w:val="6"/>
          <w:w w:val="60"/>
          <w:shd w:val="solid" w:color="000000" w:fill="000000"/>
          <w:fitText w:val="470" w:id="-1032660987"/>
          <w14:textFill>
            <w14:solidFill>
              <w14:srgbClr w14:val="000000">
                <w14:alpha w14:val="100000"/>
              </w14:srgbClr>
            </w14:solidFill>
          </w14:textFill>
        </w:rPr>
        <w:t>|</w:t>
      </w:r>
      <w:r w:rsidRPr="00674669">
        <w:t>, the mean cost for a patient receiving cemiplimab</w:t>
      </w:r>
      <w:r w:rsidR="00F152CD" w:rsidRPr="00674669">
        <w:t>+</w:t>
      </w:r>
      <w:r w:rsidRPr="00674669">
        <w:t>PDC is $</w:t>
      </w:r>
      <w:r w:rsidR="00FD694A">
        <w:t xml:space="preserve"> </w:t>
      </w:r>
      <w:r w:rsidR="00FD694A" w:rsidRPr="00DA05A6">
        <w:rPr>
          <w:color w:val="000000"/>
          <w:w w:val="15"/>
          <w:shd w:val="solid" w:color="000000" w:fill="000000"/>
          <w:fitText w:val="-20" w:id="-1032660986"/>
          <w14:textFill>
            <w14:solidFill>
              <w14:srgbClr w14:val="000000">
                <w14:alpha w14:val="100000"/>
              </w14:srgbClr>
            </w14:solidFill>
          </w14:textFill>
        </w:rPr>
        <w:t xml:space="preserve">|  </w:t>
      </w:r>
      <w:r w:rsidR="00FD694A" w:rsidRPr="00DA05A6">
        <w:rPr>
          <w:color w:val="000000"/>
          <w:spacing w:val="-69"/>
          <w:w w:val="15"/>
          <w:shd w:val="solid" w:color="000000" w:fill="000000"/>
          <w:fitText w:val="-20" w:id="-1032660986"/>
          <w14:textFill>
            <w14:solidFill>
              <w14:srgbClr w14:val="000000">
                <w14:alpha w14:val="100000"/>
              </w14:srgbClr>
            </w14:solidFill>
          </w14:textFill>
        </w:rPr>
        <w:t>|</w:t>
      </w:r>
      <w:r w:rsidRPr="00674669">
        <w:t xml:space="preserve">. This is based on a mean duration of treatment of </w:t>
      </w:r>
      <w:r w:rsidR="00E357B7" w:rsidRPr="00674669">
        <w:t>12.3 months (</w:t>
      </w:r>
      <w:r w:rsidRPr="00674669">
        <w:t>53.34 weeks</w:t>
      </w:r>
      <w:r w:rsidR="00E357B7" w:rsidRPr="00674669">
        <w:t>)</w:t>
      </w:r>
      <w:r w:rsidRPr="00674669">
        <w:t xml:space="preserve"> observed in the cemiplimab</w:t>
      </w:r>
      <w:r w:rsidR="00F152CD" w:rsidRPr="00674669">
        <w:t>+</w:t>
      </w:r>
      <w:r w:rsidRPr="00674669">
        <w:t>PDC arm from Study 16113</w:t>
      </w:r>
      <w:r w:rsidR="00FB31DD" w:rsidRPr="00674669">
        <w:t>,</w:t>
      </w:r>
      <w:r w:rsidRPr="00674669">
        <w:t xml:space="preserve"> with 6.4% of patients </w:t>
      </w:r>
      <w:r w:rsidR="00FB31DD" w:rsidRPr="00674669">
        <w:t xml:space="preserve">still receiving </w:t>
      </w:r>
      <w:r w:rsidRPr="00674669">
        <w:t>cemiplimab</w:t>
      </w:r>
      <w:r w:rsidR="00F152CD" w:rsidRPr="00674669">
        <w:t>+</w:t>
      </w:r>
      <w:r w:rsidRPr="00674669">
        <w:t>PDC treatment</w:t>
      </w:r>
      <w:r w:rsidR="00FB31DD" w:rsidRPr="00674669">
        <w:t xml:space="preserve"> (data cut-off: June 2022)</w:t>
      </w:r>
      <w:r w:rsidRPr="00674669">
        <w:t>.</w:t>
      </w:r>
      <w:bookmarkEnd w:id="82"/>
    </w:p>
    <w:p w14:paraId="17B449B1" w14:textId="77777777" w:rsidR="00AD26DB" w:rsidRPr="00674669" w:rsidRDefault="00AD26DB" w:rsidP="00AD26DB">
      <w:pPr>
        <w:pStyle w:val="4-SubsectionHeading"/>
      </w:pPr>
      <w:bookmarkStart w:id="84" w:name="_Toc142622574"/>
      <w:bookmarkStart w:id="85" w:name="_Toc145495071"/>
      <w:r w:rsidRPr="00674669">
        <w:t>Estimated PBS usage &amp; financial implications</w:t>
      </w:r>
      <w:bookmarkEnd w:id="83"/>
      <w:bookmarkEnd w:id="84"/>
      <w:bookmarkEnd w:id="85"/>
    </w:p>
    <w:p w14:paraId="7A7BC9CA" w14:textId="0F9F1E1D" w:rsidR="00AD26DB" w:rsidRPr="00674669" w:rsidRDefault="00AD26DB" w:rsidP="00AD26DB">
      <w:pPr>
        <w:pStyle w:val="3-BodyText"/>
      </w:pPr>
      <w:r w:rsidRPr="00674669">
        <w:t>This submission w</w:t>
      </w:r>
      <w:r w:rsidR="00E567B6" w:rsidRPr="00674669">
        <w:t>as</w:t>
      </w:r>
      <w:r w:rsidRPr="00674669">
        <w:t xml:space="preserve"> not considered by DUSC. The submission used a market share approach to estimate the utilisation and financial impact of listing cemiplimab</w:t>
      </w:r>
      <w:r w:rsidR="00F152CD" w:rsidRPr="00674669">
        <w:t>+</w:t>
      </w:r>
      <w:r w:rsidRPr="00674669">
        <w:t>PDC for the treatment of patients with Stage IV NSCLC.</w:t>
      </w:r>
    </w:p>
    <w:p w14:paraId="79F936F3" w14:textId="1BFBFC1E" w:rsidR="00AD26DB" w:rsidRPr="00674669" w:rsidRDefault="00AD26DB" w:rsidP="00AD26DB">
      <w:pPr>
        <w:pStyle w:val="3-BodyText"/>
      </w:pPr>
      <w:r w:rsidRPr="00674669">
        <w:fldChar w:fldCharType="begin" w:fldLock="1"/>
      </w:r>
      <w:r w:rsidRPr="00674669">
        <w:instrText xml:space="preserve"> REF _Ref104805262 \h  \* MERGEFORMAT </w:instrText>
      </w:r>
      <w:r w:rsidRPr="00674669">
        <w:fldChar w:fldCharType="separate"/>
      </w:r>
      <w:r w:rsidR="00066CBC" w:rsidRPr="00674669">
        <w:t>Table 1</w:t>
      </w:r>
      <w:r w:rsidR="00D96B26" w:rsidRPr="00674669">
        <w:t>2</w:t>
      </w:r>
      <w:r w:rsidRPr="00674669">
        <w:fldChar w:fldCharType="end"/>
      </w:r>
      <w:r w:rsidRPr="00674669">
        <w:t xml:space="preserve"> summarises the key inputs and data sources to estimate the financial impact. </w:t>
      </w:r>
    </w:p>
    <w:p w14:paraId="68BE101F" w14:textId="31BC1E7C" w:rsidR="00AD26DB" w:rsidRPr="00674669" w:rsidRDefault="00AD26DB" w:rsidP="00AD26DB">
      <w:pPr>
        <w:pStyle w:val="Caption"/>
        <w:rPr>
          <w:rStyle w:val="CommentReference"/>
          <w:b/>
          <w:szCs w:val="24"/>
        </w:rPr>
      </w:pPr>
      <w:bookmarkStart w:id="86" w:name="_Ref104805262"/>
      <w:r w:rsidRPr="00674669">
        <w:lastRenderedPageBreak/>
        <w:t xml:space="preserve">Table </w:t>
      </w:r>
      <w:fldSimple w:instr=" SEQ Table \* ARABIC " w:fldLock="1">
        <w:r w:rsidR="003E788A" w:rsidRPr="00674669">
          <w:t>1</w:t>
        </w:r>
        <w:r w:rsidR="00D96B26" w:rsidRPr="00674669">
          <w:t>2</w:t>
        </w:r>
      </w:fldSimple>
      <w:bookmarkEnd w:id="86"/>
      <w:r w:rsidRPr="00674669">
        <w:t>:</w:t>
      </w:r>
      <w:r w:rsidRPr="00674669">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AD26DB" w:rsidRPr="00674669" w14:paraId="1524D7F6" w14:textId="77777777" w:rsidTr="00C521FE">
        <w:trPr>
          <w:tblHeader/>
        </w:trPr>
        <w:tc>
          <w:tcPr>
            <w:tcW w:w="950" w:type="pct"/>
            <w:shd w:val="clear" w:color="auto" w:fill="auto"/>
            <w:vAlign w:val="center"/>
          </w:tcPr>
          <w:p w14:paraId="5E7D5B3D" w14:textId="77777777" w:rsidR="00AD26DB" w:rsidRPr="00674669" w:rsidRDefault="00AD26DB" w:rsidP="00C521FE">
            <w:pPr>
              <w:pStyle w:val="In-tableHeading"/>
              <w:rPr>
                <w:lang w:val="en-AU"/>
              </w:rPr>
            </w:pPr>
            <w:r w:rsidRPr="00674669">
              <w:rPr>
                <w:lang w:val="en-AU"/>
              </w:rPr>
              <w:t>Parameter</w:t>
            </w:r>
          </w:p>
        </w:tc>
        <w:tc>
          <w:tcPr>
            <w:tcW w:w="2270" w:type="pct"/>
            <w:shd w:val="clear" w:color="auto" w:fill="auto"/>
            <w:vAlign w:val="center"/>
          </w:tcPr>
          <w:p w14:paraId="0A22152C" w14:textId="77777777" w:rsidR="00AD26DB" w:rsidRPr="00674669" w:rsidRDefault="00AD26DB" w:rsidP="00C521FE">
            <w:pPr>
              <w:pStyle w:val="In-tableHeading"/>
              <w:rPr>
                <w:lang w:val="en-AU"/>
              </w:rPr>
            </w:pPr>
            <w:r w:rsidRPr="00674669">
              <w:rPr>
                <w:lang w:val="en-AU"/>
              </w:rPr>
              <w:t>Value applied and source</w:t>
            </w:r>
          </w:p>
        </w:tc>
        <w:tc>
          <w:tcPr>
            <w:tcW w:w="1780" w:type="pct"/>
            <w:shd w:val="clear" w:color="auto" w:fill="auto"/>
            <w:vAlign w:val="center"/>
          </w:tcPr>
          <w:p w14:paraId="5892DC93" w14:textId="77777777" w:rsidR="00AD26DB" w:rsidRPr="00674669" w:rsidRDefault="00AD26DB" w:rsidP="00C521FE">
            <w:pPr>
              <w:pStyle w:val="In-tableHeading"/>
              <w:rPr>
                <w:lang w:val="en-AU"/>
              </w:rPr>
            </w:pPr>
            <w:r w:rsidRPr="00674669">
              <w:rPr>
                <w:lang w:val="en-AU"/>
              </w:rPr>
              <w:t>Comment</w:t>
            </w:r>
          </w:p>
        </w:tc>
      </w:tr>
      <w:tr w:rsidR="00AD26DB" w:rsidRPr="00674669" w14:paraId="7C8C1E14" w14:textId="77777777" w:rsidTr="00C521FE">
        <w:tc>
          <w:tcPr>
            <w:tcW w:w="950" w:type="pct"/>
            <w:shd w:val="clear" w:color="auto" w:fill="auto"/>
          </w:tcPr>
          <w:p w14:paraId="417DA2B4" w14:textId="77777777" w:rsidR="00AD26DB" w:rsidRPr="00674669" w:rsidRDefault="00AD26DB" w:rsidP="00C521FE">
            <w:pPr>
              <w:pStyle w:val="TableText0"/>
            </w:pPr>
            <w:r w:rsidRPr="00674669">
              <w:t>Predicted annual growth rate of pembrolizumab prescriptions for the treatment of Stage IV NSCLC patients</w:t>
            </w:r>
          </w:p>
        </w:tc>
        <w:tc>
          <w:tcPr>
            <w:tcW w:w="2270" w:type="pct"/>
            <w:shd w:val="clear" w:color="auto" w:fill="auto"/>
          </w:tcPr>
          <w:p w14:paraId="0BD79EEC" w14:textId="77777777" w:rsidR="00AD26DB" w:rsidRPr="00674669" w:rsidRDefault="00AD26DB" w:rsidP="00C521FE">
            <w:pPr>
              <w:pStyle w:val="TableText0"/>
            </w:pPr>
            <w:r w:rsidRPr="00674669">
              <w:t>Predicted growth rate of 18% in Year 2024 decreasing to 9% in Year 2029; based on trendline equations to forecast annual growth rate based on historical Services Australia data for pembrolizumab (2018 to 2022).</w:t>
            </w:r>
          </w:p>
        </w:tc>
        <w:tc>
          <w:tcPr>
            <w:tcW w:w="1780" w:type="pct"/>
            <w:shd w:val="clear" w:color="auto" w:fill="auto"/>
          </w:tcPr>
          <w:p w14:paraId="69F87ACE" w14:textId="5217BFF2" w:rsidR="00AD26DB" w:rsidRPr="00674669" w:rsidRDefault="00AD26DB" w:rsidP="00C521FE">
            <w:pPr>
              <w:pStyle w:val="TableText0"/>
            </w:pPr>
            <w:r w:rsidRPr="00674669">
              <w:t>This was likely overestimated; the overall NSCLC market was considered to be stable by the DUSC, with a decline in immunotherapies (Public Release Document, September 2022 DUSC Meeting). However, the submission estimated a growth rate of 45% in 2023, which is likely to be overestimated</w:t>
            </w:r>
            <w:r w:rsidR="00674669">
              <w:t xml:space="preserve">. </w:t>
            </w:r>
            <w:r w:rsidRPr="00674669">
              <w:t xml:space="preserve"> </w:t>
            </w:r>
          </w:p>
        </w:tc>
      </w:tr>
      <w:tr w:rsidR="00AD26DB" w:rsidRPr="00674669" w14:paraId="2E14EF66" w14:textId="77777777" w:rsidTr="00C521FE">
        <w:tc>
          <w:tcPr>
            <w:tcW w:w="950" w:type="pct"/>
            <w:shd w:val="clear" w:color="auto" w:fill="auto"/>
          </w:tcPr>
          <w:p w14:paraId="266ADF07" w14:textId="77777777" w:rsidR="00AD26DB" w:rsidRPr="00674669" w:rsidRDefault="00AD26DB" w:rsidP="00C521FE">
            <w:pPr>
              <w:pStyle w:val="TableText0"/>
            </w:pPr>
            <w:r w:rsidRPr="00674669">
              <w:t>Proportion of Stage IV NSCLC patients who would use pembrolizumab+PDC</w:t>
            </w:r>
          </w:p>
        </w:tc>
        <w:tc>
          <w:tcPr>
            <w:tcW w:w="2270" w:type="pct"/>
            <w:shd w:val="clear" w:color="auto" w:fill="auto"/>
          </w:tcPr>
          <w:p w14:paraId="6CFAC976" w14:textId="77777777" w:rsidR="00AD26DB" w:rsidRPr="00674669" w:rsidRDefault="00AD26DB" w:rsidP="00C521FE">
            <w:pPr>
              <w:pStyle w:val="TableText0"/>
            </w:pPr>
            <w:r w:rsidRPr="00674669">
              <w:t>70% of pembrolizumab prescriptions would be used by patients in combination with PDC; this was based on the previous PBAC consideration of cemiplimab where close to 30% of patients were assumed to use pembrolizumab as monotherapy (para 6.46, Cemiplimab, Public Summary Document, November 2021 PBAC Meeting).</w:t>
            </w:r>
          </w:p>
        </w:tc>
        <w:tc>
          <w:tcPr>
            <w:tcW w:w="1780" w:type="pct"/>
            <w:shd w:val="clear" w:color="auto" w:fill="auto"/>
          </w:tcPr>
          <w:p w14:paraId="6C0F9D5D" w14:textId="77777777" w:rsidR="00AD26DB" w:rsidRPr="00674669" w:rsidRDefault="00AD26DB" w:rsidP="00C521FE">
            <w:pPr>
              <w:pStyle w:val="TableText0"/>
            </w:pPr>
            <w:r w:rsidRPr="00674669">
              <w:t>This was reasonable and consistent with the PBAC consideration of cemiplimab monotherapy.</w:t>
            </w:r>
          </w:p>
        </w:tc>
      </w:tr>
      <w:tr w:rsidR="00AD26DB" w:rsidRPr="00674669" w14:paraId="38A7C0F6" w14:textId="77777777" w:rsidTr="00C521FE">
        <w:tc>
          <w:tcPr>
            <w:tcW w:w="950" w:type="pct"/>
            <w:shd w:val="clear" w:color="auto" w:fill="auto"/>
          </w:tcPr>
          <w:p w14:paraId="7430E435" w14:textId="77777777" w:rsidR="00AD26DB" w:rsidRPr="00674669" w:rsidRDefault="00AD26DB" w:rsidP="00C521FE">
            <w:pPr>
              <w:pStyle w:val="TableText0"/>
            </w:pPr>
            <w:r w:rsidRPr="00674669">
              <w:t>Uptake rate of cemiplimab+PDC</w:t>
            </w:r>
          </w:p>
        </w:tc>
        <w:tc>
          <w:tcPr>
            <w:tcW w:w="2270" w:type="pct"/>
            <w:shd w:val="clear" w:color="auto" w:fill="auto"/>
          </w:tcPr>
          <w:p w14:paraId="12AFC263" w14:textId="77777777" w:rsidR="00AD26DB" w:rsidRPr="00674669" w:rsidRDefault="00AD26DB" w:rsidP="00C521FE">
            <w:pPr>
              <w:pStyle w:val="TableText0"/>
            </w:pPr>
            <w:r w:rsidRPr="00674669">
              <w:t xml:space="preserve">2% in Year 1 increasing to 10% in Year 6; based on the sponsor’s assumption and was also used during the PBAC consideration of cemiplimab monotherapy. </w:t>
            </w:r>
          </w:p>
        </w:tc>
        <w:tc>
          <w:tcPr>
            <w:tcW w:w="1780" w:type="pct"/>
            <w:shd w:val="clear" w:color="auto" w:fill="auto"/>
          </w:tcPr>
          <w:p w14:paraId="7BC110A0" w14:textId="77777777" w:rsidR="00AD26DB" w:rsidRPr="00674669" w:rsidRDefault="00AD26DB" w:rsidP="00C521FE">
            <w:pPr>
              <w:pStyle w:val="TableText0"/>
            </w:pPr>
            <w:r w:rsidRPr="00674669">
              <w:t>This was uncertain; the submission did not consider the availability of other drugs listed on the PBS for the treatment of Stage IV NSCLC.</w:t>
            </w:r>
          </w:p>
        </w:tc>
      </w:tr>
    </w:tbl>
    <w:p w14:paraId="16A27A82" w14:textId="77777777" w:rsidR="00AD26DB" w:rsidRPr="00674669" w:rsidRDefault="00AD26DB" w:rsidP="00AD26DB">
      <w:pPr>
        <w:pStyle w:val="FooterTableFigure"/>
      </w:pPr>
      <w:r w:rsidRPr="00674669">
        <w:t>Source: Table 4-2, p93 of the submission.</w:t>
      </w:r>
      <w:r w:rsidRPr="00674669">
        <w:tab/>
      </w:r>
    </w:p>
    <w:p w14:paraId="7242783C" w14:textId="77777777" w:rsidR="00AD26DB" w:rsidRPr="00674669" w:rsidRDefault="00AD26DB" w:rsidP="00AD26DB">
      <w:pPr>
        <w:pStyle w:val="FooterTableFigure"/>
      </w:pPr>
      <w:r w:rsidRPr="00674669">
        <w:t>DUSC = drug-utilisation sub-committee; NSCLC = non-small cell lung cancer; PDC = platinum doublet chemotherapy.</w:t>
      </w:r>
    </w:p>
    <w:p w14:paraId="7B0B79AC" w14:textId="772E16F0" w:rsidR="00AD26DB" w:rsidRPr="00674669" w:rsidRDefault="00AD26DB" w:rsidP="00AD26DB">
      <w:pPr>
        <w:pStyle w:val="3-BodyText"/>
      </w:pPr>
      <w:r w:rsidRPr="00674669">
        <w:t>The estimated use and financial implications of listing cemiplimab</w:t>
      </w:r>
      <w:r w:rsidR="00F152CD" w:rsidRPr="00674669">
        <w:t>+</w:t>
      </w:r>
      <w:r w:rsidRPr="00674669">
        <w:t xml:space="preserve">PDC </w:t>
      </w:r>
      <w:r w:rsidR="00786418" w:rsidRPr="00674669">
        <w:t>are</w:t>
      </w:r>
      <w:r w:rsidRPr="00674669">
        <w:t xml:space="preserve"> presented in </w:t>
      </w:r>
      <w:r w:rsidRPr="00674669">
        <w:fldChar w:fldCharType="begin" w:fldLock="1"/>
      </w:r>
      <w:r w:rsidRPr="00674669">
        <w:instrText xml:space="preserve"> REF _Ref104805295 \h  \* MERGEFORMAT </w:instrText>
      </w:r>
      <w:r w:rsidRPr="00674669">
        <w:fldChar w:fldCharType="separate"/>
      </w:r>
      <w:r w:rsidR="00066CBC" w:rsidRPr="00674669">
        <w:t>Table 1</w:t>
      </w:r>
      <w:r w:rsidR="00D96B26" w:rsidRPr="00674669">
        <w:t>3</w:t>
      </w:r>
      <w:r w:rsidRPr="00674669">
        <w:fldChar w:fldCharType="end"/>
      </w:r>
      <w:r w:rsidRPr="00674669">
        <w:t>.</w:t>
      </w:r>
    </w:p>
    <w:p w14:paraId="0247C0A3" w14:textId="6A20FB6E" w:rsidR="00AD26DB" w:rsidRPr="00674669" w:rsidRDefault="00AD26DB" w:rsidP="00AD26DB">
      <w:pPr>
        <w:pStyle w:val="Caption"/>
      </w:pPr>
      <w:bookmarkStart w:id="87" w:name="_Ref104805295"/>
      <w:r w:rsidRPr="00674669">
        <w:t xml:space="preserve">Table </w:t>
      </w:r>
      <w:fldSimple w:instr=" SEQ Table \* ARABIC " w:fldLock="1">
        <w:r w:rsidR="003E788A" w:rsidRPr="00674669">
          <w:t>1</w:t>
        </w:r>
        <w:r w:rsidR="00D96B26" w:rsidRPr="00674669">
          <w:t>3</w:t>
        </w:r>
      </w:fldSimple>
      <w:bookmarkEnd w:id="87"/>
      <w:r w:rsidRPr="00674669">
        <w:t>:</w:t>
      </w:r>
      <w:r w:rsidRPr="00674669">
        <w:rPr>
          <w:rStyle w:val="CommentReference"/>
          <w:b/>
          <w:szCs w:val="24"/>
        </w:rPr>
        <w:t xml:space="preserve"> Estimated use and financial implications using effective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1053"/>
        <w:gridCol w:w="1055"/>
        <w:gridCol w:w="1055"/>
        <w:gridCol w:w="1055"/>
        <w:gridCol w:w="1055"/>
        <w:gridCol w:w="1055"/>
      </w:tblGrid>
      <w:tr w:rsidR="00AD26DB" w:rsidRPr="00674669" w14:paraId="669B24B4" w14:textId="77777777" w:rsidTr="00C521FE">
        <w:trPr>
          <w:tblHeader/>
        </w:trPr>
        <w:tc>
          <w:tcPr>
            <w:tcW w:w="1491" w:type="pct"/>
            <w:shd w:val="clear" w:color="auto" w:fill="auto"/>
            <w:vAlign w:val="center"/>
          </w:tcPr>
          <w:p w14:paraId="15B5D827" w14:textId="77777777" w:rsidR="00AD26DB" w:rsidRPr="00674669" w:rsidRDefault="00AD26DB" w:rsidP="00C521FE">
            <w:pPr>
              <w:pStyle w:val="In-tableHeading"/>
              <w:jc w:val="center"/>
              <w:rPr>
                <w:lang w:val="en-AU"/>
              </w:rPr>
            </w:pPr>
          </w:p>
        </w:tc>
        <w:tc>
          <w:tcPr>
            <w:tcW w:w="584" w:type="pct"/>
            <w:shd w:val="clear" w:color="auto" w:fill="auto"/>
            <w:vAlign w:val="center"/>
          </w:tcPr>
          <w:p w14:paraId="7C3206B7" w14:textId="77777777" w:rsidR="00AD26DB" w:rsidRPr="00674669" w:rsidRDefault="00AD26DB" w:rsidP="00C521FE">
            <w:pPr>
              <w:pStyle w:val="In-tableHeading"/>
              <w:jc w:val="center"/>
              <w:rPr>
                <w:lang w:val="en-AU"/>
              </w:rPr>
            </w:pPr>
            <w:r w:rsidRPr="00674669">
              <w:rPr>
                <w:lang w:val="en-AU"/>
              </w:rPr>
              <w:t>Year 1</w:t>
            </w:r>
          </w:p>
        </w:tc>
        <w:tc>
          <w:tcPr>
            <w:tcW w:w="585" w:type="pct"/>
            <w:shd w:val="clear" w:color="auto" w:fill="auto"/>
            <w:vAlign w:val="center"/>
          </w:tcPr>
          <w:p w14:paraId="26389451" w14:textId="77777777" w:rsidR="00AD26DB" w:rsidRPr="00674669" w:rsidRDefault="00AD26DB" w:rsidP="00C521FE">
            <w:pPr>
              <w:pStyle w:val="In-tableHeading"/>
              <w:jc w:val="center"/>
              <w:rPr>
                <w:lang w:val="en-AU"/>
              </w:rPr>
            </w:pPr>
            <w:r w:rsidRPr="00674669">
              <w:rPr>
                <w:lang w:val="en-AU"/>
              </w:rPr>
              <w:t>Year 2</w:t>
            </w:r>
          </w:p>
        </w:tc>
        <w:tc>
          <w:tcPr>
            <w:tcW w:w="585" w:type="pct"/>
            <w:shd w:val="clear" w:color="auto" w:fill="auto"/>
            <w:vAlign w:val="center"/>
          </w:tcPr>
          <w:p w14:paraId="639EA863" w14:textId="77777777" w:rsidR="00AD26DB" w:rsidRPr="00674669" w:rsidRDefault="00AD26DB" w:rsidP="00C521FE">
            <w:pPr>
              <w:pStyle w:val="In-tableHeading"/>
              <w:jc w:val="center"/>
              <w:rPr>
                <w:lang w:val="en-AU"/>
              </w:rPr>
            </w:pPr>
            <w:r w:rsidRPr="00674669">
              <w:rPr>
                <w:lang w:val="en-AU"/>
              </w:rPr>
              <w:t>Year 3</w:t>
            </w:r>
          </w:p>
        </w:tc>
        <w:tc>
          <w:tcPr>
            <w:tcW w:w="585" w:type="pct"/>
            <w:shd w:val="clear" w:color="auto" w:fill="auto"/>
            <w:vAlign w:val="center"/>
          </w:tcPr>
          <w:p w14:paraId="58AECA4F" w14:textId="77777777" w:rsidR="00AD26DB" w:rsidRPr="00674669" w:rsidRDefault="00AD26DB" w:rsidP="00C521FE">
            <w:pPr>
              <w:pStyle w:val="In-tableHeading"/>
              <w:jc w:val="center"/>
              <w:rPr>
                <w:lang w:val="en-AU"/>
              </w:rPr>
            </w:pPr>
            <w:r w:rsidRPr="00674669">
              <w:rPr>
                <w:lang w:val="en-AU"/>
              </w:rPr>
              <w:t>Year 4</w:t>
            </w:r>
          </w:p>
        </w:tc>
        <w:tc>
          <w:tcPr>
            <w:tcW w:w="585" w:type="pct"/>
            <w:shd w:val="clear" w:color="auto" w:fill="auto"/>
            <w:vAlign w:val="center"/>
          </w:tcPr>
          <w:p w14:paraId="44942B90" w14:textId="77777777" w:rsidR="00AD26DB" w:rsidRPr="00674669" w:rsidRDefault="00AD26DB" w:rsidP="00C521FE">
            <w:pPr>
              <w:pStyle w:val="In-tableHeading"/>
              <w:jc w:val="center"/>
              <w:rPr>
                <w:lang w:val="en-AU"/>
              </w:rPr>
            </w:pPr>
            <w:r w:rsidRPr="00674669">
              <w:rPr>
                <w:lang w:val="en-AU"/>
              </w:rPr>
              <w:t>Year 5</w:t>
            </w:r>
          </w:p>
        </w:tc>
        <w:tc>
          <w:tcPr>
            <w:tcW w:w="585" w:type="pct"/>
          </w:tcPr>
          <w:p w14:paraId="03581E9D" w14:textId="77777777" w:rsidR="00AD26DB" w:rsidRPr="00674669" w:rsidRDefault="00AD26DB" w:rsidP="00C521FE">
            <w:pPr>
              <w:pStyle w:val="In-tableHeading"/>
              <w:jc w:val="center"/>
              <w:rPr>
                <w:lang w:val="en-AU"/>
              </w:rPr>
            </w:pPr>
            <w:r w:rsidRPr="00674669">
              <w:rPr>
                <w:lang w:val="en-AU"/>
              </w:rPr>
              <w:t>Year 6</w:t>
            </w:r>
          </w:p>
        </w:tc>
      </w:tr>
      <w:tr w:rsidR="00AD26DB" w:rsidRPr="00674669" w14:paraId="5CC5F49B" w14:textId="77777777" w:rsidTr="00C521FE">
        <w:tc>
          <w:tcPr>
            <w:tcW w:w="5000" w:type="pct"/>
            <w:gridSpan w:val="7"/>
            <w:shd w:val="clear" w:color="auto" w:fill="auto"/>
            <w:vAlign w:val="center"/>
          </w:tcPr>
          <w:p w14:paraId="68DC0C04" w14:textId="77777777" w:rsidR="00AD26DB" w:rsidRPr="00674669" w:rsidRDefault="00AD26DB" w:rsidP="00C521FE">
            <w:pPr>
              <w:pStyle w:val="In-tableHeading"/>
              <w:rPr>
                <w:bCs/>
                <w:color w:val="000000"/>
                <w:lang w:val="en-AU"/>
              </w:rPr>
            </w:pPr>
            <w:r w:rsidRPr="00674669">
              <w:rPr>
                <w:bCs/>
                <w:color w:val="000000"/>
                <w:lang w:val="en-AU"/>
              </w:rPr>
              <w:t>Estimated extent of use</w:t>
            </w:r>
          </w:p>
        </w:tc>
      </w:tr>
      <w:tr w:rsidR="00AD26DB" w:rsidRPr="00674669" w14:paraId="29B62C02" w14:textId="77777777" w:rsidTr="00C521FE">
        <w:tc>
          <w:tcPr>
            <w:tcW w:w="1491" w:type="pct"/>
            <w:shd w:val="clear" w:color="auto" w:fill="auto"/>
            <w:vAlign w:val="center"/>
          </w:tcPr>
          <w:p w14:paraId="3145C184" w14:textId="77777777" w:rsidR="00AD26DB" w:rsidRPr="00674669" w:rsidRDefault="00AD26DB" w:rsidP="00C521FE">
            <w:pPr>
              <w:pStyle w:val="TableText0"/>
              <w:rPr>
                <w:rFonts w:ascii="Times" w:hAnsi="Times"/>
              </w:rPr>
            </w:pPr>
            <w:r w:rsidRPr="00674669">
              <w:t>Number of prescriptions dispensed</w:t>
            </w:r>
            <w:r w:rsidRPr="00674669">
              <w:rPr>
                <w:vertAlign w:val="superscript"/>
              </w:rPr>
              <w:t>a</w:t>
            </w:r>
          </w:p>
        </w:tc>
        <w:tc>
          <w:tcPr>
            <w:tcW w:w="584" w:type="pct"/>
            <w:shd w:val="clear" w:color="auto" w:fill="auto"/>
          </w:tcPr>
          <w:p w14:paraId="5C1DAB4F" w14:textId="6F9B1B2C" w:rsidR="00AD26DB" w:rsidRPr="00B75596" w:rsidRDefault="00FD694A" w:rsidP="00C521FE">
            <w:pPr>
              <w:pStyle w:val="TableText0"/>
              <w:jc w:val="center"/>
              <w:rPr>
                <w:color w:val="000000"/>
                <w:highlight w:val="darkGray"/>
              </w:rPr>
            </w:pPr>
            <w:r>
              <w:t xml:space="preserve"> </w:t>
            </w:r>
            <w:r w:rsidRPr="00FD694A">
              <w:rPr>
                <w:rFonts w:hint="eastAsia"/>
                <w:color w:val="000000"/>
                <w:w w:val="22"/>
                <w:shd w:val="solid" w:color="000000" w:fill="000000"/>
                <w:fitText w:val="100" w:id="-1032660985"/>
                <w14:textFill>
                  <w14:solidFill>
                    <w14:srgbClr w14:val="000000">
                      <w14:alpha w14:val="100000"/>
                    </w14:srgbClr>
                  </w14:solidFill>
                </w14:textFill>
              </w:rPr>
              <w:t xml:space="preserve">　</w:t>
            </w:r>
            <w:r w:rsidRPr="00FD694A">
              <w:rPr>
                <w:color w:val="000000"/>
                <w:w w:val="22"/>
                <w:shd w:val="solid" w:color="000000" w:fill="000000"/>
                <w:fitText w:val="100" w:id="-1032660985"/>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5"/>
                <w14:textFill>
                  <w14:solidFill>
                    <w14:srgbClr w14:val="000000">
                      <w14:alpha w14:val="100000"/>
                    </w14:srgbClr>
                  </w14:solidFill>
                </w14:textFill>
              </w:rPr>
              <w:t xml:space="preserve">　</w:t>
            </w:r>
            <w:r w:rsidR="00B75596" w:rsidRPr="00B75596">
              <w:rPr>
                <w:vertAlign w:val="superscript"/>
              </w:rPr>
              <w:t>1</w:t>
            </w:r>
          </w:p>
        </w:tc>
        <w:tc>
          <w:tcPr>
            <w:tcW w:w="585" w:type="pct"/>
            <w:shd w:val="clear" w:color="auto" w:fill="auto"/>
          </w:tcPr>
          <w:p w14:paraId="7941E50A" w14:textId="762ED27D" w:rsidR="00AD26DB" w:rsidRPr="00B75596" w:rsidRDefault="00FD694A" w:rsidP="00C521FE">
            <w:pPr>
              <w:pStyle w:val="TableText0"/>
              <w:jc w:val="center"/>
              <w:rPr>
                <w:color w:val="000000"/>
                <w:highlight w:val="darkGray"/>
              </w:rPr>
            </w:pPr>
            <w:r>
              <w:t xml:space="preserve"> </w:t>
            </w:r>
            <w:r w:rsidRPr="00FD694A">
              <w:rPr>
                <w:rFonts w:hint="eastAsia"/>
                <w:color w:val="000000"/>
                <w:w w:val="22"/>
                <w:shd w:val="solid" w:color="000000" w:fill="000000"/>
                <w:fitText w:val="100" w:id="-1032660984"/>
                <w14:textFill>
                  <w14:solidFill>
                    <w14:srgbClr w14:val="000000">
                      <w14:alpha w14:val="100000"/>
                    </w14:srgbClr>
                  </w14:solidFill>
                </w14:textFill>
              </w:rPr>
              <w:t xml:space="preserve">　</w:t>
            </w:r>
            <w:r w:rsidRPr="00FD694A">
              <w:rPr>
                <w:color w:val="000000"/>
                <w:w w:val="22"/>
                <w:shd w:val="solid" w:color="000000" w:fill="000000"/>
                <w:fitText w:val="100" w:id="-1032660984"/>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4"/>
                <w14:textFill>
                  <w14:solidFill>
                    <w14:srgbClr w14:val="000000">
                      <w14:alpha w14:val="100000"/>
                    </w14:srgbClr>
                  </w14:solidFill>
                </w14:textFill>
              </w:rPr>
              <w:t xml:space="preserve">　</w:t>
            </w:r>
            <w:r w:rsidR="00B75596" w:rsidRPr="00B75596">
              <w:rPr>
                <w:vertAlign w:val="superscript"/>
              </w:rPr>
              <w:t>1</w:t>
            </w:r>
          </w:p>
        </w:tc>
        <w:tc>
          <w:tcPr>
            <w:tcW w:w="585" w:type="pct"/>
            <w:shd w:val="clear" w:color="auto" w:fill="auto"/>
          </w:tcPr>
          <w:p w14:paraId="6FFCADAF" w14:textId="0CAEF758" w:rsidR="00AD26DB" w:rsidRPr="00B75596" w:rsidRDefault="00FD694A" w:rsidP="00C521FE">
            <w:pPr>
              <w:pStyle w:val="TableText0"/>
              <w:jc w:val="center"/>
              <w:rPr>
                <w:color w:val="000000"/>
                <w:highlight w:val="darkGray"/>
              </w:rPr>
            </w:pPr>
            <w:r>
              <w:t xml:space="preserve"> </w:t>
            </w:r>
            <w:r w:rsidRPr="00FD694A">
              <w:rPr>
                <w:rFonts w:hint="eastAsia"/>
                <w:color w:val="000000"/>
                <w:w w:val="22"/>
                <w:shd w:val="solid" w:color="000000" w:fill="000000"/>
                <w:fitText w:val="100" w:id="-1032660983"/>
                <w14:textFill>
                  <w14:solidFill>
                    <w14:srgbClr w14:val="000000">
                      <w14:alpha w14:val="100000"/>
                    </w14:srgbClr>
                  </w14:solidFill>
                </w14:textFill>
              </w:rPr>
              <w:t xml:space="preserve">　</w:t>
            </w:r>
            <w:r w:rsidRPr="00FD694A">
              <w:rPr>
                <w:color w:val="000000"/>
                <w:w w:val="22"/>
                <w:shd w:val="solid" w:color="000000" w:fill="000000"/>
                <w:fitText w:val="100" w:id="-1032660983"/>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3"/>
                <w14:textFill>
                  <w14:solidFill>
                    <w14:srgbClr w14:val="000000">
                      <w14:alpha w14:val="100000"/>
                    </w14:srgbClr>
                  </w14:solidFill>
                </w14:textFill>
              </w:rPr>
              <w:t xml:space="preserve">　</w:t>
            </w:r>
            <w:r w:rsidR="00B75596" w:rsidRPr="00B75596">
              <w:rPr>
                <w:vertAlign w:val="superscript"/>
              </w:rPr>
              <w:t>1</w:t>
            </w:r>
          </w:p>
        </w:tc>
        <w:tc>
          <w:tcPr>
            <w:tcW w:w="585" w:type="pct"/>
            <w:shd w:val="clear" w:color="auto" w:fill="auto"/>
          </w:tcPr>
          <w:p w14:paraId="4BA018EC" w14:textId="71418945" w:rsidR="00AD26DB" w:rsidRPr="00B75596" w:rsidRDefault="00FD694A" w:rsidP="00C521FE">
            <w:pPr>
              <w:pStyle w:val="TableText0"/>
              <w:jc w:val="center"/>
              <w:rPr>
                <w:color w:val="000000"/>
                <w:highlight w:val="darkGray"/>
              </w:rPr>
            </w:pPr>
            <w:r>
              <w:t xml:space="preserve"> </w:t>
            </w:r>
            <w:r w:rsidRPr="00FD694A">
              <w:rPr>
                <w:rFonts w:hint="eastAsia"/>
                <w:color w:val="000000"/>
                <w:w w:val="22"/>
                <w:shd w:val="solid" w:color="000000" w:fill="000000"/>
                <w:fitText w:val="100" w:id="-1032660982"/>
                <w14:textFill>
                  <w14:solidFill>
                    <w14:srgbClr w14:val="000000">
                      <w14:alpha w14:val="100000"/>
                    </w14:srgbClr>
                  </w14:solidFill>
                </w14:textFill>
              </w:rPr>
              <w:t xml:space="preserve">　</w:t>
            </w:r>
            <w:r w:rsidRPr="00FD694A">
              <w:rPr>
                <w:color w:val="000000"/>
                <w:w w:val="22"/>
                <w:shd w:val="solid" w:color="000000" w:fill="000000"/>
                <w:fitText w:val="100" w:id="-1032660982"/>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2"/>
                <w14:textFill>
                  <w14:solidFill>
                    <w14:srgbClr w14:val="000000">
                      <w14:alpha w14:val="100000"/>
                    </w14:srgbClr>
                  </w14:solidFill>
                </w14:textFill>
              </w:rPr>
              <w:t xml:space="preserve">　</w:t>
            </w:r>
            <w:r w:rsidR="00B75596" w:rsidRPr="00B75596">
              <w:rPr>
                <w:vertAlign w:val="superscript"/>
              </w:rPr>
              <w:t>1</w:t>
            </w:r>
          </w:p>
        </w:tc>
        <w:tc>
          <w:tcPr>
            <w:tcW w:w="585" w:type="pct"/>
            <w:shd w:val="clear" w:color="auto" w:fill="auto"/>
          </w:tcPr>
          <w:p w14:paraId="57E8E36F" w14:textId="5B4FF797" w:rsidR="00AD26DB" w:rsidRPr="00B75596" w:rsidRDefault="00FD694A" w:rsidP="00C521FE">
            <w:pPr>
              <w:pStyle w:val="TableText0"/>
              <w:jc w:val="center"/>
              <w:rPr>
                <w:color w:val="000000"/>
                <w:highlight w:val="darkGray"/>
              </w:rPr>
            </w:pPr>
            <w:r>
              <w:t xml:space="preserve"> </w:t>
            </w:r>
            <w:r w:rsidRPr="00FD694A">
              <w:rPr>
                <w:rFonts w:hint="eastAsia"/>
                <w:color w:val="000000"/>
                <w:w w:val="22"/>
                <w:shd w:val="solid" w:color="000000" w:fill="000000"/>
                <w:fitText w:val="100" w:id="-1032660981"/>
                <w14:textFill>
                  <w14:solidFill>
                    <w14:srgbClr w14:val="000000">
                      <w14:alpha w14:val="100000"/>
                    </w14:srgbClr>
                  </w14:solidFill>
                </w14:textFill>
              </w:rPr>
              <w:t xml:space="preserve">　</w:t>
            </w:r>
            <w:r w:rsidRPr="00FD694A">
              <w:rPr>
                <w:color w:val="000000"/>
                <w:w w:val="22"/>
                <w:shd w:val="solid" w:color="000000" w:fill="000000"/>
                <w:fitText w:val="100" w:id="-1032660981"/>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1"/>
                <w14:textFill>
                  <w14:solidFill>
                    <w14:srgbClr w14:val="000000">
                      <w14:alpha w14:val="100000"/>
                    </w14:srgbClr>
                  </w14:solidFill>
                </w14:textFill>
              </w:rPr>
              <w:t xml:space="preserve">　</w:t>
            </w:r>
            <w:r w:rsidR="00B75596">
              <w:rPr>
                <w:vertAlign w:val="superscript"/>
              </w:rPr>
              <w:t>5</w:t>
            </w:r>
          </w:p>
        </w:tc>
        <w:tc>
          <w:tcPr>
            <w:tcW w:w="585" w:type="pct"/>
          </w:tcPr>
          <w:p w14:paraId="1C6A0107" w14:textId="63F5E316" w:rsidR="00AD26DB" w:rsidRPr="00B75596" w:rsidRDefault="00FD694A" w:rsidP="00C521FE">
            <w:pPr>
              <w:pStyle w:val="TableText0"/>
              <w:jc w:val="center"/>
              <w:rPr>
                <w:color w:val="000000"/>
                <w:highlight w:val="darkGray"/>
              </w:rPr>
            </w:pPr>
            <w:r>
              <w:t xml:space="preserve"> </w:t>
            </w:r>
            <w:r w:rsidRPr="00FD694A">
              <w:rPr>
                <w:rFonts w:hint="eastAsia"/>
                <w:color w:val="000000"/>
                <w:w w:val="22"/>
                <w:shd w:val="solid" w:color="000000" w:fill="000000"/>
                <w:fitText w:val="100" w:id="-1032660980"/>
                <w14:textFill>
                  <w14:solidFill>
                    <w14:srgbClr w14:val="000000">
                      <w14:alpha w14:val="100000"/>
                    </w14:srgbClr>
                  </w14:solidFill>
                </w14:textFill>
              </w:rPr>
              <w:t xml:space="preserve">　</w:t>
            </w:r>
            <w:r w:rsidRPr="00FD694A">
              <w:rPr>
                <w:color w:val="000000"/>
                <w:w w:val="22"/>
                <w:shd w:val="solid" w:color="000000" w:fill="000000"/>
                <w:fitText w:val="100" w:id="-1032660980"/>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0"/>
                <w14:textFill>
                  <w14:solidFill>
                    <w14:srgbClr w14:val="000000">
                      <w14:alpha w14:val="100000"/>
                    </w14:srgbClr>
                  </w14:solidFill>
                </w14:textFill>
              </w:rPr>
              <w:t xml:space="preserve">　</w:t>
            </w:r>
            <w:r w:rsidR="00B75596">
              <w:rPr>
                <w:vertAlign w:val="superscript"/>
              </w:rPr>
              <w:t>5</w:t>
            </w:r>
          </w:p>
        </w:tc>
      </w:tr>
      <w:tr w:rsidR="00AD26DB" w:rsidRPr="00674669" w14:paraId="6FFBC0EE" w14:textId="77777777" w:rsidTr="00C521FE">
        <w:tc>
          <w:tcPr>
            <w:tcW w:w="5000" w:type="pct"/>
            <w:gridSpan w:val="7"/>
            <w:shd w:val="clear" w:color="auto" w:fill="auto"/>
            <w:vAlign w:val="center"/>
          </w:tcPr>
          <w:p w14:paraId="4CC3009F" w14:textId="77777777" w:rsidR="00AD26DB" w:rsidRPr="00674669" w:rsidRDefault="00AD26DB" w:rsidP="00C521FE">
            <w:pPr>
              <w:pStyle w:val="In-tableHeading"/>
              <w:rPr>
                <w:lang w:val="en-AU"/>
              </w:rPr>
            </w:pPr>
            <w:r w:rsidRPr="00674669">
              <w:rPr>
                <w:lang w:val="en-AU"/>
              </w:rPr>
              <w:t>Estimated financial implications of cemiplimab+PDC</w:t>
            </w:r>
          </w:p>
        </w:tc>
      </w:tr>
      <w:tr w:rsidR="00AD26DB" w:rsidRPr="00674669" w14:paraId="43F959FD" w14:textId="77777777" w:rsidTr="00C521FE">
        <w:tc>
          <w:tcPr>
            <w:tcW w:w="1491" w:type="pct"/>
            <w:shd w:val="clear" w:color="auto" w:fill="auto"/>
            <w:vAlign w:val="center"/>
          </w:tcPr>
          <w:p w14:paraId="28255D41" w14:textId="7AE45F29" w:rsidR="00AD26DB" w:rsidRPr="00674669" w:rsidRDefault="00AD26DB" w:rsidP="00C521FE">
            <w:pPr>
              <w:pStyle w:val="TableText0"/>
              <w:rPr>
                <w:sz w:val="19"/>
                <w:szCs w:val="19"/>
              </w:rPr>
            </w:pPr>
            <w:r w:rsidRPr="00674669">
              <w:rPr>
                <w:sz w:val="19"/>
                <w:szCs w:val="19"/>
              </w:rPr>
              <w:t xml:space="preserve">Cost to PBS/RPBS less </w:t>
            </w:r>
            <w:r w:rsidR="00674669" w:rsidRPr="00674669">
              <w:rPr>
                <w:sz w:val="19"/>
                <w:szCs w:val="19"/>
              </w:rPr>
              <w:t>co-payments</w:t>
            </w:r>
          </w:p>
        </w:tc>
        <w:tc>
          <w:tcPr>
            <w:tcW w:w="584" w:type="pct"/>
            <w:shd w:val="clear" w:color="auto" w:fill="auto"/>
          </w:tcPr>
          <w:p w14:paraId="3C774494" w14:textId="2CFCF0DD"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9"/>
                <w14:textFill>
                  <w14:solidFill>
                    <w14:srgbClr w14:val="000000">
                      <w14:alpha w14:val="100000"/>
                    </w14:srgbClr>
                  </w14:solidFill>
                </w14:textFill>
              </w:rPr>
              <w:t xml:space="preserve">　</w:t>
            </w:r>
            <w:r w:rsidRPr="00FD694A">
              <w:rPr>
                <w:color w:val="000000"/>
                <w:w w:val="22"/>
                <w:shd w:val="solid" w:color="000000" w:fill="000000"/>
                <w:fitText w:val="100" w:id="-1032660979"/>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9"/>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468EC3EC" w14:textId="701A76C1"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8"/>
                <w14:textFill>
                  <w14:solidFill>
                    <w14:srgbClr w14:val="000000">
                      <w14:alpha w14:val="100000"/>
                    </w14:srgbClr>
                  </w14:solidFill>
                </w14:textFill>
              </w:rPr>
              <w:t xml:space="preserve">　</w:t>
            </w:r>
            <w:r w:rsidRPr="00FD694A">
              <w:rPr>
                <w:color w:val="000000"/>
                <w:w w:val="22"/>
                <w:shd w:val="solid" w:color="000000" w:fill="000000"/>
                <w:fitText w:val="100" w:id="-1032660978"/>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8"/>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6DFF0C9F" w14:textId="0398FFD3"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7"/>
                <w14:textFill>
                  <w14:solidFill>
                    <w14:srgbClr w14:val="000000">
                      <w14:alpha w14:val="100000"/>
                    </w14:srgbClr>
                  </w14:solidFill>
                </w14:textFill>
              </w:rPr>
              <w:t xml:space="preserve">　</w:t>
            </w:r>
            <w:r w:rsidRPr="00FD694A">
              <w:rPr>
                <w:color w:val="000000"/>
                <w:w w:val="22"/>
                <w:shd w:val="solid" w:color="000000" w:fill="000000"/>
                <w:fitText w:val="100" w:id="-1032660977"/>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7"/>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6C94326F" w14:textId="004E4332"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6"/>
                <w14:textFill>
                  <w14:solidFill>
                    <w14:srgbClr w14:val="000000">
                      <w14:alpha w14:val="100000"/>
                    </w14:srgbClr>
                  </w14:solidFill>
                </w14:textFill>
              </w:rPr>
              <w:t xml:space="preserve">　</w:t>
            </w:r>
            <w:r w:rsidRPr="00FD694A">
              <w:rPr>
                <w:color w:val="000000"/>
                <w:w w:val="22"/>
                <w:shd w:val="solid" w:color="000000" w:fill="000000"/>
                <w:fitText w:val="100" w:id="-1032660976"/>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6"/>
                <w14:textFill>
                  <w14:solidFill>
                    <w14:srgbClr w14:val="000000">
                      <w14:alpha w14:val="100000"/>
                    </w14:srgbClr>
                  </w14:solidFill>
                </w14:textFill>
              </w:rPr>
              <w:t xml:space="preserve">　</w:t>
            </w:r>
            <w:r w:rsidR="00B75596">
              <w:rPr>
                <w:vertAlign w:val="superscript"/>
              </w:rPr>
              <w:t>4</w:t>
            </w:r>
          </w:p>
        </w:tc>
        <w:tc>
          <w:tcPr>
            <w:tcW w:w="585" w:type="pct"/>
            <w:shd w:val="clear" w:color="auto" w:fill="auto"/>
          </w:tcPr>
          <w:p w14:paraId="0C5FC423" w14:textId="77FD36BA"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92"/>
                <w14:textFill>
                  <w14:solidFill>
                    <w14:srgbClr w14:val="000000">
                      <w14:alpha w14:val="100000"/>
                    </w14:srgbClr>
                  </w14:solidFill>
                </w14:textFill>
              </w:rPr>
              <w:t xml:space="preserve">　</w:t>
            </w:r>
            <w:r w:rsidRPr="00FD694A">
              <w:rPr>
                <w:color w:val="000000"/>
                <w:w w:val="22"/>
                <w:shd w:val="solid" w:color="000000" w:fill="000000"/>
                <w:fitText w:val="100" w:id="-1032660992"/>
                <w14:textFill>
                  <w14:solidFill>
                    <w14:srgbClr w14:val="000000">
                      <w14:alpha w14:val="100000"/>
                    </w14:srgbClr>
                  </w14:solidFill>
                </w14:textFill>
              </w:rPr>
              <w:t>|</w:t>
            </w:r>
            <w:r w:rsidRPr="00FD694A">
              <w:rPr>
                <w:rFonts w:hint="eastAsia"/>
                <w:color w:val="000000"/>
                <w:spacing w:val="3"/>
                <w:w w:val="22"/>
                <w:shd w:val="solid" w:color="000000" w:fill="000000"/>
                <w:fitText w:val="100" w:id="-1032660992"/>
                <w14:textFill>
                  <w14:solidFill>
                    <w14:srgbClr w14:val="000000">
                      <w14:alpha w14:val="100000"/>
                    </w14:srgbClr>
                  </w14:solidFill>
                </w14:textFill>
              </w:rPr>
              <w:t xml:space="preserve">　</w:t>
            </w:r>
            <w:r w:rsidR="00B75596">
              <w:rPr>
                <w:vertAlign w:val="superscript"/>
              </w:rPr>
              <w:t>4</w:t>
            </w:r>
          </w:p>
        </w:tc>
        <w:tc>
          <w:tcPr>
            <w:tcW w:w="585" w:type="pct"/>
          </w:tcPr>
          <w:p w14:paraId="50F43746" w14:textId="2E495162"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91"/>
                <w14:textFill>
                  <w14:solidFill>
                    <w14:srgbClr w14:val="000000">
                      <w14:alpha w14:val="100000"/>
                    </w14:srgbClr>
                  </w14:solidFill>
                </w14:textFill>
              </w:rPr>
              <w:t xml:space="preserve">　</w:t>
            </w:r>
            <w:r w:rsidRPr="00FD694A">
              <w:rPr>
                <w:color w:val="000000"/>
                <w:w w:val="22"/>
                <w:shd w:val="solid" w:color="000000" w:fill="000000"/>
                <w:fitText w:val="100" w:id="-1032660991"/>
                <w14:textFill>
                  <w14:solidFill>
                    <w14:srgbClr w14:val="000000">
                      <w14:alpha w14:val="100000"/>
                    </w14:srgbClr>
                  </w14:solidFill>
                </w14:textFill>
              </w:rPr>
              <w:t>|</w:t>
            </w:r>
            <w:r w:rsidRPr="00FD694A">
              <w:rPr>
                <w:rFonts w:hint="eastAsia"/>
                <w:color w:val="000000"/>
                <w:spacing w:val="3"/>
                <w:w w:val="22"/>
                <w:shd w:val="solid" w:color="000000" w:fill="000000"/>
                <w:fitText w:val="100" w:id="-1032660991"/>
                <w14:textFill>
                  <w14:solidFill>
                    <w14:srgbClr w14:val="000000">
                      <w14:alpha w14:val="100000"/>
                    </w14:srgbClr>
                  </w14:solidFill>
                </w14:textFill>
              </w:rPr>
              <w:t xml:space="preserve">　</w:t>
            </w:r>
            <w:r w:rsidR="00B75596">
              <w:rPr>
                <w:vertAlign w:val="superscript"/>
              </w:rPr>
              <w:t>4</w:t>
            </w:r>
          </w:p>
        </w:tc>
      </w:tr>
      <w:tr w:rsidR="00AD26DB" w:rsidRPr="00674669" w14:paraId="5F22B0C9" w14:textId="77777777" w:rsidTr="00C521FE">
        <w:tc>
          <w:tcPr>
            <w:tcW w:w="5000" w:type="pct"/>
            <w:gridSpan w:val="7"/>
            <w:shd w:val="clear" w:color="auto" w:fill="auto"/>
            <w:vAlign w:val="center"/>
          </w:tcPr>
          <w:p w14:paraId="4FFE056B" w14:textId="77777777" w:rsidR="00AD26DB" w:rsidRPr="00674669" w:rsidRDefault="00AD26DB" w:rsidP="00C521FE">
            <w:pPr>
              <w:pStyle w:val="TableText0"/>
              <w:rPr>
                <w:b/>
                <w:bCs w:val="0"/>
              </w:rPr>
            </w:pPr>
            <w:r w:rsidRPr="00674669">
              <w:rPr>
                <w:b/>
                <w:bCs w:val="0"/>
              </w:rPr>
              <w:t>Estimated financial implications for pembrolizumab+PDC</w:t>
            </w:r>
          </w:p>
        </w:tc>
      </w:tr>
      <w:tr w:rsidR="00AD26DB" w:rsidRPr="00674669" w14:paraId="628B7F57" w14:textId="77777777" w:rsidTr="00C521FE">
        <w:tc>
          <w:tcPr>
            <w:tcW w:w="1491" w:type="pct"/>
            <w:shd w:val="clear" w:color="auto" w:fill="auto"/>
            <w:vAlign w:val="center"/>
          </w:tcPr>
          <w:p w14:paraId="50E503D5" w14:textId="04E508B0" w:rsidR="00AD26DB" w:rsidRPr="00674669" w:rsidRDefault="00AD26DB" w:rsidP="00C521FE">
            <w:pPr>
              <w:pStyle w:val="TableText0"/>
              <w:rPr>
                <w:sz w:val="19"/>
                <w:szCs w:val="19"/>
              </w:rPr>
            </w:pPr>
            <w:r w:rsidRPr="00674669">
              <w:rPr>
                <w:sz w:val="19"/>
                <w:szCs w:val="19"/>
              </w:rPr>
              <w:t xml:space="preserve">Cost to PBS/RPBS less </w:t>
            </w:r>
            <w:r w:rsidR="00674669" w:rsidRPr="00674669">
              <w:rPr>
                <w:sz w:val="19"/>
                <w:szCs w:val="19"/>
              </w:rPr>
              <w:t>co-payments</w:t>
            </w:r>
          </w:p>
        </w:tc>
        <w:tc>
          <w:tcPr>
            <w:tcW w:w="584" w:type="pct"/>
            <w:shd w:val="clear" w:color="auto" w:fill="auto"/>
          </w:tcPr>
          <w:p w14:paraId="7CD0E308" w14:textId="747011E8"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90"/>
                <w14:textFill>
                  <w14:solidFill>
                    <w14:srgbClr w14:val="000000">
                      <w14:alpha w14:val="100000"/>
                    </w14:srgbClr>
                  </w14:solidFill>
                </w14:textFill>
              </w:rPr>
              <w:t xml:space="preserve">　</w:t>
            </w:r>
            <w:r w:rsidRPr="00FD694A">
              <w:rPr>
                <w:color w:val="000000"/>
                <w:w w:val="22"/>
                <w:shd w:val="solid" w:color="000000" w:fill="000000"/>
                <w:fitText w:val="100" w:id="-1032660990"/>
                <w14:textFill>
                  <w14:solidFill>
                    <w14:srgbClr w14:val="000000">
                      <w14:alpha w14:val="100000"/>
                    </w14:srgbClr>
                  </w14:solidFill>
                </w14:textFill>
              </w:rPr>
              <w:t>|</w:t>
            </w:r>
            <w:r w:rsidRPr="00FD694A">
              <w:rPr>
                <w:rFonts w:hint="eastAsia"/>
                <w:color w:val="000000"/>
                <w:spacing w:val="3"/>
                <w:w w:val="22"/>
                <w:shd w:val="solid" w:color="000000" w:fill="000000"/>
                <w:fitText w:val="100" w:id="-1032660990"/>
                <w14:textFill>
                  <w14:solidFill>
                    <w14:srgbClr w14:val="000000">
                      <w14:alpha w14:val="100000"/>
                    </w14:srgbClr>
                  </w14:solidFill>
                </w14:textFill>
              </w:rPr>
              <w:t xml:space="preserve">　</w:t>
            </w:r>
            <w:r w:rsidR="00B75596">
              <w:rPr>
                <w:vertAlign w:val="superscript"/>
              </w:rPr>
              <w:t>3</w:t>
            </w:r>
          </w:p>
        </w:tc>
        <w:tc>
          <w:tcPr>
            <w:tcW w:w="585" w:type="pct"/>
            <w:shd w:val="clear" w:color="auto" w:fill="auto"/>
          </w:tcPr>
          <w:p w14:paraId="74A2B63E" w14:textId="2F845A94"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9"/>
                <w14:textFill>
                  <w14:solidFill>
                    <w14:srgbClr w14:val="000000">
                      <w14:alpha w14:val="100000"/>
                    </w14:srgbClr>
                  </w14:solidFill>
                </w14:textFill>
              </w:rPr>
              <w:t xml:space="preserve">　</w:t>
            </w:r>
            <w:r w:rsidRPr="00FD694A">
              <w:rPr>
                <w:color w:val="000000"/>
                <w:w w:val="22"/>
                <w:shd w:val="solid" w:color="000000" w:fill="000000"/>
                <w:fitText w:val="100" w:id="-1032660989"/>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9"/>
                <w14:textFill>
                  <w14:solidFill>
                    <w14:srgbClr w14:val="000000">
                      <w14:alpha w14:val="100000"/>
                    </w14:srgbClr>
                  </w14:solidFill>
                </w14:textFill>
              </w:rPr>
              <w:t xml:space="preserve">　</w:t>
            </w:r>
            <w:r w:rsidR="00B75596">
              <w:rPr>
                <w:vertAlign w:val="superscript"/>
              </w:rPr>
              <w:t>3</w:t>
            </w:r>
          </w:p>
        </w:tc>
        <w:tc>
          <w:tcPr>
            <w:tcW w:w="585" w:type="pct"/>
            <w:shd w:val="clear" w:color="auto" w:fill="auto"/>
          </w:tcPr>
          <w:p w14:paraId="213670F8" w14:textId="4F4800AB"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8"/>
                <w14:textFill>
                  <w14:solidFill>
                    <w14:srgbClr w14:val="000000">
                      <w14:alpha w14:val="100000"/>
                    </w14:srgbClr>
                  </w14:solidFill>
                </w14:textFill>
              </w:rPr>
              <w:t xml:space="preserve">　</w:t>
            </w:r>
            <w:r w:rsidRPr="00FD694A">
              <w:rPr>
                <w:color w:val="000000"/>
                <w:w w:val="22"/>
                <w:shd w:val="solid" w:color="000000" w:fill="000000"/>
                <w:fitText w:val="100" w:id="-1032660988"/>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8"/>
                <w14:textFill>
                  <w14:solidFill>
                    <w14:srgbClr w14:val="000000">
                      <w14:alpha w14:val="100000"/>
                    </w14:srgbClr>
                  </w14:solidFill>
                </w14:textFill>
              </w:rPr>
              <w:t xml:space="preserve">　</w:t>
            </w:r>
            <w:r w:rsidR="00B75596">
              <w:rPr>
                <w:vertAlign w:val="superscript"/>
              </w:rPr>
              <w:t>3</w:t>
            </w:r>
          </w:p>
        </w:tc>
        <w:tc>
          <w:tcPr>
            <w:tcW w:w="585" w:type="pct"/>
            <w:shd w:val="clear" w:color="auto" w:fill="auto"/>
          </w:tcPr>
          <w:p w14:paraId="4098AB17" w14:textId="2AAF86BE"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7"/>
                <w14:textFill>
                  <w14:solidFill>
                    <w14:srgbClr w14:val="000000">
                      <w14:alpha w14:val="100000"/>
                    </w14:srgbClr>
                  </w14:solidFill>
                </w14:textFill>
              </w:rPr>
              <w:t xml:space="preserve">　</w:t>
            </w:r>
            <w:r w:rsidRPr="00FD694A">
              <w:rPr>
                <w:color w:val="000000"/>
                <w:w w:val="22"/>
                <w:shd w:val="solid" w:color="000000" w:fill="000000"/>
                <w:fitText w:val="100" w:id="-1032660987"/>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7"/>
                <w14:textFill>
                  <w14:solidFill>
                    <w14:srgbClr w14:val="000000">
                      <w14:alpha w14:val="100000"/>
                    </w14:srgbClr>
                  </w14:solidFill>
                </w14:textFill>
              </w:rPr>
              <w:t xml:space="preserve">　</w:t>
            </w:r>
            <w:r w:rsidR="00B75596">
              <w:rPr>
                <w:vertAlign w:val="superscript"/>
              </w:rPr>
              <w:t>3</w:t>
            </w:r>
          </w:p>
        </w:tc>
        <w:tc>
          <w:tcPr>
            <w:tcW w:w="585" w:type="pct"/>
            <w:shd w:val="clear" w:color="auto" w:fill="auto"/>
          </w:tcPr>
          <w:p w14:paraId="3BE878C2" w14:textId="57853010"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6"/>
                <w14:textFill>
                  <w14:solidFill>
                    <w14:srgbClr w14:val="000000">
                      <w14:alpha w14:val="100000"/>
                    </w14:srgbClr>
                  </w14:solidFill>
                </w14:textFill>
              </w:rPr>
              <w:t xml:space="preserve">　</w:t>
            </w:r>
            <w:r w:rsidRPr="00FD694A">
              <w:rPr>
                <w:color w:val="000000"/>
                <w:w w:val="22"/>
                <w:shd w:val="solid" w:color="000000" w:fill="000000"/>
                <w:fitText w:val="100" w:id="-1032660986"/>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6"/>
                <w14:textFill>
                  <w14:solidFill>
                    <w14:srgbClr w14:val="000000">
                      <w14:alpha w14:val="100000"/>
                    </w14:srgbClr>
                  </w14:solidFill>
                </w14:textFill>
              </w:rPr>
              <w:t xml:space="preserve">　</w:t>
            </w:r>
            <w:r w:rsidR="00B75596">
              <w:rPr>
                <w:vertAlign w:val="superscript"/>
              </w:rPr>
              <w:t>3</w:t>
            </w:r>
          </w:p>
        </w:tc>
        <w:tc>
          <w:tcPr>
            <w:tcW w:w="585" w:type="pct"/>
          </w:tcPr>
          <w:p w14:paraId="606D776D" w14:textId="580657BA"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5"/>
                <w14:textFill>
                  <w14:solidFill>
                    <w14:srgbClr w14:val="000000">
                      <w14:alpha w14:val="100000"/>
                    </w14:srgbClr>
                  </w14:solidFill>
                </w14:textFill>
              </w:rPr>
              <w:t xml:space="preserve">　</w:t>
            </w:r>
            <w:r w:rsidRPr="00FD694A">
              <w:rPr>
                <w:color w:val="000000"/>
                <w:w w:val="22"/>
                <w:shd w:val="solid" w:color="000000" w:fill="000000"/>
                <w:fitText w:val="100" w:id="-1032660985"/>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5"/>
                <w14:textFill>
                  <w14:solidFill>
                    <w14:srgbClr w14:val="000000">
                      <w14:alpha w14:val="100000"/>
                    </w14:srgbClr>
                  </w14:solidFill>
                </w14:textFill>
              </w:rPr>
              <w:t xml:space="preserve">　</w:t>
            </w:r>
            <w:r w:rsidR="00B75596">
              <w:rPr>
                <w:vertAlign w:val="superscript"/>
              </w:rPr>
              <w:t>3</w:t>
            </w:r>
          </w:p>
        </w:tc>
      </w:tr>
      <w:tr w:rsidR="00AD26DB" w:rsidRPr="00674669" w14:paraId="6B2D364E" w14:textId="77777777" w:rsidTr="00C521FE">
        <w:tc>
          <w:tcPr>
            <w:tcW w:w="5000" w:type="pct"/>
            <w:gridSpan w:val="7"/>
            <w:shd w:val="clear" w:color="auto" w:fill="auto"/>
            <w:vAlign w:val="center"/>
          </w:tcPr>
          <w:p w14:paraId="1CA11848" w14:textId="77777777" w:rsidR="00AD26DB" w:rsidRPr="00674669" w:rsidRDefault="00AD26DB" w:rsidP="00C521FE">
            <w:pPr>
              <w:pStyle w:val="In-tableHeading"/>
              <w:rPr>
                <w:lang w:val="en-AU"/>
              </w:rPr>
            </w:pPr>
            <w:r w:rsidRPr="00674669">
              <w:rPr>
                <w:lang w:val="en-AU"/>
              </w:rPr>
              <w:t>Net financial implications</w:t>
            </w:r>
            <w:r w:rsidRPr="00674669">
              <w:rPr>
                <w:color w:val="4BACC6" w:themeColor="accent5"/>
                <w:lang w:val="en-AU"/>
              </w:rPr>
              <w:t xml:space="preserve"> </w:t>
            </w:r>
          </w:p>
        </w:tc>
      </w:tr>
      <w:tr w:rsidR="00AD26DB" w:rsidRPr="00674669" w14:paraId="21A99241" w14:textId="77777777" w:rsidTr="00C521FE">
        <w:tc>
          <w:tcPr>
            <w:tcW w:w="1491" w:type="pct"/>
            <w:shd w:val="clear" w:color="auto" w:fill="auto"/>
            <w:vAlign w:val="center"/>
          </w:tcPr>
          <w:p w14:paraId="4089385C" w14:textId="77777777" w:rsidR="00AD26DB" w:rsidRPr="00674669" w:rsidRDefault="00AD26DB" w:rsidP="00C521FE">
            <w:pPr>
              <w:pStyle w:val="TableText0"/>
              <w:rPr>
                <w:sz w:val="19"/>
                <w:szCs w:val="19"/>
              </w:rPr>
            </w:pPr>
            <w:r w:rsidRPr="00674669">
              <w:rPr>
                <w:sz w:val="19"/>
                <w:szCs w:val="19"/>
              </w:rPr>
              <w:t>Net cost to PBS/RPBS</w:t>
            </w:r>
          </w:p>
        </w:tc>
        <w:tc>
          <w:tcPr>
            <w:tcW w:w="584" w:type="pct"/>
            <w:shd w:val="clear" w:color="auto" w:fill="auto"/>
          </w:tcPr>
          <w:p w14:paraId="6B43FC28" w14:textId="0F932F89"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4"/>
                <w14:textFill>
                  <w14:solidFill>
                    <w14:srgbClr w14:val="000000">
                      <w14:alpha w14:val="100000"/>
                    </w14:srgbClr>
                  </w14:solidFill>
                </w14:textFill>
              </w:rPr>
              <w:t xml:space="preserve">　</w:t>
            </w:r>
            <w:r w:rsidRPr="00FD694A">
              <w:rPr>
                <w:color w:val="000000"/>
                <w:w w:val="22"/>
                <w:shd w:val="solid" w:color="000000" w:fill="000000"/>
                <w:fitText w:val="100" w:id="-1032660984"/>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4"/>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2A2D8976" w14:textId="29814D45"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3"/>
                <w14:textFill>
                  <w14:solidFill>
                    <w14:srgbClr w14:val="000000">
                      <w14:alpha w14:val="100000"/>
                    </w14:srgbClr>
                  </w14:solidFill>
                </w14:textFill>
              </w:rPr>
              <w:t xml:space="preserve">　</w:t>
            </w:r>
            <w:r w:rsidRPr="00FD694A">
              <w:rPr>
                <w:color w:val="000000"/>
                <w:w w:val="22"/>
                <w:shd w:val="solid" w:color="000000" w:fill="000000"/>
                <w:fitText w:val="100" w:id="-1032660983"/>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3"/>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2FFF4252" w14:textId="7227D7F6"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2"/>
                <w14:textFill>
                  <w14:solidFill>
                    <w14:srgbClr w14:val="000000">
                      <w14:alpha w14:val="100000"/>
                    </w14:srgbClr>
                  </w14:solidFill>
                </w14:textFill>
              </w:rPr>
              <w:t xml:space="preserve">　</w:t>
            </w:r>
            <w:r w:rsidRPr="00FD694A">
              <w:rPr>
                <w:color w:val="000000"/>
                <w:w w:val="22"/>
                <w:shd w:val="solid" w:color="000000" w:fill="000000"/>
                <w:fitText w:val="100" w:id="-1032660982"/>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2"/>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6E9FFE15" w14:textId="1F246F37"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1"/>
                <w14:textFill>
                  <w14:solidFill>
                    <w14:srgbClr w14:val="000000">
                      <w14:alpha w14:val="100000"/>
                    </w14:srgbClr>
                  </w14:solidFill>
                </w14:textFill>
              </w:rPr>
              <w:t xml:space="preserve">　</w:t>
            </w:r>
            <w:r w:rsidRPr="00FD694A">
              <w:rPr>
                <w:color w:val="000000"/>
                <w:w w:val="22"/>
                <w:shd w:val="solid" w:color="000000" w:fill="000000"/>
                <w:fitText w:val="100" w:id="-1032660981"/>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1"/>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0AE3519C" w14:textId="584C79B2"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0"/>
                <w14:textFill>
                  <w14:solidFill>
                    <w14:srgbClr w14:val="000000">
                      <w14:alpha w14:val="100000"/>
                    </w14:srgbClr>
                  </w14:solidFill>
                </w14:textFill>
              </w:rPr>
              <w:t xml:space="preserve">　</w:t>
            </w:r>
            <w:r w:rsidRPr="00FD694A">
              <w:rPr>
                <w:color w:val="000000"/>
                <w:w w:val="22"/>
                <w:shd w:val="solid" w:color="000000" w:fill="000000"/>
                <w:fitText w:val="100" w:id="-1032660980"/>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0"/>
                <w14:textFill>
                  <w14:solidFill>
                    <w14:srgbClr w14:val="000000">
                      <w14:alpha w14:val="100000"/>
                    </w14:srgbClr>
                  </w14:solidFill>
                </w14:textFill>
              </w:rPr>
              <w:t xml:space="preserve">　</w:t>
            </w:r>
            <w:r w:rsidR="00B75596">
              <w:rPr>
                <w:vertAlign w:val="superscript"/>
              </w:rPr>
              <w:t>2</w:t>
            </w:r>
          </w:p>
        </w:tc>
        <w:tc>
          <w:tcPr>
            <w:tcW w:w="585" w:type="pct"/>
          </w:tcPr>
          <w:p w14:paraId="4DBE8964" w14:textId="5101DDFC"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9"/>
                <w14:textFill>
                  <w14:solidFill>
                    <w14:srgbClr w14:val="000000">
                      <w14:alpha w14:val="100000"/>
                    </w14:srgbClr>
                  </w14:solidFill>
                </w14:textFill>
              </w:rPr>
              <w:t xml:space="preserve">　</w:t>
            </w:r>
            <w:r w:rsidRPr="00FD694A">
              <w:rPr>
                <w:color w:val="000000"/>
                <w:w w:val="22"/>
                <w:shd w:val="solid" w:color="000000" w:fill="000000"/>
                <w:fitText w:val="100" w:id="-1032660979"/>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9"/>
                <w14:textFill>
                  <w14:solidFill>
                    <w14:srgbClr w14:val="000000">
                      <w14:alpha w14:val="100000"/>
                    </w14:srgbClr>
                  </w14:solidFill>
                </w14:textFill>
              </w:rPr>
              <w:t xml:space="preserve">　</w:t>
            </w:r>
            <w:r w:rsidR="00B75596">
              <w:rPr>
                <w:vertAlign w:val="superscript"/>
              </w:rPr>
              <w:t>2</w:t>
            </w:r>
          </w:p>
        </w:tc>
      </w:tr>
      <w:tr w:rsidR="00AD26DB" w:rsidRPr="00674669" w14:paraId="7E8687FA" w14:textId="77777777" w:rsidTr="00C521FE">
        <w:tc>
          <w:tcPr>
            <w:tcW w:w="1491" w:type="pct"/>
            <w:shd w:val="clear" w:color="auto" w:fill="auto"/>
            <w:vAlign w:val="center"/>
          </w:tcPr>
          <w:p w14:paraId="015C81B0" w14:textId="77777777" w:rsidR="00AD26DB" w:rsidRPr="00674669" w:rsidRDefault="00AD26DB" w:rsidP="00C521FE">
            <w:pPr>
              <w:pStyle w:val="TableText0"/>
              <w:rPr>
                <w:rFonts w:ascii="Times" w:hAnsi="Times"/>
              </w:rPr>
            </w:pPr>
            <w:r w:rsidRPr="00674669">
              <w:rPr>
                <w:sz w:val="19"/>
                <w:szCs w:val="19"/>
              </w:rPr>
              <w:t>Net cost to MBS</w:t>
            </w:r>
          </w:p>
        </w:tc>
        <w:tc>
          <w:tcPr>
            <w:tcW w:w="584" w:type="pct"/>
            <w:shd w:val="clear" w:color="auto" w:fill="auto"/>
          </w:tcPr>
          <w:p w14:paraId="54E7E7A5" w14:textId="3FAD7925"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8"/>
                <w14:textFill>
                  <w14:solidFill>
                    <w14:srgbClr w14:val="000000">
                      <w14:alpha w14:val="100000"/>
                    </w14:srgbClr>
                  </w14:solidFill>
                </w14:textFill>
              </w:rPr>
              <w:t xml:space="preserve">　</w:t>
            </w:r>
            <w:r w:rsidRPr="00FD694A">
              <w:rPr>
                <w:color w:val="000000"/>
                <w:w w:val="22"/>
                <w:shd w:val="solid" w:color="000000" w:fill="000000"/>
                <w:fitText w:val="100" w:id="-1032660978"/>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8"/>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5FAE934F" w14:textId="3596D07F"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7"/>
                <w14:textFill>
                  <w14:solidFill>
                    <w14:srgbClr w14:val="000000">
                      <w14:alpha w14:val="100000"/>
                    </w14:srgbClr>
                  </w14:solidFill>
                </w14:textFill>
              </w:rPr>
              <w:t xml:space="preserve">　</w:t>
            </w:r>
            <w:r w:rsidRPr="00FD694A">
              <w:rPr>
                <w:color w:val="000000"/>
                <w:w w:val="22"/>
                <w:shd w:val="solid" w:color="000000" w:fill="000000"/>
                <w:fitText w:val="100" w:id="-1032660977"/>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7"/>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4756385B" w14:textId="28810CBF"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76"/>
                <w14:textFill>
                  <w14:solidFill>
                    <w14:srgbClr w14:val="000000">
                      <w14:alpha w14:val="100000"/>
                    </w14:srgbClr>
                  </w14:solidFill>
                </w14:textFill>
              </w:rPr>
              <w:t xml:space="preserve">　</w:t>
            </w:r>
            <w:r w:rsidRPr="00FD694A">
              <w:rPr>
                <w:color w:val="000000"/>
                <w:w w:val="22"/>
                <w:shd w:val="solid" w:color="000000" w:fill="000000"/>
                <w:fitText w:val="100" w:id="-1032660976"/>
                <w14:textFill>
                  <w14:solidFill>
                    <w14:srgbClr w14:val="000000">
                      <w14:alpha w14:val="100000"/>
                    </w14:srgbClr>
                  </w14:solidFill>
                </w14:textFill>
              </w:rPr>
              <w:t>|</w:t>
            </w:r>
            <w:r w:rsidRPr="00FD694A">
              <w:rPr>
                <w:rFonts w:hint="eastAsia"/>
                <w:color w:val="000000"/>
                <w:spacing w:val="3"/>
                <w:w w:val="22"/>
                <w:shd w:val="solid" w:color="000000" w:fill="000000"/>
                <w:fitText w:val="100" w:id="-1032660976"/>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51BCE229" w14:textId="7AEE4345"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92"/>
                <w14:textFill>
                  <w14:solidFill>
                    <w14:srgbClr w14:val="000000">
                      <w14:alpha w14:val="100000"/>
                    </w14:srgbClr>
                  </w14:solidFill>
                </w14:textFill>
              </w:rPr>
              <w:t xml:space="preserve">　</w:t>
            </w:r>
            <w:r w:rsidRPr="00FD694A">
              <w:rPr>
                <w:color w:val="000000"/>
                <w:w w:val="22"/>
                <w:shd w:val="solid" w:color="000000" w:fill="000000"/>
                <w:fitText w:val="100" w:id="-1032660992"/>
                <w14:textFill>
                  <w14:solidFill>
                    <w14:srgbClr w14:val="000000">
                      <w14:alpha w14:val="100000"/>
                    </w14:srgbClr>
                  </w14:solidFill>
                </w14:textFill>
              </w:rPr>
              <w:t>|</w:t>
            </w:r>
            <w:r w:rsidRPr="00FD694A">
              <w:rPr>
                <w:rFonts w:hint="eastAsia"/>
                <w:color w:val="000000"/>
                <w:spacing w:val="3"/>
                <w:w w:val="22"/>
                <w:shd w:val="solid" w:color="000000" w:fill="000000"/>
                <w:fitText w:val="100" w:id="-1032660992"/>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563D1656" w14:textId="1344E924"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91"/>
                <w14:textFill>
                  <w14:solidFill>
                    <w14:srgbClr w14:val="000000">
                      <w14:alpha w14:val="100000"/>
                    </w14:srgbClr>
                  </w14:solidFill>
                </w14:textFill>
              </w:rPr>
              <w:t xml:space="preserve">　</w:t>
            </w:r>
            <w:r w:rsidRPr="00FD694A">
              <w:rPr>
                <w:color w:val="000000"/>
                <w:w w:val="22"/>
                <w:shd w:val="solid" w:color="000000" w:fill="000000"/>
                <w:fitText w:val="100" w:id="-1032660991"/>
                <w14:textFill>
                  <w14:solidFill>
                    <w14:srgbClr w14:val="000000">
                      <w14:alpha w14:val="100000"/>
                    </w14:srgbClr>
                  </w14:solidFill>
                </w14:textFill>
              </w:rPr>
              <w:t>|</w:t>
            </w:r>
            <w:r w:rsidRPr="00FD694A">
              <w:rPr>
                <w:rFonts w:hint="eastAsia"/>
                <w:color w:val="000000"/>
                <w:spacing w:val="3"/>
                <w:w w:val="22"/>
                <w:shd w:val="solid" w:color="000000" w:fill="000000"/>
                <w:fitText w:val="100" w:id="-1032660991"/>
                <w14:textFill>
                  <w14:solidFill>
                    <w14:srgbClr w14:val="000000">
                      <w14:alpha w14:val="100000"/>
                    </w14:srgbClr>
                  </w14:solidFill>
                </w14:textFill>
              </w:rPr>
              <w:t xml:space="preserve">　</w:t>
            </w:r>
            <w:r w:rsidR="00B75596">
              <w:rPr>
                <w:vertAlign w:val="superscript"/>
              </w:rPr>
              <w:t>2</w:t>
            </w:r>
          </w:p>
        </w:tc>
        <w:tc>
          <w:tcPr>
            <w:tcW w:w="585" w:type="pct"/>
          </w:tcPr>
          <w:p w14:paraId="008EBA1D" w14:textId="51165DDF"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90"/>
                <w14:textFill>
                  <w14:solidFill>
                    <w14:srgbClr w14:val="000000">
                      <w14:alpha w14:val="100000"/>
                    </w14:srgbClr>
                  </w14:solidFill>
                </w14:textFill>
              </w:rPr>
              <w:t xml:space="preserve">　</w:t>
            </w:r>
            <w:r w:rsidRPr="00FD694A">
              <w:rPr>
                <w:color w:val="000000"/>
                <w:w w:val="22"/>
                <w:shd w:val="solid" w:color="000000" w:fill="000000"/>
                <w:fitText w:val="100" w:id="-1032660990"/>
                <w14:textFill>
                  <w14:solidFill>
                    <w14:srgbClr w14:val="000000">
                      <w14:alpha w14:val="100000"/>
                    </w14:srgbClr>
                  </w14:solidFill>
                </w14:textFill>
              </w:rPr>
              <w:t>|</w:t>
            </w:r>
            <w:r w:rsidRPr="00FD694A">
              <w:rPr>
                <w:rFonts w:hint="eastAsia"/>
                <w:color w:val="000000"/>
                <w:spacing w:val="3"/>
                <w:w w:val="22"/>
                <w:shd w:val="solid" w:color="000000" w:fill="000000"/>
                <w:fitText w:val="100" w:id="-1032660990"/>
                <w14:textFill>
                  <w14:solidFill>
                    <w14:srgbClr w14:val="000000">
                      <w14:alpha w14:val="100000"/>
                    </w14:srgbClr>
                  </w14:solidFill>
                </w14:textFill>
              </w:rPr>
              <w:t xml:space="preserve">　</w:t>
            </w:r>
            <w:r w:rsidR="00B75596">
              <w:rPr>
                <w:vertAlign w:val="superscript"/>
              </w:rPr>
              <w:t>2</w:t>
            </w:r>
          </w:p>
        </w:tc>
      </w:tr>
      <w:tr w:rsidR="00AD26DB" w:rsidRPr="00674669" w14:paraId="71DD5B88" w14:textId="77777777" w:rsidTr="00C521FE">
        <w:tc>
          <w:tcPr>
            <w:tcW w:w="1491" w:type="pct"/>
            <w:shd w:val="clear" w:color="auto" w:fill="auto"/>
            <w:vAlign w:val="center"/>
          </w:tcPr>
          <w:p w14:paraId="0A1B90CA" w14:textId="77777777" w:rsidR="00AD26DB" w:rsidRPr="00674669" w:rsidRDefault="00AD26DB" w:rsidP="00C521FE">
            <w:pPr>
              <w:pStyle w:val="TableText0"/>
              <w:rPr>
                <w:sz w:val="19"/>
                <w:szCs w:val="19"/>
              </w:rPr>
            </w:pPr>
            <w:r w:rsidRPr="00674669">
              <w:rPr>
                <w:sz w:val="19"/>
                <w:szCs w:val="19"/>
              </w:rPr>
              <w:t>Net cost to PBS/RPBS/MBS</w:t>
            </w:r>
          </w:p>
        </w:tc>
        <w:tc>
          <w:tcPr>
            <w:tcW w:w="584" w:type="pct"/>
            <w:shd w:val="clear" w:color="auto" w:fill="auto"/>
          </w:tcPr>
          <w:p w14:paraId="5E8E43E9" w14:textId="12744E4C"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9"/>
                <w14:textFill>
                  <w14:solidFill>
                    <w14:srgbClr w14:val="000000">
                      <w14:alpha w14:val="100000"/>
                    </w14:srgbClr>
                  </w14:solidFill>
                </w14:textFill>
              </w:rPr>
              <w:t xml:space="preserve">　</w:t>
            </w:r>
            <w:r w:rsidRPr="00FD694A">
              <w:rPr>
                <w:color w:val="000000"/>
                <w:w w:val="22"/>
                <w:shd w:val="solid" w:color="000000" w:fill="000000"/>
                <w:fitText w:val="100" w:id="-1032660989"/>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9"/>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12D03A22" w14:textId="4D8C30FC"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8"/>
                <w14:textFill>
                  <w14:solidFill>
                    <w14:srgbClr w14:val="000000">
                      <w14:alpha w14:val="100000"/>
                    </w14:srgbClr>
                  </w14:solidFill>
                </w14:textFill>
              </w:rPr>
              <w:t xml:space="preserve">　</w:t>
            </w:r>
            <w:r w:rsidRPr="00FD694A">
              <w:rPr>
                <w:color w:val="000000"/>
                <w:w w:val="22"/>
                <w:shd w:val="solid" w:color="000000" w:fill="000000"/>
                <w:fitText w:val="100" w:id="-1032660988"/>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8"/>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5952E0D3" w14:textId="5D74ACC1"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7"/>
                <w14:textFill>
                  <w14:solidFill>
                    <w14:srgbClr w14:val="000000">
                      <w14:alpha w14:val="100000"/>
                    </w14:srgbClr>
                  </w14:solidFill>
                </w14:textFill>
              </w:rPr>
              <w:t xml:space="preserve">　</w:t>
            </w:r>
            <w:r w:rsidRPr="00FD694A">
              <w:rPr>
                <w:color w:val="000000"/>
                <w:w w:val="22"/>
                <w:shd w:val="solid" w:color="000000" w:fill="000000"/>
                <w:fitText w:val="100" w:id="-1032660987"/>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7"/>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5B87DA83" w14:textId="77A0E7F7"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6"/>
                <w14:textFill>
                  <w14:solidFill>
                    <w14:srgbClr w14:val="000000">
                      <w14:alpha w14:val="100000"/>
                    </w14:srgbClr>
                  </w14:solidFill>
                </w14:textFill>
              </w:rPr>
              <w:t xml:space="preserve">　</w:t>
            </w:r>
            <w:r w:rsidRPr="00FD694A">
              <w:rPr>
                <w:color w:val="000000"/>
                <w:w w:val="22"/>
                <w:shd w:val="solid" w:color="000000" w:fill="000000"/>
                <w:fitText w:val="100" w:id="-1032660986"/>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6"/>
                <w14:textFill>
                  <w14:solidFill>
                    <w14:srgbClr w14:val="000000">
                      <w14:alpha w14:val="100000"/>
                    </w14:srgbClr>
                  </w14:solidFill>
                </w14:textFill>
              </w:rPr>
              <w:t xml:space="preserve">　</w:t>
            </w:r>
            <w:r w:rsidR="00B75596">
              <w:rPr>
                <w:vertAlign w:val="superscript"/>
              </w:rPr>
              <w:t>2</w:t>
            </w:r>
          </w:p>
        </w:tc>
        <w:tc>
          <w:tcPr>
            <w:tcW w:w="585" w:type="pct"/>
            <w:shd w:val="clear" w:color="auto" w:fill="auto"/>
          </w:tcPr>
          <w:p w14:paraId="05D6C7F5" w14:textId="2C931D98"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5"/>
                <w14:textFill>
                  <w14:solidFill>
                    <w14:srgbClr w14:val="000000">
                      <w14:alpha w14:val="100000"/>
                    </w14:srgbClr>
                  </w14:solidFill>
                </w14:textFill>
              </w:rPr>
              <w:t xml:space="preserve">　</w:t>
            </w:r>
            <w:r w:rsidRPr="00FD694A">
              <w:rPr>
                <w:color w:val="000000"/>
                <w:w w:val="22"/>
                <w:shd w:val="solid" w:color="000000" w:fill="000000"/>
                <w:fitText w:val="100" w:id="-1032660985"/>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5"/>
                <w14:textFill>
                  <w14:solidFill>
                    <w14:srgbClr w14:val="000000">
                      <w14:alpha w14:val="100000"/>
                    </w14:srgbClr>
                  </w14:solidFill>
                </w14:textFill>
              </w:rPr>
              <w:t xml:space="preserve">　</w:t>
            </w:r>
            <w:r w:rsidR="00B75596">
              <w:rPr>
                <w:vertAlign w:val="superscript"/>
              </w:rPr>
              <w:t>2</w:t>
            </w:r>
          </w:p>
        </w:tc>
        <w:tc>
          <w:tcPr>
            <w:tcW w:w="585" w:type="pct"/>
          </w:tcPr>
          <w:p w14:paraId="1BC1B8DB" w14:textId="5D8C9596" w:rsidR="00AD26DB" w:rsidRPr="00B75596" w:rsidRDefault="00FD694A" w:rsidP="00C521FE">
            <w:pPr>
              <w:pStyle w:val="TableText0"/>
              <w:jc w:val="center"/>
              <w:rPr>
                <w:highlight w:val="darkGray"/>
              </w:rPr>
            </w:pPr>
            <w:r>
              <w:t xml:space="preserve"> </w:t>
            </w:r>
            <w:r w:rsidRPr="00FD694A">
              <w:rPr>
                <w:rFonts w:hint="eastAsia"/>
                <w:color w:val="000000"/>
                <w:w w:val="22"/>
                <w:shd w:val="solid" w:color="000000" w:fill="000000"/>
                <w:fitText w:val="100" w:id="-1032660984"/>
                <w14:textFill>
                  <w14:solidFill>
                    <w14:srgbClr w14:val="000000">
                      <w14:alpha w14:val="100000"/>
                    </w14:srgbClr>
                  </w14:solidFill>
                </w14:textFill>
              </w:rPr>
              <w:t xml:space="preserve">　</w:t>
            </w:r>
            <w:r w:rsidRPr="00FD694A">
              <w:rPr>
                <w:color w:val="000000"/>
                <w:w w:val="22"/>
                <w:shd w:val="solid" w:color="000000" w:fill="000000"/>
                <w:fitText w:val="100" w:id="-1032660984"/>
                <w14:textFill>
                  <w14:solidFill>
                    <w14:srgbClr w14:val="000000">
                      <w14:alpha w14:val="100000"/>
                    </w14:srgbClr>
                  </w14:solidFill>
                </w14:textFill>
              </w:rPr>
              <w:t>|</w:t>
            </w:r>
            <w:r w:rsidRPr="00FD694A">
              <w:rPr>
                <w:rFonts w:hint="eastAsia"/>
                <w:color w:val="000000"/>
                <w:spacing w:val="3"/>
                <w:w w:val="22"/>
                <w:shd w:val="solid" w:color="000000" w:fill="000000"/>
                <w:fitText w:val="100" w:id="-1032660984"/>
                <w14:textFill>
                  <w14:solidFill>
                    <w14:srgbClr w14:val="000000">
                      <w14:alpha w14:val="100000"/>
                    </w14:srgbClr>
                  </w14:solidFill>
                </w14:textFill>
              </w:rPr>
              <w:t xml:space="preserve">　</w:t>
            </w:r>
            <w:r w:rsidR="00B75596">
              <w:rPr>
                <w:vertAlign w:val="superscript"/>
              </w:rPr>
              <w:t>2</w:t>
            </w:r>
          </w:p>
        </w:tc>
      </w:tr>
    </w:tbl>
    <w:p w14:paraId="540D7687" w14:textId="77777777" w:rsidR="00AD26DB" w:rsidRPr="00674669" w:rsidRDefault="00AD26DB" w:rsidP="00AD26DB">
      <w:pPr>
        <w:pStyle w:val="FooterTableFigure"/>
      </w:pPr>
      <w:bookmarkStart w:id="88" w:name="_Toc22897648"/>
      <w:r w:rsidRPr="00674669">
        <w:t>Source: Table 4-18, p102 and Table 4-21, p103 of the submission</w:t>
      </w:r>
    </w:p>
    <w:p w14:paraId="2388F847" w14:textId="77777777" w:rsidR="00AD26DB" w:rsidRPr="00674669" w:rsidRDefault="00AD26DB" w:rsidP="00AD26DB">
      <w:pPr>
        <w:pStyle w:val="FooterTableFigure"/>
        <w:rPr>
          <w:rStyle w:val="CommentReference"/>
          <w:b w:val="0"/>
          <w:sz w:val="18"/>
          <w:szCs w:val="22"/>
        </w:rPr>
      </w:pPr>
      <w:r w:rsidRPr="00674669">
        <w:t>PDC = platinum doublet chemotherapy; MBS = Medicare Benefits Scheme; PBS = Pharmaceutical Benefits Scheme; RPBS = Repatriation Pharmaceutical Benefits Scheme.</w:t>
      </w:r>
    </w:p>
    <w:p w14:paraId="58A99076" w14:textId="77777777" w:rsidR="00AD26DB" w:rsidRPr="00674669" w:rsidRDefault="00AD26DB" w:rsidP="00AD26DB">
      <w:pPr>
        <w:pStyle w:val="FooterTableFigure"/>
      </w:pPr>
      <w:r w:rsidRPr="00674669">
        <w:rPr>
          <w:vertAlign w:val="superscript"/>
        </w:rPr>
        <w:t>a</w:t>
      </w:r>
      <w:r w:rsidRPr="00674669">
        <w:t xml:space="preserve"> Assuming the uptake rate of 2% in Year 1 increasing to 10% by Year 6 as estimated by the submission.</w:t>
      </w:r>
    </w:p>
    <w:p w14:paraId="7C17E272" w14:textId="10B0056E" w:rsidR="00AD26DB" w:rsidRDefault="001B7E27" w:rsidP="00B75596">
      <w:pPr>
        <w:pStyle w:val="FooterTableFigure"/>
        <w:spacing w:after="0"/>
      </w:pPr>
      <w:r w:rsidRPr="00674669">
        <w:t>Corrected</w:t>
      </w:r>
      <w:r w:rsidR="00AD26DB" w:rsidRPr="00674669">
        <w:t xml:space="preserve"> during evaluation using the new prices for Efficient Funding of Chemotherapy as of 1 July 2023 and corrected number of prescriptions for pembrolizumab+PDC.</w:t>
      </w:r>
    </w:p>
    <w:p w14:paraId="09C2F945" w14:textId="77777777" w:rsidR="00B75596" w:rsidRPr="009A6D58" w:rsidRDefault="00B75596" w:rsidP="00B7559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7E1761B" w14:textId="77777777" w:rsidR="00B75596" w:rsidRPr="009A6D58" w:rsidRDefault="00B75596" w:rsidP="00B7559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75596">
        <w:rPr>
          <w:rFonts w:ascii="Arial Narrow" w:hAnsi="Arial Narrow"/>
          <w:i/>
          <w:sz w:val="18"/>
          <w:szCs w:val="18"/>
        </w:rPr>
        <w:t>500 to &lt; 5,000</w:t>
      </w:r>
    </w:p>
    <w:p w14:paraId="3F7C9977" w14:textId="77777777" w:rsidR="00B75596" w:rsidRPr="009A6D58" w:rsidRDefault="00B75596" w:rsidP="00B7559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75596">
        <w:rPr>
          <w:rFonts w:ascii="Arial Narrow" w:hAnsi="Arial Narrow"/>
          <w:i/>
          <w:sz w:val="18"/>
          <w:szCs w:val="18"/>
        </w:rPr>
        <w:t>$0 to &lt; $10 million</w:t>
      </w:r>
    </w:p>
    <w:p w14:paraId="2A1831CA" w14:textId="77777777" w:rsidR="00B75596" w:rsidRDefault="00B75596" w:rsidP="00B7559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B75596">
        <w:rPr>
          <w:rFonts w:ascii="Arial Narrow" w:hAnsi="Arial Narrow"/>
          <w:i/>
          <w:sz w:val="18"/>
          <w:szCs w:val="18"/>
        </w:rPr>
        <w:t>net cost saving</w:t>
      </w:r>
    </w:p>
    <w:p w14:paraId="7D3AD7C3" w14:textId="77777777" w:rsidR="00B75596" w:rsidRDefault="00B75596" w:rsidP="00B75596">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B75596">
        <w:rPr>
          <w:rFonts w:ascii="Arial Narrow" w:hAnsi="Arial Narrow"/>
          <w:i/>
          <w:sz w:val="18"/>
          <w:szCs w:val="18"/>
        </w:rPr>
        <w:t>$10 million to &lt; $20 million</w:t>
      </w:r>
    </w:p>
    <w:p w14:paraId="4BCD07C7" w14:textId="0455F08E" w:rsidR="00B75596" w:rsidRPr="00B75596" w:rsidRDefault="00B75596" w:rsidP="00B75596">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B75596">
        <w:rPr>
          <w:rFonts w:ascii="Arial Narrow" w:hAnsi="Arial Narrow"/>
          <w:i/>
          <w:sz w:val="18"/>
          <w:szCs w:val="18"/>
        </w:rPr>
        <w:t>5,000 to &lt; 10,000</w:t>
      </w:r>
    </w:p>
    <w:p w14:paraId="3B57189D" w14:textId="77777777" w:rsidR="00AD26DB" w:rsidRPr="00674669" w:rsidRDefault="00AD26DB" w:rsidP="00AD26DB">
      <w:pPr>
        <w:pStyle w:val="3-BodyText"/>
      </w:pPr>
      <w:r w:rsidRPr="00674669">
        <w:t>There were some uncertainties regarding the key assumptions used to determine the projected utilisation of cemiplimab+PDC:</w:t>
      </w:r>
    </w:p>
    <w:p w14:paraId="175819C7" w14:textId="0465D82E" w:rsidR="00AD26DB" w:rsidRPr="00674669" w:rsidRDefault="00AD26DB" w:rsidP="00AD26DB">
      <w:pPr>
        <w:pStyle w:val="ListParagraph"/>
      </w:pPr>
      <w:r w:rsidRPr="00674669">
        <w:lastRenderedPageBreak/>
        <w:t>The projected annual growth rate for pembrolizumab was likely overestimated, with approximately 45% in 2023, 18% in Year 1 decreasing to 9% in Year 6. In September 2022, DUSC considered the overall NSCLC market to be stable and noted that over time, utilisation of immunotherapies has been declining, whilst utilisation of targeted therapies has been increasing (Public Release Document, September 2022 DUSC Meeting).</w:t>
      </w:r>
      <w:r w:rsidR="00E10D33" w:rsidRPr="00674669">
        <w:t xml:space="preserve"> </w:t>
      </w:r>
      <w:r w:rsidR="00E10D33" w:rsidRPr="00674669">
        <w:rPr>
          <w:iCs/>
        </w:rPr>
        <w:t xml:space="preserve">The PSCR </w:t>
      </w:r>
      <w:r w:rsidR="009B155F" w:rsidRPr="00674669">
        <w:rPr>
          <w:iCs/>
        </w:rPr>
        <w:t>stated</w:t>
      </w:r>
      <w:r w:rsidR="00E10D33" w:rsidRPr="00674669">
        <w:rPr>
          <w:iCs/>
        </w:rPr>
        <w:t xml:space="preserve"> that given that a market share approach was used, the financial implication of direct substitution of cemiplimab + PDC at price parity to pembrolizumab + PDC will not be impacted by the market growth rate.</w:t>
      </w:r>
      <w:r w:rsidR="00E10D33" w:rsidRPr="00674669">
        <w:t xml:space="preserve"> </w:t>
      </w:r>
    </w:p>
    <w:p w14:paraId="29E1997F" w14:textId="77777777" w:rsidR="00AD26DB" w:rsidRPr="00674669" w:rsidRDefault="00AD26DB" w:rsidP="00AD26DB">
      <w:pPr>
        <w:pStyle w:val="ListParagraph"/>
      </w:pPr>
      <w:r w:rsidRPr="00674669">
        <w:t>The assumed uptake rate of 2% in Year 1 increasing to 10% in Year 6 for cemiplimab+PDC was uncertain given the availability of other drugs listed on the PBS (pembrolizumab monotherapy, cemiplimab monotherapy, atezolizumab in combination with bevacizumab and PDC, nivolumab in combination with ipilimumab and PDC) for the treatment of Stage IV NSCLC.</w:t>
      </w:r>
    </w:p>
    <w:p w14:paraId="4ECA6B70" w14:textId="77777777" w:rsidR="00AD26DB" w:rsidRPr="00674669" w:rsidRDefault="00AD26DB" w:rsidP="00AD26DB">
      <w:pPr>
        <w:pStyle w:val="3-BodyText"/>
      </w:pPr>
      <w:r w:rsidRPr="00674669">
        <w:t xml:space="preserve">However, at a price cost-minimised to the effective price of pembrolizumab, the listing of cemiplimab on the PBS for patients with NSCLC would be expected to result in no incremental cost to the PBS/RPBS/MBS. </w:t>
      </w:r>
    </w:p>
    <w:p w14:paraId="46887A69" w14:textId="77777777" w:rsidR="00AD26DB" w:rsidRPr="00674669" w:rsidRDefault="00AD26DB" w:rsidP="00AD26DB">
      <w:pPr>
        <w:pStyle w:val="3-BodyText"/>
      </w:pPr>
      <w:r w:rsidRPr="00674669">
        <w:t>The submission did not account for differences in utilisation of chemotherapy, cost of administering IV, cost of PD-L1 test, or differences in adverse event profiles, as these were not expected to differ between the two treatments. This may be reasonable.</w:t>
      </w:r>
    </w:p>
    <w:p w14:paraId="593A9F41" w14:textId="77777777" w:rsidR="00AD26DB" w:rsidRPr="00674669" w:rsidRDefault="00AD26DB" w:rsidP="00AD26DB">
      <w:pPr>
        <w:pStyle w:val="4-SubsectionHeading"/>
      </w:pPr>
      <w:bookmarkStart w:id="89" w:name="_Toc142622575"/>
      <w:bookmarkStart w:id="90" w:name="_Toc145495072"/>
      <w:r w:rsidRPr="00674669">
        <w:t>Quality Use of Medicines</w:t>
      </w:r>
      <w:bookmarkEnd w:id="88"/>
      <w:bookmarkEnd w:id="89"/>
      <w:bookmarkEnd w:id="90"/>
    </w:p>
    <w:p w14:paraId="38FC7820" w14:textId="77777777" w:rsidR="00AD26DB" w:rsidRPr="00674669" w:rsidRDefault="00AD26DB" w:rsidP="00AD26DB">
      <w:pPr>
        <w:pStyle w:val="3-BodyText"/>
      </w:pPr>
      <w:bookmarkStart w:id="91" w:name="_Toc22897649"/>
      <w:r w:rsidRPr="00674669">
        <w:t>The submission stated that support materials will be developed and disseminated for clinicians to explain the benefits and risks associated with cemiplimab treatment, as well as for patients to understand their diagnosis and provide information on cemiplimab treatment, including potential side effects.</w:t>
      </w:r>
    </w:p>
    <w:p w14:paraId="48993299" w14:textId="77777777" w:rsidR="00AD26DB" w:rsidRPr="00674669" w:rsidRDefault="00AD26DB" w:rsidP="00AD26DB">
      <w:pPr>
        <w:pStyle w:val="4-SubsectionHeading"/>
      </w:pPr>
      <w:bookmarkStart w:id="92" w:name="_Toc142622576"/>
      <w:bookmarkStart w:id="93" w:name="_Toc145495073"/>
      <w:r w:rsidRPr="00674669">
        <w:t>Financial Management – Risk Sharing Arrangements</w:t>
      </w:r>
      <w:bookmarkEnd w:id="91"/>
      <w:bookmarkEnd w:id="92"/>
      <w:bookmarkEnd w:id="93"/>
    </w:p>
    <w:p w14:paraId="0CB0142A" w14:textId="5F6576A4" w:rsidR="00A21317" w:rsidRPr="00674669" w:rsidRDefault="00D260F1" w:rsidP="00D260F1">
      <w:pPr>
        <w:pStyle w:val="3-BodyText"/>
      </w:pPr>
      <w:bookmarkStart w:id="94" w:name="_Toc22897650"/>
      <w:r w:rsidRPr="00674669">
        <w:t xml:space="preserve">The </w:t>
      </w:r>
      <w:r w:rsidR="00AD26DB" w:rsidRPr="00674669">
        <w:t xml:space="preserve">submission stated that the sponsor is amenable to joining the current </w:t>
      </w:r>
      <w:r w:rsidR="00F13F03" w:rsidRPr="00674669">
        <w:t>risk sharing arrangements</w:t>
      </w:r>
      <w:r w:rsidR="00AD26DB" w:rsidRPr="00674669">
        <w:t xml:space="preserve"> applying to PD-L1</w:t>
      </w:r>
      <w:r w:rsidR="003449A4" w:rsidRPr="00674669">
        <w:t xml:space="preserve"> inhibitor</w:t>
      </w:r>
      <w:r w:rsidR="00F13F03" w:rsidRPr="00674669">
        <w:t>s</w:t>
      </w:r>
      <w:r w:rsidR="00AD26DB" w:rsidRPr="00674669">
        <w:t xml:space="preserve"> for the treatment of NSCLC.</w:t>
      </w:r>
    </w:p>
    <w:p w14:paraId="25ABE717" w14:textId="47546B95" w:rsidR="00F7273E" w:rsidRPr="00674669" w:rsidRDefault="00F7273E" w:rsidP="00F13F03">
      <w:pPr>
        <w:pStyle w:val="3-BodyText"/>
        <w:numPr>
          <w:ilvl w:val="0"/>
          <w:numId w:val="0"/>
        </w:numPr>
        <w:ind w:left="720"/>
        <w:rPr>
          <w:i/>
          <w:iCs/>
        </w:rPr>
      </w:pPr>
      <w:r w:rsidRPr="00674669">
        <w:rPr>
          <w:i/>
          <w:iCs/>
        </w:rPr>
        <w:t>For more detail on PBAC’s view, see section 7 PBAC outcome.</w:t>
      </w:r>
    </w:p>
    <w:p w14:paraId="6BE2278F" w14:textId="7BB245DC" w:rsidR="00E8057E" w:rsidRPr="00674669" w:rsidRDefault="00E8057E" w:rsidP="00E8057E">
      <w:pPr>
        <w:pStyle w:val="2-SectionHeading"/>
      </w:pPr>
      <w:r w:rsidRPr="00674669">
        <w:t>PBAC outcome</w:t>
      </w:r>
    </w:p>
    <w:p w14:paraId="0E586BDB" w14:textId="69DA4AF4" w:rsidR="00E8057E" w:rsidRPr="00674669" w:rsidRDefault="00325772" w:rsidP="00DE14EB">
      <w:pPr>
        <w:pStyle w:val="3-BodyText"/>
      </w:pPr>
      <w:r w:rsidRPr="00674669">
        <w:t>The PBAC recommended the Section 100 (Efficient Funding of Chemotherapy) Authority Required (Streamlined) listing</w:t>
      </w:r>
      <w:r w:rsidR="00E8057E" w:rsidRPr="00674669">
        <w:rPr>
          <w:lang w:eastAsia="en-US"/>
        </w:rPr>
        <w:t xml:space="preserve"> of</w:t>
      </w:r>
      <w:r w:rsidR="00DE14EB" w:rsidRPr="00674669">
        <w:rPr>
          <w:lang w:eastAsia="en-US"/>
        </w:rPr>
        <w:t xml:space="preserve"> cemiplimab </w:t>
      </w:r>
      <w:r w:rsidR="00DE14EB" w:rsidRPr="00674669">
        <w:t>to be used with platinum doublet chemotherapy (PDC) as a first-line treatment of adult patients with Stage IV (metastatic) non-small cell lung cancer (NSCLC) with no evidence of epidermal growth factor receptor (EGFR), anaplastic lymphoma kinase (ALK), or c-ROS-proto-oncogene 1 (ROS1) aberrations</w:t>
      </w:r>
      <w:r w:rsidR="00B80BCD" w:rsidRPr="00674669">
        <w:t>.</w:t>
      </w:r>
      <w:r w:rsidR="00DE14EB" w:rsidRPr="00674669">
        <w:t xml:space="preserve"> </w:t>
      </w:r>
      <w:bookmarkStart w:id="95" w:name="_Hlk150757553"/>
      <w:r w:rsidR="00E8057E" w:rsidRPr="00674669">
        <w:t xml:space="preserve">The PBAC’s recommendation for listing was based on, among other matters, its assessment, as described above, that the cost-effectiveness of </w:t>
      </w:r>
      <w:r w:rsidR="00DE14EB" w:rsidRPr="00674669">
        <w:lastRenderedPageBreak/>
        <w:t>cemiplimab plus PDC</w:t>
      </w:r>
      <w:r w:rsidR="00E8057E" w:rsidRPr="00674669">
        <w:t xml:space="preserve"> would be acceptable if it were cost-minimised to </w:t>
      </w:r>
      <w:r w:rsidR="00DE14EB" w:rsidRPr="00674669">
        <w:t>pembrolizumab</w:t>
      </w:r>
      <w:r w:rsidR="00E8057E" w:rsidRPr="00674669">
        <w:t xml:space="preserve"> plus </w:t>
      </w:r>
      <w:r w:rsidR="00DE14EB" w:rsidRPr="00674669">
        <w:t>PDC</w:t>
      </w:r>
      <w:r w:rsidR="00E8057E" w:rsidRPr="00674669">
        <w:t xml:space="preserve">. </w:t>
      </w:r>
    </w:p>
    <w:bookmarkEnd w:id="95"/>
    <w:p w14:paraId="6115060F" w14:textId="5B8E2048" w:rsidR="00DE14EB" w:rsidRPr="00674669" w:rsidRDefault="00325772" w:rsidP="00325772">
      <w:pPr>
        <w:pStyle w:val="3-BodyText"/>
      </w:pPr>
      <w:r w:rsidRPr="00674669">
        <w:t xml:space="preserve">The PBAC did not consider there to be an unmet clinical need for cemiplimab, as there are currently </w:t>
      </w:r>
      <w:r w:rsidR="00674669">
        <w:t>multiple</w:t>
      </w:r>
      <w:r w:rsidRPr="00674669">
        <w:t xml:space="preserve"> PBS listed immunotherapies to treat patients with stage IV NSCLC. However, the PBAC noted the </w:t>
      </w:r>
      <w:r w:rsidR="00B42618" w:rsidRPr="00674669">
        <w:rPr>
          <w:lang w:eastAsia="en-US"/>
        </w:rPr>
        <w:t>consumer comments</w:t>
      </w:r>
      <w:r w:rsidRPr="00674669">
        <w:rPr>
          <w:lang w:eastAsia="en-US"/>
        </w:rPr>
        <w:t xml:space="preserve"> regarding the benefit</w:t>
      </w:r>
      <w:r w:rsidR="00B42618" w:rsidRPr="00674669">
        <w:rPr>
          <w:lang w:eastAsia="en-US"/>
        </w:rPr>
        <w:t xml:space="preserve"> </w:t>
      </w:r>
      <w:r w:rsidR="00A21317" w:rsidRPr="00674669">
        <w:rPr>
          <w:lang w:eastAsia="en-US"/>
        </w:rPr>
        <w:t xml:space="preserve">of having an </w:t>
      </w:r>
      <w:r w:rsidRPr="00674669">
        <w:rPr>
          <w:lang w:eastAsia="en-US"/>
        </w:rPr>
        <w:t>alternative treatment option</w:t>
      </w:r>
      <w:r w:rsidR="00A21317" w:rsidRPr="00674669">
        <w:rPr>
          <w:lang w:eastAsia="en-US"/>
        </w:rPr>
        <w:t xml:space="preserve"> available </w:t>
      </w:r>
      <w:r w:rsidRPr="00674669">
        <w:rPr>
          <w:lang w:eastAsia="en-US"/>
        </w:rPr>
        <w:t>to patients.</w:t>
      </w:r>
    </w:p>
    <w:p w14:paraId="730D534F" w14:textId="7A5E7D32" w:rsidR="004877AB" w:rsidRPr="00674669" w:rsidRDefault="004877AB" w:rsidP="00AC3C1F">
      <w:pPr>
        <w:widowControl w:val="0"/>
        <w:numPr>
          <w:ilvl w:val="1"/>
          <w:numId w:val="1"/>
        </w:numPr>
        <w:spacing w:after="120"/>
        <w:rPr>
          <w:lang w:eastAsia="en-US"/>
        </w:rPr>
      </w:pPr>
      <w:r w:rsidRPr="00674669">
        <w:rPr>
          <w:lang w:eastAsia="en-US"/>
        </w:rPr>
        <w:t>The PBAC noted that</w:t>
      </w:r>
      <w:r w:rsidR="00C42897" w:rsidRPr="00674669">
        <w:rPr>
          <w:lang w:eastAsia="en-US"/>
        </w:rPr>
        <w:t xml:space="preserve"> at its meeting</w:t>
      </w:r>
      <w:r w:rsidRPr="00674669">
        <w:rPr>
          <w:lang w:eastAsia="en-US"/>
        </w:rPr>
        <w:t xml:space="preserve"> in November 2021, </w:t>
      </w:r>
      <w:r w:rsidR="00C42897" w:rsidRPr="00674669">
        <w:rPr>
          <w:lang w:eastAsia="en-US"/>
        </w:rPr>
        <w:t xml:space="preserve">it recommended the listing of </w:t>
      </w:r>
      <w:r w:rsidRPr="00674669">
        <w:rPr>
          <w:lang w:eastAsia="en-US"/>
        </w:rPr>
        <w:t xml:space="preserve">cemiplimab for </w:t>
      </w:r>
      <w:r w:rsidR="00C42897" w:rsidRPr="00674669">
        <w:rPr>
          <w:lang w:eastAsia="en-US"/>
        </w:rPr>
        <w:t xml:space="preserve">patients with </w:t>
      </w:r>
      <w:r w:rsidRPr="00674669">
        <w:rPr>
          <w:lang w:eastAsia="en-US"/>
        </w:rPr>
        <w:t xml:space="preserve">Stage IV (metastatic) NSCLC </w:t>
      </w:r>
      <w:r w:rsidR="00C42897" w:rsidRPr="00674669">
        <w:rPr>
          <w:lang w:eastAsia="en-US"/>
        </w:rPr>
        <w:t xml:space="preserve">who </w:t>
      </w:r>
      <w:r w:rsidRPr="00674669">
        <w:rPr>
          <w:lang w:eastAsia="en-US"/>
        </w:rPr>
        <w:t>express</w:t>
      </w:r>
      <w:r w:rsidR="00C42897" w:rsidRPr="00674669">
        <w:rPr>
          <w:lang w:eastAsia="en-US"/>
        </w:rPr>
        <w:t>ed</w:t>
      </w:r>
      <w:r w:rsidRPr="00674669">
        <w:rPr>
          <w:lang w:eastAsia="en-US"/>
        </w:rPr>
        <w:t xml:space="preserve"> PD-L1 in ≥50% tumour cells on a cost</w:t>
      </w:r>
      <w:r w:rsidR="00C42897" w:rsidRPr="00674669">
        <w:rPr>
          <w:lang w:eastAsia="en-US"/>
        </w:rPr>
        <w:t>-</w:t>
      </w:r>
      <w:r w:rsidRPr="00674669">
        <w:rPr>
          <w:lang w:eastAsia="en-US"/>
        </w:rPr>
        <w:t xml:space="preserve">minimisation basis to pembrolizumab. </w:t>
      </w:r>
    </w:p>
    <w:p w14:paraId="477E0B8D" w14:textId="2F7CFB97" w:rsidR="00DE14EB" w:rsidRPr="00674669" w:rsidRDefault="00DE14EB" w:rsidP="00DE14EB">
      <w:pPr>
        <w:widowControl w:val="0"/>
        <w:numPr>
          <w:ilvl w:val="1"/>
          <w:numId w:val="1"/>
        </w:numPr>
        <w:spacing w:after="120"/>
        <w:rPr>
          <w:lang w:eastAsia="en-US"/>
        </w:rPr>
      </w:pPr>
      <w:r w:rsidRPr="00674669">
        <w:rPr>
          <w:rFonts w:asciiTheme="minorHAnsi" w:hAnsiTheme="minorHAnsi"/>
          <w:snapToGrid w:val="0"/>
          <w:lang w:eastAsia="en-US"/>
        </w:rPr>
        <w:t>The PBAC considered that the nominated main comparator of pembrolizumab</w:t>
      </w:r>
      <w:r w:rsidR="00C42897" w:rsidRPr="00674669">
        <w:rPr>
          <w:rFonts w:asciiTheme="minorHAnsi" w:hAnsiTheme="minorHAnsi"/>
          <w:snapToGrid w:val="0"/>
          <w:lang w:eastAsia="en-US"/>
        </w:rPr>
        <w:t>+</w:t>
      </w:r>
      <w:r w:rsidRPr="00674669">
        <w:rPr>
          <w:rFonts w:asciiTheme="minorHAnsi" w:hAnsiTheme="minorHAnsi"/>
          <w:snapToGrid w:val="0"/>
          <w:lang w:eastAsia="en-US"/>
        </w:rPr>
        <w:t xml:space="preserve">PDC was appropriate. </w:t>
      </w:r>
    </w:p>
    <w:p w14:paraId="1C72A90C" w14:textId="4B9D7F61" w:rsidR="00325772" w:rsidRPr="00674669" w:rsidRDefault="00325772" w:rsidP="00C419F2">
      <w:pPr>
        <w:pStyle w:val="3-BodyText"/>
        <w:rPr>
          <w:bCs/>
          <w:snapToGrid/>
        </w:rPr>
      </w:pPr>
      <w:r w:rsidRPr="00674669">
        <w:rPr>
          <w:snapToGrid/>
        </w:rPr>
        <w:t xml:space="preserve">The </w:t>
      </w:r>
      <w:r w:rsidR="00C42897" w:rsidRPr="00674669">
        <w:rPr>
          <w:snapToGrid/>
        </w:rPr>
        <w:t xml:space="preserve">PBAC noted the </w:t>
      </w:r>
      <w:r w:rsidRPr="00674669">
        <w:rPr>
          <w:snapToGrid/>
        </w:rPr>
        <w:t>submission was based on an indirect treatment comparison</w:t>
      </w:r>
      <w:r w:rsidR="00C419F2" w:rsidRPr="00674669">
        <w:rPr>
          <w:snapToGrid/>
        </w:rPr>
        <w:t xml:space="preserve"> (ITC)</w:t>
      </w:r>
      <w:r w:rsidRPr="00674669">
        <w:rPr>
          <w:snapToGrid/>
        </w:rPr>
        <w:t xml:space="preserve"> of one randomised cemiplimab trial (Study 16113), which compared cemiplimab</w:t>
      </w:r>
      <w:r w:rsidR="00D47DE4" w:rsidRPr="00674669">
        <w:rPr>
          <w:snapToGrid/>
        </w:rPr>
        <w:t>+PDC</w:t>
      </w:r>
      <w:r w:rsidRPr="00674669">
        <w:rPr>
          <w:snapToGrid/>
        </w:rPr>
        <w:t xml:space="preserve"> with </w:t>
      </w:r>
      <w:r w:rsidR="00D47DE4" w:rsidRPr="00674669">
        <w:rPr>
          <w:snapToGrid/>
        </w:rPr>
        <w:t>placebo+PDC</w:t>
      </w:r>
      <w:r w:rsidRPr="00674669">
        <w:rPr>
          <w:snapToGrid/>
        </w:rPr>
        <w:t>; and two randomised pembrolizumab trials (KN</w:t>
      </w:r>
      <w:r w:rsidR="00674669">
        <w:rPr>
          <w:snapToGrid/>
        </w:rPr>
        <w:t>-</w:t>
      </w:r>
      <w:r w:rsidRPr="00674669">
        <w:rPr>
          <w:snapToGrid/>
        </w:rPr>
        <w:t>189 and KN</w:t>
      </w:r>
      <w:r w:rsidR="00674669">
        <w:rPr>
          <w:snapToGrid/>
        </w:rPr>
        <w:t>-</w:t>
      </w:r>
      <w:r w:rsidRPr="00674669">
        <w:rPr>
          <w:snapToGrid/>
        </w:rPr>
        <w:t>407), which compared pembrolizumab</w:t>
      </w:r>
      <w:r w:rsidR="00D47DE4" w:rsidRPr="00674669">
        <w:rPr>
          <w:snapToGrid/>
        </w:rPr>
        <w:t>+PDC with placebo+PDC</w:t>
      </w:r>
      <w:r w:rsidRPr="00674669">
        <w:rPr>
          <w:snapToGrid/>
        </w:rPr>
        <w:t>.</w:t>
      </w:r>
      <w:r w:rsidR="004F62B7" w:rsidRPr="00674669">
        <w:rPr>
          <w:snapToGrid/>
        </w:rPr>
        <w:t xml:space="preserve"> </w:t>
      </w:r>
      <w:r w:rsidR="00C419F2" w:rsidRPr="00674669">
        <w:rPr>
          <w:bCs/>
          <w:snapToGrid/>
        </w:rPr>
        <w:t xml:space="preserve">The </w:t>
      </w:r>
      <w:r w:rsidR="00C42897" w:rsidRPr="00674669">
        <w:rPr>
          <w:bCs/>
          <w:snapToGrid/>
        </w:rPr>
        <w:t xml:space="preserve">PBAC considered that the </w:t>
      </w:r>
      <w:r w:rsidR="00C419F2" w:rsidRPr="00674669">
        <w:rPr>
          <w:bCs/>
          <w:snapToGrid/>
        </w:rPr>
        <w:t xml:space="preserve">ITC showed </w:t>
      </w:r>
      <w:r w:rsidR="00C42897" w:rsidRPr="00674669">
        <w:rPr>
          <w:bCs/>
          <w:snapToGrid/>
        </w:rPr>
        <w:t xml:space="preserve">there was </w:t>
      </w:r>
      <w:r w:rsidR="00C419F2" w:rsidRPr="00674669">
        <w:rPr>
          <w:bCs/>
          <w:snapToGrid/>
        </w:rPr>
        <w:t xml:space="preserve">no significant difference in </w:t>
      </w:r>
      <w:r w:rsidR="00736DC7" w:rsidRPr="00674669">
        <w:rPr>
          <w:bCs/>
          <w:snapToGrid/>
        </w:rPr>
        <w:t>overall survival (</w:t>
      </w:r>
      <w:r w:rsidR="00C419F2" w:rsidRPr="00674669">
        <w:rPr>
          <w:bCs/>
          <w:snapToGrid/>
        </w:rPr>
        <w:t>OS</w:t>
      </w:r>
      <w:r w:rsidR="00736DC7" w:rsidRPr="00674669">
        <w:rPr>
          <w:bCs/>
          <w:snapToGrid/>
        </w:rPr>
        <w:t>)</w:t>
      </w:r>
      <w:r w:rsidR="00C419F2" w:rsidRPr="00674669">
        <w:rPr>
          <w:bCs/>
          <w:snapToGrid/>
        </w:rPr>
        <w:t xml:space="preserve"> and </w:t>
      </w:r>
      <w:r w:rsidR="00736DC7" w:rsidRPr="00674669">
        <w:rPr>
          <w:bCs/>
          <w:snapToGrid/>
        </w:rPr>
        <w:t>progression free survival (</w:t>
      </w:r>
      <w:r w:rsidR="00C419F2" w:rsidRPr="00674669">
        <w:rPr>
          <w:bCs/>
          <w:snapToGrid/>
        </w:rPr>
        <w:t>PFS</w:t>
      </w:r>
      <w:r w:rsidR="00736DC7" w:rsidRPr="00674669">
        <w:rPr>
          <w:bCs/>
          <w:snapToGrid/>
        </w:rPr>
        <w:t>)</w:t>
      </w:r>
      <w:r w:rsidR="00C419F2" w:rsidRPr="00674669">
        <w:rPr>
          <w:bCs/>
          <w:snapToGrid/>
        </w:rPr>
        <w:t xml:space="preserve"> between cemiplimab+PDC and pembrolizumab+PDC (OS HR: 1.00; 95% CI: 0.75, 1.34 and PFS HR: 0.98; 95% CI: 0.72, 1.33). </w:t>
      </w:r>
      <w:r w:rsidR="00C419F2" w:rsidRPr="00674669">
        <w:t xml:space="preserve">The PBAC </w:t>
      </w:r>
      <w:r w:rsidRPr="00674669">
        <w:t xml:space="preserve">noted heterogeneity between the trials </w:t>
      </w:r>
      <w:r w:rsidR="00C419F2" w:rsidRPr="00674669">
        <w:t>in terms of</w:t>
      </w:r>
      <w:r w:rsidR="008307DF" w:rsidRPr="00674669">
        <w:t xml:space="preserve"> age, gender, region, smoking status, ECOG-PS, brain metastasis, PD-L1 expression, disease at baseline and histology</w:t>
      </w:r>
      <w:r w:rsidR="003A7752" w:rsidRPr="00674669">
        <w:rPr>
          <w:rFonts w:eastAsia="Calibri"/>
        </w:rPr>
        <w:t>,</w:t>
      </w:r>
      <w:r w:rsidRPr="00674669">
        <w:t xml:space="preserve"> which may impact interpretation of the indirect </w:t>
      </w:r>
      <w:r w:rsidR="00A605F3" w:rsidRPr="00674669">
        <w:t xml:space="preserve">treatment </w:t>
      </w:r>
      <w:r w:rsidRPr="00674669">
        <w:t>comparison</w:t>
      </w:r>
      <w:r w:rsidR="008D64C5" w:rsidRPr="00674669">
        <w:t xml:space="preserve">. However, </w:t>
      </w:r>
      <w:r w:rsidR="00C419F2" w:rsidRPr="00674669">
        <w:t xml:space="preserve">the PBAC agreed with the </w:t>
      </w:r>
      <w:r w:rsidR="00582676" w:rsidRPr="00674669">
        <w:t xml:space="preserve">pre-PBAC </w:t>
      </w:r>
      <w:r w:rsidR="00C42897" w:rsidRPr="00674669">
        <w:t>R</w:t>
      </w:r>
      <w:r w:rsidR="00582676" w:rsidRPr="00674669">
        <w:t>esponse</w:t>
      </w:r>
      <w:r w:rsidR="00C419F2" w:rsidRPr="00674669">
        <w:t xml:space="preserve"> that</w:t>
      </w:r>
      <w:r w:rsidR="001278AB" w:rsidRPr="00674669">
        <w:t xml:space="preserve"> the bias could be in either direction. </w:t>
      </w:r>
      <w:r w:rsidR="008307DF" w:rsidRPr="00674669">
        <w:t>The PBAC also noted that a non-inferior</w:t>
      </w:r>
      <w:r w:rsidR="00C42897" w:rsidRPr="00674669">
        <w:t>ity</w:t>
      </w:r>
      <w:r w:rsidR="008307DF" w:rsidRPr="00674669">
        <w:t xml:space="preserve"> margin was not proposed</w:t>
      </w:r>
      <w:r w:rsidR="00364B39" w:rsidRPr="00674669">
        <w:t>. Further, the Committee</w:t>
      </w:r>
      <w:r w:rsidR="008307DF" w:rsidRPr="00674669">
        <w:t xml:space="preserve"> agreed with the ESC that a </w:t>
      </w:r>
      <w:r w:rsidR="00A605F3" w:rsidRPr="00674669">
        <w:t>matching adjusted indirect comparison</w:t>
      </w:r>
      <w:r w:rsidR="008307DF" w:rsidRPr="00674669">
        <w:t xml:space="preserve"> would have been a better approach to address t</w:t>
      </w:r>
      <w:r w:rsidR="00C419F2" w:rsidRPr="00674669">
        <w:t>he</w:t>
      </w:r>
      <w:r w:rsidR="008307DF" w:rsidRPr="00674669">
        <w:t xml:space="preserve"> transitivity issues. However, the PBAC </w:t>
      </w:r>
      <w:r w:rsidR="00A605F3" w:rsidRPr="00674669">
        <w:t>not</w:t>
      </w:r>
      <w:r w:rsidR="001278AB" w:rsidRPr="00674669">
        <w:t xml:space="preserve">ed that </w:t>
      </w:r>
      <w:r w:rsidR="004129B2" w:rsidRPr="00674669">
        <w:t>similar issues were seen with the</w:t>
      </w:r>
      <w:r w:rsidR="001278AB" w:rsidRPr="00674669">
        <w:t xml:space="preserve"> previous submission of cemiplimab monotherapy v</w:t>
      </w:r>
      <w:r w:rsidR="00C42897" w:rsidRPr="00674669">
        <w:t>ersu</w:t>
      </w:r>
      <w:r w:rsidR="001278AB" w:rsidRPr="00674669">
        <w:t>s pembrolizumab for PD</w:t>
      </w:r>
      <w:r w:rsidR="00674669">
        <w:t>-</w:t>
      </w:r>
      <w:r w:rsidR="001278AB" w:rsidRPr="00674669">
        <w:t xml:space="preserve">L1 expression ≥ 50%, and </w:t>
      </w:r>
      <w:r w:rsidR="00A605F3" w:rsidRPr="00674669">
        <w:t>considered t</w:t>
      </w:r>
      <w:r w:rsidR="001278AB" w:rsidRPr="00674669">
        <w:t xml:space="preserve">hat the risk of uncertainties arising from </w:t>
      </w:r>
      <w:r w:rsidR="00040E89" w:rsidRPr="00674669">
        <w:t xml:space="preserve">the </w:t>
      </w:r>
      <w:r w:rsidR="001278AB" w:rsidRPr="00674669">
        <w:t>ITC would be minimal. Overall, the PBAC considered that the claim of non-inferior effectiveness of cemiplimab+PDC compared to pembrolizumab+PDC was supported.</w:t>
      </w:r>
    </w:p>
    <w:p w14:paraId="2DA3E016" w14:textId="53B8A640" w:rsidR="002275B8" w:rsidRPr="00674669" w:rsidRDefault="002275B8" w:rsidP="002275B8">
      <w:pPr>
        <w:pStyle w:val="3-BodyText"/>
      </w:pPr>
      <w:r w:rsidRPr="00674669">
        <w:t xml:space="preserve">The PBAC noted that the risk of any </w:t>
      </w:r>
      <w:r w:rsidR="00C42897" w:rsidRPr="00674669">
        <w:t>adverse events</w:t>
      </w:r>
      <w:r w:rsidRPr="00674669">
        <w:t xml:space="preserve"> was similar between cemiplimab+PDC and pembrolizumab+PDC, although the ITC of </w:t>
      </w:r>
      <w:r w:rsidR="00C42897" w:rsidRPr="00674669">
        <w:t>adverse event</w:t>
      </w:r>
      <w:r w:rsidRPr="00674669">
        <w:t xml:space="preserve">s was statistically underpowered. The PBAC, however, considered that the safety profile of PD-L1 inhibitors were likely to be similar, and therefore it was reasonable to conclude that cemiplimab+PDC </w:t>
      </w:r>
      <w:r w:rsidR="00C42897" w:rsidRPr="00674669">
        <w:t>was</w:t>
      </w:r>
      <w:r w:rsidRPr="00674669">
        <w:t xml:space="preserve"> non-inferior in terms of safety </w:t>
      </w:r>
      <w:r w:rsidR="00C42897" w:rsidRPr="00674669">
        <w:t xml:space="preserve">compared </w:t>
      </w:r>
      <w:r w:rsidRPr="00674669">
        <w:t>to pembrolizumab+PDC.</w:t>
      </w:r>
    </w:p>
    <w:p w14:paraId="4ADB3B7A" w14:textId="32269254" w:rsidR="00C9394F" w:rsidRPr="00674669" w:rsidRDefault="00C9394F" w:rsidP="00C9394F">
      <w:pPr>
        <w:pStyle w:val="3-BodyText"/>
        <w:rPr>
          <w:rFonts w:ascii="Calibri" w:hAnsi="Calibri"/>
          <w:bCs/>
          <w:snapToGrid/>
        </w:rPr>
      </w:pPr>
      <w:r w:rsidRPr="00674669">
        <w:t>The PBAC</w:t>
      </w:r>
      <w:r w:rsidR="00832583" w:rsidRPr="00674669">
        <w:t xml:space="preserve"> considered that the economic model was appropriate, however,</w:t>
      </w:r>
      <w:r w:rsidRPr="00674669">
        <w:t xml:space="preserve"> noted that</w:t>
      </w:r>
      <w:r w:rsidR="004E2831" w:rsidRPr="00674669">
        <w:t xml:space="preserve"> the </w:t>
      </w:r>
      <w:r w:rsidR="00364B39" w:rsidRPr="00674669">
        <w:t>economic model assumed the same treatment</w:t>
      </w:r>
      <w:r w:rsidR="004E2831" w:rsidRPr="00674669">
        <w:t xml:space="preserve"> duration</w:t>
      </w:r>
      <w:r w:rsidR="00364B39" w:rsidRPr="00674669">
        <w:t>, whereas</w:t>
      </w:r>
      <w:r w:rsidR="004E2831" w:rsidRPr="00674669">
        <w:t xml:space="preserve"> </w:t>
      </w:r>
      <w:r w:rsidRPr="00674669">
        <w:t xml:space="preserve">the mean duration of treatment </w:t>
      </w:r>
      <w:r w:rsidR="004E2831" w:rsidRPr="00674669">
        <w:t>between the cemiplimab trial and KN studies</w:t>
      </w:r>
      <w:r w:rsidRPr="00674669">
        <w:t xml:space="preserve"> (</w:t>
      </w:r>
      <w:r w:rsidR="004E2831" w:rsidRPr="00674669">
        <w:t>12.3</w:t>
      </w:r>
      <w:r w:rsidRPr="00674669">
        <w:t xml:space="preserve"> months in Study 16113 and 9</w:t>
      </w:r>
      <w:r w:rsidR="004E2831" w:rsidRPr="00674669">
        <w:t>.</w:t>
      </w:r>
      <w:r w:rsidRPr="00674669">
        <w:t>8 months in KN-189)</w:t>
      </w:r>
      <w:r w:rsidR="00C3691B" w:rsidRPr="00674669">
        <w:t xml:space="preserve"> was different when</w:t>
      </w:r>
      <w:r w:rsidR="004E2831" w:rsidRPr="00674669">
        <w:t xml:space="preserve"> a different data cut-off was applied (paragraph 6.</w:t>
      </w:r>
      <w:r w:rsidR="00847334" w:rsidRPr="00674669">
        <w:t>6</w:t>
      </w:r>
      <w:r w:rsidR="00364B39" w:rsidRPr="00674669">
        <w:t>3</w:t>
      </w:r>
      <w:r w:rsidR="004E2831" w:rsidRPr="00674669">
        <w:t xml:space="preserve">). </w:t>
      </w:r>
      <w:r w:rsidR="00C3691B" w:rsidRPr="00674669">
        <w:t>T</w:t>
      </w:r>
      <w:r w:rsidR="004E2831" w:rsidRPr="00674669">
        <w:t xml:space="preserve">he PBAC considered that the difference in the mean </w:t>
      </w:r>
      <w:r w:rsidR="004E2831" w:rsidRPr="00674669">
        <w:lastRenderedPageBreak/>
        <w:t xml:space="preserve">duration of treatment may reflect differences in the patient populations in the clinical trials and </w:t>
      </w:r>
      <w:r w:rsidR="00C3691B" w:rsidRPr="00674669">
        <w:t xml:space="preserve">that the </w:t>
      </w:r>
      <w:r w:rsidR="004E2831" w:rsidRPr="00674669">
        <w:t xml:space="preserve">treatment duration would likely be the same when </w:t>
      </w:r>
      <w:r w:rsidR="00992272" w:rsidRPr="00674669">
        <w:t>the treatment</w:t>
      </w:r>
      <w:r w:rsidR="00DC78E3" w:rsidRPr="00674669">
        <w:t>s</w:t>
      </w:r>
      <w:r w:rsidR="00992272" w:rsidRPr="00674669">
        <w:t xml:space="preserve"> were </w:t>
      </w:r>
      <w:r w:rsidR="004E2831" w:rsidRPr="00674669">
        <w:t>used in the same patient population</w:t>
      </w:r>
      <w:r w:rsidR="00992272" w:rsidRPr="00674669">
        <w:t>s</w:t>
      </w:r>
      <w:r w:rsidR="004E2831" w:rsidRPr="00674669">
        <w:t>.</w:t>
      </w:r>
    </w:p>
    <w:p w14:paraId="19D267D5" w14:textId="7F5F9944" w:rsidR="00C3691B" w:rsidRPr="00674669" w:rsidRDefault="00C3691B" w:rsidP="00C521FE">
      <w:pPr>
        <w:pStyle w:val="3-BodyText"/>
      </w:pPr>
      <w:r w:rsidRPr="00674669">
        <w:t>The PBAC noted the CMA presented in the submission was conducted over one 3-week treatment cycle. The PBAC noted pembrolizumab could be administered as 200 mg Q3W or 400 mg Q6W but considered that</w:t>
      </w:r>
      <w:r w:rsidR="007C0BDF" w:rsidRPr="00674669">
        <w:t xml:space="preserve"> given the high utilisation of pembrolizumab 200 mg Q3W that cemiplimab+PDC (350 mg Q3W) was unlikely to substitute for pembrolizumab (400 mg Q6W) to a significant extent, and that it was reasonable to base the CMA on the pembrolizumab Q3W dose regimen. </w:t>
      </w:r>
    </w:p>
    <w:p w14:paraId="6BA9C44C" w14:textId="771B92C0" w:rsidR="00B42618" w:rsidRPr="00674669" w:rsidRDefault="00B42618" w:rsidP="00B42618">
      <w:pPr>
        <w:pStyle w:val="3-BodyText"/>
        <w:rPr>
          <w:rFonts w:ascii="Calibri" w:hAnsi="Calibri"/>
          <w:bCs/>
          <w:snapToGrid/>
        </w:rPr>
      </w:pPr>
      <w:r w:rsidRPr="00674669">
        <w:t xml:space="preserve">The PBAC advised that the equi-effective doses are cemiplimab 350 mg Q3W plus PDC and pembrolizumab 200 mg Q3W plus PDC. </w:t>
      </w:r>
    </w:p>
    <w:p w14:paraId="4E31467E" w14:textId="39DDBE22" w:rsidR="00602213" w:rsidRDefault="00602213" w:rsidP="00602213">
      <w:pPr>
        <w:pStyle w:val="3-BodyText"/>
        <w:rPr>
          <w:rFonts w:ascii="Calibri" w:hAnsi="Calibri"/>
          <w:bCs/>
          <w:snapToGrid/>
        </w:rPr>
      </w:pPr>
      <w:r w:rsidRPr="00674669">
        <w:t xml:space="preserve">The PBAC noted </w:t>
      </w:r>
      <w:r w:rsidR="00A215DE" w:rsidRPr="00674669">
        <w:t xml:space="preserve">that the assumption of market growth of 18% in </w:t>
      </w:r>
      <w:r w:rsidR="00992272" w:rsidRPr="00674669">
        <w:t>Y</w:t>
      </w:r>
      <w:r w:rsidR="00A215DE" w:rsidRPr="00674669">
        <w:t xml:space="preserve">ear 1 </w:t>
      </w:r>
      <w:r w:rsidR="00B44762" w:rsidRPr="00674669">
        <w:t>decreasing</w:t>
      </w:r>
      <w:r w:rsidR="00A215DE" w:rsidRPr="00674669">
        <w:t xml:space="preserve"> to 9% in Year 6 was overestimated given that use of immunotherapies has been stable over the recent years. The PBAC considered that the uptake would likely </w:t>
      </w:r>
      <w:r w:rsidR="00992272" w:rsidRPr="00674669">
        <w:t xml:space="preserve">be </w:t>
      </w:r>
      <w:r w:rsidR="00A215DE" w:rsidRPr="00674669">
        <w:t>2% in Year 1 increasing to 5%</w:t>
      </w:r>
      <w:r w:rsidR="00992272" w:rsidRPr="00674669">
        <w:t xml:space="preserve"> to </w:t>
      </w:r>
      <w:r w:rsidR="00A215DE" w:rsidRPr="00674669">
        <w:t xml:space="preserve">10% in Year 6. </w:t>
      </w:r>
      <w:r w:rsidRPr="00674669">
        <w:t xml:space="preserve">However, </w:t>
      </w:r>
      <w:r w:rsidRPr="00674669">
        <w:rPr>
          <w:rFonts w:ascii="Calibri" w:hAnsi="Calibri"/>
          <w:bCs/>
          <w:snapToGrid/>
        </w:rPr>
        <w:t>the PBAC considered that, at a price cost-minimised to the effective price of pembrolizumab, the listing of cemiplimab</w:t>
      </w:r>
      <w:r w:rsidR="00A215DE" w:rsidRPr="00674669">
        <w:rPr>
          <w:rFonts w:ascii="Calibri" w:hAnsi="Calibri"/>
          <w:bCs/>
          <w:snapToGrid/>
        </w:rPr>
        <w:t>+PDC</w:t>
      </w:r>
      <w:r w:rsidRPr="00674669">
        <w:rPr>
          <w:rFonts w:ascii="Calibri" w:hAnsi="Calibri"/>
          <w:bCs/>
          <w:snapToGrid/>
        </w:rPr>
        <w:t xml:space="preserve"> on the PBS for patients with NSCLC would be expected to result in no additional cost to the PBS/RPBS.</w:t>
      </w:r>
    </w:p>
    <w:p w14:paraId="0AD3E35D" w14:textId="6AF9740A" w:rsidR="00E646FA" w:rsidRPr="00674669" w:rsidRDefault="00E646FA" w:rsidP="00602213">
      <w:pPr>
        <w:pStyle w:val="3-BodyText"/>
        <w:rPr>
          <w:rFonts w:ascii="Calibri" w:hAnsi="Calibri"/>
          <w:bCs/>
          <w:snapToGrid/>
        </w:rPr>
      </w:pPr>
      <w:r>
        <w:rPr>
          <w:rFonts w:ascii="Calibri" w:hAnsi="Calibri"/>
          <w:bCs/>
          <w:snapToGrid/>
        </w:rPr>
        <w:t>The PBAC considered it would be appropriate for cemiplimab</w:t>
      </w:r>
      <w:r w:rsidR="0064159D">
        <w:rPr>
          <w:rFonts w:ascii="Calibri" w:hAnsi="Calibri"/>
          <w:bCs/>
          <w:snapToGrid/>
        </w:rPr>
        <w:t xml:space="preserve"> (for first line use in combination with PDC) </w:t>
      </w:r>
      <w:r>
        <w:rPr>
          <w:rFonts w:ascii="Calibri" w:hAnsi="Calibri"/>
          <w:bCs/>
          <w:snapToGrid/>
        </w:rPr>
        <w:t xml:space="preserve">to join </w:t>
      </w:r>
      <w:r w:rsidRPr="00674669">
        <w:t>the current risk sharing arrangements applying to PD-L1 inhibitors for the treatment of NSCLC</w:t>
      </w:r>
      <w:r w:rsidR="0064159D">
        <w:t xml:space="preserve"> with no increase to the current expenditure caps</w:t>
      </w:r>
      <w:r>
        <w:t>.</w:t>
      </w:r>
    </w:p>
    <w:p w14:paraId="0CF6E949" w14:textId="08E5B9E6" w:rsidR="001A0455" w:rsidRPr="00674669" w:rsidRDefault="001A0455" w:rsidP="001A0455">
      <w:pPr>
        <w:pStyle w:val="3-BodyText"/>
      </w:pPr>
      <w:r w:rsidRPr="00674669">
        <w:t xml:space="preserve">The PBAC considered that a combined listing for cemiplimab 350 mg as a monotherapy or in combination with PDC in Stage IV NSCLC was </w:t>
      </w:r>
      <w:r w:rsidR="001E6B64" w:rsidRPr="00674669">
        <w:t>reasonable</w:t>
      </w:r>
      <w:r w:rsidRPr="00674669">
        <w:t xml:space="preserve">. </w:t>
      </w:r>
      <w:r w:rsidR="00992272" w:rsidRPr="00674669">
        <w:t xml:space="preserve">The PBAC noted that </w:t>
      </w:r>
      <w:r w:rsidRPr="00674669">
        <w:t xml:space="preserve">the wording of the proposed PBS restriction for cemiplimab was similar to the listing of pembrolizumab for the treatment of Stage IV NSCLC. </w:t>
      </w:r>
    </w:p>
    <w:p w14:paraId="29B46A41" w14:textId="134A2098" w:rsidR="00602213" w:rsidRPr="00674669" w:rsidRDefault="00602213" w:rsidP="00602213">
      <w:pPr>
        <w:widowControl w:val="0"/>
        <w:numPr>
          <w:ilvl w:val="1"/>
          <w:numId w:val="1"/>
        </w:numPr>
        <w:spacing w:after="120"/>
        <w:rPr>
          <w:rFonts w:asciiTheme="minorHAnsi" w:hAnsiTheme="minorHAnsi"/>
          <w:bCs/>
          <w:snapToGrid w:val="0"/>
        </w:rPr>
      </w:pPr>
      <w:r w:rsidRPr="00674669">
        <w:t>The PBAC noted that its recommendation was on a cost-minimisation basis and advised that, because cemiplimab</w:t>
      </w:r>
      <w:r w:rsidR="00A215DE" w:rsidRPr="00674669">
        <w:t>+PDC</w:t>
      </w:r>
      <w:r w:rsidRPr="00674669">
        <w:t xml:space="preserve"> is not expected to provide a substantial</w:t>
      </w:r>
      <w:r w:rsidRPr="00674669">
        <w:rPr>
          <w:bCs/>
        </w:rPr>
        <w:t xml:space="preserve"> and clinically relevant improvement in efficacy, or reduction of toxicity, over pembrolizumab, or not expected to address a high and urgent unmet clinical need given the presence of an alternative therapy, the criteria prescribed by the </w:t>
      </w:r>
      <w:r w:rsidRPr="00674669">
        <w:rPr>
          <w:bCs/>
          <w:i/>
        </w:rPr>
        <w:t>National Health (Pharmaceuticals and Vaccines – Cost Recovery) Regulations 2009</w:t>
      </w:r>
      <w:r w:rsidRPr="00674669">
        <w:rPr>
          <w:bCs/>
        </w:rPr>
        <w:t xml:space="preserve"> for Pricing Pathway A were not met.</w:t>
      </w:r>
    </w:p>
    <w:p w14:paraId="27ECD815" w14:textId="77777777" w:rsidR="00602213" w:rsidRPr="00674669" w:rsidRDefault="00602213" w:rsidP="00602213">
      <w:pPr>
        <w:widowControl w:val="0"/>
        <w:numPr>
          <w:ilvl w:val="1"/>
          <w:numId w:val="1"/>
        </w:numPr>
        <w:spacing w:after="120"/>
        <w:rPr>
          <w:rFonts w:asciiTheme="minorHAnsi" w:hAnsiTheme="minorHAnsi"/>
          <w:bCs/>
          <w:snapToGrid w:val="0"/>
        </w:rPr>
      </w:pPr>
      <w:r w:rsidRPr="00674669">
        <w:rPr>
          <w:rFonts w:asciiTheme="minorHAnsi" w:hAnsiTheme="minorHAnsi"/>
          <w:bCs/>
          <w:snapToGrid w:val="0"/>
        </w:rPr>
        <w:t>The PBAC noted that this submission is not eligible for an Independent Review as it received a positive recommendation.</w:t>
      </w:r>
    </w:p>
    <w:p w14:paraId="442A6D6D" w14:textId="77777777" w:rsidR="00602213" w:rsidRPr="00674669" w:rsidRDefault="00602213" w:rsidP="00602213">
      <w:pPr>
        <w:spacing w:before="240"/>
        <w:rPr>
          <w:rFonts w:asciiTheme="minorHAnsi" w:hAnsiTheme="minorHAnsi"/>
          <w:b/>
          <w:bCs/>
          <w:snapToGrid w:val="0"/>
        </w:rPr>
      </w:pPr>
      <w:r w:rsidRPr="00674669">
        <w:rPr>
          <w:rFonts w:asciiTheme="minorHAnsi" w:hAnsiTheme="minorHAnsi"/>
          <w:b/>
          <w:bCs/>
          <w:snapToGrid w:val="0"/>
        </w:rPr>
        <w:t>Outcome:</w:t>
      </w:r>
    </w:p>
    <w:p w14:paraId="12B7927A" w14:textId="3EA843E1" w:rsidR="00EE1F6E" w:rsidRPr="00674669" w:rsidRDefault="00602213" w:rsidP="00602213">
      <w:pPr>
        <w:rPr>
          <w:rFonts w:asciiTheme="minorHAnsi" w:hAnsiTheme="minorHAnsi"/>
          <w:bCs/>
          <w:snapToGrid w:val="0"/>
        </w:rPr>
      </w:pPr>
      <w:r w:rsidRPr="00674669">
        <w:rPr>
          <w:rFonts w:asciiTheme="minorHAnsi" w:hAnsiTheme="minorHAnsi"/>
          <w:bCs/>
          <w:snapToGrid w:val="0"/>
        </w:rPr>
        <w:t>Recommended</w:t>
      </w:r>
    </w:p>
    <w:p w14:paraId="17C5F89B" w14:textId="77777777" w:rsidR="00602213" w:rsidRPr="00674669" w:rsidRDefault="00602213" w:rsidP="00602213">
      <w:pPr>
        <w:pStyle w:val="2-SectionHeading"/>
      </w:pPr>
      <w:r w:rsidRPr="00674669">
        <w:lastRenderedPageBreak/>
        <w:t>Recommended listing</w:t>
      </w:r>
    </w:p>
    <w:p w14:paraId="3467042B" w14:textId="196A7D56" w:rsidR="0072244C" w:rsidRPr="00674669" w:rsidRDefault="00AE1140" w:rsidP="00602213">
      <w:pPr>
        <w:widowControl w:val="0"/>
        <w:spacing w:after="120"/>
        <w:rPr>
          <w:rFonts w:asciiTheme="minorHAnsi" w:hAnsiTheme="minorHAnsi"/>
          <w:bCs/>
          <w:snapToGrid w:val="0"/>
        </w:rPr>
      </w:pPr>
      <w:r w:rsidRPr="00674669">
        <w:rPr>
          <w:rFonts w:asciiTheme="minorHAnsi" w:hAnsiTheme="minorHAnsi"/>
          <w:bCs/>
          <w:snapToGrid w:val="0"/>
        </w:rPr>
        <w:t>Amend existing listing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08"/>
        <w:gridCol w:w="2410"/>
        <w:gridCol w:w="1417"/>
        <w:gridCol w:w="992"/>
        <w:gridCol w:w="850"/>
        <w:gridCol w:w="2128"/>
      </w:tblGrid>
      <w:tr w:rsidR="00A368E7" w:rsidRPr="00674669" w14:paraId="25AE9CC9" w14:textId="77777777" w:rsidTr="00C521FE">
        <w:trPr>
          <w:cantSplit/>
          <w:trHeight w:val="471"/>
        </w:trPr>
        <w:tc>
          <w:tcPr>
            <w:tcW w:w="3539" w:type="dxa"/>
            <w:gridSpan w:val="3"/>
            <w:tcBorders>
              <w:top w:val="single" w:sz="4" w:space="0" w:color="auto"/>
              <w:left w:val="single" w:sz="4" w:space="0" w:color="auto"/>
              <w:bottom w:val="single" w:sz="4" w:space="0" w:color="auto"/>
              <w:right w:val="single" w:sz="4" w:space="0" w:color="auto"/>
            </w:tcBorders>
            <w:hideMark/>
          </w:tcPr>
          <w:p w14:paraId="08B40BE4" w14:textId="77777777" w:rsidR="00A368E7" w:rsidRPr="00674669" w:rsidRDefault="00A368E7" w:rsidP="00C521FE">
            <w:pPr>
              <w:keepNext/>
              <w:ind w:left="-108"/>
              <w:rPr>
                <w:rFonts w:ascii="Arial Narrow" w:hAnsi="Arial Narrow"/>
                <w:b/>
                <w:sz w:val="20"/>
                <w:szCs w:val="20"/>
              </w:rPr>
            </w:pPr>
            <w:r w:rsidRPr="00674669">
              <w:rPr>
                <w:rFonts w:ascii="Arial Narrow" w:hAnsi="Arial Narrow"/>
                <w:b/>
                <w:sz w:val="20"/>
                <w:szCs w:val="20"/>
              </w:rPr>
              <w:t>Name, Restriction,</w:t>
            </w:r>
          </w:p>
          <w:p w14:paraId="7E38D189" w14:textId="77777777" w:rsidR="00A368E7" w:rsidRPr="00674669" w:rsidRDefault="00A368E7" w:rsidP="00C521FE">
            <w:pPr>
              <w:keepNext/>
              <w:ind w:left="-108"/>
              <w:rPr>
                <w:rFonts w:ascii="Arial Narrow" w:hAnsi="Arial Narrow"/>
                <w:b/>
                <w:sz w:val="20"/>
                <w:szCs w:val="20"/>
              </w:rPr>
            </w:pPr>
            <w:r w:rsidRPr="00674669">
              <w:rPr>
                <w:rFonts w:ascii="Arial Narrow" w:hAnsi="Arial Narrow"/>
                <w:b/>
                <w:sz w:val="20"/>
                <w:szCs w:val="20"/>
              </w:rPr>
              <w:t>Manner of administration and form</w:t>
            </w:r>
          </w:p>
        </w:tc>
        <w:tc>
          <w:tcPr>
            <w:tcW w:w="1417" w:type="dxa"/>
            <w:tcBorders>
              <w:top w:val="single" w:sz="4" w:space="0" w:color="auto"/>
              <w:left w:val="single" w:sz="4" w:space="0" w:color="auto"/>
              <w:bottom w:val="single" w:sz="4" w:space="0" w:color="auto"/>
              <w:right w:val="single" w:sz="4" w:space="0" w:color="auto"/>
            </w:tcBorders>
            <w:hideMark/>
          </w:tcPr>
          <w:p w14:paraId="64CB7F4F"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hideMark/>
          </w:tcPr>
          <w:p w14:paraId="6DDFF45B"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Max.</w:t>
            </w:r>
          </w:p>
          <w:p w14:paraId="43AE2E29"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Amount</w:t>
            </w:r>
          </w:p>
        </w:tc>
        <w:tc>
          <w:tcPr>
            <w:tcW w:w="850" w:type="dxa"/>
            <w:tcBorders>
              <w:top w:val="single" w:sz="4" w:space="0" w:color="auto"/>
              <w:left w:val="single" w:sz="4" w:space="0" w:color="auto"/>
              <w:bottom w:val="single" w:sz="4" w:space="0" w:color="auto"/>
              <w:right w:val="single" w:sz="4" w:space="0" w:color="auto"/>
            </w:tcBorders>
            <w:hideMark/>
          </w:tcPr>
          <w:p w14:paraId="0C2DB257"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№.of</w:t>
            </w:r>
          </w:p>
          <w:p w14:paraId="501F661B"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Rpts</w:t>
            </w:r>
          </w:p>
        </w:tc>
        <w:tc>
          <w:tcPr>
            <w:tcW w:w="2128" w:type="dxa"/>
            <w:tcBorders>
              <w:top w:val="single" w:sz="4" w:space="0" w:color="auto"/>
              <w:left w:val="single" w:sz="4" w:space="0" w:color="auto"/>
              <w:bottom w:val="single" w:sz="4" w:space="0" w:color="auto"/>
              <w:right w:val="single" w:sz="4" w:space="0" w:color="auto"/>
            </w:tcBorders>
            <w:hideMark/>
          </w:tcPr>
          <w:p w14:paraId="5F9D03FB" w14:textId="77777777" w:rsidR="00A368E7" w:rsidRPr="00674669" w:rsidRDefault="00A368E7" w:rsidP="00C521FE">
            <w:pPr>
              <w:keepNext/>
              <w:jc w:val="center"/>
              <w:rPr>
                <w:rFonts w:ascii="Arial Narrow" w:hAnsi="Arial Narrow"/>
                <w:b/>
                <w:sz w:val="20"/>
                <w:szCs w:val="20"/>
              </w:rPr>
            </w:pPr>
            <w:r w:rsidRPr="00674669">
              <w:rPr>
                <w:rFonts w:ascii="Arial Narrow" w:hAnsi="Arial Narrow"/>
                <w:b/>
                <w:sz w:val="20"/>
                <w:szCs w:val="20"/>
              </w:rPr>
              <w:t>Manufacturer</w:t>
            </w:r>
          </w:p>
        </w:tc>
      </w:tr>
      <w:tr w:rsidR="00A368E7" w:rsidRPr="00674669" w14:paraId="1B588FED" w14:textId="77777777" w:rsidTr="00C521FE">
        <w:trPr>
          <w:cantSplit/>
          <w:trHeight w:val="577"/>
        </w:trPr>
        <w:tc>
          <w:tcPr>
            <w:tcW w:w="3539" w:type="dxa"/>
            <w:gridSpan w:val="3"/>
            <w:tcBorders>
              <w:top w:val="single" w:sz="4" w:space="0" w:color="auto"/>
              <w:left w:val="single" w:sz="4" w:space="0" w:color="auto"/>
              <w:bottom w:val="single" w:sz="4" w:space="0" w:color="auto"/>
              <w:right w:val="single" w:sz="4" w:space="0" w:color="auto"/>
            </w:tcBorders>
            <w:hideMark/>
          </w:tcPr>
          <w:p w14:paraId="36C19460" w14:textId="77777777" w:rsidR="00A368E7" w:rsidRPr="00674669" w:rsidRDefault="00A368E7" w:rsidP="00C521FE">
            <w:pPr>
              <w:pStyle w:val="SanofiTableText"/>
              <w:framePr w:hSpace="0" w:wrap="auto" w:vAnchor="margin" w:yAlign="inline"/>
              <w:rPr>
                <w:szCs w:val="20"/>
                <w:lang w:eastAsia="en-AU"/>
              </w:rPr>
            </w:pPr>
            <w:r w:rsidRPr="00674669">
              <w:rPr>
                <w:szCs w:val="20"/>
                <w:lang w:eastAsia="en-AU"/>
              </w:rPr>
              <w:t>CEMIPLIMAB</w:t>
            </w:r>
          </w:p>
          <w:p w14:paraId="3B65FA0C" w14:textId="77777777" w:rsidR="00A368E7" w:rsidRPr="00674669" w:rsidRDefault="00A368E7" w:rsidP="00C521FE">
            <w:pPr>
              <w:pStyle w:val="SanofiTableText"/>
              <w:framePr w:hSpace="0" w:wrap="auto" w:vAnchor="margin" w:yAlign="inline"/>
              <w:rPr>
                <w:szCs w:val="20"/>
                <w:lang w:eastAsia="en-AU"/>
              </w:rPr>
            </w:pPr>
            <w:r w:rsidRPr="00674669">
              <w:rPr>
                <w:szCs w:val="20"/>
                <w:lang w:eastAsia="en-AU"/>
              </w:rPr>
              <w:t xml:space="preserve">Injection </w:t>
            </w:r>
            <w:r w:rsidRPr="00674669">
              <w:rPr>
                <w:szCs w:val="20"/>
                <w:lang w:eastAsia="en-AU"/>
              </w:rPr>
              <w:br/>
            </w:r>
          </w:p>
          <w:p w14:paraId="523669A9" w14:textId="77777777" w:rsidR="00A368E7" w:rsidRPr="00674669" w:rsidRDefault="00A368E7" w:rsidP="00C521FE">
            <w:pPr>
              <w:keepNext/>
              <w:ind w:left="-108"/>
              <w:jc w:val="center"/>
              <w:rPr>
                <w:rFonts w:ascii="Arial Narrow" w:hAnsi="Arial Narrow"/>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C80674B" w14:textId="166AB0DD" w:rsidR="00A368E7" w:rsidRPr="00674669" w:rsidRDefault="00A368E7" w:rsidP="00C521FE">
            <w:pPr>
              <w:keepNext/>
              <w:ind w:left="-108"/>
              <w:jc w:val="center"/>
              <w:rPr>
                <w:rFonts w:ascii="Arial Narrow" w:hAnsi="Arial Narrow"/>
                <w:sz w:val="20"/>
                <w:szCs w:val="20"/>
              </w:rPr>
            </w:pPr>
            <w:r w:rsidRPr="00674669">
              <w:rPr>
                <w:rFonts w:ascii="Arial Narrow" w:hAnsi="Arial Narrow"/>
                <w:sz w:val="20"/>
                <w:szCs w:val="20"/>
              </w:rPr>
              <w:t xml:space="preserve"> 13169D (Public)</w:t>
            </w:r>
          </w:p>
          <w:p w14:paraId="160FD6BE" w14:textId="7155AACA" w:rsidR="00165F33" w:rsidRPr="00674669" w:rsidRDefault="00165F33" w:rsidP="00C521FE">
            <w:pPr>
              <w:keepNext/>
              <w:ind w:left="-108"/>
              <w:jc w:val="center"/>
              <w:rPr>
                <w:rFonts w:ascii="Arial Narrow" w:hAnsi="Arial Narrow"/>
                <w:sz w:val="16"/>
                <w:szCs w:val="16"/>
              </w:rPr>
            </w:pPr>
            <w:r w:rsidRPr="00674669">
              <w:rPr>
                <w:rFonts w:ascii="Arial Narrow" w:hAnsi="Arial Narrow"/>
                <w:sz w:val="16"/>
                <w:szCs w:val="16"/>
              </w:rPr>
              <w:t>MP</w:t>
            </w:r>
          </w:p>
          <w:p w14:paraId="35075521" w14:textId="77777777" w:rsidR="00A368E7" w:rsidRPr="00674669" w:rsidRDefault="00A368E7" w:rsidP="00C521FE">
            <w:pPr>
              <w:keepNext/>
              <w:ind w:left="-108"/>
              <w:jc w:val="center"/>
              <w:rPr>
                <w:rFonts w:ascii="Arial Narrow" w:hAnsi="Arial Narrow"/>
                <w:sz w:val="20"/>
                <w:szCs w:val="20"/>
              </w:rPr>
            </w:pPr>
            <w:r w:rsidRPr="00674669">
              <w:rPr>
                <w:rFonts w:ascii="Arial Narrow" w:hAnsi="Arial Narrow"/>
                <w:sz w:val="20"/>
                <w:szCs w:val="20"/>
              </w:rPr>
              <w:t xml:space="preserve"> 13160P (Private)</w:t>
            </w:r>
          </w:p>
          <w:p w14:paraId="7559A542" w14:textId="77777777" w:rsidR="00A368E7" w:rsidRPr="00674669" w:rsidRDefault="00A368E7" w:rsidP="00C521FE">
            <w:pPr>
              <w:keepNext/>
              <w:ind w:left="-108"/>
              <w:jc w:val="center"/>
              <w:rPr>
                <w:rFonts w:ascii="Arial Narrow" w:hAnsi="Arial Narrow"/>
                <w:sz w:val="16"/>
                <w:szCs w:val="16"/>
              </w:rPr>
            </w:pPr>
            <w:r w:rsidRPr="00674669">
              <w:rPr>
                <w:rFonts w:ascii="Arial Narrow" w:hAnsi="Arial Narrow"/>
                <w:sz w:val="16"/>
                <w:szCs w:val="16"/>
              </w:rPr>
              <w:t>MP</w:t>
            </w:r>
          </w:p>
        </w:tc>
        <w:tc>
          <w:tcPr>
            <w:tcW w:w="992" w:type="dxa"/>
            <w:tcBorders>
              <w:top w:val="single" w:sz="4" w:space="0" w:color="auto"/>
              <w:left w:val="single" w:sz="4" w:space="0" w:color="auto"/>
              <w:bottom w:val="single" w:sz="4" w:space="0" w:color="auto"/>
              <w:right w:val="single" w:sz="4" w:space="0" w:color="auto"/>
            </w:tcBorders>
            <w:hideMark/>
          </w:tcPr>
          <w:p w14:paraId="0B25BFC1" w14:textId="77777777" w:rsidR="00A368E7" w:rsidRPr="00674669" w:rsidRDefault="00A368E7" w:rsidP="00C521FE">
            <w:pPr>
              <w:keepNext/>
              <w:ind w:left="-108"/>
              <w:jc w:val="center"/>
              <w:rPr>
                <w:rFonts w:ascii="Arial Narrow" w:hAnsi="Arial Narrow"/>
                <w:iCs/>
                <w:sz w:val="20"/>
                <w:szCs w:val="20"/>
              </w:rPr>
            </w:pPr>
            <w:r w:rsidRPr="00674669">
              <w:rPr>
                <w:rFonts w:ascii="Arial Narrow" w:hAnsi="Arial Narrow"/>
                <w:iCs/>
                <w:sz w:val="20"/>
                <w:szCs w:val="20"/>
              </w:rPr>
              <w:t>350 mg</w:t>
            </w:r>
          </w:p>
        </w:tc>
        <w:tc>
          <w:tcPr>
            <w:tcW w:w="850" w:type="dxa"/>
            <w:tcBorders>
              <w:top w:val="single" w:sz="4" w:space="0" w:color="auto"/>
              <w:left w:val="single" w:sz="4" w:space="0" w:color="auto"/>
              <w:bottom w:val="single" w:sz="4" w:space="0" w:color="auto"/>
              <w:right w:val="single" w:sz="4" w:space="0" w:color="auto"/>
            </w:tcBorders>
          </w:tcPr>
          <w:p w14:paraId="4239FC72" w14:textId="77777777" w:rsidR="00A368E7" w:rsidRPr="00674669" w:rsidRDefault="00A368E7" w:rsidP="00C521FE">
            <w:pPr>
              <w:keepNext/>
              <w:ind w:left="-108"/>
              <w:jc w:val="center"/>
              <w:rPr>
                <w:rFonts w:ascii="Arial Narrow" w:hAnsi="Arial Narrow"/>
                <w:iCs/>
                <w:sz w:val="20"/>
                <w:szCs w:val="20"/>
              </w:rPr>
            </w:pPr>
            <w:r w:rsidRPr="00674669">
              <w:rPr>
                <w:rFonts w:ascii="Arial Narrow" w:hAnsi="Arial Narrow"/>
                <w:iCs/>
                <w:sz w:val="20"/>
                <w:szCs w:val="20"/>
              </w:rPr>
              <w:t>6</w:t>
            </w:r>
          </w:p>
          <w:p w14:paraId="45967722" w14:textId="77777777" w:rsidR="00A368E7" w:rsidRPr="00674669" w:rsidRDefault="00A368E7" w:rsidP="00C521FE">
            <w:pPr>
              <w:keepNext/>
              <w:ind w:left="-108"/>
              <w:jc w:val="center"/>
              <w:rPr>
                <w:rFonts w:ascii="Arial Narrow" w:hAnsi="Arial Narrow"/>
                <w:iCs/>
                <w:sz w:val="20"/>
                <w:szCs w:val="20"/>
              </w:rPr>
            </w:pPr>
          </w:p>
        </w:tc>
        <w:tc>
          <w:tcPr>
            <w:tcW w:w="2128" w:type="dxa"/>
            <w:tcBorders>
              <w:top w:val="single" w:sz="4" w:space="0" w:color="auto"/>
              <w:left w:val="single" w:sz="4" w:space="0" w:color="auto"/>
              <w:bottom w:val="single" w:sz="4" w:space="0" w:color="auto"/>
              <w:right w:val="single" w:sz="4" w:space="0" w:color="auto"/>
            </w:tcBorders>
            <w:hideMark/>
          </w:tcPr>
          <w:p w14:paraId="38652566" w14:textId="77777777" w:rsidR="00A368E7" w:rsidRPr="00674669" w:rsidRDefault="00A368E7" w:rsidP="00C521FE">
            <w:pPr>
              <w:keepNext/>
              <w:jc w:val="center"/>
              <w:rPr>
                <w:rFonts w:ascii="Arial Narrow" w:hAnsi="Arial Narrow"/>
                <w:iCs/>
                <w:sz w:val="20"/>
                <w:szCs w:val="20"/>
              </w:rPr>
            </w:pPr>
            <w:r w:rsidRPr="00674669">
              <w:rPr>
                <w:rFonts w:ascii="Arial Narrow" w:hAnsi="Arial Narrow"/>
                <w:iCs/>
                <w:sz w:val="20"/>
                <w:szCs w:val="20"/>
              </w:rPr>
              <w:t>Sanofi Aventis Australia Pty Ltd</w:t>
            </w:r>
          </w:p>
        </w:tc>
      </w:tr>
      <w:tr w:rsidR="00A368E7" w:rsidRPr="00674669" w14:paraId="2FD7D079" w14:textId="77777777" w:rsidTr="00C521FE">
        <w:trPr>
          <w:cantSplit/>
          <w:trHeight w:val="225"/>
        </w:trPr>
        <w:tc>
          <w:tcPr>
            <w:tcW w:w="8926" w:type="dxa"/>
            <w:gridSpan w:val="7"/>
            <w:tcBorders>
              <w:top w:val="single" w:sz="4" w:space="0" w:color="auto"/>
              <w:left w:val="single" w:sz="4" w:space="0" w:color="auto"/>
              <w:bottom w:val="single" w:sz="4" w:space="0" w:color="auto"/>
              <w:right w:val="single" w:sz="4" w:space="0" w:color="auto"/>
            </w:tcBorders>
            <w:hideMark/>
          </w:tcPr>
          <w:p w14:paraId="2F9630B8" w14:textId="77777777" w:rsidR="00A368E7" w:rsidRPr="00674669" w:rsidRDefault="00A368E7" w:rsidP="00C521FE">
            <w:pPr>
              <w:keepNext/>
              <w:rPr>
                <w:rFonts w:ascii="Arial Narrow" w:hAnsi="Arial Narrow"/>
                <w:b/>
                <w:sz w:val="20"/>
                <w:szCs w:val="20"/>
              </w:rPr>
            </w:pPr>
            <w:r w:rsidRPr="00674669">
              <w:rPr>
                <w:rFonts w:ascii="Arial Narrow" w:hAnsi="Arial Narrow"/>
                <w:b/>
                <w:sz w:val="20"/>
                <w:szCs w:val="20"/>
              </w:rPr>
              <w:t>Available brands</w:t>
            </w:r>
          </w:p>
        </w:tc>
      </w:tr>
      <w:tr w:rsidR="00A368E7" w:rsidRPr="00674669" w14:paraId="687331F7" w14:textId="77777777" w:rsidTr="00C521FE">
        <w:trPr>
          <w:cantSplit/>
          <w:trHeight w:val="360"/>
        </w:trPr>
        <w:tc>
          <w:tcPr>
            <w:tcW w:w="8926" w:type="dxa"/>
            <w:gridSpan w:val="7"/>
            <w:tcBorders>
              <w:top w:val="single" w:sz="4" w:space="0" w:color="auto"/>
              <w:left w:val="single" w:sz="4" w:space="0" w:color="auto"/>
              <w:bottom w:val="single" w:sz="4" w:space="0" w:color="auto"/>
              <w:right w:val="single" w:sz="4" w:space="0" w:color="auto"/>
            </w:tcBorders>
            <w:hideMark/>
          </w:tcPr>
          <w:p w14:paraId="05656C54" w14:textId="77777777" w:rsidR="00A368E7" w:rsidRPr="00674669" w:rsidRDefault="00A368E7" w:rsidP="00C521FE">
            <w:pPr>
              <w:rPr>
                <w:rFonts w:ascii="Arial Narrow" w:hAnsi="Arial Narrow"/>
                <w:sz w:val="20"/>
                <w:szCs w:val="20"/>
              </w:rPr>
            </w:pPr>
            <w:r w:rsidRPr="00674669">
              <w:rPr>
                <w:rFonts w:ascii="Arial Narrow" w:hAnsi="Arial Narrow"/>
                <w:sz w:val="20"/>
                <w:szCs w:val="20"/>
              </w:rPr>
              <w:t>Libtayo</w:t>
            </w:r>
          </w:p>
          <w:p w14:paraId="1EF9991A" w14:textId="77777777" w:rsidR="00A368E7" w:rsidRPr="00674669" w:rsidRDefault="00A368E7" w:rsidP="00C521FE">
            <w:pPr>
              <w:rPr>
                <w:rFonts w:ascii="Arial Narrow" w:hAnsi="Arial Narrow"/>
                <w:sz w:val="20"/>
                <w:szCs w:val="20"/>
              </w:rPr>
            </w:pPr>
            <w:r w:rsidRPr="00674669">
              <w:rPr>
                <w:rFonts w:ascii="Arial Narrow" w:hAnsi="Arial Narrow"/>
                <w:sz w:val="20"/>
                <w:szCs w:val="20"/>
              </w:rPr>
              <w:t>(cemiplimab 350 mg/7 mL injection, 7 mL vial)</w:t>
            </w:r>
          </w:p>
        </w:tc>
      </w:tr>
      <w:tr w:rsidR="00A368E7" w:rsidRPr="00674669" w14:paraId="03192D45" w14:textId="77777777" w:rsidTr="00C521FE">
        <w:trPr>
          <w:cantSplit/>
          <w:trHeight w:val="360"/>
        </w:trPr>
        <w:tc>
          <w:tcPr>
            <w:tcW w:w="8926" w:type="dxa"/>
            <w:gridSpan w:val="7"/>
            <w:tcBorders>
              <w:top w:val="single" w:sz="4" w:space="0" w:color="auto"/>
              <w:left w:val="single" w:sz="4" w:space="0" w:color="auto"/>
              <w:bottom w:val="single" w:sz="4" w:space="0" w:color="auto"/>
              <w:right w:val="single" w:sz="4" w:space="0" w:color="auto"/>
            </w:tcBorders>
          </w:tcPr>
          <w:p w14:paraId="2650C16D" w14:textId="77777777" w:rsidR="00A368E7" w:rsidRPr="00674669" w:rsidRDefault="00A368E7" w:rsidP="00C521FE">
            <w:pPr>
              <w:rPr>
                <w:rFonts w:ascii="Arial Narrow" w:hAnsi="Arial Narrow"/>
                <w:sz w:val="20"/>
                <w:szCs w:val="20"/>
              </w:rPr>
            </w:pPr>
          </w:p>
        </w:tc>
      </w:tr>
      <w:tr w:rsidR="00A368E7" w:rsidRPr="00674669" w14:paraId="77442E4B" w14:textId="77777777" w:rsidTr="00C521FE">
        <w:trPr>
          <w:cantSplit/>
          <w:trHeight w:val="360"/>
        </w:trPr>
        <w:tc>
          <w:tcPr>
            <w:tcW w:w="8926" w:type="dxa"/>
            <w:gridSpan w:val="7"/>
            <w:tcBorders>
              <w:top w:val="single" w:sz="4" w:space="0" w:color="auto"/>
              <w:left w:val="single" w:sz="4" w:space="0" w:color="auto"/>
              <w:bottom w:val="single" w:sz="4" w:space="0" w:color="auto"/>
              <w:right w:val="single" w:sz="4" w:space="0" w:color="auto"/>
            </w:tcBorders>
          </w:tcPr>
          <w:p w14:paraId="77EA6C28" w14:textId="77777777" w:rsidR="00A368E7" w:rsidRPr="00674669" w:rsidRDefault="00A368E7" w:rsidP="00C521FE">
            <w:pPr>
              <w:rPr>
                <w:rFonts w:ascii="Arial Narrow" w:hAnsi="Arial Narrow"/>
                <w:sz w:val="20"/>
                <w:szCs w:val="20"/>
              </w:rPr>
            </w:pPr>
            <w:r w:rsidRPr="00674669">
              <w:rPr>
                <w:rFonts w:ascii="Arial Narrow" w:hAnsi="Arial Narrow"/>
                <w:b/>
                <w:sz w:val="20"/>
                <w:szCs w:val="20"/>
              </w:rPr>
              <w:t>Restriction Summary [new 1] Treatment of concepts [new 2]</w:t>
            </w:r>
          </w:p>
        </w:tc>
      </w:tr>
      <w:tr w:rsidR="00A368E7" w:rsidRPr="00674669" w14:paraId="0E4F9912" w14:textId="77777777" w:rsidTr="000A0CE0">
        <w:tc>
          <w:tcPr>
            <w:tcW w:w="1129"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tcPr>
          <w:p w14:paraId="4C511BEB" w14:textId="77777777" w:rsidR="00A368E7" w:rsidRPr="00674669" w:rsidRDefault="00A368E7" w:rsidP="00C521FE">
            <w:pPr>
              <w:rPr>
                <w:rFonts w:ascii="Arial Narrow" w:hAnsi="Arial Narrow"/>
                <w:b/>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A8D711" w14:textId="77777777" w:rsidR="00A368E7" w:rsidRPr="00674669" w:rsidRDefault="00A368E7" w:rsidP="00C521FE">
            <w:pPr>
              <w:rPr>
                <w:rFonts w:ascii="Arial Narrow" w:hAnsi="Arial Narrow"/>
                <w:sz w:val="20"/>
                <w:szCs w:val="20"/>
              </w:rPr>
            </w:pPr>
            <w:r w:rsidRPr="00674669">
              <w:rPr>
                <w:rFonts w:ascii="Arial Narrow" w:hAnsi="Arial Narrow"/>
                <w:b/>
                <w:sz w:val="20"/>
                <w:szCs w:val="20"/>
              </w:rPr>
              <w:t xml:space="preserve">Category / Program:   </w:t>
            </w:r>
            <w:r w:rsidRPr="00674669">
              <w:rPr>
                <w:rFonts w:ascii="Arial Narrow" w:hAnsi="Arial Narrow"/>
                <w:sz w:val="20"/>
                <w:szCs w:val="20"/>
              </w:rPr>
              <w:t xml:space="preserve">Section 100 – Efficient Funding of Chemotherapy - Public and Private Hospitals </w:t>
            </w:r>
          </w:p>
        </w:tc>
      </w:tr>
      <w:tr w:rsidR="00A368E7" w:rsidRPr="00674669" w14:paraId="638271C4" w14:textId="77777777" w:rsidTr="00C521FE">
        <w:trPr>
          <w:trHeight w:val="366"/>
        </w:trPr>
        <w:tc>
          <w:tcPr>
            <w:tcW w:w="1129" w:type="dxa"/>
            <w:gridSpan w:val="2"/>
            <w:vMerge/>
            <w:tcBorders>
              <w:left w:val="single" w:sz="4" w:space="0" w:color="auto"/>
              <w:right w:val="single" w:sz="4" w:space="0" w:color="auto"/>
            </w:tcBorders>
            <w:tcMar>
              <w:top w:w="15" w:type="dxa"/>
              <w:left w:w="15" w:type="dxa"/>
              <w:bottom w:w="15" w:type="dxa"/>
              <w:right w:w="15" w:type="dxa"/>
            </w:tcMar>
          </w:tcPr>
          <w:p w14:paraId="1EAFFE9D" w14:textId="77777777" w:rsidR="00A368E7" w:rsidRPr="00674669" w:rsidRDefault="00A368E7" w:rsidP="00C521FE">
            <w:pPr>
              <w:rPr>
                <w:rFonts w:ascii="Arial Narrow" w:hAnsi="Arial Narrow"/>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C793EA" w14:textId="77777777" w:rsidR="00A368E7" w:rsidRPr="00674669" w:rsidRDefault="00A368E7" w:rsidP="00C521FE">
            <w:pPr>
              <w:rPr>
                <w:rFonts w:ascii="Arial Narrow" w:hAnsi="Arial Narrow"/>
                <w:sz w:val="20"/>
                <w:szCs w:val="20"/>
              </w:rPr>
            </w:pPr>
            <w:r w:rsidRPr="00674669">
              <w:rPr>
                <w:rFonts w:ascii="Arial Narrow" w:hAnsi="Arial Narrow"/>
                <w:b/>
                <w:sz w:val="20"/>
                <w:szCs w:val="20"/>
              </w:rPr>
              <w:t>Prescriber type:</w:t>
            </w:r>
            <w:r w:rsidRPr="00674669">
              <w:rPr>
                <w:rFonts w:ascii="Arial Narrow" w:hAnsi="Arial Narrow"/>
                <w:sz w:val="20"/>
                <w:szCs w:val="20"/>
              </w:rPr>
              <w:t xml:space="preserve"> </w:t>
            </w:r>
            <w:r w:rsidRPr="00674669">
              <w:rPr>
                <w:rFonts w:ascii="Arial Narrow" w:hAnsi="Arial Narrow"/>
                <w:sz w:val="20"/>
                <w:szCs w:val="20"/>
              </w:rPr>
              <w:fldChar w:fldCharType="begin" w:fldLock="1">
                <w:ffData>
                  <w:name w:val=""/>
                  <w:enabled/>
                  <w:calcOnExit w:val="0"/>
                  <w:checkBox>
                    <w:sizeAuto/>
                    <w:default w:val="1"/>
                  </w:checkBox>
                </w:ffData>
              </w:fldChar>
            </w:r>
            <w:r w:rsidRPr="00674669">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674669">
              <w:rPr>
                <w:rFonts w:ascii="Arial Narrow" w:hAnsi="Arial Narrow"/>
                <w:sz w:val="20"/>
                <w:szCs w:val="20"/>
              </w:rPr>
              <w:fldChar w:fldCharType="end"/>
            </w:r>
            <w:r w:rsidRPr="00674669">
              <w:rPr>
                <w:rFonts w:ascii="Arial Narrow" w:hAnsi="Arial Narrow"/>
                <w:sz w:val="20"/>
                <w:szCs w:val="20"/>
              </w:rPr>
              <w:t xml:space="preserve">Medical Practitioners  </w:t>
            </w:r>
          </w:p>
        </w:tc>
      </w:tr>
      <w:tr w:rsidR="00A368E7" w:rsidRPr="00674669" w14:paraId="3682D338" w14:textId="77777777" w:rsidTr="00C521FE">
        <w:tc>
          <w:tcPr>
            <w:tcW w:w="1129" w:type="dxa"/>
            <w:gridSpan w:val="2"/>
            <w:vMerge/>
            <w:tcBorders>
              <w:left w:val="single" w:sz="4" w:space="0" w:color="auto"/>
              <w:bottom w:val="single" w:sz="4" w:space="0" w:color="auto"/>
              <w:right w:val="single" w:sz="4" w:space="0" w:color="auto"/>
            </w:tcBorders>
            <w:tcMar>
              <w:top w:w="15" w:type="dxa"/>
              <w:left w:w="15" w:type="dxa"/>
              <w:bottom w:w="15" w:type="dxa"/>
              <w:right w:w="15" w:type="dxa"/>
            </w:tcMar>
          </w:tcPr>
          <w:p w14:paraId="1E534C6A" w14:textId="77777777" w:rsidR="00A368E7" w:rsidRPr="00674669" w:rsidRDefault="00A368E7" w:rsidP="00C521FE">
            <w:pPr>
              <w:rPr>
                <w:rFonts w:ascii="Arial Narrow" w:hAnsi="Arial Narrow"/>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A73AAC" w14:textId="181B7A84" w:rsidR="00A368E7" w:rsidRPr="00674669" w:rsidRDefault="00A368E7" w:rsidP="00C521FE">
            <w:pPr>
              <w:rPr>
                <w:rFonts w:ascii="Arial Narrow" w:hAnsi="Arial Narrow"/>
                <w:b/>
                <w:sz w:val="20"/>
                <w:szCs w:val="20"/>
              </w:rPr>
            </w:pPr>
            <w:r w:rsidRPr="00674669">
              <w:rPr>
                <w:rFonts w:ascii="Arial Narrow" w:hAnsi="Arial Narrow"/>
                <w:b/>
                <w:sz w:val="20"/>
                <w:szCs w:val="20"/>
              </w:rPr>
              <w:t>Restriction type:</w:t>
            </w:r>
            <w:r w:rsidR="00A96601">
              <w:rPr>
                <w:rFonts w:ascii="Arial Narrow" w:hAnsi="Arial Narrow"/>
                <w:b/>
                <w:sz w:val="20"/>
                <w:szCs w:val="20"/>
              </w:rPr>
              <w:t xml:space="preserve"> </w:t>
            </w:r>
            <w:r w:rsidRPr="00674669">
              <w:rPr>
                <w:rFonts w:ascii="Arial Narrow" w:hAnsi="Arial Narrow"/>
                <w:sz w:val="20"/>
                <w:szCs w:val="20"/>
              </w:rPr>
              <w:fldChar w:fldCharType="begin" w:fldLock="1">
                <w:ffData>
                  <w:name w:val=""/>
                  <w:enabled/>
                  <w:calcOnExit w:val="0"/>
                  <w:checkBox>
                    <w:sizeAuto/>
                    <w:default w:val="1"/>
                  </w:checkBox>
                </w:ffData>
              </w:fldChar>
            </w:r>
            <w:r w:rsidRPr="00674669">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674669">
              <w:rPr>
                <w:rFonts w:ascii="Arial Narrow" w:hAnsi="Arial Narrow"/>
                <w:sz w:val="20"/>
                <w:szCs w:val="20"/>
              </w:rPr>
              <w:fldChar w:fldCharType="end"/>
            </w:r>
            <w:r w:rsidRPr="00674669">
              <w:rPr>
                <w:rFonts w:ascii="Arial Narrow" w:hAnsi="Arial Narrow"/>
                <w:sz w:val="20"/>
                <w:szCs w:val="20"/>
              </w:rPr>
              <w:t>Authority Required – Streamlined (ST code: new 2)</w:t>
            </w:r>
          </w:p>
        </w:tc>
      </w:tr>
      <w:tr w:rsidR="00A368E7" w:rsidRPr="00674669" w14:paraId="4B586A82" w14:textId="77777777" w:rsidTr="00C521FE">
        <w:tc>
          <w:tcPr>
            <w:tcW w:w="421"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53EDD333" w14:textId="75EC453F"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5CC2CC8" w14:textId="5840E4B8" w:rsidR="00DE43FF" w:rsidRPr="00674669" w:rsidRDefault="00DE43FF" w:rsidP="00C521FE">
            <w:pPr>
              <w:jc w:val="center"/>
              <w:rPr>
                <w:rFonts w:ascii="Arial Narrow" w:hAnsi="Arial Narrow"/>
                <w:i/>
                <w:iCs/>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EEC04" w14:textId="77777777" w:rsidR="00A368E7" w:rsidRPr="00674669" w:rsidRDefault="00A368E7" w:rsidP="00C521FE">
            <w:pPr>
              <w:rPr>
                <w:rFonts w:ascii="Arial Narrow" w:hAnsi="Arial Narrow"/>
                <w:i/>
                <w:iCs/>
                <w:color w:val="333333"/>
                <w:sz w:val="20"/>
                <w:szCs w:val="20"/>
              </w:rPr>
            </w:pPr>
            <w:r w:rsidRPr="00674669">
              <w:rPr>
                <w:rFonts w:ascii="Arial Narrow" w:hAnsi="Arial Narrow"/>
                <w:b/>
                <w:bCs/>
                <w:i/>
                <w:iCs/>
                <w:color w:val="333333"/>
                <w:sz w:val="20"/>
                <w:szCs w:val="20"/>
              </w:rPr>
              <w:t>Administrative Advice:</w:t>
            </w:r>
          </w:p>
          <w:p w14:paraId="57113CDA" w14:textId="2E2B6ED7" w:rsidR="00DE43FF" w:rsidRPr="00674669" w:rsidRDefault="00DE43FF" w:rsidP="00C521FE">
            <w:pPr>
              <w:rPr>
                <w:rFonts w:ascii="Arial Narrow" w:hAnsi="Arial Narrow"/>
                <w:i/>
                <w:iCs/>
                <w:color w:val="333333"/>
                <w:sz w:val="20"/>
                <w:szCs w:val="20"/>
              </w:rPr>
            </w:pPr>
            <w:r w:rsidRPr="00674669">
              <w:rPr>
                <w:rFonts w:ascii="Arial Narrow" w:hAnsi="Arial Narrow" w:cs="Open Sans"/>
                <w:i/>
                <w:iCs/>
                <w:color w:val="333333"/>
                <w:sz w:val="20"/>
                <w:szCs w:val="20"/>
                <w:bdr w:val="none" w:sz="0" w:space="0" w:color="auto" w:frame="1"/>
              </w:rPr>
              <w:t>No increase in the maximum amount or number of units may be authorised.</w:t>
            </w:r>
          </w:p>
        </w:tc>
      </w:tr>
      <w:tr w:rsidR="00A368E7" w:rsidRPr="00674669" w14:paraId="7E907286" w14:textId="77777777" w:rsidTr="00C521FE">
        <w:tc>
          <w:tcPr>
            <w:tcW w:w="421" w:type="dxa"/>
            <w:vMerge/>
            <w:tcBorders>
              <w:left w:val="single" w:sz="4" w:space="0" w:color="auto"/>
              <w:right w:val="single" w:sz="4" w:space="0" w:color="auto"/>
            </w:tcBorders>
            <w:tcMar>
              <w:top w:w="15" w:type="dxa"/>
              <w:left w:w="15" w:type="dxa"/>
              <w:bottom w:w="15" w:type="dxa"/>
              <w:right w:w="15" w:type="dxa"/>
            </w:tcMar>
            <w:vAlign w:val="center"/>
          </w:tcPr>
          <w:p w14:paraId="19FAEBF9" w14:textId="77777777"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A3B74C4" w14:textId="47C0AFC6"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FB5DB7"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Administrative Advice:</w:t>
            </w:r>
          </w:p>
          <w:p w14:paraId="77471F80" w14:textId="77777777" w:rsidR="00A368E7" w:rsidRPr="00674669" w:rsidRDefault="00A368E7" w:rsidP="00C521FE">
            <w:pPr>
              <w:rPr>
                <w:rFonts w:ascii="Arial Narrow" w:hAnsi="Arial Narrow"/>
                <w:b/>
                <w:bCs/>
                <w:color w:val="333333"/>
                <w:sz w:val="20"/>
                <w:szCs w:val="20"/>
              </w:rPr>
            </w:pPr>
            <w:r w:rsidRPr="00674669">
              <w:rPr>
                <w:rFonts w:ascii="Arial Narrow" w:hAnsi="Arial Narrow"/>
                <w:color w:val="333333"/>
                <w:sz w:val="20"/>
                <w:szCs w:val="20"/>
              </w:rPr>
              <w:t>No increase in the maximum number of repeats may be authorised.</w:t>
            </w:r>
          </w:p>
        </w:tc>
      </w:tr>
      <w:tr w:rsidR="00A368E7" w:rsidRPr="00674669" w14:paraId="45E6074C" w14:textId="77777777" w:rsidTr="00C521FE">
        <w:tc>
          <w:tcPr>
            <w:tcW w:w="421" w:type="dxa"/>
            <w:vMerge/>
            <w:tcBorders>
              <w:left w:val="single" w:sz="4" w:space="0" w:color="auto"/>
              <w:right w:val="single" w:sz="4" w:space="0" w:color="auto"/>
            </w:tcBorders>
            <w:tcMar>
              <w:top w:w="15" w:type="dxa"/>
              <w:left w:w="15" w:type="dxa"/>
              <w:bottom w:w="15" w:type="dxa"/>
              <w:right w:w="15" w:type="dxa"/>
            </w:tcMar>
            <w:vAlign w:val="center"/>
          </w:tcPr>
          <w:p w14:paraId="068676CB" w14:textId="77777777"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F8803D0" w14:textId="46240F1A"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739FF"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Administrative Advice:</w:t>
            </w:r>
          </w:p>
          <w:p w14:paraId="4048DA28" w14:textId="77777777" w:rsidR="00A368E7" w:rsidRPr="00674669" w:rsidRDefault="00A368E7" w:rsidP="00C521FE">
            <w:pPr>
              <w:rPr>
                <w:rFonts w:ascii="Arial Narrow" w:hAnsi="Arial Narrow"/>
                <w:b/>
                <w:bCs/>
                <w:color w:val="333333"/>
                <w:sz w:val="20"/>
                <w:szCs w:val="20"/>
              </w:rPr>
            </w:pPr>
            <w:r w:rsidRPr="00674669">
              <w:rPr>
                <w:rFonts w:ascii="Arial Narrow" w:hAnsi="Arial Narrow"/>
                <w:color w:val="333333"/>
                <w:sz w:val="20"/>
                <w:szCs w:val="20"/>
              </w:rPr>
              <w:t>Special Pricing Arrangements apply.</w:t>
            </w:r>
          </w:p>
        </w:tc>
      </w:tr>
      <w:tr w:rsidR="00A368E7" w:rsidRPr="00674669" w14:paraId="16257BAA" w14:textId="77777777" w:rsidTr="00C521FE">
        <w:tc>
          <w:tcPr>
            <w:tcW w:w="421"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14:paraId="24B2D57D" w14:textId="77777777"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BB4DEF1" w14:textId="70643FEB" w:rsidR="00A368E7" w:rsidRPr="00674669"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D9CF24" w14:textId="77777777" w:rsidR="00A368E7" w:rsidRPr="00674669" w:rsidRDefault="00A368E7" w:rsidP="00C521FE">
            <w:pPr>
              <w:rPr>
                <w:rFonts w:ascii="Arial Narrow" w:hAnsi="Arial Narrow"/>
                <w:b/>
                <w:bCs/>
                <w:strike/>
                <w:color w:val="333333"/>
                <w:sz w:val="20"/>
                <w:szCs w:val="20"/>
              </w:rPr>
            </w:pPr>
            <w:r w:rsidRPr="00674669">
              <w:rPr>
                <w:rFonts w:ascii="Arial Narrow" w:hAnsi="Arial Narrow"/>
                <w:b/>
                <w:bCs/>
                <w:strike/>
                <w:color w:val="333333"/>
                <w:sz w:val="20"/>
                <w:szCs w:val="20"/>
              </w:rPr>
              <w:t>Administrative Advice:</w:t>
            </w:r>
          </w:p>
          <w:p w14:paraId="12EC8135" w14:textId="77777777" w:rsidR="00A368E7" w:rsidRPr="00674669" w:rsidRDefault="00A368E7" w:rsidP="00C521FE">
            <w:pPr>
              <w:rPr>
                <w:rFonts w:ascii="Arial Narrow" w:hAnsi="Arial Narrow"/>
                <w:strike/>
                <w:color w:val="333333"/>
                <w:sz w:val="20"/>
                <w:szCs w:val="20"/>
              </w:rPr>
            </w:pPr>
            <w:r w:rsidRPr="00674669">
              <w:rPr>
                <w:rFonts w:ascii="Arial Narrow" w:hAnsi="Arial Narrow"/>
                <w:strike/>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A368E7" w:rsidRPr="00674669" w14:paraId="35994562"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3202D" w14:textId="50F514A7"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644C7"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Indication:</w:t>
            </w:r>
            <w:r w:rsidRPr="00674669">
              <w:rPr>
                <w:rFonts w:ascii="Arial Narrow" w:hAnsi="Arial Narrow"/>
                <w:color w:val="333333"/>
                <w:sz w:val="20"/>
                <w:szCs w:val="20"/>
              </w:rPr>
              <w:t xml:space="preserve"> Stage IV (metastatic) non-small cell lung cancer (NSCLC)</w:t>
            </w:r>
          </w:p>
        </w:tc>
      </w:tr>
      <w:tr w:rsidR="00A368E7" w:rsidRPr="00674669" w14:paraId="4266769A" w14:textId="77777777" w:rsidTr="00C521FE">
        <w:tc>
          <w:tcPr>
            <w:tcW w:w="892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079831" w14:textId="77777777" w:rsidR="00A368E7" w:rsidRPr="00674669" w:rsidRDefault="00A368E7" w:rsidP="00C521FE">
            <w:pPr>
              <w:rPr>
                <w:rFonts w:ascii="Arial Narrow" w:hAnsi="Arial Narrow"/>
                <w:b/>
                <w:bCs/>
                <w:color w:val="333333"/>
                <w:sz w:val="20"/>
                <w:szCs w:val="20"/>
              </w:rPr>
            </w:pPr>
          </w:p>
        </w:tc>
      </w:tr>
      <w:tr w:rsidR="00A368E7" w:rsidRPr="00674669" w14:paraId="21739F09"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E0D3E0" w14:textId="77777777" w:rsidR="00A368E7" w:rsidRPr="00674669" w:rsidRDefault="00A368E7" w:rsidP="00C521FE">
            <w:pP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2D21BA"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Treatment Phase:</w:t>
            </w:r>
            <w:r w:rsidRPr="00674669">
              <w:rPr>
                <w:rFonts w:ascii="Arial Narrow" w:hAnsi="Arial Narrow"/>
                <w:color w:val="333333"/>
                <w:sz w:val="20"/>
                <w:szCs w:val="20"/>
              </w:rPr>
              <w:t xml:space="preserve"> Initial treatment – 3 weekly treatment regimen</w:t>
            </w:r>
          </w:p>
        </w:tc>
      </w:tr>
      <w:tr w:rsidR="00A368E7" w:rsidRPr="00674669" w14:paraId="237B1477"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A8D42A" w14:textId="6526354A"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E03C6E"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66E44882"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CDE2A" w14:textId="05D743EF"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73CF4B"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Patient must not have previously been treated for this condition in the metastatic setting; OR</w:t>
            </w:r>
          </w:p>
        </w:tc>
      </w:tr>
      <w:tr w:rsidR="00A368E7" w:rsidRPr="00674669" w14:paraId="056349C7"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EA261" w14:textId="2E55D874"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684671"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The condition must have progressed after treatment with tepotinib,</w:t>
            </w:r>
          </w:p>
        </w:tc>
      </w:tr>
      <w:tr w:rsidR="00A368E7" w:rsidRPr="00674669" w14:paraId="210A6127"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11F9E9" w14:textId="77777777" w:rsidR="00A368E7" w:rsidRPr="00674669" w:rsidRDefault="00A368E7" w:rsidP="00C521FE">
            <w:pP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AD3656"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AND</w:t>
            </w:r>
          </w:p>
        </w:tc>
      </w:tr>
      <w:tr w:rsidR="00A368E7" w:rsidRPr="00674669" w14:paraId="2BFDCB70"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3DDBD4" w14:textId="2E5DAF8F"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271282"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4F50C9CF"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7242BB" w14:textId="5B24DD7C"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76DEDE"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Patient must not have received prior treatment with a programmed cell death-1 (PD-1) inhibitor or a programmed cell death ligand-1 (PD-L1) inhibitor for non-small cell lung cancer,</w:t>
            </w:r>
          </w:p>
        </w:tc>
      </w:tr>
      <w:tr w:rsidR="00A368E7" w:rsidRPr="00674669" w14:paraId="3573F870"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5AD7E6" w14:textId="77777777"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197A41"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AND</w:t>
            </w:r>
          </w:p>
        </w:tc>
      </w:tr>
      <w:tr w:rsidR="00A368E7" w:rsidRPr="00674669" w14:paraId="5E0E136B"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EBEF3" w14:textId="3051C466"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C03715"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734D3376"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0BD433" w14:textId="4BE85B8A"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D88AAF"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Patient must have a WHO performance status of 0 or 1,</w:t>
            </w:r>
          </w:p>
        </w:tc>
      </w:tr>
      <w:tr w:rsidR="00A368E7" w:rsidRPr="00674669" w14:paraId="1107F17A"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C388A" w14:textId="77777777"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D1FDF2" w14:textId="77777777" w:rsidR="00A368E7" w:rsidRPr="00674669" w:rsidRDefault="00A368E7" w:rsidP="00C521FE">
            <w:pPr>
              <w:rPr>
                <w:rFonts w:ascii="Arial Narrow" w:hAnsi="Arial Narrow"/>
                <w:strike/>
                <w:color w:val="333333"/>
                <w:sz w:val="20"/>
                <w:szCs w:val="20"/>
              </w:rPr>
            </w:pPr>
            <w:r w:rsidRPr="00674669">
              <w:rPr>
                <w:rFonts w:ascii="Arial Narrow" w:hAnsi="Arial Narrow"/>
                <w:b/>
                <w:bCs/>
                <w:strike/>
                <w:color w:val="333333"/>
                <w:sz w:val="20"/>
                <w:szCs w:val="20"/>
              </w:rPr>
              <w:t>AND</w:t>
            </w:r>
          </w:p>
        </w:tc>
      </w:tr>
      <w:tr w:rsidR="00A368E7" w:rsidRPr="00674669" w14:paraId="65062BDB"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79083" w14:textId="2C0C98D9" w:rsidR="00A368E7" w:rsidRPr="00674669"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FDE77" w14:textId="77777777" w:rsidR="00A368E7" w:rsidRPr="00674669" w:rsidRDefault="00A368E7" w:rsidP="00C521FE">
            <w:pPr>
              <w:rPr>
                <w:rFonts w:ascii="Arial Narrow" w:hAnsi="Arial Narrow"/>
                <w:strike/>
                <w:color w:val="333333"/>
                <w:sz w:val="20"/>
                <w:szCs w:val="20"/>
              </w:rPr>
            </w:pPr>
            <w:r w:rsidRPr="00674669">
              <w:rPr>
                <w:rFonts w:ascii="Arial Narrow" w:hAnsi="Arial Narrow"/>
                <w:b/>
                <w:bCs/>
                <w:strike/>
                <w:color w:val="333333"/>
                <w:sz w:val="20"/>
                <w:szCs w:val="20"/>
              </w:rPr>
              <w:t>Clinical criteria:</w:t>
            </w:r>
          </w:p>
        </w:tc>
      </w:tr>
      <w:tr w:rsidR="00A368E7" w:rsidRPr="00674669" w14:paraId="21A4A56F"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CD6C57" w14:textId="7A507CE4" w:rsidR="00A368E7" w:rsidRPr="00674669"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C22224" w14:textId="77777777" w:rsidR="00A368E7" w:rsidRPr="00674669" w:rsidRDefault="00A368E7" w:rsidP="00C521FE">
            <w:pPr>
              <w:rPr>
                <w:rFonts w:ascii="Arial Narrow" w:hAnsi="Arial Narrow"/>
                <w:strike/>
                <w:color w:val="333333"/>
                <w:sz w:val="20"/>
                <w:szCs w:val="20"/>
              </w:rPr>
            </w:pPr>
            <w:r w:rsidRPr="00674669">
              <w:rPr>
                <w:rFonts w:ascii="Arial Narrow" w:hAnsi="Arial Narrow"/>
                <w:strike/>
                <w:color w:val="333333"/>
                <w:sz w:val="20"/>
                <w:szCs w:val="20"/>
              </w:rPr>
              <w:t>The condition must express programmed cell death ligand 1 (PD-L1) with a tumour proportion score (TPS) of at least 50% in the tumour sample.</w:t>
            </w:r>
          </w:p>
        </w:tc>
      </w:tr>
      <w:tr w:rsidR="00A368E7" w:rsidRPr="00674669" w14:paraId="4A55220D"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6B4B72" w14:textId="77777777"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A3020"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AND</w:t>
            </w:r>
          </w:p>
        </w:tc>
      </w:tr>
      <w:tr w:rsidR="00A368E7" w:rsidRPr="00674669" w14:paraId="775B0BD7"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79BFF1" w14:textId="7CD442A4"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C540FE"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308F2DF4"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03EAF7" w14:textId="760D8BAE"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9E411"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The condition must not have evidence of an activating epidermal growth factor receptor (EGFR) gene or an anaplastic lymphoma kinase (ALK) gene rearrangement or a c-ROS proto-oncogene 1 (ROS1) gene arrangement in tumour material,</w:t>
            </w:r>
          </w:p>
        </w:tc>
      </w:tr>
      <w:tr w:rsidR="00A368E7" w:rsidRPr="00674669" w14:paraId="1C9A0D09"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E2B1F1" w14:textId="77777777" w:rsidR="00A368E7" w:rsidRPr="00674669" w:rsidDel="009C1A8F"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D1759E" w14:textId="77777777" w:rsidR="00A368E7" w:rsidRPr="00674669" w:rsidRDefault="00A368E7" w:rsidP="00C521FE">
            <w:pPr>
              <w:rPr>
                <w:rFonts w:ascii="Arial Narrow" w:hAnsi="Arial Narrow"/>
                <w:strike/>
                <w:color w:val="333333"/>
                <w:sz w:val="20"/>
                <w:szCs w:val="20"/>
              </w:rPr>
            </w:pPr>
            <w:r w:rsidRPr="00674669">
              <w:rPr>
                <w:rFonts w:ascii="Arial Narrow" w:hAnsi="Arial Narrow"/>
                <w:b/>
                <w:bCs/>
                <w:strike/>
                <w:color w:val="333333"/>
                <w:sz w:val="20"/>
                <w:szCs w:val="20"/>
              </w:rPr>
              <w:t>AND</w:t>
            </w:r>
          </w:p>
        </w:tc>
      </w:tr>
      <w:tr w:rsidR="00A368E7" w:rsidRPr="00674669" w14:paraId="34FA19C5"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2D58E" w14:textId="00B48707" w:rsidR="00A368E7" w:rsidRPr="00674669" w:rsidDel="009C1A8F"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F786C5" w14:textId="77777777" w:rsidR="00A368E7" w:rsidRPr="00674669" w:rsidRDefault="00A368E7" w:rsidP="00C521FE">
            <w:pPr>
              <w:rPr>
                <w:rFonts w:ascii="Arial Narrow" w:hAnsi="Arial Narrow"/>
                <w:color w:val="333333"/>
                <w:sz w:val="20"/>
                <w:szCs w:val="20"/>
              </w:rPr>
            </w:pPr>
            <w:r w:rsidRPr="00674669">
              <w:rPr>
                <w:rFonts w:ascii="Arial Narrow" w:hAnsi="Arial Narrow"/>
                <w:b/>
                <w:bCs/>
                <w:strike/>
                <w:color w:val="333333"/>
                <w:sz w:val="20"/>
                <w:szCs w:val="20"/>
              </w:rPr>
              <w:t>Clinical criteria</w:t>
            </w:r>
            <w:r w:rsidRPr="00674669">
              <w:rPr>
                <w:rFonts w:ascii="Arial Narrow" w:hAnsi="Arial Narrow"/>
                <w:b/>
                <w:bCs/>
                <w:color w:val="333333"/>
                <w:sz w:val="20"/>
                <w:szCs w:val="20"/>
              </w:rPr>
              <w:t>:</w:t>
            </w:r>
          </w:p>
        </w:tc>
      </w:tr>
      <w:tr w:rsidR="00A368E7" w:rsidRPr="00674669" w14:paraId="4670703D"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BB6B1C" w14:textId="28ACD1EA" w:rsidR="00A368E7" w:rsidRPr="00674669" w:rsidDel="009C1A8F"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091B7E" w14:textId="77777777" w:rsidR="00A368E7" w:rsidRPr="00674669" w:rsidRDefault="00A368E7" w:rsidP="00C521FE">
            <w:pPr>
              <w:rPr>
                <w:rFonts w:ascii="Arial Narrow" w:hAnsi="Arial Narrow"/>
                <w:strike/>
                <w:color w:val="333333"/>
                <w:sz w:val="20"/>
                <w:szCs w:val="20"/>
              </w:rPr>
            </w:pPr>
            <w:r w:rsidRPr="00674669">
              <w:rPr>
                <w:rFonts w:ascii="Arial Narrow" w:hAnsi="Arial Narrow"/>
                <w:strike/>
                <w:color w:val="333333"/>
                <w:sz w:val="20"/>
                <w:szCs w:val="20"/>
              </w:rPr>
              <w:t>The treatment must be the sole PBS-subsidised systemic anti-cancer therapy for this condition</w:t>
            </w:r>
          </w:p>
        </w:tc>
      </w:tr>
      <w:tr w:rsidR="00A368E7" w:rsidRPr="00674669" w14:paraId="3523514B"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EA83A" w14:textId="77777777"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D8B1A2"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AND</w:t>
            </w:r>
          </w:p>
        </w:tc>
      </w:tr>
      <w:tr w:rsidR="00A368E7" w:rsidRPr="00674669" w14:paraId="6078EB35"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F281FD" w14:textId="08FDC498"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719549"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76A513FD"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E43A5B" w14:textId="0A6BBE3F"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9F7053"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The treatment must not exceed a total of 7 doses under this restriction.</w:t>
            </w:r>
          </w:p>
        </w:tc>
      </w:tr>
    </w:tbl>
    <w:p w14:paraId="56A3EFFF" w14:textId="77777777" w:rsidR="00A368E7" w:rsidRPr="00674669" w:rsidRDefault="00A368E7" w:rsidP="00A368E7"/>
    <w:p w14:paraId="6A3AEDF7" w14:textId="77777777" w:rsidR="00A368E7" w:rsidRPr="00674669" w:rsidRDefault="00A368E7" w:rsidP="00A368E7">
      <w:pPr>
        <w:jc w:val="left"/>
        <w:rPr>
          <w:rFonts w:ascii="Arial Narrow" w:hAnsi="Arial Narrow"/>
          <w:b/>
          <w:bCs/>
          <w:sz w:val="20"/>
          <w:szCs w:val="18"/>
        </w:rPr>
      </w:pPr>
      <w:r w:rsidRPr="00674669">
        <w:br w:type="page"/>
      </w:r>
    </w:p>
    <w:p w14:paraId="71C7FEE2" w14:textId="77777777" w:rsidR="00A368E7" w:rsidRPr="00674669" w:rsidRDefault="00A368E7" w:rsidP="00A368E7">
      <w:pPr>
        <w:pStyle w:val="Caption"/>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08"/>
        <w:gridCol w:w="2127"/>
        <w:gridCol w:w="1700"/>
        <w:gridCol w:w="992"/>
        <w:gridCol w:w="850"/>
        <w:gridCol w:w="2128"/>
      </w:tblGrid>
      <w:tr w:rsidR="00A368E7" w:rsidRPr="00674669" w14:paraId="564BBFA8" w14:textId="77777777" w:rsidTr="002366EB">
        <w:trPr>
          <w:cantSplit/>
          <w:trHeight w:val="471"/>
        </w:trPr>
        <w:tc>
          <w:tcPr>
            <w:tcW w:w="3256" w:type="dxa"/>
            <w:gridSpan w:val="3"/>
            <w:tcBorders>
              <w:top w:val="single" w:sz="4" w:space="0" w:color="auto"/>
              <w:left w:val="single" w:sz="4" w:space="0" w:color="auto"/>
              <w:bottom w:val="single" w:sz="4" w:space="0" w:color="auto"/>
              <w:right w:val="single" w:sz="4" w:space="0" w:color="auto"/>
            </w:tcBorders>
            <w:hideMark/>
          </w:tcPr>
          <w:p w14:paraId="208A225C" w14:textId="77777777" w:rsidR="00A368E7" w:rsidRPr="00674669" w:rsidRDefault="00A368E7" w:rsidP="00C521FE">
            <w:pPr>
              <w:keepNext/>
              <w:ind w:left="-108"/>
              <w:rPr>
                <w:rFonts w:ascii="Arial Narrow" w:hAnsi="Arial Narrow"/>
                <w:b/>
                <w:sz w:val="20"/>
                <w:szCs w:val="20"/>
              </w:rPr>
            </w:pPr>
            <w:r w:rsidRPr="00674669">
              <w:rPr>
                <w:rFonts w:ascii="Arial Narrow" w:hAnsi="Arial Narrow"/>
                <w:b/>
                <w:sz w:val="20"/>
                <w:szCs w:val="20"/>
              </w:rPr>
              <w:t>Name, Restriction,</w:t>
            </w:r>
          </w:p>
          <w:p w14:paraId="6E54D971" w14:textId="77777777" w:rsidR="00A368E7" w:rsidRPr="00674669" w:rsidRDefault="00A368E7" w:rsidP="00C521FE">
            <w:pPr>
              <w:keepNext/>
              <w:ind w:left="-108"/>
              <w:rPr>
                <w:rFonts w:ascii="Arial Narrow" w:hAnsi="Arial Narrow"/>
                <w:b/>
                <w:sz w:val="20"/>
                <w:szCs w:val="20"/>
              </w:rPr>
            </w:pPr>
            <w:r w:rsidRPr="00674669">
              <w:rPr>
                <w:rFonts w:ascii="Arial Narrow" w:hAnsi="Arial Narrow"/>
                <w:b/>
                <w:sz w:val="20"/>
                <w:szCs w:val="20"/>
              </w:rPr>
              <w:t>Manner of administration and form</w:t>
            </w:r>
          </w:p>
        </w:tc>
        <w:tc>
          <w:tcPr>
            <w:tcW w:w="1700" w:type="dxa"/>
            <w:tcBorders>
              <w:top w:val="single" w:sz="4" w:space="0" w:color="auto"/>
              <w:left w:val="single" w:sz="4" w:space="0" w:color="auto"/>
              <w:bottom w:val="single" w:sz="4" w:space="0" w:color="auto"/>
              <w:right w:val="single" w:sz="4" w:space="0" w:color="auto"/>
            </w:tcBorders>
            <w:hideMark/>
          </w:tcPr>
          <w:p w14:paraId="4826C2D4"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hideMark/>
          </w:tcPr>
          <w:p w14:paraId="120D25BF"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Max.</w:t>
            </w:r>
          </w:p>
          <w:p w14:paraId="1D6DC4FD"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Amount</w:t>
            </w:r>
          </w:p>
        </w:tc>
        <w:tc>
          <w:tcPr>
            <w:tcW w:w="850" w:type="dxa"/>
            <w:tcBorders>
              <w:top w:val="single" w:sz="4" w:space="0" w:color="auto"/>
              <w:left w:val="single" w:sz="4" w:space="0" w:color="auto"/>
              <w:bottom w:val="single" w:sz="4" w:space="0" w:color="auto"/>
              <w:right w:val="single" w:sz="4" w:space="0" w:color="auto"/>
            </w:tcBorders>
            <w:hideMark/>
          </w:tcPr>
          <w:p w14:paraId="172AE505"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№.of</w:t>
            </w:r>
          </w:p>
          <w:p w14:paraId="63A0B2C0" w14:textId="77777777" w:rsidR="00A368E7" w:rsidRPr="00674669" w:rsidRDefault="00A368E7" w:rsidP="00C521FE">
            <w:pPr>
              <w:keepNext/>
              <w:ind w:left="-108"/>
              <w:jc w:val="center"/>
              <w:rPr>
                <w:rFonts w:ascii="Arial Narrow" w:hAnsi="Arial Narrow"/>
                <w:b/>
                <w:sz w:val="20"/>
                <w:szCs w:val="20"/>
              </w:rPr>
            </w:pPr>
            <w:r w:rsidRPr="00674669">
              <w:rPr>
                <w:rFonts w:ascii="Arial Narrow" w:hAnsi="Arial Narrow"/>
                <w:b/>
                <w:sz w:val="20"/>
                <w:szCs w:val="20"/>
              </w:rPr>
              <w:t>Rpts</w:t>
            </w:r>
          </w:p>
        </w:tc>
        <w:tc>
          <w:tcPr>
            <w:tcW w:w="2128" w:type="dxa"/>
            <w:tcBorders>
              <w:top w:val="single" w:sz="4" w:space="0" w:color="auto"/>
              <w:left w:val="single" w:sz="4" w:space="0" w:color="auto"/>
              <w:bottom w:val="single" w:sz="4" w:space="0" w:color="auto"/>
              <w:right w:val="single" w:sz="4" w:space="0" w:color="auto"/>
            </w:tcBorders>
          </w:tcPr>
          <w:p w14:paraId="26F669F6" w14:textId="77777777" w:rsidR="00A368E7" w:rsidRPr="00674669" w:rsidRDefault="00A368E7" w:rsidP="00C521FE">
            <w:pPr>
              <w:keepNext/>
              <w:jc w:val="center"/>
              <w:rPr>
                <w:rFonts w:ascii="Arial Narrow" w:hAnsi="Arial Narrow"/>
                <w:b/>
                <w:sz w:val="20"/>
                <w:szCs w:val="20"/>
              </w:rPr>
            </w:pPr>
            <w:r w:rsidRPr="00674669">
              <w:rPr>
                <w:rFonts w:ascii="Arial Narrow" w:hAnsi="Arial Narrow"/>
                <w:b/>
                <w:sz w:val="20"/>
                <w:szCs w:val="20"/>
              </w:rPr>
              <w:t>Manufacturer</w:t>
            </w:r>
          </w:p>
        </w:tc>
      </w:tr>
      <w:tr w:rsidR="00A368E7" w:rsidRPr="00674669" w14:paraId="0ED37450" w14:textId="77777777" w:rsidTr="002366EB">
        <w:trPr>
          <w:cantSplit/>
          <w:trHeight w:val="577"/>
        </w:trPr>
        <w:tc>
          <w:tcPr>
            <w:tcW w:w="3256" w:type="dxa"/>
            <w:gridSpan w:val="3"/>
            <w:tcBorders>
              <w:top w:val="single" w:sz="4" w:space="0" w:color="auto"/>
              <w:left w:val="single" w:sz="4" w:space="0" w:color="auto"/>
              <w:bottom w:val="single" w:sz="4" w:space="0" w:color="auto"/>
              <w:right w:val="single" w:sz="4" w:space="0" w:color="auto"/>
            </w:tcBorders>
            <w:hideMark/>
          </w:tcPr>
          <w:p w14:paraId="33048033" w14:textId="77777777" w:rsidR="00A368E7" w:rsidRPr="00674669" w:rsidRDefault="00A368E7" w:rsidP="00C521FE">
            <w:pPr>
              <w:pStyle w:val="SanofiTableText"/>
              <w:framePr w:hSpace="0" w:wrap="auto" w:vAnchor="margin" w:yAlign="inline"/>
              <w:rPr>
                <w:szCs w:val="20"/>
                <w:lang w:eastAsia="en-AU"/>
              </w:rPr>
            </w:pPr>
            <w:r w:rsidRPr="00674669">
              <w:rPr>
                <w:szCs w:val="20"/>
                <w:lang w:eastAsia="en-AU"/>
              </w:rPr>
              <w:t>CEMIPLIMAB</w:t>
            </w:r>
            <w:r w:rsidRPr="00674669">
              <w:rPr>
                <w:szCs w:val="20"/>
                <w:lang w:eastAsia="en-AU"/>
              </w:rPr>
              <w:br/>
            </w:r>
          </w:p>
          <w:p w14:paraId="4EB6FB25" w14:textId="77777777" w:rsidR="00A368E7" w:rsidRPr="00674669" w:rsidRDefault="00A368E7" w:rsidP="00C521FE">
            <w:pPr>
              <w:keepNext/>
              <w:ind w:left="-108"/>
              <w:rPr>
                <w:rFonts w:ascii="Arial Narrow" w:hAnsi="Arial Narrow"/>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14:paraId="5CCD9361" w14:textId="50FE6AB2" w:rsidR="00A368E7" w:rsidRPr="00674669" w:rsidRDefault="00DA05A6" w:rsidP="00C521FE">
            <w:pPr>
              <w:keepNext/>
              <w:ind w:left="-108"/>
              <w:jc w:val="center"/>
              <w:rPr>
                <w:rFonts w:ascii="Arial Narrow" w:hAnsi="Arial Narrow"/>
                <w:sz w:val="20"/>
                <w:szCs w:val="20"/>
              </w:rPr>
            </w:pPr>
            <w:hyperlink r:id="rId14" w:tooltip="13161q" w:history="1">
              <w:r w:rsidR="00A368E7" w:rsidRPr="00674669">
                <w:rPr>
                  <w:rStyle w:val="Hyperlink"/>
                  <w:rFonts w:ascii="Arial Narrow" w:hAnsi="Arial Narrow"/>
                  <w:color w:val="auto"/>
                  <w:sz w:val="20"/>
                  <w:szCs w:val="20"/>
                  <w:u w:val="none"/>
                </w:rPr>
                <w:t>13161Q</w:t>
              </w:r>
            </w:hyperlink>
            <w:r w:rsidR="00A368E7" w:rsidRPr="00674669">
              <w:rPr>
                <w:rFonts w:ascii="Arial Narrow" w:hAnsi="Arial Narrow"/>
                <w:sz w:val="20"/>
                <w:szCs w:val="20"/>
              </w:rPr>
              <w:t xml:space="preserve"> (Public)</w:t>
            </w:r>
          </w:p>
          <w:p w14:paraId="4B50013C" w14:textId="6F2AB112" w:rsidR="002366EB" w:rsidRPr="00674669" w:rsidRDefault="002366EB" w:rsidP="00C521FE">
            <w:pPr>
              <w:keepNext/>
              <w:ind w:left="-108"/>
              <w:jc w:val="center"/>
              <w:rPr>
                <w:rFonts w:ascii="Arial Narrow" w:hAnsi="Arial Narrow"/>
                <w:sz w:val="16"/>
                <w:szCs w:val="16"/>
              </w:rPr>
            </w:pPr>
            <w:r w:rsidRPr="00674669">
              <w:rPr>
                <w:rFonts w:ascii="Arial Narrow" w:hAnsi="Arial Narrow"/>
                <w:sz w:val="16"/>
                <w:szCs w:val="16"/>
              </w:rPr>
              <w:t>MP</w:t>
            </w:r>
          </w:p>
          <w:p w14:paraId="559BE161" w14:textId="77777777" w:rsidR="00A368E7" w:rsidRPr="00674669" w:rsidRDefault="00DA05A6" w:rsidP="00C521FE">
            <w:pPr>
              <w:keepNext/>
              <w:ind w:left="-108"/>
              <w:jc w:val="center"/>
              <w:rPr>
                <w:rFonts w:ascii="Arial Narrow" w:hAnsi="Arial Narrow"/>
                <w:sz w:val="20"/>
                <w:szCs w:val="20"/>
              </w:rPr>
            </w:pPr>
            <w:hyperlink r:id="rId15" w:tooltip="13162r" w:history="1">
              <w:r w:rsidR="00A368E7" w:rsidRPr="00674669">
                <w:rPr>
                  <w:rStyle w:val="Hyperlink"/>
                  <w:rFonts w:ascii="Arial Narrow" w:hAnsi="Arial Narrow"/>
                  <w:color w:val="auto"/>
                  <w:sz w:val="20"/>
                  <w:szCs w:val="20"/>
                  <w:u w:val="none"/>
                </w:rPr>
                <w:t>13162R</w:t>
              </w:r>
            </w:hyperlink>
            <w:r w:rsidR="00A368E7" w:rsidRPr="00674669">
              <w:rPr>
                <w:rFonts w:ascii="Arial Narrow" w:hAnsi="Arial Narrow"/>
                <w:sz w:val="20"/>
                <w:szCs w:val="20"/>
              </w:rPr>
              <w:t xml:space="preserve"> (Private)</w:t>
            </w:r>
          </w:p>
          <w:p w14:paraId="58222AB7" w14:textId="77777777" w:rsidR="00A368E7" w:rsidRPr="00674669" w:rsidRDefault="00A368E7" w:rsidP="00C521FE">
            <w:pPr>
              <w:keepNext/>
              <w:ind w:left="-108"/>
              <w:jc w:val="center"/>
              <w:rPr>
                <w:rFonts w:ascii="Arial Narrow" w:hAnsi="Arial Narrow"/>
                <w:i/>
                <w:iCs/>
                <w:sz w:val="16"/>
                <w:szCs w:val="16"/>
              </w:rPr>
            </w:pPr>
            <w:r w:rsidRPr="00674669">
              <w:rPr>
                <w:rFonts w:ascii="Arial Narrow" w:hAnsi="Arial Narrow"/>
                <w:sz w:val="16"/>
                <w:szCs w:val="16"/>
              </w:rPr>
              <w:t>MP</w:t>
            </w:r>
          </w:p>
        </w:tc>
        <w:tc>
          <w:tcPr>
            <w:tcW w:w="992" w:type="dxa"/>
            <w:tcBorders>
              <w:top w:val="single" w:sz="4" w:space="0" w:color="auto"/>
              <w:left w:val="single" w:sz="4" w:space="0" w:color="auto"/>
              <w:bottom w:val="single" w:sz="4" w:space="0" w:color="auto"/>
              <w:right w:val="single" w:sz="4" w:space="0" w:color="auto"/>
            </w:tcBorders>
            <w:hideMark/>
          </w:tcPr>
          <w:p w14:paraId="31CD9E93" w14:textId="77777777" w:rsidR="00A368E7" w:rsidRPr="00674669" w:rsidRDefault="00A368E7" w:rsidP="00C521FE">
            <w:pPr>
              <w:keepNext/>
              <w:ind w:left="-108"/>
              <w:jc w:val="center"/>
              <w:rPr>
                <w:rFonts w:ascii="Arial Narrow" w:hAnsi="Arial Narrow"/>
                <w:iCs/>
                <w:sz w:val="20"/>
                <w:szCs w:val="20"/>
              </w:rPr>
            </w:pPr>
            <w:r w:rsidRPr="00674669">
              <w:rPr>
                <w:rFonts w:ascii="Arial Narrow" w:hAnsi="Arial Narrow"/>
                <w:iCs/>
                <w:sz w:val="20"/>
                <w:szCs w:val="20"/>
              </w:rPr>
              <w:t>350 mg</w:t>
            </w:r>
          </w:p>
        </w:tc>
        <w:tc>
          <w:tcPr>
            <w:tcW w:w="850" w:type="dxa"/>
            <w:tcBorders>
              <w:top w:val="single" w:sz="4" w:space="0" w:color="auto"/>
              <w:left w:val="single" w:sz="4" w:space="0" w:color="auto"/>
              <w:bottom w:val="single" w:sz="4" w:space="0" w:color="auto"/>
              <w:right w:val="single" w:sz="4" w:space="0" w:color="auto"/>
            </w:tcBorders>
          </w:tcPr>
          <w:p w14:paraId="38493D0D" w14:textId="77777777" w:rsidR="00A368E7" w:rsidRPr="00674669" w:rsidRDefault="00A368E7" w:rsidP="00C521FE">
            <w:pPr>
              <w:keepNext/>
              <w:ind w:left="-108"/>
              <w:jc w:val="center"/>
              <w:rPr>
                <w:rFonts w:ascii="Arial Narrow" w:hAnsi="Arial Narrow"/>
                <w:iCs/>
                <w:sz w:val="20"/>
                <w:szCs w:val="20"/>
              </w:rPr>
            </w:pPr>
            <w:r w:rsidRPr="00674669">
              <w:rPr>
                <w:rFonts w:ascii="Arial Narrow" w:hAnsi="Arial Narrow"/>
                <w:iCs/>
                <w:sz w:val="20"/>
                <w:szCs w:val="20"/>
              </w:rPr>
              <w:t>6</w:t>
            </w:r>
          </w:p>
          <w:p w14:paraId="6CB7F8C8" w14:textId="77777777" w:rsidR="00A368E7" w:rsidRPr="00674669" w:rsidRDefault="00A368E7" w:rsidP="00C521FE">
            <w:pPr>
              <w:keepNext/>
              <w:ind w:left="-108"/>
              <w:jc w:val="center"/>
              <w:rPr>
                <w:rFonts w:ascii="Arial Narrow" w:hAnsi="Arial Narrow"/>
                <w:iCs/>
                <w:sz w:val="20"/>
                <w:szCs w:val="20"/>
              </w:rPr>
            </w:pPr>
          </w:p>
        </w:tc>
        <w:tc>
          <w:tcPr>
            <w:tcW w:w="2128" w:type="dxa"/>
            <w:tcBorders>
              <w:top w:val="single" w:sz="4" w:space="0" w:color="auto"/>
              <w:left w:val="single" w:sz="4" w:space="0" w:color="auto"/>
              <w:bottom w:val="single" w:sz="4" w:space="0" w:color="auto"/>
              <w:right w:val="single" w:sz="4" w:space="0" w:color="auto"/>
            </w:tcBorders>
          </w:tcPr>
          <w:p w14:paraId="68D0016C" w14:textId="77777777" w:rsidR="00A368E7" w:rsidRPr="00674669" w:rsidRDefault="00A368E7" w:rsidP="00C521FE">
            <w:pPr>
              <w:keepNext/>
              <w:jc w:val="center"/>
              <w:rPr>
                <w:rFonts w:ascii="Arial Narrow" w:hAnsi="Arial Narrow"/>
                <w:sz w:val="20"/>
                <w:szCs w:val="20"/>
              </w:rPr>
            </w:pPr>
            <w:r w:rsidRPr="00674669">
              <w:rPr>
                <w:rFonts w:ascii="Arial Narrow" w:hAnsi="Arial Narrow"/>
                <w:iCs/>
                <w:sz w:val="20"/>
                <w:szCs w:val="20"/>
              </w:rPr>
              <w:t>Sanofi Aventis Australia Pty Ltd</w:t>
            </w:r>
          </w:p>
        </w:tc>
      </w:tr>
      <w:tr w:rsidR="00A368E7" w:rsidRPr="00674669" w14:paraId="6B9B5004" w14:textId="77777777" w:rsidTr="00C521FE">
        <w:trPr>
          <w:cantSplit/>
          <w:trHeight w:val="225"/>
        </w:trPr>
        <w:tc>
          <w:tcPr>
            <w:tcW w:w="8926" w:type="dxa"/>
            <w:gridSpan w:val="7"/>
            <w:tcBorders>
              <w:top w:val="single" w:sz="4" w:space="0" w:color="auto"/>
              <w:left w:val="single" w:sz="4" w:space="0" w:color="auto"/>
              <w:bottom w:val="single" w:sz="4" w:space="0" w:color="auto"/>
              <w:right w:val="single" w:sz="4" w:space="0" w:color="auto"/>
            </w:tcBorders>
            <w:hideMark/>
          </w:tcPr>
          <w:p w14:paraId="6121E000" w14:textId="77777777" w:rsidR="00A368E7" w:rsidRPr="00674669" w:rsidRDefault="00A368E7" w:rsidP="00C521FE">
            <w:pPr>
              <w:keepNext/>
              <w:rPr>
                <w:rFonts w:ascii="Arial Narrow" w:hAnsi="Arial Narrow"/>
                <w:b/>
                <w:sz w:val="20"/>
                <w:szCs w:val="20"/>
              </w:rPr>
            </w:pPr>
            <w:r w:rsidRPr="00674669">
              <w:rPr>
                <w:rFonts w:ascii="Arial Narrow" w:hAnsi="Arial Narrow"/>
                <w:b/>
                <w:sz w:val="20"/>
                <w:szCs w:val="20"/>
              </w:rPr>
              <w:t>Available brands</w:t>
            </w:r>
          </w:p>
        </w:tc>
      </w:tr>
      <w:tr w:rsidR="00A368E7" w:rsidRPr="00674669" w14:paraId="45DCD08F" w14:textId="77777777" w:rsidTr="00C521FE">
        <w:trPr>
          <w:cantSplit/>
          <w:trHeight w:val="360"/>
        </w:trPr>
        <w:tc>
          <w:tcPr>
            <w:tcW w:w="8926" w:type="dxa"/>
            <w:gridSpan w:val="7"/>
            <w:tcBorders>
              <w:top w:val="single" w:sz="4" w:space="0" w:color="auto"/>
              <w:left w:val="single" w:sz="4" w:space="0" w:color="auto"/>
              <w:bottom w:val="single" w:sz="4" w:space="0" w:color="auto"/>
              <w:right w:val="single" w:sz="4" w:space="0" w:color="auto"/>
            </w:tcBorders>
            <w:hideMark/>
          </w:tcPr>
          <w:p w14:paraId="4059987F" w14:textId="77777777" w:rsidR="00A368E7" w:rsidRPr="00674669" w:rsidRDefault="00A368E7" w:rsidP="00C521FE">
            <w:pPr>
              <w:rPr>
                <w:rFonts w:ascii="Arial Narrow" w:hAnsi="Arial Narrow"/>
                <w:sz w:val="20"/>
                <w:szCs w:val="20"/>
              </w:rPr>
            </w:pPr>
            <w:r w:rsidRPr="00674669">
              <w:rPr>
                <w:rFonts w:ascii="Arial Narrow" w:hAnsi="Arial Narrow"/>
                <w:sz w:val="20"/>
                <w:szCs w:val="20"/>
              </w:rPr>
              <w:t>Libtayo</w:t>
            </w:r>
          </w:p>
          <w:p w14:paraId="483C2178" w14:textId="77777777" w:rsidR="00A368E7" w:rsidRPr="00674669" w:rsidRDefault="00A368E7" w:rsidP="00C521FE">
            <w:pPr>
              <w:rPr>
                <w:rFonts w:ascii="Arial Narrow" w:hAnsi="Arial Narrow"/>
                <w:sz w:val="20"/>
                <w:szCs w:val="20"/>
              </w:rPr>
            </w:pPr>
            <w:r w:rsidRPr="00674669">
              <w:rPr>
                <w:rFonts w:ascii="Arial Narrow" w:hAnsi="Arial Narrow"/>
                <w:sz w:val="20"/>
                <w:szCs w:val="20"/>
              </w:rPr>
              <w:t>cemiplimab 350 mg/7 mL injection, 7 mL vial)</w:t>
            </w:r>
          </w:p>
        </w:tc>
      </w:tr>
      <w:tr w:rsidR="00A368E7" w:rsidRPr="00674669" w14:paraId="1E8261C3" w14:textId="77777777" w:rsidTr="00C521FE">
        <w:trPr>
          <w:cantSplit/>
          <w:trHeight w:val="360"/>
        </w:trPr>
        <w:tc>
          <w:tcPr>
            <w:tcW w:w="8926" w:type="dxa"/>
            <w:gridSpan w:val="7"/>
            <w:tcBorders>
              <w:top w:val="single" w:sz="4" w:space="0" w:color="auto"/>
              <w:left w:val="single" w:sz="4" w:space="0" w:color="auto"/>
              <w:bottom w:val="single" w:sz="4" w:space="0" w:color="auto"/>
              <w:right w:val="single" w:sz="4" w:space="0" w:color="auto"/>
            </w:tcBorders>
          </w:tcPr>
          <w:p w14:paraId="4339E13B" w14:textId="77777777" w:rsidR="00A368E7" w:rsidRPr="00674669" w:rsidRDefault="00A368E7" w:rsidP="00C521FE">
            <w:pPr>
              <w:rPr>
                <w:rFonts w:ascii="Arial Narrow" w:hAnsi="Arial Narrow"/>
                <w:sz w:val="20"/>
                <w:szCs w:val="20"/>
              </w:rPr>
            </w:pPr>
          </w:p>
        </w:tc>
      </w:tr>
      <w:tr w:rsidR="00A368E7" w:rsidRPr="00674669" w14:paraId="49F1BC18" w14:textId="77777777" w:rsidTr="00C521FE">
        <w:trPr>
          <w:cantSplit/>
          <w:trHeight w:val="360"/>
        </w:trPr>
        <w:tc>
          <w:tcPr>
            <w:tcW w:w="8926" w:type="dxa"/>
            <w:gridSpan w:val="7"/>
            <w:tcBorders>
              <w:top w:val="single" w:sz="4" w:space="0" w:color="auto"/>
              <w:left w:val="single" w:sz="4" w:space="0" w:color="auto"/>
              <w:bottom w:val="single" w:sz="4" w:space="0" w:color="auto"/>
              <w:right w:val="single" w:sz="4" w:space="0" w:color="auto"/>
            </w:tcBorders>
          </w:tcPr>
          <w:p w14:paraId="0AED3AB4" w14:textId="77777777" w:rsidR="00A368E7" w:rsidRPr="00674669" w:rsidRDefault="00A368E7" w:rsidP="00C521FE">
            <w:pPr>
              <w:rPr>
                <w:rFonts w:ascii="Arial Narrow" w:hAnsi="Arial Narrow"/>
                <w:sz w:val="20"/>
                <w:szCs w:val="20"/>
              </w:rPr>
            </w:pPr>
            <w:r w:rsidRPr="00674669">
              <w:rPr>
                <w:rFonts w:ascii="Arial Narrow" w:hAnsi="Arial Narrow"/>
                <w:b/>
                <w:sz w:val="20"/>
                <w:szCs w:val="20"/>
              </w:rPr>
              <w:t>Restriction Summary [new 3] Treatment of concepts [new 4]</w:t>
            </w:r>
          </w:p>
        </w:tc>
      </w:tr>
      <w:tr w:rsidR="00A368E7" w:rsidRPr="00674669" w14:paraId="63F5CE6F"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9C11B" w14:textId="77777777" w:rsidR="00A368E7" w:rsidRPr="00674669" w:rsidRDefault="00A368E7" w:rsidP="00C521FE">
            <w:pPr>
              <w:jc w:val="center"/>
              <w:rPr>
                <w:rFonts w:ascii="Arial Narrow" w:hAnsi="Arial Narrow"/>
                <w:b/>
                <w:sz w:val="20"/>
                <w:szCs w:val="20"/>
              </w:rPr>
            </w:pPr>
            <w:r w:rsidRPr="00674669">
              <w:rPr>
                <w:rFonts w:ascii="Arial Narrow" w:hAnsi="Arial Narrow"/>
                <w:b/>
                <w:sz w:val="20"/>
                <w:szCs w:val="20"/>
              </w:rPr>
              <w:t>Concept ID</w:t>
            </w: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02013A" w14:textId="77777777" w:rsidR="00A368E7" w:rsidRPr="00674669" w:rsidRDefault="00A368E7" w:rsidP="00C521FE">
            <w:pPr>
              <w:rPr>
                <w:rFonts w:ascii="Arial Narrow" w:hAnsi="Arial Narrow"/>
                <w:sz w:val="20"/>
                <w:szCs w:val="20"/>
              </w:rPr>
            </w:pPr>
            <w:r w:rsidRPr="00674669">
              <w:rPr>
                <w:rFonts w:ascii="Arial Narrow" w:hAnsi="Arial Narrow"/>
                <w:b/>
                <w:sz w:val="20"/>
                <w:szCs w:val="20"/>
              </w:rPr>
              <w:t xml:space="preserve">Category / Program: </w:t>
            </w:r>
            <w:r w:rsidRPr="00674669">
              <w:rPr>
                <w:rFonts w:ascii="Arial Narrow" w:hAnsi="Arial Narrow"/>
                <w:sz w:val="20"/>
                <w:szCs w:val="20"/>
              </w:rPr>
              <w:t xml:space="preserve">Section 100 – Efficient Funding of Chemotherapy - Public and Private Hospitals </w:t>
            </w:r>
          </w:p>
        </w:tc>
      </w:tr>
      <w:tr w:rsidR="00A368E7" w:rsidRPr="00674669" w14:paraId="16D94637" w14:textId="77777777" w:rsidTr="00C521FE">
        <w:trPr>
          <w:trHeight w:val="366"/>
        </w:trPr>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FD5349" w14:textId="77777777" w:rsidR="00A368E7" w:rsidRPr="00674669" w:rsidRDefault="00A368E7" w:rsidP="00C521FE">
            <w:pPr>
              <w:rPr>
                <w:rFonts w:ascii="Arial Narrow" w:hAnsi="Arial Narrow"/>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7104FD" w14:textId="77777777" w:rsidR="00A368E7" w:rsidRPr="00674669" w:rsidRDefault="00A368E7" w:rsidP="00C521FE">
            <w:pPr>
              <w:rPr>
                <w:rFonts w:ascii="Arial Narrow" w:hAnsi="Arial Narrow"/>
                <w:sz w:val="20"/>
                <w:szCs w:val="20"/>
              </w:rPr>
            </w:pPr>
            <w:r w:rsidRPr="00674669">
              <w:rPr>
                <w:rFonts w:ascii="Arial Narrow" w:hAnsi="Arial Narrow"/>
                <w:b/>
                <w:sz w:val="20"/>
                <w:szCs w:val="20"/>
              </w:rPr>
              <w:t>Prescriber type:</w:t>
            </w:r>
            <w:r w:rsidRPr="00674669">
              <w:rPr>
                <w:rFonts w:ascii="Arial Narrow" w:hAnsi="Arial Narrow"/>
                <w:sz w:val="20"/>
                <w:szCs w:val="20"/>
              </w:rPr>
              <w:t xml:space="preserve"> </w:t>
            </w:r>
            <w:r w:rsidRPr="00674669">
              <w:rPr>
                <w:rFonts w:ascii="Arial Narrow" w:hAnsi="Arial Narrow"/>
                <w:sz w:val="20"/>
                <w:szCs w:val="20"/>
              </w:rPr>
              <w:fldChar w:fldCharType="begin" w:fldLock="1">
                <w:ffData>
                  <w:name w:val=""/>
                  <w:enabled/>
                  <w:calcOnExit w:val="0"/>
                  <w:checkBox>
                    <w:sizeAuto/>
                    <w:default w:val="1"/>
                  </w:checkBox>
                </w:ffData>
              </w:fldChar>
            </w:r>
            <w:r w:rsidRPr="00674669">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674669">
              <w:rPr>
                <w:rFonts w:ascii="Arial Narrow" w:hAnsi="Arial Narrow"/>
                <w:sz w:val="20"/>
                <w:szCs w:val="20"/>
              </w:rPr>
              <w:fldChar w:fldCharType="end"/>
            </w:r>
            <w:r w:rsidRPr="00674669">
              <w:rPr>
                <w:rFonts w:ascii="Arial Narrow" w:hAnsi="Arial Narrow"/>
                <w:sz w:val="20"/>
                <w:szCs w:val="20"/>
              </w:rPr>
              <w:t xml:space="preserve">Medical Practitioners  </w:t>
            </w:r>
          </w:p>
        </w:tc>
      </w:tr>
      <w:tr w:rsidR="00A368E7" w:rsidRPr="00674669" w14:paraId="045B70AB"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675977" w14:textId="77777777" w:rsidR="00A368E7" w:rsidRPr="00674669" w:rsidRDefault="00A368E7" w:rsidP="00C521FE">
            <w:pPr>
              <w:rPr>
                <w:rFonts w:ascii="Arial Narrow" w:hAnsi="Arial Narrow"/>
                <w:i/>
                <w:sz w:val="20"/>
                <w:szCs w:val="20"/>
              </w:rPr>
            </w:pPr>
          </w:p>
          <w:p w14:paraId="1FDFE786" w14:textId="77777777" w:rsidR="00A368E7" w:rsidRPr="00674669" w:rsidRDefault="00A368E7" w:rsidP="00C521FE">
            <w:pPr>
              <w:rPr>
                <w:rFonts w:ascii="Arial Narrow" w:hAnsi="Arial Narrow"/>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C1C97B" w14:textId="77777777" w:rsidR="00A368E7" w:rsidRPr="00674669" w:rsidRDefault="00A368E7" w:rsidP="00C521FE">
            <w:pPr>
              <w:rPr>
                <w:rFonts w:ascii="Arial Narrow" w:hAnsi="Arial Narrow"/>
                <w:b/>
                <w:sz w:val="20"/>
                <w:szCs w:val="20"/>
              </w:rPr>
            </w:pPr>
            <w:r w:rsidRPr="00674669">
              <w:rPr>
                <w:rFonts w:ascii="Arial Narrow" w:hAnsi="Arial Narrow"/>
                <w:b/>
                <w:sz w:val="20"/>
                <w:szCs w:val="20"/>
              </w:rPr>
              <w:t xml:space="preserve">Restriction type: </w:t>
            </w:r>
            <w:r w:rsidRPr="00674669">
              <w:rPr>
                <w:rFonts w:ascii="Arial Narrow" w:hAnsi="Arial Narrow"/>
                <w:sz w:val="20"/>
                <w:szCs w:val="20"/>
              </w:rPr>
              <w:fldChar w:fldCharType="begin" w:fldLock="1">
                <w:ffData>
                  <w:name w:val=""/>
                  <w:enabled/>
                  <w:calcOnExit w:val="0"/>
                  <w:checkBox>
                    <w:sizeAuto/>
                    <w:default w:val="1"/>
                  </w:checkBox>
                </w:ffData>
              </w:fldChar>
            </w:r>
            <w:r w:rsidRPr="00674669">
              <w:rPr>
                <w:rFonts w:ascii="Arial Narrow" w:hAnsi="Arial Narrow"/>
                <w:sz w:val="20"/>
                <w:szCs w:val="20"/>
              </w:rPr>
              <w:instrText xml:space="preserve"> FORMCHECKBOX </w:instrText>
            </w:r>
            <w:r w:rsidR="00DA05A6">
              <w:rPr>
                <w:rFonts w:ascii="Arial Narrow" w:hAnsi="Arial Narrow"/>
                <w:sz w:val="20"/>
                <w:szCs w:val="20"/>
              </w:rPr>
            </w:r>
            <w:r w:rsidR="00DA05A6">
              <w:rPr>
                <w:rFonts w:ascii="Arial Narrow" w:hAnsi="Arial Narrow"/>
                <w:sz w:val="20"/>
                <w:szCs w:val="20"/>
              </w:rPr>
              <w:fldChar w:fldCharType="separate"/>
            </w:r>
            <w:r w:rsidRPr="00674669">
              <w:rPr>
                <w:rFonts w:ascii="Arial Narrow" w:hAnsi="Arial Narrow"/>
                <w:sz w:val="20"/>
                <w:szCs w:val="20"/>
              </w:rPr>
              <w:fldChar w:fldCharType="end"/>
            </w:r>
            <w:r w:rsidRPr="00674669">
              <w:rPr>
                <w:rFonts w:ascii="Arial Narrow" w:hAnsi="Arial Narrow"/>
                <w:sz w:val="20"/>
                <w:szCs w:val="20"/>
              </w:rPr>
              <w:t>Authority Required – Streamlined (ST code: new 4)</w:t>
            </w:r>
          </w:p>
        </w:tc>
      </w:tr>
      <w:tr w:rsidR="00A368E7" w:rsidRPr="00674669" w14:paraId="4D3DB52E" w14:textId="77777777" w:rsidTr="00C521FE">
        <w:tc>
          <w:tcPr>
            <w:tcW w:w="421"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2FE02B3" w14:textId="192FEA10"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5BA57CF" w14:textId="626E2980" w:rsidR="00DE43FF" w:rsidRPr="00674669" w:rsidRDefault="00DE43FF" w:rsidP="00C521FE">
            <w:pPr>
              <w:jc w:val="center"/>
              <w:rPr>
                <w:rFonts w:ascii="Arial Narrow" w:hAnsi="Arial Narrow"/>
                <w:i/>
                <w:iCs/>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C75E50" w14:textId="77777777" w:rsidR="00A368E7" w:rsidRPr="00674669" w:rsidRDefault="00A368E7" w:rsidP="00C521FE">
            <w:pPr>
              <w:rPr>
                <w:rFonts w:ascii="Arial Narrow" w:hAnsi="Arial Narrow"/>
                <w:i/>
                <w:iCs/>
                <w:color w:val="333333"/>
                <w:sz w:val="20"/>
                <w:szCs w:val="20"/>
              </w:rPr>
            </w:pPr>
            <w:r w:rsidRPr="00674669">
              <w:rPr>
                <w:rFonts w:ascii="Arial Narrow" w:hAnsi="Arial Narrow"/>
                <w:b/>
                <w:bCs/>
                <w:i/>
                <w:iCs/>
                <w:color w:val="333333"/>
                <w:sz w:val="20"/>
                <w:szCs w:val="20"/>
              </w:rPr>
              <w:t>Administrative Advice:</w:t>
            </w:r>
          </w:p>
          <w:p w14:paraId="137A1329" w14:textId="340DCE44" w:rsidR="00197C41" w:rsidRPr="00674669" w:rsidRDefault="00197C41" w:rsidP="002F25FD">
            <w:pPr>
              <w:rPr>
                <w:rFonts w:ascii="Arial Narrow" w:hAnsi="Arial Narrow"/>
                <w:i/>
                <w:iCs/>
                <w:color w:val="333333"/>
                <w:sz w:val="20"/>
                <w:szCs w:val="20"/>
              </w:rPr>
            </w:pPr>
            <w:r w:rsidRPr="00674669">
              <w:rPr>
                <w:rFonts w:ascii="Arial Narrow" w:hAnsi="Arial Narrow" w:cs="Open Sans"/>
                <w:i/>
                <w:iCs/>
                <w:color w:val="333333"/>
                <w:sz w:val="20"/>
                <w:szCs w:val="20"/>
                <w:bdr w:val="none" w:sz="0" w:space="0" w:color="auto" w:frame="1"/>
              </w:rPr>
              <w:t>No increase in the maximum amount or number of units may be authorised.</w:t>
            </w:r>
          </w:p>
        </w:tc>
      </w:tr>
      <w:tr w:rsidR="00A368E7" w:rsidRPr="00674669" w14:paraId="734E58AD" w14:textId="77777777" w:rsidTr="00C521FE">
        <w:tc>
          <w:tcPr>
            <w:tcW w:w="421" w:type="dxa"/>
            <w:vMerge/>
            <w:tcBorders>
              <w:left w:val="single" w:sz="4" w:space="0" w:color="auto"/>
              <w:right w:val="single" w:sz="4" w:space="0" w:color="auto"/>
            </w:tcBorders>
            <w:tcMar>
              <w:top w:w="15" w:type="dxa"/>
              <w:left w:w="15" w:type="dxa"/>
              <w:bottom w:w="15" w:type="dxa"/>
              <w:right w:w="15" w:type="dxa"/>
            </w:tcMar>
            <w:vAlign w:val="center"/>
            <w:hideMark/>
          </w:tcPr>
          <w:p w14:paraId="535C82C5" w14:textId="77777777"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11B056" w14:textId="373AF4F2"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A694E2"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Administrative Advice:</w:t>
            </w:r>
          </w:p>
          <w:p w14:paraId="05AA5A14" w14:textId="77777777" w:rsidR="00A368E7" w:rsidRPr="00674669" w:rsidRDefault="00A368E7" w:rsidP="00C521FE">
            <w:pPr>
              <w:rPr>
                <w:rFonts w:ascii="Arial Narrow" w:hAnsi="Arial Narrow"/>
                <w:b/>
                <w:bCs/>
                <w:color w:val="333333"/>
                <w:sz w:val="20"/>
                <w:szCs w:val="20"/>
              </w:rPr>
            </w:pPr>
            <w:r w:rsidRPr="00674669">
              <w:rPr>
                <w:rFonts w:ascii="Arial Narrow" w:hAnsi="Arial Narrow"/>
                <w:color w:val="333333"/>
                <w:sz w:val="20"/>
                <w:szCs w:val="20"/>
              </w:rPr>
              <w:t>No increase in the maximum number of repeats may be authorised.</w:t>
            </w:r>
          </w:p>
        </w:tc>
      </w:tr>
      <w:tr w:rsidR="00A368E7" w:rsidRPr="00674669" w14:paraId="610AFD2B" w14:textId="77777777" w:rsidTr="00C521FE">
        <w:tc>
          <w:tcPr>
            <w:tcW w:w="421" w:type="dxa"/>
            <w:vMerge/>
            <w:tcBorders>
              <w:left w:val="single" w:sz="4" w:space="0" w:color="auto"/>
              <w:right w:val="single" w:sz="4" w:space="0" w:color="auto"/>
            </w:tcBorders>
            <w:tcMar>
              <w:top w:w="15" w:type="dxa"/>
              <w:left w:w="15" w:type="dxa"/>
              <w:bottom w:w="15" w:type="dxa"/>
              <w:right w:w="15" w:type="dxa"/>
            </w:tcMar>
            <w:vAlign w:val="center"/>
            <w:hideMark/>
          </w:tcPr>
          <w:p w14:paraId="1FACD385" w14:textId="77777777"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43B53BB" w14:textId="6BD3B730"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08128A"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Administrative Advice:</w:t>
            </w:r>
          </w:p>
          <w:p w14:paraId="57BBF74C" w14:textId="77777777" w:rsidR="00A368E7" w:rsidRPr="00674669" w:rsidRDefault="00A368E7" w:rsidP="00C521FE">
            <w:pPr>
              <w:rPr>
                <w:rFonts w:ascii="Arial Narrow" w:hAnsi="Arial Narrow"/>
                <w:b/>
                <w:bCs/>
                <w:color w:val="333333"/>
                <w:sz w:val="20"/>
                <w:szCs w:val="20"/>
              </w:rPr>
            </w:pPr>
            <w:r w:rsidRPr="00674669">
              <w:rPr>
                <w:rFonts w:ascii="Arial Narrow" w:hAnsi="Arial Narrow"/>
                <w:color w:val="333333"/>
                <w:sz w:val="20"/>
                <w:szCs w:val="20"/>
              </w:rPr>
              <w:t>Special Pricing Arrangements apply.</w:t>
            </w:r>
          </w:p>
        </w:tc>
      </w:tr>
      <w:tr w:rsidR="00A368E7" w:rsidRPr="00674669" w14:paraId="254CE294" w14:textId="77777777" w:rsidTr="00C521FE">
        <w:tc>
          <w:tcPr>
            <w:tcW w:w="421"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14:paraId="7D9F3D4C" w14:textId="77777777" w:rsidR="00A368E7" w:rsidRPr="00674669" w:rsidRDefault="00A368E7" w:rsidP="00C521FE">
            <w:pPr>
              <w:jc w:val="center"/>
              <w:rPr>
                <w:rFonts w:ascii="Arial Narrow" w:hAnsi="Arial Narrow"/>
                <w:color w:val="333333"/>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0FF9547" w14:textId="34278D05" w:rsidR="00A368E7" w:rsidRPr="00674669"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EAA9F" w14:textId="77777777" w:rsidR="00A368E7" w:rsidRPr="00674669" w:rsidRDefault="00A368E7" w:rsidP="00C521FE">
            <w:pPr>
              <w:rPr>
                <w:rFonts w:ascii="Arial Narrow" w:hAnsi="Arial Narrow"/>
                <w:b/>
                <w:bCs/>
                <w:strike/>
                <w:color w:val="333333"/>
                <w:sz w:val="20"/>
                <w:szCs w:val="20"/>
              </w:rPr>
            </w:pPr>
            <w:r w:rsidRPr="00674669">
              <w:rPr>
                <w:rFonts w:ascii="Arial Narrow" w:hAnsi="Arial Narrow"/>
                <w:b/>
                <w:bCs/>
                <w:strike/>
                <w:color w:val="333333"/>
                <w:sz w:val="20"/>
                <w:szCs w:val="20"/>
              </w:rPr>
              <w:t>Administrative Advice:</w:t>
            </w:r>
          </w:p>
          <w:p w14:paraId="75B469D4" w14:textId="77777777" w:rsidR="00A368E7" w:rsidRPr="00674669" w:rsidRDefault="00A368E7" w:rsidP="00C521FE">
            <w:pPr>
              <w:rPr>
                <w:rFonts w:ascii="Arial Narrow" w:hAnsi="Arial Narrow"/>
                <w:b/>
                <w:bCs/>
                <w:strike/>
                <w:color w:val="333333"/>
                <w:sz w:val="20"/>
                <w:szCs w:val="20"/>
              </w:rPr>
            </w:pPr>
            <w:r w:rsidRPr="00674669">
              <w:rPr>
                <w:rFonts w:ascii="Arial Narrow" w:hAnsi="Arial Narrow"/>
                <w:strike/>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A368E7" w:rsidRPr="00674669" w14:paraId="7ABDE1D7"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E959EE" w14:textId="5379EF20"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BCF56"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Indication:</w:t>
            </w:r>
            <w:r w:rsidRPr="00674669">
              <w:rPr>
                <w:rFonts w:ascii="Arial Narrow" w:hAnsi="Arial Narrow"/>
                <w:color w:val="333333"/>
                <w:sz w:val="20"/>
                <w:szCs w:val="20"/>
              </w:rPr>
              <w:t xml:space="preserve"> Stage IV (metastatic) non-small cell lung cancer (NSCLC)</w:t>
            </w:r>
          </w:p>
        </w:tc>
      </w:tr>
      <w:tr w:rsidR="00A368E7" w:rsidRPr="00674669" w14:paraId="1F9DF723" w14:textId="77777777" w:rsidTr="00C521FE">
        <w:tc>
          <w:tcPr>
            <w:tcW w:w="892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8DFFDF" w14:textId="77777777" w:rsidR="00A368E7" w:rsidRPr="00674669" w:rsidRDefault="00A368E7" w:rsidP="00C521FE">
            <w:pPr>
              <w:rPr>
                <w:rFonts w:ascii="Arial Narrow" w:hAnsi="Arial Narrow"/>
                <w:b/>
                <w:bCs/>
                <w:color w:val="333333"/>
                <w:sz w:val="20"/>
                <w:szCs w:val="20"/>
              </w:rPr>
            </w:pPr>
          </w:p>
        </w:tc>
      </w:tr>
      <w:tr w:rsidR="00A368E7" w:rsidRPr="00674669" w14:paraId="42E2FC39"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1ECD7D" w14:textId="77777777" w:rsidR="00A368E7" w:rsidRPr="00674669" w:rsidRDefault="00A368E7" w:rsidP="00C521FE">
            <w:pP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BDEABB"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Treatment Phase:</w:t>
            </w:r>
            <w:r w:rsidRPr="00674669">
              <w:rPr>
                <w:rFonts w:ascii="Arial Narrow" w:hAnsi="Arial Narrow"/>
                <w:color w:val="333333"/>
                <w:sz w:val="20"/>
                <w:szCs w:val="20"/>
              </w:rPr>
              <w:t xml:space="preserve"> Continuing treatment – 3 weekly treatment regimen</w:t>
            </w:r>
          </w:p>
        </w:tc>
      </w:tr>
      <w:tr w:rsidR="00A368E7" w:rsidRPr="00674669" w14:paraId="4F6AEC0B"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2ECF4" w14:textId="07D78714"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902BD"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56E6EB1B"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EE449A" w14:textId="7265C5AE"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CAA348"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Patient must have previously received PBS subsidised treatment with this drug for this condition,</w:t>
            </w:r>
          </w:p>
        </w:tc>
      </w:tr>
      <w:tr w:rsidR="00A368E7" w:rsidRPr="00674669" w14:paraId="7997EA1A" w14:textId="77777777" w:rsidTr="000A0CE0">
        <w:trPr>
          <w:trHeight w:val="288"/>
        </w:trPr>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63EA7" w14:textId="77777777" w:rsidR="00A368E7" w:rsidRPr="00674669" w:rsidRDefault="00A368E7" w:rsidP="00C521FE">
            <w:pP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2E7052"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AND</w:t>
            </w:r>
          </w:p>
        </w:tc>
      </w:tr>
      <w:tr w:rsidR="00A368E7" w:rsidRPr="00674669" w14:paraId="18E46C57"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FCF270" w14:textId="455DA5FD"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D8A6E"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3196CB95"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1CF8EF" w14:textId="34B5A577"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6AC90"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Patient must not have developed disease progression while being treated with this drug for this condition,</w:t>
            </w:r>
          </w:p>
        </w:tc>
      </w:tr>
      <w:tr w:rsidR="00A368E7" w:rsidRPr="00674669" w14:paraId="459373A2"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0CE09C" w14:textId="77777777" w:rsidR="00A368E7" w:rsidRPr="00674669"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16D1A" w14:textId="77777777" w:rsidR="00A368E7" w:rsidRPr="00674669" w:rsidRDefault="00A368E7" w:rsidP="00C521FE">
            <w:pPr>
              <w:rPr>
                <w:rFonts w:ascii="Arial Narrow" w:hAnsi="Arial Narrow"/>
                <w:strike/>
                <w:color w:val="333333"/>
                <w:sz w:val="20"/>
                <w:szCs w:val="20"/>
              </w:rPr>
            </w:pPr>
            <w:r w:rsidRPr="00674669">
              <w:rPr>
                <w:rFonts w:ascii="Arial Narrow" w:hAnsi="Arial Narrow"/>
                <w:b/>
                <w:bCs/>
                <w:strike/>
                <w:color w:val="333333"/>
                <w:sz w:val="20"/>
                <w:szCs w:val="20"/>
              </w:rPr>
              <w:t>AND</w:t>
            </w:r>
          </w:p>
        </w:tc>
      </w:tr>
      <w:tr w:rsidR="00A368E7" w:rsidRPr="00674669" w14:paraId="1B15A04F"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7F674" w14:textId="379995CE" w:rsidR="00A368E7" w:rsidRPr="00674669"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6897F" w14:textId="77777777" w:rsidR="00A368E7" w:rsidRPr="00674669" w:rsidRDefault="00A368E7" w:rsidP="00C521FE">
            <w:pPr>
              <w:rPr>
                <w:rFonts w:ascii="Arial Narrow" w:hAnsi="Arial Narrow"/>
                <w:strike/>
                <w:color w:val="333333"/>
                <w:sz w:val="20"/>
                <w:szCs w:val="20"/>
              </w:rPr>
            </w:pPr>
            <w:r w:rsidRPr="00674669">
              <w:rPr>
                <w:rFonts w:ascii="Arial Narrow" w:hAnsi="Arial Narrow"/>
                <w:b/>
                <w:bCs/>
                <w:strike/>
                <w:color w:val="333333"/>
                <w:sz w:val="20"/>
                <w:szCs w:val="20"/>
              </w:rPr>
              <w:t>Clinical criteria:</w:t>
            </w:r>
          </w:p>
        </w:tc>
      </w:tr>
      <w:tr w:rsidR="00A368E7" w:rsidRPr="00674669" w14:paraId="7A92EC6F"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3C201" w14:textId="1A14D5EE" w:rsidR="00A368E7" w:rsidRPr="00674669" w:rsidRDefault="00A368E7" w:rsidP="00C521FE">
            <w:pPr>
              <w:jc w:val="center"/>
              <w:rPr>
                <w:rFonts w:ascii="Arial Narrow" w:hAnsi="Arial Narrow"/>
                <w:strike/>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2668E5" w14:textId="77777777" w:rsidR="00A368E7" w:rsidRPr="00674669" w:rsidRDefault="00A368E7" w:rsidP="00C521FE">
            <w:pPr>
              <w:rPr>
                <w:rFonts w:ascii="Arial Narrow" w:hAnsi="Arial Narrow"/>
                <w:strike/>
                <w:color w:val="333333"/>
                <w:sz w:val="20"/>
                <w:szCs w:val="20"/>
              </w:rPr>
            </w:pPr>
            <w:r w:rsidRPr="00674669">
              <w:rPr>
                <w:rFonts w:ascii="Arial Narrow" w:hAnsi="Arial Narrow"/>
                <w:strike/>
                <w:color w:val="333333"/>
                <w:sz w:val="20"/>
                <w:szCs w:val="20"/>
              </w:rPr>
              <w:t>The treatment must be the sole PBS-subsidised systemic anti-cancer therapy for this condition</w:t>
            </w:r>
          </w:p>
        </w:tc>
      </w:tr>
      <w:tr w:rsidR="00A368E7" w:rsidRPr="00674669" w14:paraId="164C68BB" w14:textId="77777777" w:rsidTr="00C521FE">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8556F5" w14:textId="77777777"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65DFEE"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AND</w:t>
            </w:r>
          </w:p>
        </w:tc>
      </w:tr>
      <w:tr w:rsidR="00A368E7" w:rsidRPr="00674669" w14:paraId="6E37355F"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A9B6A" w14:textId="2C5FD9FD"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08DDF2" w14:textId="77777777" w:rsidR="00A368E7" w:rsidRPr="00674669" w:rsidRDefault="00A368E7" w:rsidP="00C521FE">
            <w:pPr>
              <w:rPr>
                <w:rFonts w:ascii="Arial Narrow" w:hAnsi="Arial Narrow"/>
                <w:color w:val="333333"/>
                <w:sz w:val="20"/>
                <w:szCs w:val="20"/>
              </w:rPr>
            </w:pPr>
            <w:r w:rsidRPr="00674669">
              <w:rPr>
                <w:rFonts w:ascii="Arial Narrow" w:hAnsi="Arial Narrow"/>
                <w:b/>
                <w:bCs/>
                <w:color w:val="333333"/>
                <w:sz w:val="20"/>
                <w:szCs w:val="20"/>
              </w:rPr>
              <w:t>Clinical criteria:</w:t>
            </w:r>
          </w:p>
        </w:tc>
      </w:tr>
      <w:tr w:rsidR="00A368E7" w:rsidRPr="00674669" w14:paraId="052C6F9F" w14:textId="77777777" w:rsidTr="000A0CE0">
        <w:tc>
          <w:tcPr>
            <w:tcW w:w="11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078103" w14:textId="743A802B" w:rsidR="00A368E7" w:rsidRPr="00674669" w:rsidRDefault="00A368E7" w:rsidP="00C521FE">
            <w:pPr>
              <w:jc w:val="center"/>
              <w:rPr>
                <w:rFonts w:ascii="Arial Narrow" w:hAnsi="Arial Narrow"/>
                <w:color w:val="333333"/>
                <w:sz w:val="20"/>
                <w:szCs w:val="20"/>
              </w:rPr>
            </w:pPr>
          </w:p>
        </w:tc>
        <w:tc>
          <w:tcPr>
            <w:tcW w:w="779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D2189" w14:textId="77777777" w:rsidR="00A368E7" w:rsidRPr="00674669" w:rsidRDefault="00A368E7" w:rsidP="00C521FE">
            <w:pPr>
              <w:rPr>
                <w:rFonts w:ascii="Arial Narrow" w:hAnsi="Arial Narrow"/>
                <w:color w:val="333333"/>
                <w:sz w:val="20"/>
                <w:szCs w:val="20"/>
              </w:rPr>
            </w:pPr>
            <w:r w:rsidRPr="00674669">
              <w:rPr>
                <w:rFonts w:ascii="Arial Narrow" w:hAnsi="Arial Narrow"/>
                <w:color w:val="333333"/>
                <w:sz w:val="20"/>
                <w:szCs w:val="20"/>
              </w:rPr>
              <w:t>The treatment must not exceed a total of 35 cycles or up to 24 months of treatment under both initial and continuing treatment restrictions, whichever comes first.</w:t>
            </w:r>
          </w:p>
        </w:tc>
      </w:tr>
    </w:tbl>
    <w:p w14:paraId="1F35B042" w14:textId="5772FCC0" w:rsidR="00832583" w:rsidRDefault="001A0455" w:rsidP="000A0CE0">
      <w:pPr>
        <w:spacing w:before="120"/>
        <w:rPr>
          <w:rFonts w:asciiTheme="minorHAnsi" w:hAnsiTheme="minorHAnsi" w:cstheme="minorHAnsi"/>
          <w:b/>
          <w:i/>
        </w:rPr>
      </w:pPr>
      <w:r w:rsidRPr="00674669">
        <w:rPr>
          <w:rFonts w:asciiTheme="minorHAnsi" w:hAnsiTheme="minorHAnsi" w:cstheme="minorHAnsi"/>
          <w:b/>
          <w:i/>
        </w:rPr>
        <w:t>This restriction may be subject to further review. Should there be any changes made to the restriction the Sponsor will be informed.</w:t>
      </w:r>
      <w:bookmarkEnd w:id="4"/>
      <w:bookmarkEnd w:id="94"/>
    </w:p>
    <w:p w14:paraId="3AA2B556" w14:textId="49E4F109" w:rsidR="006E7B13" w:rsidRDefault="006E7B13" w:rsidP="006E7B13">
      <w:pPr>
        <w:pStyle w:val="2-SectionHeading"/>
        <w:rPr>
          <w:bCs/>
          <w:lang w:val="en-GB"/>
        </w:rPr>
      </w:pPr>
      <w:r w:rsidRPr="00C07617">
        <w:t>Context for Decision</w:t>
      </w:r>
    </w:p>
    <w:p w14:paraId="0F136D9A" w14:textId="77777777" w:rsidR="006E7B13" w:rsidRPr="00311EEF" w:rsidRDefault="006E7B13" w:rsidP="006E7B13">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bCs/>
          <w:lang w:val="en-GB"/>
        </w:rPr>
        <w:t>be made</w:t>
      </w:r>
      <w:proofErr w:type="gramEnd"/>
      <w:r w:rsidRPr="00311EEF">
        <w:rPr>
          <w:rFonts w:asciiTheme="minorHAnsi" w:hAnsiTheme="minorHAnsi"/>
          <w:bCs/>
          <w:lang w:val="en-GB"/>
        </w:rPr>
        <w:t xml:space="preserve"> available through the PBS. The PBAC welcomes applications containing </w:t>
      </w:r>
      <w:proofErr w:type="gramStart"/>
      <w:r w:rsidRPr="00311EEF">
        <w:rPr>
          <w:rFonts w:asciiTheme="minorHAnsi" w:hAnsiTheme="minorHAnsi"/>
          <w:bCs/>
          <w:lang w:val="en-GB"/>
        </w:rPr>
        <w:t>new information</w:t>
      </w:r>
      <w:proofErr w:type="gramEnd"/>
      <w:r w:rsidRPr="00311EEF">
        <w:rPr>
          <w:rFonts w:asciiTheme="minorHAnsi" w:hAnsiTheme="minorHAnsi"/>
          <w:bCs/>
          <w:lang w:val="en-GB"/>
        </w:rPr>
        <w:t xml:space="preserve"> at any time.</w:t>
      </w:r>
    </w:p>
    <w:p w14:paraId="776059C0" w14:textId="4707E90E" w:rsidR="006E7B13" w:rsidRPr="00311EEF" w:rsidRDefault="006E7B13" w:rsidP="006E7B13">
      <w:pPr>
        <w:pStyle w:val="2-SectionHeading"/>
      </w:pPr>
      <w:r w:rsidRPr="00311EEF">
        <w:t>Sponsor’s Comment</w:t>
      </w:r>
    </w:p>
    <w:p w14:paraId="6DC92D79" w14:textId="77777777" w:rsidR="006E7B13" w:rsidRPr="001179AC" w:rsidRDefault="006E7B13" w:rsidP="006E7B13">
      <w:pPr>
        <w:spacing w:after="120"/>
        <w:ind w:left="720"/>
        <w:rPr>
          <w:rFonts w:asciiTheme="minorHAnsi" w:hAnsiTheme="minorHAnsi"/>
          <w:bCs/>
        </w:rPr>
      </w:pPr>
      <w:r w:rsidRPr="00C07617">
        <w:rPr>
          <w:rFonts w:asciiTheme="minorHAnsi" w:hAnsiTheme="minorHAnsi"/>
          <w:bCs/>
        </w:rPr>
        <w:t>The sponsor had no comment.</w:t>
      </w:r>
    </w:p>
    <w:p w14:paraId="71573BEC" w14:textId="77777777" w:rsidR="006E7B13" w:rsidRPr="006D4BB1" w:rsidRDefault="006E7B13" w:rsidP="000A0CE0">
      <w:pPr>
        <w:spacing w:before="120"/>
        <w:rPr>
          <w:rFonts w:asciiTheme="minorHAnsi" w:hAnsiTheme="minorHAnsi" w:cstheme="minorHAnsi"/>
          <w:b/>
          <w:i/>
        </w:rPr>
      </w:pPr>
    </w:p>
    <w:sectPr w:rsidR="006E7B13" w:rsidRPr="006D4BB1" w:rsidSect="00251006">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105F" w14:textId="77777777" w:rsidR="000A0B7F" w:rsidRDefault="000A0B7F" w:rsidP="00124A51">
      <w:r>
        <w:separator/>
      </w:r>
    </w:p>
    <w:p w14:paraId="45FC05F8" w14:textId="77777777" w:rsidR="000A0B7F" w:rsidRDefault="000A0B7F"/>
  </w:endnote>
  <w:endnote w:type="continuationSeparator" w:id="0">
    <w:p w14:paraId="28E84945" w14:textId="77777777" w:rsidR="000A0B7F" w:rsidRDefault="000A0B7F" w:rsidP="00124A51">
      <w:r>
        <w:continuationSeparator/>
      </w:r>
    </w:p>
    <w:p w14:paraId="724FAAD0" w14:textId="77777777" w:rsidR="000A0B7F" w:rsidRDefault="000A0B7F"/>
  </w:endnote>
  <w:endnote w:type="continuationNotice" w:id="1">
    <w:p w14:paraId="6F19705C" w14:textId="77777777" w:rsidR="000A0B7F" w:rsidRDefault="000A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7B6D" w14:textId="77777777" w:rsidR="00FD694A" w:rsidRDefault="00FD6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AD6D" w14:textId="77777777" w:rsidR="00F7273E" w:rsidRDefault="00F7273E">
    <w:pPr>
      <w:pStyle w:val="Footer"/>
      <w:jc w:val="center"/>
    </w:pPr>
  </w:p>
  <w:p w14:paraId="37484CD3" w14:textId="600A30AC" w:rsidR="00D843F2" w:rsidRPr="00AA51FF" w:rsidRDefault="00DA05A6" w:rsidP="00AA51FF">
    <w:pPr>
      <w:pStyle w:val="Footer"/>
      <w:jc w:val="center"/>
      <w:rPr>
        <w:b/>
        <w:bCs/>
      </w:rPr>
    </w:pPr>
    <w:sdt>
      <w:sdtPr>
        <w:rPr>
          <w:b/>
          <w:bCs/>
        </w:rPr>
        <w:id w:val="-2089067600"/>
        <w:docPartObj>
          <w:docPartGallery w:val="Page Numbers (Bottom of Page)"/>
          <w:docPartUnique/>
        </w:docPartObj>
      </w:sdtPr>
      <w:sdtEndPr>
        <w:rPr>
          <w:noProof/>
        </w:rPr>
      </w:sdtEndPr>
      <w:sdtContent>
        <w:r w:rsidR="00F7273E" w:rsidRPr="00140CA4">
          <w:rPr>
            <w:b/>
            <w:bCs/>
          </w:rPr>
          <w:fldChar w:fldCharType="begin"/>
        </w:r>
        <w:r w:rsidR="00F7273E" w:rsidRPr="00140CA4">
          <w:rPr>
            <w:b/>
            <w:bCs/>
          </w:rPr>
          <w:instrText xml:space="preserve"> PAGE   \* MERGEFORMAT </w:instrText>
        </w:r>
        <w:r w:rsidR="00F7273E" w:rsidRPr="00140CA4">
          <w:rPr>
            <w:b/>
            <w:bCs/>
          </w:rPr>
          <w:fldChar w:fldCharType="separate"/>
        </w:r>
        <w:r w:rsidR="005A47AD">
          <w:rPr>
            <w:b/>
            <w:bCs/>
            <w:noProof/>
          </w:rPr>
          <w:t>34</w:t>
        </w:r>
        <w:r w:rsidR="00F7273E" w:rsidRPr="00140CA4">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4609" w14:textId="77777777" w:rsidR="00FD694A" w:rsidRDefault="00FD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4B74" w14:textId="77777777" w:rsidR="000A0B7F" w:rsidRDefault="000A0B7F" w:rsidP="00124A51">
      <w:r>
        <w:separator/>
      </w:r>
    </w:p>
    <w:p w14:paraId="07A06A0D" w14:textId="77777777" w:rsidR="000A0B7F" w:rsidRDefault="000A0B7F"/>
  </w:footnote>
  <w:footnote w:type="continuationSeparator" w:id="0">
    <w:p w14:paraId="1BBBEFA9" w14:textId="77777777" w:rsidR="000A0B7F" w:rsidRDefault="000A0B7F" w:rsidP="00124A51">
      <w:r>
        <w:continuationSeparator/>
      </w:r>
    </w:p>
    <w:p w14:paraId="13E5ECAE" w14:textId="77777777" w:rsidR="000A0B7F" w:rsidRDefault="000A0B7F"/>
  </w:footnote>
  <w:footnote w:type="continuationNotice" w:id="1">
    <w:p w14:paraId="2E911286" w14:textId="77777777" w:rsidR="000A0B7F" w:rsidRDefault="000A0B7F"/>
  </w:footnote>
  <w:footnote w:id="2">
    <w:p w14:paraId="2DCC2BEE" w14:textId="77777777" w:rsidR="00AD26DB" w:rsidRDefault="00AD26DB" w:rsidP="00AD26DB">
      <w:pPr>
        <w:pStyle w:val="FootnoteText"/>
      </w:pPr>
      <w:r>
        <w:rPr>
          <w:rStyle w:val="FootnoteReference"/>
        </w:rPr>
        <w:footnoteRef/>
      </w:r>
      <w:r>
        <w:t xml:space="preserve"> </w:t>
      </w:r>
      <w:r w:rsidRPr="009A135D">
        <w:t xml:space="preserve">Cancer Australia, (2022), Lung cancer in Australia statistics. Available at: </w:t>
      </w:r>
      <w:hyperlink r:id="rId1" w:history="1">
        <w:r w:rsidRPr="002E55AD">
          <w:rPr>
            <w:rStyle w:val="Hyperlink"/>
          </w:rPr>
          <w:t>https://www.canceraustralia.gov.au/cancer-types/lung-cancer/statistics</w:t>
        </w:r>
      </w:hyperlink>
      <w:r w:rsidRPr="009A135D">
        <w:t>.</w:t>
      </w:r>
      <w:r>
        <w:t xml:space="preserve"> </w:t>
      </w:r>
    </w:p>
  </w:footnote>
  <w:footnote w:id="3">
    <w:p w14:paraId="0CBE12BF" w14:textId="77777777" w:rsidR="00AD26DB" w:rsidRDefault="00AD26DB" w:rsidP="00AD26DB">
      <w:pPr>
        <w:pStyle w:val="FootnoteText"/>
      </w:pPr>
      <w:r>
        <w:rPr>
          <w:rStyle w:val="FootnoteReference"/>
        </w:rPr>
        <w:footnoteRef/>
      </w:r>
      <w:r>
        <w:t xml:space="preserve"> </w:t>
      </w:r>
      <w:r w:rsidRPr="006C5509">
        <w:t xml:space="preserve">Cancer Australia, (2022), Types of lung cancer. Available at: </w:t>
      </w:r>
      <w:hyperlink r:id="rId2" w:history="1">
        <w:r w:rsidRPr="002E55AD">
          <w:rPr>
            <w:rStyle w:val="Hyperlink"/>
          </w:rPr>
          <w:t>https://www.canceraustralia.gov.au/cancer-types/lung-cancer/types</w:t>
        </w:r>
      </w:hyperlink>
      <w:r w:rsidRPr="006C5509">
        <w:t>.</w:t>
      </w:r>
      <w:r>
        <w:t xml:space="preserve"> </w:t>
      </w:r>
    </w:p>
  </w:footnote>
  <w:footnote w:id="4">
    <w:p w14:paraId="72E1CF39" w14:textId="019D3B18" w:rsidR="00AD26DB" w:rsidRDefault="00AD26DB" w:rsidP="00AD26DB">
      <w:pPr>
        <w:pStyle w:val="FootnoteText"/>
      </w:pPr>
      <w:r>
        <w:rPr>
          <w:rStyle w:val="FootnoteReference"/>
        </w:rPr>
        <w:footnoteRef/>
      </w:r>
      <w:r>
        <w:t xml:space="preserve"> </w:t>
      </w:r>
      <w:r w:rsidR="002C6D24">
        <w:t xml:space="preserve">National Cancer Control Indicators. Available at </w:t>
      </w:r>
      <w:hyperlink r:id="rId3" w:history="1">
        <w:r w:rsidR="002C6D24" w:rsidRPr="002C6D24">
          <w:rPr>
            <w:color w:val="0000FF"/>
            <w:u w:val="single"/>
          </w:rPr>
          <w:t>National cancer stage at diagnosis data | National Cancer Control Indicators (canceraustralia.gov.au)</w:t>
        </w:r>
      </w:hyperlink>
    </w:p>
  </w:footnote>
  <w:footnote w:id="5">
    <w:p w14:paraId="5BD7B37E" w14:textId="77777777" w:rsidR="00AD26DB" w:rsidRDefault="00AD26DB" w:rsidP="00AD26DB">
      <w:pPr>
        <w:pStyle w:val="FootnoteText"/>
      </w:pPr>
      <w:r>
        <w:rPr>
          <w:rStyle w:val="FootnoteReference"/>
        </w:rPr>
        <w:footnoteRef/>
      </w:r>
      <w:r>
        <w:t xml:space="preserve"> </w:t>
      </w:r>
      <w:r w:rsidRPr="002419E0">
        <w:t xml:space="preserve">Australian Institute of Health and Welfare, (2022), ‘Cancer data in Australia. Cancer incidence and survival by stage data visualisation’. Available at: </w:t>
      </w:r>
      <w:hyperlink r:id="rId4" w:history="1">
        <w:r w:rsidRPr="002E55AD">
          <w:rPr>
            <w:rStyle w:val="Hyperlink"/>
          </w:rPr>
          <w:t>https://www.aihw.gov.au/reports/cancer/cancer-data-in-australia/contents/cancer-incidence-and-survival-by-stage-data-visualisation</w:t>
        </w:r>
      </w:hyperlink>
      <w:r>
        <w:t xml:space="preserve"> </w:t>
      </w:r>
    </w:p>
  </w:footnote>
  <w:footnote w:id="6">
    <w:p w14:paraId="75834C12" w14:textId="180EEB31" w:rsidR="005F665C" w:rsidRDefault="005F665C">
      <w:pPr>
        <w:pStyle w:val="FootnoteText"/>
      </w:pPr>
      <w:r>
        <w:rPr>
          <w:rStyle w:val="FootnoteReference"/>
        </w:rPr>
        <w:footnoteRef/>
      </w:r>
      <w:r>
        <w:t xml:space="preserve"> </w:t>
      </w:r>
      <w:r w:rsidRPr="005F665C">
        <w:t>Sung, H</w:t>
      </w:r>
      <w:r>
        <w:t>,</w:t>
      </w:r>
      <w:r w:rsidRPr="005F665C">
        <w:t xml:space="preserve"> et al.</w:t>
      </w:r>
      <w:r>
        <w:t>, (2021), ‘</w:t>
      </w:r>
      <w:r w:rsidRPr="005F665C">
        <w:t>Global cancer statistics 2020: GLOBOCAN estimates of incidence and mortality worldwide for 36 cancers in 185 countries.</w:t>
      </w:r>
      <w:r>
        <w:t>’</w:t>
      </w:r>
      <w:r w:rsidRPr="005F665C">
        <w:t xml:space="preserve"> CA</w:t>
      </w:r>
      <w:r>
        <w:t>: A</w:t>
      </w:r>
      <w:r w:rsidRPr="005F665C">
        <w:t xml:space="preserve"> Cancer J</w:t>
      </w:r>
      <w:r>
        <w:t xml:space="preserve">ournal for </w:t>
      </w:r>
      <w:r w:rsidRPr="005F665C">
        <w:t>Clin</w:t>
      </w:r>
      <w:r>
        <w:t>icians,</w:t>
      </w:r>
      <w:r w:rsidRPr="005F665C">
        <w:t xml:space="preserve"> 71, 209–249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80DA" w14:textId="77777777" w:rsidR="00FD694A" w:rsidRDefault="00FD6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1834" w14:textId="73BC4BCF" w:rsidR="00F7273E" w:rsidRPr="00056684" w:rsidRDefault="00AA51FF" w:rsidP="00F7273E">
    <w:pPr>
      <w:pStyle w:val="Header"/>
      <w:ind w:left="360"/>
      <w:rPr>
        <w:rFonts w:asciiTheme="minorHAnsi" w:hAnsiTheme="minorHAnsi"/>
        <w:i/>
        <w:color w:val="808080"/>
      </w:rPr>
    </w:pPr>
    <w:bookmarkStart w:id="96" w:name="_Hlk76375146"/>
    <w:r>
      <w:rPr>
        <w:rFonts w:asciiTheme="minorHAnsi" w:hAnsiTheme="minorHAnsi"/>
        <w:i/>
        <w:color w:val="808080"/>
      </w:rPr>
      <w:t>Public Summary Document</w:t>
    </w:r>
    <w:r w:rsidR="00F7273E" w:rsidRPr="00056684">
      <w:rPr>
        <w:rFonts w:asciiTheme="minorHAnsi" w:hAnsiTheme="minorHAnsi"/>
        <w:i/>
        <w:color w:val="808080"/>
      </w:rPr>
      <w:t xml:space="preserve"> – </w:t>
    </w:r>
    <w:r w:rsidR="00F7273E">
      <w:rPr>
        <w:rFonts w:asciiTheme="minorHAnsi" w:hAnsiTheme="minorHAnsi"/>
        <w:i/>
        <w:color w:val="808080"/>
      </w:rPr>
      <w:t>November 2023</w:t>
    </w:r>
    <w:r w:rsidR="00F7273E" w:rsidRPr="00056684">
      <w:rPr>
        <w:rFonts w:asciiTheme="minorHAnsi" w:hAnsiTheme="minorHAnsi"/>
        <w:i/>
        <w:color w:val="808080"/>
      </w:rPr>
      <w:t xml:space="preserve"> PBAC Meeting</w:t>
    </w:r>
  </w:p>
  <w:bookmarkEnd w:id="96"/>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9D95" w14:textId="77777777" w:rsidR="00FD694A" w:rsidRDefault="00FD6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081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C6204"/>
    <w:multiLevelType w:val="hybridMultilevel"/>
    <w:tmpl w:val="1BD41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6931D7"/>
    <w:multiLevelType w:val="hybridMultilevel"/>
    <w:tmpl w:val="99ACCAC0"/>
    <w:lvl w:ilvl="0" w:tplc="0C090001">
      <w:start w:val="1"/>
      <w:numFmt w:val="bullet"/>
      <w:lvlText w:val=""/>
      <w:lvlJc w:val="left"/>
      <w:pPr>
        <w:ind w:left="360" w:hanging="360"/>
      </w:pPr>
      <w:rPr>
        <w:rFonts w:ascii="Symbol" w:hAnsi="Symbol" w:hint="default"/>
      </w:rPr>
    </w:lvl>
    <w:lvl w:ilvl="1" w:tplc="A5AC608A">
      <w:start w:val="1"/>
      <w:numFmt w:val="lowerLetter"/>
      <w:lvlText w:val="%2)"/>
      <w:lvlJc w:val="left"/>
      <w:pPr>
        <w:ind w:left="1080" w:hanging="360"/>
      </w:pPr>
    </w:lvl>
    <w:lvl w:ilvl="2" w:tplc="75C46DC8">
      <w:numFmt w:val="decimal"/>
      <w:lvlText w:val="•"/>
      <w:lvlJc w:val="left"/>
      <w:pPr>
        <w:ind w:left="1980" w:hanging="360"/>
      </w:pPr>
      <w:rPr>
        <w:rFonts w:ascii="Calibri" w:eastAsiaTheme="minorHAnsi" w:hAnsi="Calibri" w:cs="Calibri"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57F0380"/>
    <w:multiLevelType w:val="hybridMultilevel"/>
    <w:tmpl w:val="D0A4A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AC67AAB"/>
    <w:multiLevelType w:val="hybridMultilevel"/>
    <w:tmpl w:val="E0F4A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E8012D"/>
    <w:multiLevelType w:val="hybridMultilevel"/>
    <w:tmpl w:val="B48E6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B90D09"/>
    <w:multiLevelType w:val="hybridMultilevel"/>
    <w:tmpl w:val="A5484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48682B"/>
    <w:multiLevelType w:val="hybridMultilevel"/>
    <w:tmpl w:val="B2784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6274A"/>
    <w:multiLevelType w:val="hybridMultilevel"/>
    <w:tmpl w:val="5AB8D376"/>
    <w:lvl w:ilvl="0" w:tplc="97483578">
      <w:start w:val="1"/>
      <w:numFmt w:val="decimal"/>
      <w:lvlText w:val="%1."/>
      <w:lvlJc w:val="left"/>
      <w:pPr>
        <w:ind w:left="1778" w:hanging="360"/>
      </w:pPr>
      <w:rPr>
        <w:rFonts w:hint="default"/>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4A5ABDC8"/>
    <w:lvl w:ilvl="0" w:tplc="04090001">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107954"/>
    <w:multiLevelType w:val="hybridMultilevel"/>
    <w:tmpl w:val="C47C5AB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0"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D06A81"/>
    <w:multiLevelType w:val="hybridMultilevel"/>
    <w:tmpl w:val="390E4AC0"/>
    <w:lvl w:ilvl="0" w:tplc="2BEA1948">
      <w:start w:val="1"/>
      <w:numFmt w:val="bullet"/>
      <w:lvlText w:val=""/>
      <w:lvlJc w:val="left"/>
      <w:pPr>
        <w:ind w:left="720" w:hanging="360"/>
      </w:pPr>
      <w:rPr>
        <w:rFonts w:ascii="Symbol" w:hAnsi="Symbol"/>
      </w:rPr>
    </w:lvl>
    <w:lvl w:ilvl="1" w:tplc="5D7CB81A">
      <w:start w:val="1"/>
      <w:numFmt w:val="bullet"/>
      <w:lvlText w:val=""/>
      <w:lvlJc w:val="left"/>
      <w:pPr>
        <w:ind w:left="720" w:hanging="360"/>
      </w:pPr>
      <w:rPr>
        <w:rFonts w:ascii="Symbol" w:hAnsi="Symbol"/>
      </w:rPr>
    </w:lvl>
    <w:lvl w:ilvl="2" w:tplc="5B4A956A">
      <w:start w:val="1"/>
      <w:numFmt w:val="bullet"/>
      <w:lvlText w:val=""/>
      <w:lvlJc w:val="left"/>
      <w:pPr>
        <w:ind w:left="720" w:hanging="360"/>
      </w:pPr>
      <w:rPr>
        <w:rFonts w:ascii="Symbol" w:hAnsi="Symbol"/>
      </w:rPr>
    </w:lvl>
    <w:lvl w:ilvl="3" w:tplc="82CC6F84">
      <w:start w:val="1"/>
      <w:numFmt w:val="bullet"/>
      <w:lvlText w:val=""/>
      <w:lvlJc w:val="left"/>
      <w:pPr>
        <w:ind w:left="720" w:hanging="360"/>
      </w:pPr>
      <w:rPr>
        <w:rFonts w:ascii="Symbol" w:hAnsi="Symbol"/>
      </w:rPr>
    </w:lvl>
    <w:lvl w:ilvl="4" w:tplc="9678E19E">
      <w:start w:val="1"/>
      <w:numFmt w:val="bullet"/>
      <w:lvlText w:val=""/>
      <w:lvlJc w:val="left"/>
      <w:pPr>
        <w:ind w:left="720" w:hanging="360"/>
      </w:pPr>
      <w:rPr>
        <w:rFonts w:ascii="Symbol" w:hAnsi="Symbol"/>
      </w:rPr>
    </w:lvl>
    <w:lvl w:ilvl="5" w:tplc="1ECE1A82">
      <w:start w:val="1"/>
      <w:numFmt w:val="bullet"/>
      <w:lvlText w:val=""/>
      <w:lvlJc w:val="left"/>
      <w:pPr>
        <w:ind w:left="720" w:hanging="360"/>
      </w:pPr>
      <w:rPr>
        <w:rFonts w:ascii="Symbol" w:hAnsi="Symbol"/>
      </w:rPr>
    </w:lvl>
    <w:lvl w:ilvl="6" w:tplc="2BE073C8">
      <w:start w:val="1"/>
      <w:numFmt w:val="bullet"/>
      <w:lvlText w:val=""/>
      <w:lvlJc w:val="left"/>
      <w:pPr>
        <w:ind w:left="720" w:hanging="360"/>
      </w:pPr>
      <w:rPr>
        <w:rFonts w:ascii="Symbol" w:hAnsi="Symbol"/>
      </w:rPr>
    </w:lvl>
    <w:lvl w:ilvl="7" w:tplc="51CA08E6">
      <w:start w:val="1"/>
      <w:numFmt w:val="bullet"/>
      <w:lvlText w:val=""/>
      <w:lvlJc w:val="left"/>
      <w:pPr>
        <w:ind w:left="720" w:hanging="360"/>
      </w:pPr>
      <w:rPr>
        <w:rFonts w:ascii="Symbol" w:hAnsi="Symbol"/>
      </w:rPr>
    </w:lvl>
    <w:lvl w:ilvl="8" w:tplc="BE9AC5F6">
      <w:start w:val="1"/>
      <w:numFmt w:val="bullet"/>
      <w:lvlText w:val=""/>
      <w:lvlJc w:val="left"/>
      <w:pPr>
        <w:ind w:left="720" w:hanging="360"/>
      </w:pPr>
      <w:rPr>
        <w:rFonts w:ascii="Symbol" w:hAnsi="Symbol"/>
      </w:rPr>
    </w:lvl>
  </w:abstractNum>
  <w:abstractNum w:abstractNumId="23"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9F53281"/>
    <w:multiLevelType w:val="hybridMultilevel"/>
    <w:tmpl w:val="523AFE5C"/>
    <w:lvl w:ilvl="0" w:tplc="0C090001">
      <w:start w:val="1"/>
      <w:numFmt w:val="bullet"/>
      <w:lvlText w:val=""/>
      <w:lvlJc w:val="left"/>
      <w:pPr>
        <w:ind w:left="360" w:hanging="360"/>
      </w:pPr>
      <w:rPr>
        <w:rFonts w:ascii="Symbol" w:hAnsi="Symbol" w:hint="default"/>
      </w:rPr>
    </w:lvl>
    <w:lvl w:ilvl="1" w:tplc="A5AC608A">
      <w:start w:val="1"/>
      <w:numFmt w:val="lowerLetter"/>
      <w:lvlText w:val="%2)"/>
      <w:lvlJc w:val="left"/>
      <w:pPr>
        <w:ind w:left="1080" w:hanging="360"/>
      </w:pPr>
    </w:lvl>
    <w:lvl w:ilvl="2" w:tplc="75C46DC8">
      <w:numFmt w:val="decimal"/>
      <w:lvlText w:val="•"/>
      <w:lvlJc w:val="left"/>
      <w:pPr>
        <w:ind w:left="1980" w:hanging="360"/>
      </w:pPr>
      <w:rPr>
        <w:rFonts w:ascii="Calibri" w:eastAsiaTheme="minorHAnsi" w:hAnsi="Calibri" w:cs="Calibri"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6B04BB"/>
    <w:multiLevelType w:val="hybridMultilevel"/>
    <w:tmpl w:val="74600B76"/>
    <w:lvl w:ilvl="0" w:tplc="F4AE4E32">
      <w:start w:val="1"/>
      <w:numFmt w:val="bullet"/>
      <w:lvlText w:val="◦"/>
      <w:lvlJc w:val="left"/>
      <w:pPr>
        <w:tabs>
          <w:tab w:val="num" w:pos="720"/>
        </w:tabs>
        <w:ind w:left="720" w:hanging="360"/>
      </w:pPr>
      <w:rPr>
        <w:rFonts w:ascii="Calibri" w:hAnsi="Calibri" w:hint="default"/>
      </w:rPr>
    </w:lvl>
    <w:lvl w:ilvl="1" w:tplc="593CCD7A">
      <w:start w:val="1"/>
      <w:numFmt w:val="bullet"/>
      <w:lvlText w:val="◦"/>
      <w:lvlJc w:val="left"/>
      <w:pPr>
        <w:tabs>
          <w:tab w:val="num" w:pos="1440"/>
        </w:tabs>
        <w:ind w:left="1440" w:hanging="360"/>
      </w:pPr>
      <w:rPr>
        <w:rFonts w:ascii="Calibri" w:hAnsi="Calibri" w:hint="default"/>
      </w:rPr>
    </w:lvl>
    <w:lvl w:ilvl="2" w:tplc="7A9042D6" w:tentative="1">
      <w:start w:val="1"/>
      <w:numFmt w:val="bullet"/>
      <w:lvlText w:val="◦"/>
      <w:lvlJc w:val="left"/>
      <w:pPr>
        <w:tabs>
          <w:tab w:val="num" w:pos="2160"/>
        </w:tabs>
        <w:ind w:left="2160" w:hanging="360"/>
      </w:pPr>
      <w:rPr>
        <w:rFonts w:ascii="Calibri" w:hAnsi="Calibri" w:hint="default"/>
      </w:rPr>
    </w:lvl>
    <w:lvl w:ilvl="3" w:tplc="8A0A1E38" w:tentative="1">
      <w:start w:val="1"/>
      <w:numFmt w:val="bullet"/>
      <w:lvlText w:val="◦"/>
      <w:lvlJc w:val="left"/>
      <w:pPr>
        <w:tabs>
          <w:tab w:val="num" w:pos="2880"/>
        </w:tabs>
        <w:ind w:left="2880" w:hanging="360"/>
      </w:pPr>
      <w:rPr>
        <w:rFonts w:ascii="Calibri" w:hAnsi="Calibri" w:hint="default"/>
      </w:rPr>
    </w:lvl>
    <w:lvl w:ilvl="4" w:tplc="AED21F10" w:tentative="1">
      <w:start w:val="1"/>
      <w:numFmt w:val="bullet"/>
      <w:lvlText w:val="◦"/>
      <w:lvlJc w:val="left"/>
      <w:pPr>
        <w:tabs>
          <w:tab w:val="num" w:pos="3600"/>
        </w:tabs>
        <w:ind w:left="3600" w:hanging="360"/>
      </w:pPr>
      <w:rPr>
        <w:rFonts w:ascii="Calibri" w:hAnsi="Calibri" w:hint="default"/>
      </w:rPr>
    </w:lvl>
    <w:lvl w:ilvl="5" w:tplc="2E4C7452" w:tentative="1">
      <w:start w:val="1"/>
      <w:numFmt w:val="bullet"/>
      <w:lvlText w:val="◦"/>
      <w:lvlJc w:val="left"/>
      <w:pPr>
        <w:tabs>
          <w:tab w:val="num" w:pos="4320"/>
        </w:tabs>
        <w:ind w:left="4320" w:hanging="360"/>
      </w:pPr>
      <w:rPr>
        <w:rFonts w:ascii="Calibri" w:hAnsi="Calibri" w:hint="default"/>
      </w:rPr>
    </w:lvl>
    <w:lvl w:ilvl="6" w:tplc="ECD4308E" w:tentative="1">
      <w:start w:val="1"/>
      <w:numFmt w:val="bullet"/>
      <w:lvlText w:val="◦"/>
      <w:lvlJc w:val="left"/>
      <w:pPr>
        <w:tabs>
          <w:tab w:val="num" w:pos="5040"/>
        </w:tabs>
        <w:ind w:left="5040" w:hanging="360"/>
      </w:pPr>
      <w:rPr>
        <w:rFonts w:ascii="Calibri" w:hAnsi="Calibri" w:hint="default"/>
      </w:rPr>
    </w:lvl>
    <w:lvl w:ilvl="7" w:tplc="265C0E1A" w:tentative="1">
      <w:start w:val="1"/>
      <w:numFmt w:val="bullet"/>
      <w:lvlText w:val="◦"/>
      <w:lvlJc w:val="left"/>
      <w:pPr>
        <w:tabs>
          <w:tab w:val="num" w:pos="5760"/>
        </w:tabs>
        <w:ind w:left="5760" w:hanging="360"/>
      </w:pPr>
      <w:rPr>
        <w:rFonts w:ascii="Calibri" w:hAnsi="Calibri" w:hint="default"/>
      </w:rPr>
    </w:lvl>
    <w:lvl w:ilvl="8" w:tplc="47CCEC3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92041519">
    <w:abstractNumId w:val="28"/>
  </w:num>
  <w:num w:numId="2" w16cid:durableId="1033502816">
    <w:abstractNumId w:val="17"/>
  </w:num>
  <w:num w:numId="3" w16cid:durableId="177282385">
    <w:abstractNumId w:val="18"/>
  </w:num>
  <w:num w:numId="4" w16cid:durableId="170344082">
    <w:abstractNumId w:val="14"/>
  </w:num>
  <w:num w:numId="5" w16cid:durableId="588931002">
    <w:abstractNumId w:val="0"/>
  </w:num>
  <w:num w:numId="6" w16cid:durableId="1233276355">
    <w:abstractNumId w:val="28"/>
  </w:num>
  <w:num w:numId="7" w16cid:durableId="1978216768">
    <w:abstractNumId w:val="27"/>
  </w:num>
  <w:num w:numId="8" w16cid:durableId="1372270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435353">
    <w:abstractNumId w:val="12"/>
  </w:num>
  <w:num w:numId="10" w16cid:durableId="505367380">
    <w:abstractNumId w:val="15"/>
  </w:num>
  <w:num w:numId="11" w16cid:durableId="2073769025">
    <w:abstractNumId w:val="21"/>
  </w:num>
  <w:num w:numId="12" w16cid:durableId="1903519589">
    <w:abstractNumId w:val="10"/>
  </w:num>
  <w:num w:numId="13" w16cid:durableId="1958756289">
    <w:abstractNumId w:val="29"/>
  </w:num>
  <w:num w:numId="14" w16cid:durableId="552935803">
    <w:abstractNumId w:val="23"/>
  </w:num>
  <w:num w:numId="15" w16cid:durableId="1086345308">
    <w:abstractNumId w:val="20"/>
  </w:num>
  <w:num w:numId="16" w16cid:durableId="414715381">
    <w:abstractNumId w:val="16"/>
  </w:num>
  <w:num w:numId="17" w16cid:durableId="1810393645">
    <w:abstractNumId w:val="24"/>
  </w:num>
  <w:num w:numId="18" w16cid:durableId="503741837">
    <w:abstractNumId w:val="6"/>
  </w:num>
  <w:num w:numId="19" w16cid:durableId="520705902">
    <w:abstractNumId w:val="4"/>
  </w:num>
  <w:num w:numId="20" w16cid:durableId="282420477">
    <w:abstractNumId w:val="6"/>
  </w:num>
  <w:num w:numId="21" w16cid:durableId="1651860212">
    <w:abstractNumId w:val="22"/>
  </w:num>
  <w:num w:numId="22" w16cid:durableId="540558196">
    <w:abstractNumId w:val="9"/>
  </w:num>
  <w:num w:numId="23" w16cid:durableId="1387996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9816058">
    <w:abstractNumId w:val="1"/>
  </w:num>
  <w:num w:numId="25" w16cid:durableId="1388728236">
    <w:abstractNumId w:val="0"/>
  </w:num>
  <w:num w:numId="26" w16cid:durableId="595405340">
    <w:abstractNumId w:val="8"/>
  </w:num>
  <w:num w:numId="27" w16cid:durableId="651519181">
    <w:abstractNumId w:val="0"/>
  </w:num>
  <w:num w:numId="28" w16cid:durableId="1346905755">
    <w:abstractNumId w:val="11"/>
  </w:num>
  <w:num w:numId="29" w16cid:durableId="392509343">
    <w:abstractNumId w:val="3"/>
  </w:num>
  <w:num w:numId="30" w16cid:durableId="1511020354">
    <w:abstractNumId w:val="5"/>
  </w:num>
  <w:num w:numId="31" w16cid:durableId="891305603">
    <w:abstractNumId w:val="13"/>
  </w:num>
  <w:num w:numId="32" w16cid:durableId="1205947470">
    <w:abstractNumId w:val="31"/>
  </w:num>
  <w:num w:numId="33" w16cid:durableId="1565412455">
    <w:abstractNumId w:val="26"/>
  </w:num>
  <w:num w:numId="34" w16cid:durableId="1533881234">
    <w:abstractNumId w:val="18"/>
  </w:num>
  <w:num w:numId="35" w16cid:durableId="1656910774">
    <w:abstractNumId w:val="30"/>
  </w:num>
  <w:num w:numId="36" w16cid:durableId="1794519012">
    <w:abstractNumId w:val="2"/>
  </w:num>
  <w:num w:numId="37" w16cid:durableId="862979798">
    <w:abstractNumId w:val="25"/>
  </w:num>
  <w:num w:numId="38" w16cid:durableId="1549993002">
    <w:abstractNumId w:val="7"/>
  </w:num>
  <w:num w:numId="39" w16cid:durableId="1592356079">
    <w:abstractNumId w:val="28"/>
  </w:num>
  <w:num w:numId="40" w16cid:durableId="78010359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MTIxMDW2MAIBJR2l4NTi4sz8PJACw1oAlg6LgywAAAA="/>
  </w:docVars>
  <w:rsids>
    <w:rsidRoot w:val="00E65E79"/>
    <w:rsid w:val="00000790"/>
    <w:rsid w:val="0000110B"/>
    <w:rsid w:val="00003499"/>
    <w:rsid w:val="000036C8"/>
    <w:rsid w:val="000039B7"/>
    <w:rsid w:val="000056B9"/>
    <w:rsid w:val="000057DC"/>
    <w:rsid w:val="0000639A"/>
    <w:rsid w:val="00006B52"/>
    <w:rsid w:val="00007E84"/>
    <w:rsid w:val="00013247"/>
    <w:rsid w:val="0001354F"/>
    <w:rsid w:val="00015886"/>
    <w:rsid w:val="000162EF"/>
    <w:rsid w:val="00017F73"/>
    <w:rsid w:val="000207C9"/>
    <w:rsid w:val="00021692"/>
    <w:rsid w:val="0002225F"/>
    <w:rsid w:val="0002237A"/>
    <w:rsid w:val="00023763"/>
    <w:rsid w:val="00024557"/>
    <w:rsid w:val="00024EB5"/>
    <w:rsid w:val="0002719F"/>
    <w:rsid w:val="000274B8"/>
    <w:rsid w:val="000310B3"/>
    <w:rsid w:val="000314CD"/>
    <w:rsid w:val="000314FE"/>
    <w:rsid w:val="00032C7B"/>
    <w:rsid w:val="00033863"/>
    <w:rsid w:val="00035ADC"/>
    <w:rsid w:val="00035DC0"/>
    <w:rsid w:val="00036829"/>
    <w:rsid w:val="00040814"/>
    <w:rsid w:val="00040895"/>
    <w:rsid w:val="00040E89"/>
    <w:rsid w:val="000410A0"/>
    <w:rsid w:val="00042772"/>
    <w:rsid w:val="0004310B"/>
    <w:rsid w:val="000435EE"/>
    <w:rsid w:val="000438D4"/>
    <w:rsid w:val="00043C37"/>
    <w:rsid w:val="000445E1"/>
    <w:rsid w:val="00044A82"/>
    <w:rsid w:val="00044EB3"/>
    <w:rsid w:val="00045017"/>
    <w:rsid w:val="00045A2B"/>
    <w:rsid w:val="0004698F"/>
    <w:rsid w:val="00046C76"/>
    <w:rsid w:val="00046D64"/>
    <w:rsid w:val="000508C2"/>
    <w:rsid w:val="000509BD"/>
    <w:rsid w:val="00052393"/>
    <w:rsid w:val="00052988"/>
    <w:rsid w:val="000539D0"/>
    <w:rsid w:val="00054621"/>
    <w:rsid w:val="000546D7"/>
    <w:rsid w:val="00054A8D"/>
    <w:rsid w:val="00056BB3"/>
    <w:rsid w:val="00056ECF"/>
    <w:rsid w:val="000604DF"/>
    <w:rsid w:val="000610FC"/>
    <w:rsid w:val="000614D5"/>
    <w:rsid w:val="00062324"/>
    <w:rsid w:val="00064659"/>
    <w:rsid w:val="000653B5"/>
    <w:rsid w:val="00066360"/>
    <w:rsid w:val="00066AF8"/>
    <w:rsid w:val="00066CBC"/>
    <w:rsid w:val="00070E14"/>
    <w:rsid w:val="00071248"/>
    <w:rsid w:val="000719E5"/>
    <w:rsid w:val="000720B9"/>
    <w:rsid w:val="0007248D"/>
    <w:rsid w:val="000731A5"/>
    <w:rsid w:val="0007349D"/>
    <w:rsid w:val="000737F7"/>
    <w:rsid w:val="00074FA3"/>
    <w:rsid w:val="0007518D"/>
    <w:rsid w:val="0007672F"/>
    <w:rsid w:val="00076B54"/>
    <w:rsid w:val="00077392"/>
    <w:rsid w:val="000774F0"/>
    <w:rsid w:val="00080909"/>
    <w:rsid w:val="000812CA"/>
    <w:rsid w:val="00081A44"/>
    <w:rsid w:val="00081E63"/>
    <w:rsid w:val="0008214D"/>
    <w:rsid w:val="0008258D"/>
    <w:rsid w:val="00083493"/>
    <w:rsid w:val="00083E99"/>
    <w:rsid w:val="00084FA8"/>
    <w:rsid w:val="000856C5"/>
    <w:rsid w:val="00085C31"/>
    <w:rsid w:val="00086146"/>
    <w:rsid w:val="00086A9C"/>
    <w:rsid w:val="0008758A"/>
    <w:rsid w:val="00087CD8"/>
    <w:rsid w:val="00087EC9"/>
    <w:rsid w:val="000900C7"/>
    <w:rsid w:val="00090157"/>
    <w:rsid w:val="000902D9"/>
    <w:rsid w:val="00090C7E"/>
    <w:rsid w:val="000911AC"/>
    <w:rsid w:val="00091A0B"/>
    <w:rsid w:val="00091AAC"/>
    <w:rsid w:val="00092600"/>
    <w:rsid w:val="0009262B"/>
    <w:rsid w:val="00092BF5"/>
    <w:rsid w:val="00093310"/>
    <w:rsid w:val="0009445C"/>
    <w:rsid w:val="00095200"/>
    <w:rsid w:val="0009548B"/>
    <w:rsid w:val="00095FE5"/>
    <w:rsid w:val="00096284"/>
    <w:rsid w:val="0009639F"/>
    <w:rsid w:val="000A0B7F"/>
    <w:rsid w:val="000A0CE0"/>
    <w:rsid w:val="000A1BC0"/>
    <w:rsid w:val="000A2F9E"/>
    <w:rsid w:val="000A30DF"/>
    <w:rsid w:val="000A3E47"/>
    <w:rsid w:val="000A431F"/>
    <w:rsid w:val="000A47F3"/>
    <w:rsid w:val="000A522B"/>
    <w:rsid w:val="000A5C74"/>
    <w:rsid w:val="000A6039"/>
    <w:rsid w:val="000A6864"/>
    <w:rsid w:val="000A6A01"/>
    <w:rsid w:val="000A6AB8"/>
    <w:rsid w:val="000A6F66"/>
    <w:rsid w:val="000A7453"/>
    <w:rsid w:val="000A7A1E"/>
    <w:rsid w:val="000A7D08"/>
    <w:rsid w:val="000A7F69"/>
    <w:rsid w:val="000B0121"/>
    <w:rsid w:val="000B0670"/>
    <w:rsid w:val="000B0E62"/>
    <w:rsid w:val="000B0E75"/>
    <w:rsid w:val="000B2DCB"/>
    <w:rsid w:val="000B300B"/>
    <w:rsid w:val="000B4983"/>
    <w:rsid w:val="000B522C"/>
    <w:rsid w:val="000B54BF"/>
    <w:rsid w:val="000B5627"/>
    <w:rsid w:val="000B5CE0"/>
    <w:rsid w:val="000B6CAC"/>
    <w:rsid w:val="000B7612"/>
    <w:rsid w:val="000B78AE"/>
    <w:rsid w:val="000C0279"/>
    <w:rsid w:val="000C04C8"/>
    <w:rsid w:val="000C1571"/>
    <w:rsid w:val="000C16AA"/>
    <w:rsid w:val="000C1C1B"/>
    <w:rsid w:val="000C363D"/>
    <w:rsid w:val="000C3DF9"/>
    <w:rsid w:val="000C4CF2"/>
    <w:rsid w:val="000C65D5"/>
    <w:rsid w:val="000C6713"/>
    <w:rsid w:val="000C7D5C"/>
    <w:rsid w:val="000D07BB"/>
    <w:rsid w:val="000D0ADD"/>
    <w:rsid w:val="000D1BFC"/>
    <w:rsid w:val="000D1D5D"/>
    <w:rsid w:val="000D281A"/>
    <w:rsid w:val="000D2848"/>
    <w:rsid w:val="000D326A"/>
    <w:rsid w:val="000D4B31"/>
    <w:rsid w:val="000D51FB"/>
    <w:rsid w:val="000D5E34"/>
    <w:rsid w:val="000E0640"/>
    <w:rsid w:val="000E0C46"/>
    <w:rsid w:val="000E135D"/>
    <w:rsid w:val="000E18F2"/>
    <w:rsid w:val="000E253E"/>
    <w:rsid w:val="000E2CFE"/>
    <w:rsid w:val="000E2E8D"/>
    <w:rsid w:val="000E3274"/>
    <w:rsid w:val="000E6644"/>
    <w:rsid w:val="000E703C"/>
    <w:rsid w:val="000E7EEF"/>
    <w:rsid w:val="000E7F4E"/>
    <w:rsid w:val="000F00BA"/>
    <w:rsid w:val="000F0F8D"/>
    <w:rsid w:val="000F316A"/>
    <w:rsid w:val="000F3272"/>
    <w:rsid w:val="000F3C74"/>
    <w:rsid w:val="000F4BB8"/>
    <w:rsid w:val="000F4C7B"/>
    <w:rsid w:val="000F4FA9"/>
    <w:rsid w:val="000F52F0"/>
    <w:rsid w:val="000F53FB"/>
    <w:rsid w:val="000F7127"/>
    <w:rsid w:val="000F7B54"/>
    <w:rsid w:val="001000B3"/>
    <w:rsid w:val="0010019B"/>
    <w:rsid w:val="00100F8A"/>
    <w:rsid w:val="0010252C"/>
    <w:rsid w:val="0010452E"/>
    <w:rsid w:val="001056D1"/>
    <w:rsid w:val="001059FA"/>
    <w:rsid w:val="00105AE2"/>
    <w:rsid w:val="001060C6"/>
    <w:rsid w:val="001068E2"/>
    <w:rsid w:val="00106B80"/>
    <w:rsid w:val="0011032E"/>
    <w:rsid w:val="0011159A"/>
    <w:rsid w:val="00111E22"/>
    <w:rsid w:val="001131D0"/>
    <w:rsid w:val="0011348B"/>
    <w:rsid w:val="00113634"/>
    <w:rsid w:val="00113DED"/>
    <w:rsid w:val="00115982"/>
    <w:rsid w:val="001161D3"/>
    <w:rsid w:val="00116C53"/>
    <w:rsid w:val="00117843"/>
    <w:rsid w:val="00121799"/>
    <w:rsid w:val="001222FC"/>
    <w:rsid w:val="00122E0C"/>
    <w:rsid w:val="001236D8"/>
    <w:rsid w:val="00123828"/>
    <w:rsid w:val="00123889"/>
    <w:rsid w:val="00123902"/>
    <w:rsid w:val="00123A6E"/>
    <w:rsid w:val="001240DC"/>
    <w:rsid w:val="00124A51"/>
    <w:rsid w:val="00126621"/>
    <w:rsid w:val="00126B1D"/>
    <w:rsid w:val="00126DE6"/>
    <w:rsid w:val="001278AB"/>
    <w:rsid w:val="001301E9"/>
    <w:rsid w:val="0013037B"/>
    <w:rsid w:val="001310B5"/>
    <w:rsid w:val="00131A0D"/>
    <w:rsid w:val="00131D82"/>
    <w:rsid w:val="001328C4"/>
    <w:rsid w:val="00132B22"/>
    <w:rsid w:val="00132F8F"/>
    <w:rsid w:val="00133D36"/>
    <w:rsid w:val="00134D67"/>
    <w:rsid w:val="001353EE"/>
    <w:rsid w:val="00135453"/>
    <w:rsid w:val="001356EA"/>
    <w:rsid w:val="0013659A"/>
    <w:rsid w:val="001365F1"/>
    <w:rsid w:val="00137645"/>
    <w:rsid w:val="00137AB3"/>
    <w:rsid w:val="00137CF1"/>
    <w:rsid w:val="0014015A"/>
    <w:rsid w:val="00140CA4"/>
    <w:rsid w:val="00140E99"/>
    <w:rsid w:val="00143B85"/>
    <w:rsid w:val="00143F67"/>
    <w:rsid w:val="00144A69"/>
    <w:rsid w:val="00145234"/>
    <w:rsid w:val="00145540"/>
    <w:rsid w:val="001456B0"/>
    <w:rsid w:val="00146350"/>
    <w:rsid w:val="00150098"/>
    <w:rsid w:val="001502D1"/>
    <w:rsid w:val="0015385A"/>
    <w:rsid w:val="001547AB"/>
    <w:rsid w:val="0015583F"/>
    <w:rsid w:val="00155D53"/>
    <w:rsid w:val="00156F8F"/>
    <w:rsid w:val="00157130"/>
    <w:rsid w:val="001576B1"/>
    <w:rsid w:val="00157C12"/>
    <w:rsid w:val="00157C22"/>
    <w:rsid w:val="0016047B"/>
    <w:rsid w:val="00160905"/>
    <w:rsid w:val="00160A4C"/>
    <w:rsid w:val="00161E44"/>
    <w:rsid w:val="00162913"/>
    <w:rsid w:val="00163D3F"/>
    <w:rsid w:val="00163EFF"/>
    <w:rsid w:val="00163F66"/>
    <w:rsid w:val="0016478E"/>
    <w:rsid w:val="001649EC"/>
    <w:rsid w:val="00165EC4"/>
    <w:rsid w:val="00165F33"/>
    <w:rsid w:val="001661FB"/>
    <w:rsid w:val="00166B5F"/>
    <w:rsid w:val="00166EEF"/>
    <w:rsid w:val="001671A0"/>
    <w:rsid w:val="0016767F"/>
    <w:rsid w:val="00167D16"/>
    <w:rsid w:val="00170709"/>
    <w:rsid w:val="001728AF"/>
    <w:rsid w:val="00172D79"/>
    <w:rsid w:val="00173132"/>
    <w:rsid w:val="00173565"/>
    <w:rsid w:val="0017358B"/>
    <w:rsid w:val="00173B07"/>
    <w:rsid w:val="001751FA"/>
    <w:rsid w:val="00175322"/>
    <w:rsid w:val="0017584B"/>
    <w:rsid w:val="0017585E"/>
    <w:rsid w:val="00177552"/>
    <w:rsid w:val="001806E7"/>
    <w:rsid w:val="00181546"/>
    <w:rsid w:val="00181C10"/>
    <w:rsid w:val="00181D9C"/>
    <w:rsid w:val="001827E2"/>
    <w:rsid w:val="00182AC8"/>
    <w:rsid w:val="001830ED"/>
    <w:rsid w:val="001830F6"/>
    <w:rsid w:val="001830F7"/>
    <w:rsid w:val="001837FF"/>
    <w:rsid w:val="0018397A"/>
    <w:rsid w:val="00184B0E"/>
    <w:rsid w:val="00184CE6"/>
    <w:rsid w:val="00186454"/>
    <w:rsid w:val="00186C2A"/>
    <w:rsid w:val="00187120"/>
    <w:rsid w:val="0018752F"/>
    <w:rsid w:val="001876EA"/>
    <w:rsid w:val="00187DA5"/>
    <w:rsid w:val="001900A2"/>
    <w:rsid w:val="00191CC6"/>
    <w:rsid w:val="00192997"/>
    <w:rsid w:val="00193402"/>
    <w:rsid w:val="001937F9"/>
    <w:rsid w:val="00193838"/>
    <w:rsid w:val="00194AD8"/>
    <w:rsid w:val="00195222"/>
    <w:rsid w:val="00195452"/>
    <w:rsid w:val="00195665"/>
    <w:rsid w:val="001975D8"/>
    <w:rsid w:val="00197C41"/>
    <w:rsid w:val="001A0161"/>
    <w:rsid w:val="001A0455"/>
    <w:rsid w:val="001A178E"/>
    <w:rsid w:val="001A39B1"/>
    <w:rsid w:val="001A43FA"/>
    <w:rsid w:val="001A453C"/>
    <w:rsid w:val="001A47C5"/>
    <w:rsid w:val="001A4885"/>
    <w:rsid w:val="001A4A4F"/>
    <w:rsid w:val="001A536B"/>
    <w:rsid w:val="001A59FB"/>
    <w:rsid w:val="001A5E9E"/>
    <w:rsid w:val="001A6354"/>
    <w:rsid w:val="001A6366"/>
    <w:rsid w:val="001A7AE8"/>
    <w:rsid w:val="001B013F"/>
    <w:rsid w:val="001B1F4E"/>
    <w:rsid w:val="001B204E"/>
    <w:rsid w:val="001B21C1"/>
    <w:rsid w:val="001B2372"/>
    <w:rsid w:val="001B2F81"/>
    <w:rsid w:val="001B330C"/>
    <w:rsid w:val="001B3443"/>
    <w:rsid w:val="001B4D20"/>
    <w:rsid w:val="001B5DE4"/>
    <w:rsid w:val="001B61E0"/>
    <w:rsid w:val="001B7E27"/>
    <w:rsid w:val="001B7F84"/>
    <w:rsid w:val="001C076B"/>
    <w:rsid w:val="001C0ED6"/>
    <w:rsid w:val="001C121F"/>
    <w:rsid w:val="001C1BCC"/>
    <w:rsid w:val="001C1D67"/>
    <w:rsid w:val="001C2926"/>
    <w:rsid w:val="001C2A9B"/>
    <w:rsid w:val="001C3183"/>
    <w:rsid w:val="001C3DD6"/>
    <w:rsid w:val="001C4299"/>
    <w:rsid w:val="001C4583"/>
    <w:rsid w:val="001C4874"/>
    <w:rsid w:val="001C4A2A"/>
    <w:rsid w:val="001C5F94"/>
    <w:rsid w:val="001C6E66"/>
    <w:rsid w:val="001D04E7"/>
    <w:rsid w:val="001D1100"/>
    <w:rsid w:val="001D1391"/>
    <w:rsid w:val="001D25D7"/>
    <w:rsid w:val="001D29B4"/>
    <w:rsid w:val="001D3984"/>
    <w:rsid w:val="001D50B2"/>
    <w:rsid w:val="001D6CEE"/>
    <w:rsid w:val="001D71F4"/>
    <w:rsid w:val="001D7645"/>
    <w:rsid w:val="001E1E86"/>
    <w:rsid w:val="001E238E"/>
    <w:rsid w:val="001E2483"/>
    <w:rsid w:val="001E2A04"/>
    <w:rsid w:val="001E2B1E"/>
    <w:rsid w:val="001E2CFF"/>
    <w:rsid w:val="001E2F24"/>
    <w:rsid w:val="001E30D4"/>
    <w:rsid w:val="001E31D4"/>
    <w:rsid w:val="001E34DF"/>
    <w:rsid w:val="001E52EB"/>
    <w:rsid w:val="001E61A6"/>
    <w:rsid w:val="001E61D2"/>
    <w:rsid w:val="001E648C"/>
    <w:rsid w:val="001E6B64"/>
    <w:rsid w:val="001E740C"/>
    <w:rsid w:val="001E765F"/>
    <w:rsid w:val="001F1176"/>
    <w:rsid w:val="001F1235"/>
    <w:rsid w:val="001F1A82"/>
    <w:rsid w:val="001F1A8C"/>
    <w:rsid w:val="001F1CB3"/>
    <w:rsid w:val="001F2CEF"/>
    <w:rsid w:val="001F38B5"/>
    <w:rsid w:val="001F3928"/>
    <w:rsid w:val="001F4064"/>
    <w:rsid w:val="001F4081"/>
    <w:rsid w:val="001F6437"/>
    <w:rsid w:val="001F6A73"/>
    <w:rsid w:val="001F6D6C"/>
    <w:rsid w:val="001F6DC1"/>
    <w:rsid w:val="001F7361"/>
    <w:rsid w:val="002011B0"/>
    <w:rsid w:val="00202018"/>
    <w:rsid w:val="00202A5C"/>
    <w:rsid w:val="00203181"/>
    <w:rsid w:val="00203783"/>
    <w:rsid w:val="0020385F"/>
    <w:rsid w:val="00204B87"/>
    <w:rsid w:val="00205026"/>
    <w:rsid w:val="002068A0"/>
    <w:rsid w:val="00207021"/>
    <w:rsid w:val="0020732F"/>
    <w:rsid w:val="00207D00"/>
    <w:rsid w:val="002105C1"/>
    <w:rsid w:val="00210820"/>
    <w:rsid w:val="002116FD"/>
    <w:rsid w:val="00213EF5"/>
    <w:rsid w:val="00216BF5"/>
    <w:rsid w:val="00217F82"/>
    <w:rsid w:val="00221E75"/>
    <w:rsid w:val="0022274A"/>
    <w:rsid w:val="00223B49"/>
    <w:rsid w:val="00223D5A"/>
    <w:rsid w:val="00224DD4"/>
    <w:rsid w:val="0022673D"/>
    <w:rsid w:val="00226D26"/>
    <w:rsid w:val="002274CD"/>
    <w:rsid w:val="002275B8"/>
    <w:rsid w:val="002278A0"/>
    <w:rsid w:val="002304A3"/>
    <w:rsid w:val="00230811"/>
    <w:rsid w:val="002309B8"/>
    <w:rsid w:val="002309CC"/>
    <w:rsid w:val="002316EE"/>
    <w:rsid w:val="00231BA9"/>
    <w:rsid w:val="0023209F"/>
    <w:rsid w:val="002331DB"/>
    <w:rsid w:val="00233360"/>
    <w:rsid w:val="00233983"/>
    <w:rsid w:val="00233C01"/>
    <w:rsid w:val="0023413C"/>
    <w:rsid w:val="002346F0"/>
    <w:rsid w:val="0023629D"/>
    <w:rsid w:val="002366EB"/>
    <w:rsid w:val="00236C55"/>
    <w:rsid w:val="00237255"/>
    <w:rsid w:val="002419E0"/>
    <w:rsid w:val="002424AF"/>
    <w:rsid w:val="002439DC"/>
    <w:rsid w:val="002441D2"/>
    <w:rsid w:val="002442E4"/>
    <w:rsid w:val="00244BBC"/>
    <w:rsid w:val="00244DC8"/>
    <w:rsid w:val="002458BA"/>
    <w:rsid w:val="00245CE9"/>
    <w:rsid w:val="00245F75"/>
    <w:rsid w:val="0024636C"/>
    <w:rsid w:val="002468C6"/>
    <w:rsid w:val="00246AD2"/>
    <w:rsid w:val="00247925"/>
    <w:rsid w:val="002503C6"/>
    <w:rsid w:val="00251006"/>
    <w:rsid w:val="002524D5"/>
    <w:rsid w:val="00253586"/>
    <w:rsid w:val="00253B1D"/>
    <w:rsid w:val="002548B5"/>
    <w:rsid w:val="00254DCF"/>
    <w:rsid w:val="00254E75"/>
    <w:rsid w:val="0025534B"/>
    <w:rsid w:val="002557D6"/>
    <w:rsid w:val="00255BB7"/>
    <w:rsid w:val="002572D4"/>
    <w:rsid w:val="00257541"/>
    <w:rsid w:val="00257A39"/>
    <w:rsid w:val="00257AC4"/>
    <w:rsid w:val="00257B05"/>
    <w:rsid w:val="00257BBE"/>
    <w:rsid w:val="00261C4F"/>
    <w:rsid w:val="00261EEF"/>
    <w:rsid w:val="00262A1A"/>
    <w:rsid w:val="00262A87"/>
    <w:rsid w:val="00262F2F"/>
    <w:rsid w:val="00263DBA"/>
    <w:rsid w:val="00264A00"/>
    <w:rsid w:val="00264D26"/>
    <w:rsid w:val="00265EC7"/>
    <w:rsid w:val="00266663"/>
    <w:rsid w:val="00266858"/>
    <w:rsid w:val="00267642"/>
    <w:rsid w:val="00267AEA"/>
    <w:rsid w:val="00267BED"/>
    <w:rsid w:val="00270029"/>
    <w:rsid w:val="002700E6"/>
    <w:rsid w:val="00271A9F"/>
    <w:rsid w:val="0027294B"/>
    <w:rsid w:val="002729A5"/>
    <w:rsid w:val="00272BD5"/>
    <w:rsid w:val="00273267"/>
    <w:rsid w:val="00273EB4"/>
    <w:rsid w:val="00273FAE"/>
    <w:rsid w:val="00274682"/>
    <w:rsid w:val="00275158"/>
    <w:rsid w:val="00275240"/>
    <w:rsid w:val="002757E9"/>
    <w:rsid w:val="00275C5A"/>
    <w:rsid w:val="002806DA"/>
    <w:rsid w:val="00280718"/>
    <w:rsid w:val="00280CA3"/>
    <w:rsid w:val="00281014"/>
    <w:rsid w:val="00281673"/>
    <w:rsid w:val="00282389"/>
    <w:rsid w:val="002845BA"/>
    <w:rsid w:val="002845EF"/>
    <w:rsid w:val="00284625"/>
    <w:rsid w:val="00285189"/>
    <w:rsid w:val="00285487"/>
    <w:rsid w:val="00285725"/>
    <w:rsid w:val="00285BCE"/>
    <w:rsid w:val="0028662A"/>
    <w:rsid w:val="0028665D"/>
    <w:rsid w:val="00286BCC"/>
    <w:rsid w:val="00287961"/>
    <w:rsid w:val="00290324"/>
    <w:rsid w:val="0029161A"/>
    <w:rsid w:val="00291FE1"/>
    <w:rsid w:val="00293092"/>
    <w:rsid w:val="002945B4"/>
    <w:rsid w:val="00294FFA"/>
    <w:rsid w:val="002957B3"/>
    <w:rsid w:val="00295F62"/>
    <w:rsid w:val="0029674B"/>
    <w:rsid w:val="002976E4"/>
    <w:rsid w:val="002A08D0"/>
    <w:rsid w:val="002A0A2F"/>
    <w:rsid w:val="002A110F"/>
    <w:rsid w:val="002A14AB"/>
    <w:rsid w:val="002A2ADE"/>
    <w:rsid w:val="002A2F50"/>
    <w:rsid w:val="002A3A19"/>
    <w:rsid w:val="002A3C23"/>
    <w:rsid w:val="002A43BE"/>
    <w:rsid w:val="002A616E"/>
    <w:rsid w:val="002A7667"/>
    <w:rsid w:val="002A7943"/>
    <w:rsid w:val="002B05A1"/>
    <w:rsid w:val="002B09A4"/>
    <w:rsid w:val="002B0A21"/>
    <w:rsid w:val="002B1C1F"/>
    <w:rsid w:val="002B432F"/>
    <w:rsid w:val="002B457F"/>
    <w:rsid w:val="002B6039"/>
    <w:rsid w:val="002B62B3"/>
    <w:rsid w:val="002B6754"/>
    <w:rsid w:val="002B6CCE"/>
    <w:rsid w:val="002C03B3"/>
    <w:rsid w:val="002C0753"/>
    <w:rsid w:val="002C13D3"/>
    <w:rsid w:val="002C2510"/>
    <w:rsid w:val="002C2775"/>
    <w:rsid w:val="002C27C1"/>
    <w:rsid w:val="002C2E39"/>
    <w:rsid w:val="002C36E3"/>
    <w:rsid w:val="002C5099"/>
    <w:rsid w:val="002C5889"/>
    <w:rsid w:val="002C65F5"/>
    <w:rsid w:val="002C66A4"/>
    <w:rsid w:val="002C6D24"/>
    <w:rsid w:val="002C71CE"/>
    <w:rsid w:val="002D0306"/>
    <w:rsid w:val="002D08F8"/>
    <w:rsid w:val="002D3C47"/>
    <w:rsid w:val="002D577C"/>
    <w:rsid w:val="002D6CF8"/>
    <w:rsid w:val="002D7832"/>
    <w:rsid w:val="002E0691"/>
    <w:rsid w:val="002E07D4"/>
    <w:rsid w:val="002E1071"/>
    <w:rsid w:val="002E111C"/>
    <w:rsid w:val="002E15B9"/>
    <w:rsid w:val="002E2158"/>
    <w:rsid w:val="002E260F"/>
    <w:rsid w:val="002E4F02"/>
    <w:rsid w:val="002E7722"/>
    <w:rsid w:val="002F07BA"/>
    <w:rsid w:val="002F0DA9"/>
    <w:rsid w:val="002F0E26"/>
    <w:rsid w:val="002F1014"/>
    <w:rsid w:val="002F17AA"/>
    <w:rsid w:val="002F18F9"/>
    <w:rsid w:val="002F1E3B"/>
    <w:rsid w:val="002F25FD"/>
    <w:rsid w:val="002F3031"/>
    <w:rsid w:val="002F3EC0"/>
    <w:rsid w:val="002F5342"/>
    <w:rsid w:val="002F61BC"/>
    <w:rsid w:val="002F643C"/>
    <w:rsid w:val="002F71C0"/>
    <w:rsid w:val="002F74F1"/>
    <w:rsid w:val="002F76C8"/>
    <w:rsid w:val="00301017"/>
    <w:rsid w:val="0030155F"/>
    <w:rsid w:val="00302D9C"/>
    <w:rsid w:val="00302EF6"/>
    <w:rsid w:val="00303CE1"/>
    <w:rsid w:val="0030558A"/>
    <w:rsid w:val="0030587B"/>
    <w:rsid w:val="00305AFD"/>
    <w:rsid w:val="00306D98"/>
    <w:rsid w:val="003077D6"/>
    <w:rsid w:val="0030786C"/>
    <w:rsid w:val="0031031A"/>
    <w:rsid w:val="00310981"/>
    <w:rsid w:val="0031170F"/>
    <w:rsid w:val="00311D9B"/>
    <w:rsid w:val="003124D9"/>
    <w:rsid w:val="0031251D"/>
    <w:rsid w:val="00312594"/>
    <w:rsid w:val="003133D6"/>
    <w:rsid w:val="00315498"/>
    <w:rsid w:val="003158BC"/>
    <w:rsid w:val="00316474"/>
    <w:rsid w:val="0031674C"/>
    <w:rsid w:val="00317485"/>
    <w:rsid w:val="00320537"/>
    <w:rsid w:val="00320E41"/>
    <w:rsid w:val="00322107"/>
    <w:rsid w:val="00322355"/>
    <w:rsid w:val="00322846"/>
    <w:rsid w:val="00323840"/>
    <w:rsid w:val="00325772"/>
    <w:rsid w:val="00326DA7"/>
    <w:rsid w:val="003270E4"/>
    <w:rsid w:val="003279B6"/>
    <w:rsid w:val="00327BE1"/>
    <w:rsid w:val="00330DAA"/>
    <w:rsid w:val="00330F5C"/>
    <w:rsid w:val="00332BB2"/>
    <w:rsid w:val="00332E37"/>
    <w:rsid w:val="00332F02"/>
    <w:rsid w:val="00332F27"/>
    <w:rsid w:val="00333031"/>
    <w:rsid w:val="00334C22"/>
    <w:rsid w:val="003366C9"/>
    <w:rsid w:val="0033703D"/>
    <w:rsid w:val="003371B0"/>
    <w:rsid w:val="003373EB"/>
    <w:rsid w:val="00340DF1"/>
    <w:rsid w:val="00342648"/>
    <w:rsid w:val="0034350C"/>
    <w:rsid w:val="003449A4"/>
    <w:rsid w:val="00344E54"/>
    <w:rsid w:val="003454B7"/>
    <w:rsid w:val="00345886"/>
    <w:rsid w:val="00345E78"/>
    <w:rsid w:val="00346BC5"/>
    <w:rsid w:val="003501AF"/>
    <w:rsid w:val="003517F9"/>
    <w:rsid w:val="00351BA9"/>
    <w:rsid w:val="00352879"/>
    <w:rsid w:val="00352E6F"/>
    <w:rsid w:val="00353092"/>
    <w:rsid w:val="003534D4"/>
    <w:rsid w:val="00354073"/>
    <w:rsid w:val="00354F64"/>
    <w:rsid w:val="0035620E"/>
    <w:rsid w:val="00356A26"/>
    <w:rsid w:val="003575BE"/>
    <w:rsid w:val="003601E7"/>
    <w:rsid w:val="00360345"/>
    <w:rsid w:val="0036104A"/>
    <w:rsid w:val="00361A05"/>
    <w:rsid w:val="003624C4"/>
    <w:rsid w:val="0036294A"/>
    <w:rsid w:val="00363B00"/>
    <w:rsid w:val="003641EA"/>
    <w:rsid w:val="003646BF"/>
    <w:rsid w:val="0036475A"/>
    <w:rsid w:val="00364B39"/>
    <w:rsid w:val="00364CB7"/>
    <w:rsid w:val="003654AC"/>
    <w:rsid w:val="00367ACC"/>
    <w:rsid w:val="003710CF"/>
    <w:rsid w:val="00371705"/>
    <w:rsid w:val="0037358A"/>
    <w:rsid w:val="00374193"/>
    <w:rsid w:val="003750F6"/>
    <w:rsid w:val="00375615"/>
    <w:rsid w:val="003760FC"/>
    <w:rsid w:val="0038201A"/>
    <w:rsid w:val="0038365C"/>
    <w:rsid w:val="0038369B"/>
    <w:rsid w:val="00383B78"/>
    <w:rsid w:val="003844D9"/>
    <w:rsid w:val="00384ACE"/>
    <w:rsid w:val="00384D2D"/>
    <w:rsid w:val="00385A9D"/>
    <w:rsid w:val="00385F13"/>
    <w:rsid w:val="00386C2D"/>
    <w:rsid w:val="00387121"/>
    <w:rsid w:val="003901BC"/>
    <w:rsid w:val="003902B1"/>
    <w:rsid w:val="0039179C"/>
    <w:rsid w:val="00392C03"/>
    <w:rsid w:val="00392DF0"/>
    <w:rsid w:val="00394C55"/>
    <w:rsid w:val="00396896"/>
    <w:rsid w:val="00396FD0"/>
    <w:rsid w:val="0039769A"/>
    <w:rsid w:val="003A110F"/>
    <w:rsid w:val="003A1937"/>
    <w:rsid w:val="003A1A7A"/>
    <w:rsid w:val="003A2392"/>
    <w:rsid w:val="003A2831"/>
    <w:rsid w:val="003A38EC"/>
    <w:rsid w:val="003A3CB6"/>
    <w:rsid w:val="003A3ED1"/>
    <w:rsid w:val="003A44DB"/>
    <w:rsid w:val="003A4C14"/>
    <w:rsid w:val="003A54A7"/>
    <w:rsid w:val="003A696F"/>
    <w:rsid w:val="003A750B"/>
    <w:rsid w:val="003A76FD"/>
    <w:rsid w:val="003A7752"/>
    <w:rsid w:val="003A7F77"/>
    <w:rsid w:val="003B0AAF"/>
    <w:rsid w:val="003B26A8"/>
    <w:rsid w:val="003B2700"/>
    <w:rsid w:val="003B38C7"/>
    <w:rsid w:val="003B3971"/>
    <w:rsid w:val="003B3BDC"/>
    <w:rsid w:val="003B4EB0"/>
    <w:rsid w:val="003B55D1"/>
    <w:rsid w:val="003B570F"/>
    <w:rsid w:val="003B57EF"/>
    <w:rsid w:val="003B5B61"/>
    <w:rsid w:val="003B6F82"/>
    <w:rsid w:val="003B77F5"/>
    <w:rsid w:val="003C1654"/>
    <w:rsid w:val="003C219E"/>
    <w:rsid w:val="003C3055"/>
    <w:rsid w:val="003C3110"/>
    <w:rsid w:val="003C4D35"/>
    <w:rsid w:val="003C5542"/>
    <w:rsid w:val="003C70E2"/>
    <w:rsid w:val="003C7C15"/>
    <w:rsid w:val="003C7D19"/>
    <w:rsid w:val="003C7D2F"/>
    <w:rsid w:val="003D0352"/>
    <w:rsid w:val="003D05D3"/>
    <w:rsid w:val="003D0C5A"/>
    <w:rsid w:val="003D1828"/>
    <w:rsid w:val="003D1DE4"/>
    <w:rsid w:val="003D1E9A"/>
    <w:rsid w:val="003D2422"/>
    <w:rsid w:val="003D24C8"/>
    <w:rsid w:val="003D2973"/>
    <w:rsid w:val="003D3538"/>
    <w:rsid w:val="003D39A1"/>
    <w:rsid w:val="003D3FBF"/>
    <w:rsid w:val="003D41F7"/>
    <w:rsid w:val="003D4A30"/>
    <w:rsid w:val="003D536B"/>
    <w:rsid w:val="003D624B"/>
    <w:rsid w:val="003D732F"/>
    <w:rsid w:val="003D7452"/>
    <w:rsid w:val="003D79BB"/>
    <w:rsid w:val="003D7C98"/>
    <w:rsid w:val="003D7D9D"/>
    <w:rsid w:val="003E0434"/>
    <w:rsid w:val="003E0543"/>
    <w:rsid w:val="003E06A4"/>
    <w:rsid w:val="003E1A85"/>
    <w:rsid w:val="003E26AA"/>
    <w:rsid w:val="003E2912"/>
    <w:rsid w:val="003E362B"/>
    <w:rsid w:val="003E4D3C"/>
    <w:rsid w:val="003E5603"/>
    <w:rsid w:val="003E5EA5"/>
    <w:rsid w:val="003E749E"/>
    <w:rsid w:val="003E788A"/>
    <w:rsid w:val="003E7E10"/>
    <w:rsid w:val="003F122A"/>
    <w:rsid w:val="003F21F8"/>
    <w:rsid w:val="003F4156"/>
    <w:rsid w:val="003F52A3"/>
    <w:rsid w:val="003F5A7F"/>
    <w:rsid w:val="003F5ADF"/>
    <w:rsid w:val="0040043D"/>
    <w:rsid w:val="00400B29"/>
    <w:rsid w:val="004010E0"/>
    <w:rsid w:val="00401266"/>
    <w:rsid w:val="00402812"/>
    <w:rsid w:val="0040355A"/>
    <w:rsid w:val="00403F6A"/>
    <w:rsid w:val="0040504B"/>
    <w:rsid w:val="004059F4"/>
    <w:rsid w:val="00407FE5"/>
    <w:rsid w:val="004101B0"/>
    <w:rsid w:val="00410326"/>
    <w:rsid w:val="00410708"/>
    <w:rsid w:val="00410DF9"/>
    <w:rsid w:val="00410EC7"/>
    <w:rsid w:val="00411B39"/>
    <w:rsid w:val="00412701"/>
    <w:rsid w:val="004127A7"/>
    <w:rsid w:val="004129B2"/>
    <w:rsid w:val="00413020"/>
    <w:rsid w:val="00413A1E"/>
    <w:rsid w:val="00414476"/>
    <w:rsid w:val="00414790"/>
    <w:rsid w:val="00414C2E"/>
    <w:rsid w:val="00414DAA"/>
    <w:rsid w:val="004151CF"/>
    <w:rsid w:val="00416364"/>
    <w:rsid w:val="0041684E"/>
    <w:rsid w:val="0042047F"/>
    <w:rsid w:val="00420AA6"/>
    <w:rsid w:val="00420B9F"/>
    <w:rsid w:val="0042192C"/>
    <w:rsid w:val="00422260"/>
    <w:rsid w:val="00423234"/>
    <w:rsid w:val="00423FDE"/>
    <w:rsid w:val="0042413F"/>
    <w:rsid w:val="00425826"/>
    <w:rsid w:val="004260AB"/>
    <w:rsid w:val="00426F99"/>
    <w:rsid w:val="00427F8D"/>
    <w:rsid w:val="004304FC"/>
    <w:rsid w:val="0043092C"/>
    <w:rsid w:val="00430CD5"/>
    <w:rsid w:val="004315E6"/>
    <w:rsid w:val="004319F8"/>
    <w:rsid w:val="00431E55"/>
    <w:rsid w:val="004321F6"/>
    <w:rsid w:val="004329F5"/>
    <w:rsid w:val="00433044"/>
    <w:rsid w:val="00433EDF"/>
    <w:rsid w:val="00434088"/>
    <w:rsid w:val="00434353"/>
    <w:rsid w:val="00434BA4"/>
    <w:rsid w:val="004361A5"/>
    <w:rsid w:val="00436DB6"/>
    <w:rsid w:val="004374A7"/>
    <w:rsid w:val="0043752D"/>
    <w:rsid w:val="004375B9"/>
    <w:rsid w:val="0044006F"/>
    <w:rsid w:val="00440300"/>
    <w:rsid w:val="0044049C"/>
    <w:rsid w:val="004428D0"/>
    <w:rsid w:val="0044386F"/>
    <w:rsid w:val="00444185"/>
    <w:rsid w:val="004443A7"/>
    <w:rsid w:val="0044442C"/>
    <w:rsid w:val="004444B1"/>
    <w:rsid w:val="00445941"/>
    <w:rsid w:val="00445CCB"/>
    <w:rsid w:val="004464EB"/>
    <w:rsid w:val="00447D26"/>
    <w:rsid w:val="00447DFC"/>
    <w:rsid w:val="0045142A"/>
    <w:rsid w:val="00453FC4"/>
    <w:rsid w:val="00455160"/>
    <w:rsid w:val="00455D45"/>
    <w:rsid w:val="00460EC7"/>
    <w:rsid w:val="004611FA"/>
    <w:rsid w:val="00461322"/>
    <w:rsid w:val="004621FD"/>
    <w:rsid w:val="00464595"/>
    <w:rsid w:val="004647D7"/>
    <w:rsid w:val="00464B9B"/>
    <w:rsid w:val="004658A0"/>
    <w:rsid w:val="004658B5"/>
    <w:rsid w:val="00465AEE"/>
    <w:rsid w:val="00465BD5"/>
    <w:rsid w:val="00465C45"/>
    <w:rsid w:val="00467817"/>
    <w:rsid w:val="00467A96"/>
    <w:rsid w:val="00471AAD"/>
    <w:rsid w:val="00471DD0"/>
    <w:rsid w:val="00471EA5"/>
    <w:rsid w:val="00472921"/>
    <w:rsid w:val="00472A79"/>
    <w:rsid w:val="00472C2B"/>
    <w:rsid w:val="00473F19"/>
    <w:rsid w:val="00475558"/>
    <w:rsid w:val="00475E22"/>
    <w:rsid w:val="0048088E"/>
    <w:rsid w:val="00480AB9"/>
    <w:rsid w:val="00480F2B"/>
    <w:rsid w:val="00482720"/>
    <w:rsid w:val="0048350E"/>
    <w:rsid w:val="004835E7"/>
    <w:rsid w:val="004859E1"/>
    <w:rsid w:val="0048635D"/>
    <w:rsid w:val="004867E2"/>
    <w:rsid w:val="004877AB"/>
    <w:rsid w:val="00490038"/>
    <w:rsid w:val="004901A0"/>
    <w:rsid w:val="00490B17"/>
    <w:rsid w:val="00491711"/>
    <w:rsid w:val="0049193E"/>
    <w:rsid w:val="00491B3A"/>
    <w:rsid w:val="0049221B"/>
    <w:rsid w:val="00492CFD"/>
    <w:rsid w:val="0049334B"/>
    <w:rsid w:val="00494207"/>
    <w:rsid w:val="00494DD5"/>
    <w:rsid w:val="004958CE"/>
    <w:rsid w:val="004962D2"/>
    <w:rsid w:val="004964FD"/>
    <w:rsid w:val="004A006B"/>
    <w:rsid w:val="004A06BB"/>
    <w:rsid w:val="004A0B50"/>
    <w:rsid w:val="004A0DA1"/>
    <w:rsid w:val="004A13D6"/>
    <w:rsid w:val="004A1FCB"/>
    <w:rsid w:val="004A4602"/>
    <w:rsid w:val="004A52E9"/>
    <w:rsid w:val="004A5A1B"/>
    <w:rsid w:val="004A6040"/>
    <w:rsid w:val="004A6597"/>
    <w:rsid w:val="004A7848"/>
    <w:rsid w:val="004A793B"/>
    <w:rsid w:val="004B155D"/>
    <w:rsid w:val="004B1CB4"/>
    <w:rsid w:val="004B2A86"/>
    <w:rsid w:val="004B2F18"/>
    <w:rsid w:val="004B377D"/>
    <w:rsid w:val="004B38C1"/>
    <w:rsid w:val="004B3DDB"/>
    <w:rsid w:val="004B44FD"/>
    <w:rsid w:val="004B461F"/>
    <w:rsid w:val="004B5CFC"/>
    <w:rsid w:val="004B6F79"/>
    <w:rsid w:val="004B774D"/>
    <w:rsid w:val="004B7A17"/>
    <w:rsid w:val="004C0366"/>
    <w:rsid w:val="004C13AD"/>
    <w:rsid w:val="004C2AC2"/>
    <w:rsid w:val="004C4AED"/>
    <w:rsid w:val="004C5EB4"/>
    <w:rsid w:val="004D2C2D"/>
    <w:rsid w:val="004D2EF2"/>
    <w:rsid w:val="004D3BBC"/>
    <w:rsid w:val="004D57B2"/>
    <w:rsid w:val="004D5A87"/>
    <w:rsid w:val="004D6356"/>
    <w:rsid w:val="004D64AA"/>
    <w:rsid w:val="004D686B"/>
    <w:rsid w:val="004D69B5"/>
    <w:rsid w:val="004D705D"/>
    <w:rsid w:val="004D7227"/>
    <w:rsid w:val="004D7B5E"/>
    <w:rsid w:val="004E0E7F"/>
    <w:rsid w:val="004E0EB8"/>
    <w:rsid w:val="004E18E9"/>
    <w:rsid w:val="004E2425"/>
    <w:rsid w:val="004E2831"/>
    <w:rsid w:val="004E2ADC"/>
    <w:rsid w:val="004E2D4B"/>
    <w:rsid w:val="004E375D"/>
    <w:rsid w:val="004E3B45"/>
    <w:rsid w:val="004E3BB4"/>
    <w:rsid w:val="004E43B2"/>
    <w:rsid w:val="004E46AD"/>
    <w:rsid w:val="004E485E"/>
    <w:rsid w:val="004E5939"/>
    <w:rsid w:val="004E7CC7"/>
    <w:rsid w:val="004F08E2"/>
    <w:rsid w:val="004F0A95"/>
    <w:rsid w:val="004F155F"/>
    <w:rsid w:val="004F1D02"/>
    <w:rsid w:val="004F1F48"/>
    <w:rsid w:val="004F2679"/>
    <w:rsid w:val="004F2F21"/>
    <w:rsid w:val="004F3DE5"/>
    <w:rsid w:val="004F3E22"/>
    <w:rsid w:val="004F62B7"/>
    <w:rsid w:val="004F6913"/>
    <w:rsid w:val="004F7345"/>
    <w:rsid w:val="004F776D"/>
    <w:rsid w:val="004F7865"/>
    <w:rsid w:val="00501744"/>
    <w:rsid w:val="0050174E"/>
    <w:rsid w:val="00501854"/>
    <w:rsid w:val="0050219B"/>
    <w:rsid w:val="0050332D"/>
    <w:rsid w:val="005037E6"/>
    <w:rsid w:val="00503F17"/>
    <w:rsid w:val="00503F3A"/>
    <w:rsid w:val="00505528"/>
    <w:rsid w:val="00505DA0"/>
    <w:rsid w:val="00506928"/>
    <w:rsid w:val="00507756"/>
    <w:rsid w:val="005077EF"/>
    <w:rsid w:val="00511AD5"/>
    <w:rsid w:val="00511DC7"/>
    <w:rsid w:val="0051280F"/>
    <w:rsid w:val="005129EA"/>
    <w:rsid w:val="00513CA1"/>
    <w:rsid w:val="00513FE0"/>
    <w:rsid w:val="005142C5"/>
    <w:rsid w:val="0051501B"/>
    <w:rsid w:val="005152B5"/>
    <w:rsid w:val="005156D0"/>
    <w:rsid w:val="00515886"/>
    <w:rsid w:val="00516452"/>
    <w:rsid w:val="00520FA4"/>
    <w:rsid w:val="0052123C"/>
    <w:rsid w:val="00521319"/>
    <w:rsid w:val="0052193C"/>
    <w:rsid w:val="0052221F"/>
    <w:rsid w:val="00522BC8"/>
    <w:rsid w:val="00522C3D"/>
    <w:rsid w:val="00522DF8"/>
    <w:rsid w:val="00523C28"/>
    <w:rsid w:val="00524078"/>
    <w:rsid w:val="005247C3"/>
    <w:rsid w:val="00524B21"/>
    <w:rsid w:val="0052596E"/>
    <w:rsid w:val="00526A70"/>
    <w:rsid w:val="00526A7F"/>
    <w:rsid w:val="00527482"/>
    <w:rsid w:val="0053069A"/>
    <w:rsid w:val="0053176B"/>
    <w:rsid w:val="005331E3"/>
    <w:rsid w:val="005332CA"/>
    <w:rsid w:val="005341B3"/>
    <w:rsid w:val="0053524C"/>
    <w:rsid w:val="00536F42"/>
    <w:rsid w:val="00537182"/>
    <w:rsid w:val="0053739F"/>
    <w:rsid w:val="005375A9"/>
    <w:rsid w:val="005376D0"/>
    <w:rsid w:val="00541AAD"/>
    <w:rsid w:val="00541E55"/>
    <w:rsid w:val="00541EDD"/>
    <w:rsid w:val="00542743"/>
    <w:rsid w:val="005427F0"/>
    <w:rsid w:val="00542C2D"/>
    <w:rsid w:val="00543756"/>
    <w:rsid w:val="00544D02"/>
    <w:rsid w:val="0054787E"/>
    <w:rsid w:val="005478BD"/>
    <w:rsid w:val="005479E3"/>
    <w:rsid w:val="00547A7F"/>
    <w:rsid w:val="00551985"/>
    <w:rsid w:val="00552BD3"/>
    <w:rsid w:val="005532A0"/>
    <w:rsid w:val="00555109"/>
    <w:rsid w:val="005568EF"/>
    <w:rsid w:val="00556B35"/>
    <w:rsid w:val="0055741A"/>
    <w:rsid w:val="00560D7B"/>
    <w:rsid w:val="005611B7"/>
    <w:rsid w:val="005618D4"/>
    <w:rsid w:val="00562EF1"/>
    <w:rsid w:val="00563B32"/>
    <w:rsid w:val="00564867"/>
    <w:rsid w:val="005655B1"/>
    <w:rsid w:val="00565C79"/>
    <w:rsid w:val="00565DF0"/>
    <w:rsid w:val="0056696F"/>
    <w:rsid w:val="00566A7B"/>
    <w:rsid w:val="00566D06"/>
    <w:rsid w:val="00570120"/>
    <w:rsid w:val="00571717"/>
    <w:rsid w:val="00571945"/>
    <w:rsid w:val="005720FC"/>
    <w:rsid w:val="00572269"/>
    <w:rsid w:val="0057244A"/>
    <w:rsid w:val="00572F26"/>
    <w:rsid w:val="005750C5"/>
    <w:rsid w:val="005752DE"/>
    <w:rsid w:val="00575D60"/>
    <w:rsid w:val="00575D8D"/>
    <w:rsid w:val="00575E0A"/>
    <w:rsid w:val="00576972"/>
    <w:rsid w:val="00577248"/>
    <w:rsid w:val="00581085"/>
    <w:rsid w:val="0058113A"/>
    <w:rsid w:val="00582676"/>
    <w:rsid w:val="005829EC"/>
    <w:rsid w:val="00583699"/>
    <w:rsid w:val="005839C4"/>
    <w:rsid w:val="00584077"/>
    <w:rsid w:val="00585158"/>
    <w:rsid w:val="00585C5E"/>
    <w:rsid w:val="00585CDD"/>
    <w:rsid w:val="00586421"/>
    <w:rsid w:val="00587058"/>
    <w:rsid w:val="0058746D"/>
    <w:rsid w:val="00591957"/>
    <w:rsid w:val="00594865"/>
    <w:rsid w:val="005962F6"/>
    <w:rsid w:val="00596E36"/>
    <w:rsid w:val="005973B7"/>
    <w:rsid w:val="00597478"/>
    <w:rsid w:val="00597BF9"/>
    <w:rsid w:val="005A028B"/>
    <w:rsid w:val="005A0C11"/>
    <w:rsid w:val="005A0E54"/>
    <w:rsid w:val="005A17B2"/>
    <w:rsid w:val="005A1C0F"/>
    <w:rsid w:val="005A250A"/>
    <w:rsid w:val="005A309A"/>
    <w:rsid w:val="005A373D"/>
    <w:rsid w:val="005A47AD"/>
    <w:rsid w:val="005A5E04"/>
    <w:rsid w:val="005A6745"/>
    <w:rsid w:val="005B0B58"/>
    <w:rsid w:val="005B4607"/>
    <w:rsid w:val="005B4E53"/>
    <w:rsid w:val="005B55C8"/>
    <w:rsid w:val="005B5664"/>
    <w:rsid w:val="005B5857"/>
    <w:rsid w:val="005C08F7"/>
    <w:rsid w:val="005C19C4"/>
    <w:rsid w:val="005C1B83"/>
    <w:rsid w:val="005C1B85"/>
    <w:rsid w:val="005C25FF"/>
    <w:rsid w:val="005C2C11"/>
    <w:rsid w:val="005C2D55"/>
    <w:rsid w:val="005C346B"/>
    <w:rsid w:val="005C434F"/>
    <w:rsid w:val="005C4A36"/>
    <w:rsid w:val="005C4E3F"/>
    <w:rsid w:val="005C535F"/>
    <w:rsid w:val="005C55D2"/>
    <w:rsid w:val="005C5ABC"/>
    <w:rsid w:val="005C771E"/>
    <w:rsid w:val="005D044D"/>
    <w:rsid w:val="005D04C1"/>
    <w:rsid w:val="005D0ABD"/>
    <w:rsid w:val="005D18AD"/>
    <w:rsid w:val="005D2652"/>
    <w:rsid w:val="005D26B4"/>
    <w:rsid w:val="005D28C8"/>
    <w:rsid w:val="005D369A"/>
    <w:rsid w:val="005D45C4"/>
    <w:rsid w:val="005D4E7E"/>
    <w:rsid w:val="005D64FC"/>
    <w:rsid w:val="005D7011"/>
    <w:rsid w:val="005D737D"/>
    <w:rsid w:val="005D7DD6"/>
    <w:rsid w:val="005D7FD2"/>
    <w:rsid w:val="005E0C2B"/>
    <w:rsid w:val="005E1995"/>
    <w:rsid w:val="005E4840"/>
    <w:rsid w:val="005E5CF6"/>
    <w:rsid w:val="005E6CBC"/>
    <w:rsid w:val="005E72FF"/>
    <w:rsid w:val="005E73C0"/>
    <w:rsid w:val="005F022A"/>
    <w:rsid w:val="005F07ED"/>
    <w:rsid w:val="005F17A9"/>
    <w:rsid w:val="005F21C1"/>
    <w:rsid w:val="005F2706"/>
    <w:rsid w:val="005F3A93"/>
    <w:rsid w:val="005F3AF9"/>
    <w:rsid w:val="005F42C1"/>
    <w:rsid w:val="005F50B0"/>
    <w:rsid w:val="005F665C"/>
    <w:rsid w:val="005F6A8F"/>
    <w:rsid w:val="005F6BB7"/>
    <w:rsid w:val="005F6F7A"/>
    <w:rsid w:val="005F7588"/>
    <w:rsid w:val="005F78EB"/>
    <w:rsid w:val="00600325"/>
    <w:rsid w:val="00602213"/>
    <w:rsid w:val="00602F62"/>
    <w:rsid w:val="006032A0"/>
    <w:rsid w:val="00603DB9"/>
    <w:rsid w:val="00605C19"/>
    <w:rsid w:val="00606FBA"/>
    <w:rsid w:val="00607669"/>
    <w:rsid w:val="006076F4"/>
    <w:rsid w:val="00607AFD"/>
    <w:rsid w:val="0061097D"/>
    <w:rsid w:val="00611B12"/>
    <w:rsid w:val="00612F97"/>
    <w:rsid w:val="0061345D"/>
    <w:rsid w:val="006140A0"/>
    <w:rsid w:val="0061436B"/>
    <w:rsid w:val="0061549B"/>
    <w:rsid w:val="00616802"/>
    <w:rsid w:val="00616876"/>
    <w:rsid w:val="00617E12"/>
    <w:rsid w:val="00620514"/>
    <w:rsid w:val="006207AB"/>
    <w:rsid w:val="00620C25"/>
    <w:rsid w:val="00621477"/>
    <w:rsid w:val="00621ADA"/>
    <w:rsid w:val="00622146"/>
    <w:rsid w:val="00622534"/>
    <w:rsid w:val="00623F7B"/>
    <w:rsid w:val="006247A4"/>
    <w:rsid w:val="00624BD4"/>
    <w:rsid w:val="0062650D"/>
    <w:rsid w:val="00626B83"/>
    <w:rsid w:val="00626CAF"/>
    <w:rsid w:val="00626E66"/>
    <w:rsid w:val="006273E7"/>
    <w:rsid w:val="0063158F"/>
    <w:rsid w:val="00631659"/>
    <w:rsid w:val="00631687"/>
    <w:rsid w:val="00631D6B"/>
    <w:rsid w:val="00632183"/>
    <w:rsid w:val="0063275D"/>
    <w:rsid w:val="006330A1"/>
    <w:rsid w:val="0063479F"/>
    <w:rsid w:val="006353F0"/>
    <w:rsid w:val="006357B5"/>
    <w:rsid w:val="006364A1"/>
    <w:rsid w:val="0063678E"/>
    <w:rsid w:val="00637BFD"/>
    <w:rsid w:val="00637C5C"/>
    <w:rsid w:val="00640569"/>
    <w:rsid w:val="00641469"/>
    <w:rsid w:val="0064159D"/>
    <w:rsid w:val="00641C4E"/>
    <w:rsid w:val="00641FB3"/>
    <w:rsid w:val="006432F7"/>
    <w:rsid w:val="0064434C"/>
    <w:rsid w:val="006471CC"/>
    <w:rsid w:val="0064722A"/>
    <w:rsid w:val="006472FE"/>
    <w:rsid w:val="00647323"/>
    <w:rsid w:val="00647A29"/>
    <w:rsid w:val="0065079F"/>
    <w:rsid w:val="006510F9"/>
    <w:rsid w:val="0065131E"/>
    <w:rsid w:val="00652A28"/>
    <w:rsid w:val="00652D9E"/>
    <w:rsid w:val="006533BE"/>
    <w:rsid w:val="0065379F"/>
    <w:rsid w:val="00653EFF"/>
    <w:rsid w:val="00655702"/>
    <w:rsid w:val="00655CD7"/>
    <w:rsid w:val="00656188"/>
    <w:rsid w:val="00656464"/>
    <w:rsid w:val="0065715A"/>
    <w:rsid w:val="00657938"/>
    <w:rsid w:val="006610F1"/>
    <w:rsid w:val="00661C6B"/>
    <w:rsid w:val="00662B12"/>
    <w:rsid w:val="00662D3E"/>
    <w:rsid w:val="00664102"/>
    <w:rsid w:val="00665A6B"/>
    <w:rsid w:val="00667BE3"/>
    <w:rsid w:val="00667D8E"/>
    <w:rsid w:val="00670BFC"/>
    <w:rsid w:val="00671004"/>
    <w:rsid w:val="00672646"/>
    <w:rsid w:val="00674669"/>
    <w:rsid w:val="00674BE8"/>
    <w:rsid w:val="00674E42"/>
    <w:rsid w:val="00675A6B"/>
    <w:rsid w:val="00676563"/>
    <w:rsid w:val="00677BA4"/>
    <w:rsid w:val="00677D19"/>
    <w:rsid w:val="00681254"/>
    <w:rsid w:val="006813F8"/>
    <w:rsid w:val="00681426"/>
    <w:rsid w:val="00681452"/>
    <w:rsid w:val="00681E80"/>
    <w:rsid w:val="00682112"/>
    <w:rsid w:val="00682BA6"/>
    <w:rsid w:val="0068567E"/>
    <w:rsid w:val="00686957"/>
    <w:rsid w:val="006872BA"/>
    <w:rsid w:val="0068772A"/>
    <w:rsid w:val="00690795"/>
    <w:rsid w:val="00691648"/>
    <w:rsid w:val="006917D7"/>
    <w:rsid w:val="00691D54"/>
    <w:rsid w:val="00694285"/>
    <w:rsid w:val="0069434C"/>
    <w:rsid w:val="00694F44"/>
    <w:rsid w:val="00696EF9"/>
    <w:rsid w:val="00696F51"/>
    <w:rsid w:val="00697087"/>
    <w:rsid w:val="006979A5"/>
    <w:rsid w:val="006A016F"/>
    <w:rsid w:val="006A024A"/>
    <w:rsid w:val="006A0814"/>
    <w:rsid w:val="006A0DF7"/>
    <w:rsid w:val="006A2F2D"/>
    <w:rsid w:val="006A2F9A"/>
    <w:rsid w:val="006A4321"/>
    <w:rsid w:val="006A43D9"/>
    <w:rsid w:val="006A5F60"/>
    <w:rsid w:val="006A63C8"/>
    <w:rsid w:val="006A6B99"/>
    <w:rsid w:val="006A7E5F"/>
    <w:rsid w:val="006B1DE3"/>
    <w:rsid w:val="006B261B"/>
    <w:rsid w:val="006B2C90"/>
    <w:rsid w:val="006B35E6"/>
    <w:rsid w:val="006B3AB1"/>
    <w:rsid w:val="006B465A"/>
    <w:rsid w:val="006B6970"/>
    <w:rsid w:val="006B6DD0"/>
    <w:rsid w:val="006B7347"/>
    <w:rsid w:val="006C0399"/>
    <w:rsid w:val="006C0493"/>
    <w:rsid w:val="006C1C5E"/>
    <w:rsid w:val="006C2629"/>
    <w:rsid w:val="006C2A8E"/>
    <w:rsid w:val="006C3255"/>
    <w:rsid w:val="006C34E9"/>
    <w:rsid w:val="006C3F26"/>
    <w:rsid w:val="006C5509"/>
    <w:rsid w:val="006C5DB7"/>
    <w:rsid w:val="006C5EA4"/>
    <w:rsid w:val="006C663E"/>
    <w:rsid w:val="006C66B9"/>
    <w:rsid w:val="006C7177"/>
    <w:rsid w:val="006C71CD"/>
    <w:rsid w:val="006C7825"/>
    <w:rsid w:val="006C7EED"/>
    <w:rsid w:val="006D05B5"/>
    <w:rsid w:val="006D0D17"/>
    <w:rsid w:val="006D17EF"/>
    <w:rsid w:val="006D1A5F"/>
    <w:rsid w:val="006D2458"/>
    <w:rsid w:val="006D3C7D"/>
    <w:rsid w:val="006D4659"/>
    <w:rsid w:val="006D4ACD"/>
    <w:rsid w:val="006D4BB1"/>
    <w:rsid w:val="006D5836"/>
    <w:rsid w:val="006D5D5F"/>
    <w:rsid w:val="006D68FB"/>
    <w:rsid w:val="006D742B"/>
    <w:rsid w:val="006D750A"/>
    <w:rsid w:val="006E2868"/>
    <w:rsid w:val="006E28E3"/>
    <w:rsid w:val="006E2B9C"/>
    <w:rsid w:val="006E3DBE"/>
    <w:rsid w:val="006E55F5"/>
    <w:rsid w:val="006E62F7"/>
    <w:rsid w:val="006E6632"/>
    <w:rsid w:val="006E6A67"/>
    <w:rsid w:val="006E73C2"/>
    <w:rsid w:val="006E7651"/>
    <w:rsid w:val="006E7B13"/>
    <w:rsid w:val="006E7FB3"/>
    <w:rsid w:val="006F0837"/>
    <w:rsid w:val="006F1977"/>
    <w:rsid w:val="006F306C"/>
    <w:rsid w:val="006F3FAF"/>
    <w:rsid w:val="006F44A4"/>
    <w:rsid w:val="006F63A5"/>
    <w:rsid w:val="006F6C24"/>
    <w:rsid w:val="006F79E3"/>
    <w:rsid w:val="006F7ADB"/>
    <w:rsid w:val="00700A32"/>
    <w:rsid w:val="0070142B"/>
    <w:rsid w:val="0070276E"/>
    <w:rsid w:val="007029E0"/>
    <w:rsid w:val="00702DA8"/>
    <w:rsid w:val="00702F8F"/>
    <w:rsid w:val="00703CE4"/>
    <w:rsid w:val="00704F58"/>
    <w:rsid w:val="00705B5E"/>
    <w:rsid w:val="007069C1"/>
    <w:rsid w:val="007074A3"/>
    <w:rsid w:val="007079FC"/>
    <w:rsid w:val="00707D84"/>
    <w:rsid w:val="007103BE"/>
    <w:rsid w:val="00711A36"/>
    <w:rsid w:val="007125D3"/>
    <w:rsid w:val="00712E40"/>
    <w:rsid w:val="0071349F"/>
    <w:rsid w:val="0071385B"/>
    <w:rsid w:val="007142EB"/>
    <w:rsid w:val="007146DC"/>
    <w:rsid w:val="00714C26"/>
    <w:rsid w:val="00715012"/>
    <w:rsid w:val="007150F1"/>
    <w:rsid w:val="0071529C"/>
    <w:rsid w:val="007170DA"/>
    <w:rsid w:val="007172AD"/>
    <w:rsid w:val="00717546"/>
    <w:rsid w:val="007178EC"/>
    <w:rsid w:val="0072041C"/>
    <w:rsid w:val="00720801"/>
    <w:rsid w:val="00720A35"/>
    <w:rsid w:val="00721FE3"/>
    <w:rsid w:val="0072244C"/>
    <w:rsid w:val="00722B1B"/>
    <w:rsid w:val="0072416F"/>
    <w:rsid w:val="00724931"/>
    <w:rsid w:val="007249B8"/>
    <w:rsid w:val="00727C94"/>
    <w:rsid w:val="00730A3F"/>
    <w:rsid w:val="00731140"/>
    <w:rsid w:val="00731B0A"/>
    <w:rsid w:val="00731EAE"/>
    <w:rsid w:val="00733073"/>
    <w:rsid w:val="007334BA"/>
    <w:rsid w:val="00733CDE"/>
    <w:rsid w:val="00735033"/>
    <w:rsid w:val="0073517B"/>
    <w:rsid w:val="00735328"/>
    <w:rsid w:val="0073685B"/>
    <w:rsid w:val="007368EB"/>
    <w:rsid w:val="00736DC7"/>
    <w:rsid w:val="00744641"/>
    <w:rsid w:val="007449BF"/>
    <w:rsid w:val="007463FE"/>
    <w:rsid w:val="00746416"/>
    <w:rsid w:val="00746BC0"/>
    <w:rsid w:val="00746D5B"/>
    <w:rsid w:val="00746F45"/>
    <w:rsid w:val="00747471"/>
    <w:rsid w:val="007506C2"/>
    <w:rsid w:val="007510B4"/>
    <w:rsid w:val="00752142"/>
    <w:rsid w:val="007523EB"/>
    <w:rsid w:val="007523F9"/>
    <w:rsid w:val="0075357E"/>
    <w:rsid w:val="00753B29"/>
    <w:rsid w:val="00754FF4"/>
    <w:rsid w:val="007566DB"/>
    <w:rsid w:val="00756B6F"/>
    <w:rsid w:val="007570C7"/>
    <w:rsid w:val="007573E8"/>
    <w:rsid w:val="00760C4E"/>
    <w:rsid w:val="00760F9E"/>
    <w:rsid w:val="007616E6"/>
    <w:rsid w:val="00761A0A"/>
    <w:rsid w:val="007627BE"/>
    <w:rsid w:val="0076374A"/>
    <w:rsid w:val="007639F8"/>
    <w:rsid w:val="0076432E"/>
    <w:rsid w:val="00764F03"/>
    <w:rsid w:val="00765B1A"/>
    <w:rsid w:val="00765DC1"/>
    <w:rsid w:val="00770618"/>
    <w:rsid w:val="00770E9F"/>
    <w:rsid w:val="00773F7B"/>
    <w:rsid w:val="00775F6E"/>
    <w:rsid w:val="00776E60"/>
    <w:rsid w:val="00777335"/>
    <w:rsid w:val="0077789B"/>
    <w:rsid w:val="007808A9"/>
    <w:rsid w:val="007843F2"/>
    <w:rsid w:val="007846FA"/>
    <w:rsid w:val="007858C7"/>
    <w:rsid w:val="00785A9F"/>
    <w:rsid w:val="0078638D"/>
    <w:rsid w:val="00786418"/>
    <w:rsid w:val="0078650A"/>
    <w:rsid w:val="0078767B"/>
    <w:rsid w:val="00787DD2"/>
    <w:rsid w:val="007925DF"/>
    <w:rsid w:val="00793530"/>
    <w:rsid w:val="00793D9F"/>
    <w:rsid w:val="00795030"/>
    <w:rsid w:val="007950BA"/>
    <w:rsid w:val="007A05E4"/>
    <w:rsid w:val="007A08AA"/>
    <w:rsid w:val="007A0A12"/>
    <w:rsid w:val="007A132D"/>
    <w:rsid w:val="007A1345"/>
    <w:rsid w:val="007A2DDB"/>
    <w:rsid w:val="007A68CF"/>
    <w:rsid w:val="007A70BA"/>
    <w:rsid w:val="007A7D61"/>
    <w:rsid w:val="007B0C16"/>
    <w:rsid w:val="007B0D68"/>
    <w:rsid w:val="007B14E5"/>
    <w:rsid w:val="007B251D"/>
    <w:rsid w:val="007B3533"/>
    <w:rsid w:val="007B3DD1"/>
    <w:rsid w:val="007B4F58"/>
    <w:rsid w:val="007B528D"/>
    <w:rsid w:val="007B63CA"/>
    <w:rsid w:val="007B77D1"/>
    <w:rsid w:val="007B7D72"/>
    <w:rsid w:val="007C0134"/>
    <w:rsid w:val="007C07C7"/>
    <w:rsid w:val="007C0BDF"/>
    <w:rsid w:val="007C0DCA"/>
    <w:rsid w:val="007C1CD9"/>
    <w:rsid w:val="007C1E66"/>
    <w:rsid w:val="007C32EF"/>
    <w:rsid w:val="007C361D"/>
    <w:rsid w:val="007C4B84"/>
    <w:rsid w:val="007C64BF"/>
    <w:rsid w:val="007C70FF"/>
    <w:rsid w:val="007C7C25"/>
    <w:rsid w:val="007D004F"/>
    <w:rsid w:val="007D035F"/>
    <w:rsid w:val="007D06B2"/>
    <w:rsid w:val="007D0B38"/>
    <w:rsid w:val="007D0B76"/>
    <w:rsid w:val="007D0D99"/>
    <w:rsid w:val="007D4644"/>
    <w:rsid w:val="007D5440"/>
    <w:rsid w:val="007D69EB"/>
    <w:rsid w:val="007E128F"/>
    <w:rsid w:val="007E2D82"/>
    <w:rsid w:val="007E435B"/>
    <w:rsid w:val="007E6B6F"/>
    <w:rsid w:val="007E734E"/>
    <w:rsid w:val="007F02AA"/>
    <w:rsid w:val="007F0A1A"/>
    <w:rsid w:val="007F1017"/>
    <w:rsid w:val="007F1043"/>
    <w:rsid w:val="007F466A"/>
    <w:rsid w:val="007F4A3F"/>
    <w:rsid w:val="007F4A61"/>
    <w:rsid w:val="007F5255"/>
    <w:rsid w:val="007F56CC"/>
    <w:rsid w:val="007F61C2"/>
    <w:rsid w:val="007F73E3"/>
    <w:rsid w:val="00805142"/>
    <w:rsid w:val="008052B4"/>
    <w:rsid w:val="00805FCE"/>
    <w:rsid w:val="0080626D"/>
    <w:rsid w:val="00806B98"/>
    <w:rsid w:val="008074C5"/>
    <w:rsid w:val="00807A8B"/>
    <w:rsid w:val="00811051"/>
    <w:rsid w:val="00811383"/>
    <w:rsid w:val="00812149"/>
    <w:rsid w:val="008123A1"/>
    <w:rsid w:val="00812CAC"/>
    <w:rsid w:val="00812D09"/>
    <w:rsid w:val="00813CB6"/>
    <w:rsid w:val="008147B4"/>
    <w:rsid w:val="00816361"/>
    <w:rsid w:val="0081645E"/>
    <w:rsid w:val="008166EF"/>
    <w:rsid w:val="00816AEA"/>
    <w:rsid w:val="00816FEF"/>
    <w:rsid w:val="00817286"/>
    <w:rsid w:val="00820A8C"/>
    <w:rsid w:val="008215FB"/>
    <w:rsid w:val="008220CC"/>
    <w:rsid w:val="00822A57"/>
    <w:rsid w:val="00823174"/>
    <w:rsid w:val="008242D8"/>
    <w:rsid w:val="00824E47"/>
    <w:rsid w:val="00825751"/>
    <w:rsid w:val="00826430"/>
    <w:rsid w:val="008264EB"/>
    <w:rsid w:val="008268CE"/>
    <w:rsid w:val="00827C23"/>
    <w:rsid w:val="00830349"/>
    <w:rsid w:val="008307DF"/>
    <w:rsid w:val="00830B19"/>
    <w:rsid w:val="00832583"/>
    <w:rsid w:val="00832FAB"/>
    <w:rsid w:val="00833B05"/>
    <w:rsid w:val="008348A9"/>
    <w:rsid w:val="00835AA7"/>
    <w:rsid w:val="00835FE7"/>
    <w:rsid w:val="008362B4"/>
    <w:rsid w:val="00840A52"/>
    <w:rsid w:val="00840CA2"/>
    <w:rsid w:val="00842987"/>
    <w:rsid w:val="0084374F"/>
    <w:rsid w:val="008437A4"/>
    <w:rsid w:val="00843B4D"/>
    <w:rsid w:val="00844A22"/>
    <w:rsid w:val="00847334"/>
    <w:rsid w:val="00847703"/>
    <w:rsid w:val="00847DF5"/>
    <w:rsid w:val="00847E1D"/>
    <w:rsid w:val="00850C0D"/>
    <w:rsid w:val="00851D3E"/>
    <w:rsid w:val="00851E60"/>
    <w:rsid w:val="0085309D"/>
    <w:rsid w:val="00854237"/>
    <w:rsid w:val="00855A48"/>
    <w:rsid w:val="00856897"/>
    <w:rsid w:val="00856E27"/>
    <w:rsid w:val="00856E9A"/>
    <w:rsid w:val="0086075D"/>
    <w:rsid w:val="00860773"/>
    <w:rsid w:val="00860DDF"/>
    <w:rsid w:val="008614CE"/>
    <w:rsid w:val="0086243F"/>
    <w:rsid w:val="00862502"/>
    <w:rsid w:val="00862B2B"/>
    <w:rsid w:val="00862CC1"/>
    <w:rsid w:val="008642A7"/>
    <w:rsid w:val="00865E06"/>
    <w:rsid w:val="008660D4"/>
    <w:rsid w:val="008668F9"/>
    <w:rsid w:val="008675BB"/>
    <w:rsid w:val="008702FB"/>
    <w:rsid w:val="00870D7A"/>
    <w:rsid w:val="008716D6"/>
    <w:rsid w:val="00871FA9"/>
    <w:rsid w:val="00872732"/>
    <w:rsid w:val="008728E9"/>
    <w:rsid w:val="00872E00"/>
    <w:rsid w:val="00874682"/>
    <w:rsid w:val="00874E81"/>
    <w:rsid w:val="00876AC7"/>
    <w:rsid w:val="0088001C"/>
    <w:rsid w:val="008802F1"/>
    <w:rsid w:val="008808BF"/>
    <w:rsid w:val="00882874"/>
    <w:rsid w:val="00882E3C"/>
    <w:rsid w:val="0088308A"/>
    <w:rsid w:val="00883787"/>
    <w:rsid w:val="008855E4"/>
    <w:rsid w:val="00885F25"/>
    <w:rsid w:val="00886CD2"/>
    <w:rsid w:val="00887442"/>
    <w:rsid w:val="00887FBD"/>
    <w:rsid w:val="00891E6F"/>
    <w:rsid w:val="0089275D"/>
    <w:rsid w:val="00892A36"/>
    <w:rsid w:val="00893239"/>
    <w:rsid w:val="00894489"/>
    <w:rsid w:val="00894CD6"/>
    <w:rsid w:val="008963A5"/>
    <w:rsid w:val="00896561"/>
    <w:rsid w:val="00896D5D"/>
    <w:rsid w:val="008A158A"/>
    <w:rsid w:val="008A1C19"/>
    <w:rsid w:val="008A217F"/>
    <w:rsid w:val="008A221A"/>
    <w:rsid w:val="008A2521"/>
    <w:rsid w:val="008A2CB2"/>
    <w:rsid w:val="008A2FCF"/>
    <w:rsid w:val="008A3158"/>
    <w:rsid w:val="008A3363"/>
    <w:rsid w:val="008A3371"/>
    <w:rsid w:val="008A3C3E"/>
    <w:rsid w:val="008A6192"/>
    <w:rsid w:val="008A644A"/>
    <w:rsid w:val="008A6DCE"/>
    <w:rsid w:val="008A79DE"/>
    <w:rsid w:val="008B094F"/>
    <w:rsid w:val="008B1757"/>
    <w:rsid w:val="008B1897"/>
    <w:rsid w:val="008B1C33"/>
    <w:rsid w:val="008B30FA"/>
    <w:rsid w:val="008B4B6F"/>
    <w:rsid w:val="008B5DE1"/>
    <w:rsid w:val="008B7513"/>
    <w:rsid w:val="008B7773"/>
    <w:rsid w:val="008B7992"/>
    <w:rsid w:val="008B7D7E"/>
    <w:rsid w:val="008C0468"/>
    <w:rsid w:val="008C0492"/>
    <w:rsid w:val="008C2083"/>
    <w:rsid w:val="008C2341"/>
    <w:rsid w:val="008C4268"/>
    <w:rsid w:val="008C4D95"/>
    <w:rsid w:val="008C5610"/>
    <w:rsid w:val="008C5739"/>
    <w:rsid w:val="008C585E"/>
    <w:rsid w:val="008C6067"/>
    <w:rsid w:val="008C6189"/>
    <w:rsid w:val="008C7282"/>
    <w:rsid w:val="008C7B07"/>
    <w:rsid w:val="008C7ECB"/>
    <w:rsid w:val="008D07A0"/>
    <w:rsid w:val="008D0CD4"/>
    <w:rsid w:val="008D1257"/>
    <w:rsid w:val="008D292F"/>
    <w:rsid w:val="008D2CE0"/>
    <w:rsid w:val="008D3B86"/>
    <w:rsid w:val="008D43FD"/>
    <w:rsid w:val="008D4755"/>
    <w:rsid w:val="008D496C"/>
    <w:rsid w:val="008D4C3D"/>
    <w:rsid w:val="008D64C5"/>
    <w:rsid w:val="008D743C"/>
    <w:rsid w:val="008D7A3F"/>
    <w:rsid w:val="008E0A9C"/>
    <w:rsid w:val="008E0D3C"/>
    <w:rsid w:val="008E1B9E"/>
    <w:rsid w:val="008E3E70"/>
    <w:rsid w:val="008E538A"/>
    <w:rsid w:val="008E55AB"/>
    <w:rsid w:val="008F120A"/>
    <w:rsid w:val="008F2226"/>
    <w:rsid w:val="008F27E0"/>
    <w:rsid w:val="008F48EB"/>
    <w:rsid w:val="008F4F0B"/>
    <w:rsid w:val="008F5519"/>
    <w:rsid w:val="008F65D1"/>
    <w:rsid w:val="009014CE"/>
    <w:rsid w:val="00901976"/>
    <w:rsid w:val="00902D30"/>
    <w:rsid w:val="0090377D"/>
    <w:rsid w:val="009046C4"/>
    <w:rsid w:val="009049D9"/>
    <w:rsid w:val="009062A5"/>
    <w:rsid w:val="0090727F"/>
    <w:rsid w:val="00907699"/>
    <w:rsid w:val="009109B9"/>
    <w:rsid w:val="00910FA7"/>
    <w:rsid w:val="00911272"/>
    <w:rsid w:val="00911339"/>
    <w:rsid w:val="0091332B"/>
    <w:rsid w:val="009135D6"/>
    <w:rsid w:val="00914C77"/>
    <w:rsid w:val="00914D85"/>
    <w:rsid w:val="009153A5"/>
    <w:rsid w:val="00915710"/>
    <w:rsid w:val="009200CB"/>
    <w:rsid w:val="00920C03"/>
    <w:rsid w:val="00920F8A"/>
    <w:rsid w:val="009215BC"/>
    <w:rsid w:val="00921ACB"/>
    <w:rsid w:val="0092369B"/>
    <w:rsid w:val="0092653A"/>
    <w:rsid w:val="009269E7"/>
    <w:rsid w:val="00926C2F"/>
    <w:rsid w:val="00927BAD"/>
    <w:rsid w:val="009307BA"/>
    <w:rsid w:val="00933625"/>
    <w:rsid w:val="00934988"/>
    <w:rsid w:val="009353C9"/>
    <w:rsid w:val="0093548D"/>
    <w:rsid w:val="009354E8"/>
    <w:rsid w:val="00937089"/>
    <w:rsid w:val="009376E0"/>
    <w:rsid w:val="00937B86"/>
    <w:rsid w:val="009428DD"/>
    <w:rsid w:val="00942EB9"/>
    <w:rsid w:val="00943853"/>
    <w:rsid w:val="00943BDA"/>
    <w:rsid w:val="009441CA"/>
    <w:rsid w:val="00944F8A"/>
    <w:rsid w:val="009510A2"/>
    <w:rsid w:val="009524CA"/>
    <w:rsid w:val="00952811"/>
    <w:rsid w:val="00953257"/>
    <w:rsid w:val="00953450"/>
    <w:rsid w:val="009535FD"/>
    <w:rsid w:val="0095474C"/>
    <w:rsid w:val="00955581"/>
    <w:rsid w:val="00956CB0"/>
    <w:rsid w:val="00957D92"/>
    <w:rsid w:val="009606E4"/>
    <w:rsid w:val="00960978"/>
    <w:rsid w:val="00962CB9"/>
    <w:rsid w:val="00964312"/>
    <w:rsid w:val="009652C7"/>
    <w:rsid w:val="00965B8A"/>
    <w:rsid w:val="0096726E"/>
    <w:rsid w:val="0096765D"/>
    <w:rsid w:val="00967678"/>
    <w:rsid w:val="009679BD"/>
    <w:rsid w:val="0097071F"/>
    <w:rsid w:val="009717AC"/>
    <w:rsid w:val="009734F6"/>
    <w:rsid w:val="009735CB"/>
    <w:rsid w:val="009738B8"/>
    <w:rsid w:val="009751C1"/>
    <w:rsid w:val="009811F1"/>
    <w:rsid w:val="0098134F"/>
    <w:rsid w:val="00981694"/>
    <w:rsid w:val="00982121"/>
    <w:rsid w:val="00983E57"/>
    <w:rsid w:val="00984F65"/>
    <w:rsid w:val="00985DE2"/>
    <w:rsid w:val="00986298"/>
    <w:rsid w:val="0098675D"/>
    <w:rsid w:val="00987BA4"/>
    <w:rsid w:val="00990BD6"/>
    <w:rsid w:val="00992272"/>
    <w:rsid w:val="009926E0"/>
    <w:rsid w:val="00992F02"/>
    <w:rsid w:val="009941E6"/>
    <w:rsid w:val="0099451E"/>
    <w:rsid w:val="0099560D"/>
    <w:rsid w:val="00996B1A"/>
    <w:rsid w:val="00997D4E"/>
    <w:rsid w:val="009A01A0"/>
    <w:rsid w:val="009A135D"/>
    <w:rsid w:val="009A18F6"/>
    <w:rsid w:val="009A2DCC"/>
    <w:rsid w:val="009A389E"/>
    <w:rsid w:val="009A4478"/>
    <w:rsid w:val="009A5ABC"/>
    <w:rsid w:val="009A6728"/>
    <w:rsid w:val="009A6ECA"/>
    <w:rsid w:val="009A79A6"/>
    <w:rsid w:val="009A7F10"/>
    <w:rsid w:val="009B155F"/>
    <w:rsid w:val="009B1A4F"/>
    <w:rsid w:val="009B2CD3"/>
    <w:rsid w:val="009B3E26"/>
    <w:rsid w:val="009C1265"/>
    <w:rsid w:val="009C1271"/>
    <w:rsid w:val="009C1EFD"/>
    <w:rsid w:val="009C26F2"/>
    <w:rsid w:val="009C2868"/>
    <w:rsid w:val="009C3706"/>
    <w:rsid w:val="009C3885"/>
    <w:rsid w:val="009C3A3A"/>
    <w:rsid w:val="009C4055"/>
    <w:rsid w:val="009C5DB9"/>
    <w:rsid w:val="009C6CEA"/>
    <w:rsid w:val="009C7B85"/>
    <w:rsid w:val="009D0118"/>
    <w:rsid w:val="009D0254"/>
    <w:rsid w:val="009D0C1E"/>
    <w:rsid w:val="009D1A64"/>
    <w:rsid w:val="009D29BF"/>
    <w:rsid w:val="009D4C76"/>
    <w:rsid w:val="009D53D8"/>
    <w:rsid w:val="009D5B91"/>
    <w:rsid w:val="009D5DC8"/>
    <w:rsid w:val="009D792E"/>
    <w:rsid w:val="009E0DFE"/>
    <w:rsid w:val="009E290D"/>
    <w:rsid w:val="009E31F6"/>
    <w:rsid w:val="009E4126"/>
    <w:rsid w:val="009E4C07"/>
    <w:rsid w:val="009E777F"/>
    <w:rsid w:val="009F3A28"/>
    <w:rsid w:val="009F4554"/>
    <w:rsid w:val="009F4AA2"/>
    <w:rsid w:val="009F5AF8"/>
    <w:rsid w:val="009F5B3F"/>
    <w:rsid w:val="009F6120"/>
    <w:rsid w:val="009F6E4D"/>
    <w:rsid w:val="009F703D"/>
    <w:rsid w:val="009F77A5"/>
    <w:rsid w:val="00A00D76"/>
    <w:rsid w:val="00A01184"/>
    <w:rsid w:val="00A011A4"/>
    <w:rsid w:val="00A01449"/>
    <w:rsid w:val="00A01FF5"/>
    <w:rsid w:val="00A02A2E"/>
    <w:rsid w:val="00A037C2"/>
    <w:rsid w:val="00A03D43"/>
    <w:rsid w:val="00A04380"/>
    <w:rsid w:val="00A04786"/>
    <w:rsid w:val="00A05472"/>
    <w:rsid w:val="00A05C32"/>
    <w:rsid w:val="00A0653F"/>
    <w:rsid w:val="00A06A12"/>
    <w:rsid w:val="00A06FF5"/>
    <w:rsid w:val="00A07CA1"/>
    <w:rsid w:val="00A10B2E"/>
    <w:rsid w:val="00A11B4F"/>
    <w:rsid w:val="00A11CD0"/>
    <w:rsid w:val="00A11E82"/>
    <w:rsid w:val="00A12945"/>
    <w:rsid w:val="00A13255"/>
    <w:rsid w:val="00A13948"/>
    <w:rsid w:val="00A14154"/>
    <w:rsid w:val="00A1555B"/>
    <w:rsid w:val="00A155C5"/>
    <w:rsid w:val="00A15636"/>
    <w:rsid w:val="00A16AD8"/>
    <w:rsid w:val="00A16D1B"/>
    <w:rsid w:val="00A2021E"/>
    <w:rsid w:val="00A21317"/>
    <w:rsid w:val="00A215DE"/>
    <w:rsid w:val="00A21C95"/>
    <w:rsid w:val="00A21CF3"/>
    <w:rsid w:val="00A21DE4"/>
    <w:rsid w:val="00A24474"/>
    <w:rsid w:val="00A2463A"/>
    <w:rsid w:val="00A24813"/>
    <w:rsid w:val="00A266E0"/>
    <w:rsid w:val="00A27AEC"/>
    <w:rsid w:val="00A3071B"/>
    <w:rsid w:val="00A30FDB"/>
    <w:rsid w:val="00A31370"/>
    <w:rsid w:val="00A318B7"/>
    <w:rsid w:val="00A31E0F"/>
    <w:rsid w:val="00A31F90"/>
    <w:rsid w:val="00A320DB"/>
    <w:rsid w:val="00A32236"/>
    <w:rsid w:val="00A32300"/>
    <w:rsid w:val="00A34190"/>
    <w:rsid w:val="00A35D16"/>
    <w:rsid w:val="00A368E7"/>
    <w:rsid w:val="00A37BCD"/>
    <w:rsid w:val="00A40025"/>
    <w:rsid w:val="00A41689"/>
    <w:rsid w:val="00A41B0D"/>
    <w:rsid w:val="00A42592"/>
    <w:rsid w:val="00A42654"/>
    <w:rsid w:val="00A43731"/>
    <w:rsid w:val="00A43C59"/>
    <w:rsid w:val="00A43FC8"/>
    <w:rsid w:val="00A44844"/>
    <w:rsid w:val="00A46CE8"/>
    <w:rsid w:val="00A46DB0"/>
    <w:rsid w:val="00A47365"/>
    <w:rsid w:val="00A47BAE"/>
    <w:rsid w:val="00A500F5"/>
    <w:rsid w:val="00A50D91"/>
    <w:rsid w:val="00A50ECD"/>
    <w:rsid w:val="00A518F3"/>
    <w:rsid w:val="00A52729"/>
    <w:rsid w:val="00A53675"/>
    <w:rsid w:val="00A55CF9"/>
    <w:rsid w:val="00A564D7"/>
    <w:rsid w:val="00A56B6A"/>
    <w:rsid w:val="00A573B8"/>
    <w:rsid w:val="00A578DC"/>
    <w:rsid w:val="00A605F3"/>
    <w:rsid w:val="00A620CB"/>
    <w:rsid w:val="00A637D6"/>
    <w:rsid w:val="00A639CC"/>
    <w:rsid w:val="00A63DF5"/>
    <w:rsid w:val="00A640E2"/>
    <w:rsid w:val="00A648E4"/>
    <w:rsid w:val="00A64D65"/>
    <w:rsid w:val="00A667A1"/>
    <w:rsid w:val="00A6725B"/>
    <w:rsid w:val="00A67E59"/>
    <w:rsid w:val="00A70605"/>
    <w:rsid w:val="00A71834"/>
    <w:rsid w:val="00A7193F"/>
    <w:rsid w:val="00A71DA3"/>
    <w:rsid w:val="00A73134"/>
    <w:rsid w:val="00A7365A"/>
    <w:rsid w:val="00A74CC2"/>
    <w:rsid w:val="00A76001"/>
    <w:rsid w:val="00A777B2"/>
    <w:rsid w:val="00A8173E"/>
    <w:rsid w:val="00A81A64"/>
    <w:rsid w:val="00A82324"/>
    <w:rsid w:val="00A825D4"/>
    <w:rsid w:val="00A828F6"/>
    <w:rsid w:val="00A82B73"/>
    <w:rsid w:val="00A83499"/>
    <w:rsid w:val="00A83B09"/>
    <w:rsid w:val="00A84BAC"/>
    <w:rsid w:val="00A868AE"/>
    <w:rsid w:val="00A86E8B"/>
    <w:rsid w:val="00A87164"/>
    <w:rsid w:val="00A871A9"/>
    <w:rsid w:val="00A87325"/>
    <w:rsid w:val="00A91254"/>
    <w:rsid w:val="00A9192A"/>
    <w:rsid w:val="00A91E76"/>
    <w:rsid w:val="00A93072"/>
    <w:rsid w:val="00A9357B"/>
    <w:rsid w:val="00A938A4"/>
    <w:rsid w:val="00A938BD"/>
    <w:rsid w:val="00A93953"/>
    <w:rsid w:val="00A950EA"/>
    <w:rsid w:val="00A959D8"/>
    <w:rsid w:val="00A96601"/>
    <w:rsid w:val="00A966E2"/>
    <w:rsid w:val="00A96CE8"/>
    <w:rsid w:val="00A97934"/>
    <w:rsid w:val="00A97F85"/>
    <w:rsid w:val="00AA099D"/>
    <w:rsid w:val="00AA0BB2"/>
    <w:rsid w:val="00AA113D"/>
    <w:rsid w:val="00AA4F5C"/>
    <w:rsid w:val="00AA51FF"/>
    <w:rsid w:val="00AA6BD5"/>
    <w:rsid w:val="00AA6BD8"/>
    <w:rsid w:val="00AA6C7D"/>
    <w:rsid w:val="00AA6F8F"/>
    <w:rsid w:val="00AA6FE8"/>
    <w:rsid w:val="00AA71B7"/>
    <w:rsid w:val="00AA7556"/>
    <w:rsid w:val="00AA7FD6"/>
    <w:rsid w:val="00AB042A"/>
    <w:rsid w:val="00AB11AD"/>
    <w:rsid w:val="00AB19EF"/>
    <w:rsid w:val="00AB2495"/>
    <w:rsid w:val="00AB2D34"/>
    <w:rsid w:val="00AB3430"/>
    <w:rsid w:val="00AB37B9"/>
    <w:rsid w:val="00AB3811"/>
    <w:rsid w:val="00AB3B88"/>
    <w:rsid w:val="00AB3D1F"/>
    <w:rsid w:val="00AB3E94"/>
    <w:rsid w:val="00AB45A5"/>
    <w:rsid w:val="00AB4AD1"/>
    <w:rsid w:val="00AB5E07"/>
    <w:rsid w:val="00AB6D5A"/>
    <w:rsid w:val="00AB6E10"/>
    <w:rsid w:val="00AB6F83"/>
    <w:rsid w:val="00AB7056"/>
    <w:rsid w:val="00AB76F5"/>
    <w:rsid w:val="00AB7CFA"/>
    <w:rsid w:val="00AC05A9"/>
    <w:rsid w:val="00AC0974"/>
    <w:rsid w:val="00AC0DCA"/>
    <w:rsid w:val="00AC23A6"/>
    <w:rsid w:val="00AC289D"/>
    <w:rsid w:val="00AC28C9"/>
    <w:rsid w:val="00AC3C1F"/>
    <w:rsid w:val="00AC5B42"/>
    <w:rsid w:val="00AC5B48"/>
    <w:rsid w:val="00AC7A7F"/>
    <w:rsid w:val="00AD041B"/>
    <w:rsid w:val="00AD1301"/>
    <w:rsid w:val="00AD1450"/>
    <w:rsid w:val="00AD15E8"/>
    <w:rsid w:val="00AD20DD"/>
    <w:rsid w:val="00AD26DB"/>
    <w:rsid w:val="00AD356D"/>
    <w:rsid w:val="00AD45A5"/>
    <w:rsid w:val="00AD52C0"/>
    <w:rsid w:val="00AD546C"/>
    <w:rsid w:val="00AD6502"/>
    <w:rsid w:val="00AD670A"/>
    <w:rsid w:val="00AD6A33"/>
    <w:rsid w:val="00AE02F4"/>
    <w:rsid w:val="00AE061A"/>
    <w:rsid w:val="00AE0695"/>
    <w:rsid w:val="00AE0B2B"/>
    <w:rsid w:val="00AE1140"/>
    <w:rsid w:val="00AE1A32"/>
    <w:rsid w:val="00AE24A5"/>
    <w:rsid w:val="00AE3878"/>
    <w:rsid w:val="00AE3E7E"/>
    <w:rsid w:val="00AE60C8"/>
    <w:rsid w:val="00AE6F88"/>
    <w:rsid w:val="00AE7B50"/>
    <w:rsid w:val="00AE7E53"/>
    <w:rsid w:val="00AF1315"/>
    <w:rsid w:val="00AF19BF"/>
    <w:rsid w:val="00AF1A63"/>
    <w:rsid w:val="00AF2DC3"/>
    <w:rsid w:val="00AF4ACD"/>
    <w:rsid w:val="00AF5A98"/>
    <w:rsid w:val="00AF623E"/>
    <w:rsid w:val="00AF6A9E"/>
    <w:rsid w:val="00AF6BEF"/>
    <w:rsid w:val="00AF6D71"/>
    <w:rsid w:val="00AF765F"/>
    <w:rsid w:val="00AF77A6"/>
    <w:rsid w:val="00B033E5"/>
    <w:rsid w:val="00B03782"/>
    <w:rsid w:val="00B03A63"/>
    <w:rsid w:val="00B0408E"/>
    <w:rsid w:val="00B04736"/>
    <w:rsid w:val="00B05704"/>
    <w:rsid w:val="00B0701B"/>
    <w:rsid w:val="00B1071E"/>
    <w:rsid w:val="00B113C8"/>
    <w:rsid w:val="00B1153D"/>
    <w:rsid w:val="00B12607"/>
    <w:rsid w:val="00B129A4"/>
    <w:rsid w:val="00B12E91"/>
    <w:rsid w:val="00B13D6F"/>
    <w:rsid w:val="00B14344"/>
    <w:rsid w:val="00B16E84"/>
    <w:rsid w:val="00B17A65"/>
    <w:rsid w:val="00B201A4"/>
    <w:rsid w:val="00B201D1"/>
    <w:rsid w:val="00B213A6"/>
    <w:rsid w:val="00B2153A"/>
    <w:rsid w:val="00B235B0"/>
    <w:rsid w:val="00B24A9A"/>
    <w:rsid w:val="00B24DF6"/>
    <w:rsid w:val="00B27A61"/>
    <w:rsid w:val="00B30365"/>
    <w:rsid w:val="00B319AB"/>
    <w:rsid w:val="00B34FE2"/>
    <w:rsid w:val="00B35166"/>
    <w:rsid w:val="00B357D8"/>
    <w:rsid w:val="00B36007"/>
    <w:rsid w:val="00B360F4"/>
    <w:rsid w:val="00B36A00"/>
    <w:rsid w:val="00B37306"/>
    <w:rsid w:val="00B3792B"/>
    <w:rsid w:val="00B37BFC"/>
    <w:rsid w:val="00B40358"/>
    <w:rsid w:val="00B409AB"/>
    <w:rsid w:val="00B41614"/>
    <w:rsid w:val="00B41A72"/>
    <w:rsid w:val="00B41AF8"/>
    <w:rsid w:val="00B42618"/>
    <w:rsid w:val="00B42851"/>
    <w:rsid w:val="00B42F80"/>
    <w:rsid w:val="00B435CB"/>
    <w:rsid w:val="00B437D5"/>
    <w:rsid w:val="00B44762"/>
    <w:rsid w:val="00B45C64"/>
    <w:rsid w:val="00B45E4E"/>
    <w:rsid w:val="00B465EC"/>
    <w:rsid w:val="00B5056E"/>
    <w:rsid w:val="00B505C8"/>
    <w:rsid w:val="00B5065C"/>
    <w:rsid w:val="00B50DB8"/>
    <w:rsid w:val="00B53654"/>
    <w:rsid w:val="00B53752"/>
    <w:rsid w:val="00B53905"/>
    <w:rsid w:val="00B546DB"/>
    <w:rsid w:val="00B54B5B"/>
    <w:rsid w:val="00B5562E"/>
    <w:rsid w:val="00B55862"/>
    <w:rsid w:val="00B55D65"/>
    <w:rsid w:val="00B56305"/>
    <w:rsid w:val="00B57000"/>
    <w:rsid w:val="00B578D3"/>
    <w:rsid w:val="00B57C54"/>
    <w:rsid w:val="00B60939"/>
    <w:rsid w:val="00B60AFD"/>
    <w:rsid w:val="00B61AD8"/>
    <w:rsid w:val="00B62715"/>
    <w:rsid w:val="00B62F0D"/>
    <w:rsid w:val="00B63CB2"/>
    <w:rsid w:val="00B65611"/>
    <w:rsid w:val="00B70E8E"/>
    <w:rsid w:val="00B71B2D"/>
    <w:rsid w:val="00B736DC"/>
    <w:rsid w:val="00B74AAC"/>
    <w:rsid w:val="00B75596"/>
    <w:rsid w:val="00B7666A"/>
    <w:rsid w:val="00B76955"/>
    <w:rsid w:val="00B76C92"/>
    <w:rsid w:val="00B77420"/>
    <w:rsid w:val="00B80B96"/>
    <w:rsid w:val="00B80BCD"/>
    <w:rsid w:val="00B80EFD"/>
    <w:rsid w:val="00B818A4"/>
    <w:rsid w:val="00B820B5"/>
    <w:rsid w:val="00B83739"/>
    <w:rsid w:val="00B83B37"/>
    <w:rsid w:val="00B84117"/>
    <w:rsid w:val="00B85826"/>
    <w:rsid w:val="00B858F0"/>
    <w:rsid w:val="00B85AA2"/>
    <w:rsid w:val="00B8649C"/>
    <w:rsid w:val="00B8695D"/>
    <w:rsid w:val="00B86B8E"/>
    <w:rsid w:val="00B87746"/>
    <w:rsid w:val="00B87F0A"/>
    <w:rsid w:val="00B921FB"/>
    <w:rsid w:val="00B9291A"/>
    <w:rsid w:val="00B92D0B"/>
    <w:rsid w:val="00B94945"/>
    <w:rsid w:val="00B94DD6"/>
    <w:rsid w:val="00B965D8"/>
    <w:rsid w:val="00B96650"/>
    <w:rsid w:val="00B97A12"/>
    <w:rsid w:val="00BA0B4D"/>
    <w:rsid w:val="00BA17B8"/>
    <w:rsid w:val="00BA322D"/>
    <w:rsid w:val="00BA3C22"/>
    <w:rsid w:val="00BA63FA"/>
    <w:rsid w:val="00BA77BC"/>
    <w:rsid w:val="00BB00B3"/>
    <w:rsid w:val="00BB0BDD"/>
    <w:rsid w:val="00BB10D1"/>
    <w:rsid w:val="00BB113C"/>
    <w:rsid w:val="00BB176C"/>
    <w:rsid w:val="00BB19C7"/>
    <w:rsid w:val="00BB2A73"/>
    <w:rsid w:val="00BB3A45"/>
    <w:rsid w:val="00BB4ACC"/>
    <w:rsid w:val="00BB5CFF"/>
    <w:rsid w:val="00BB672A"/>
    <w:rsid w:val="00BB703E"/>
    <w:rsid w:val="00BB732D"/>
    <w:rsid w:val="00BB7405"/>
    <w:rsid w:val="00BC047B"/>
    <w:rsid w:val="00BC04CB"/>
    <w:rsid w:val="00BC1219"/>
    <w:rsid w:val="00BC3631"/>
    <w:rsid w:val="00BC3879"/>
    <w:rsid w:val="00BC591F"/>
    <w:rsid w:val="00BC6F33"/>
    <w:rsid w:val="00BC7D6D"/>
    <w:rsid w:val="00BD1A11"/>
    <w:rsid w:val="00BD1D6E"/>
    <w:rsid w:val="00BD2108"/>
    <w:rsid w:val="00BD2BB9"/>
    <w:rsid w:val="00BD55BC"/>
    <w:rsid w:val="00BD5F6C"/>
    <w:rsid w:val="00BD63D9"/>
    <w:rsid w:val="00BD68A3"/>
    <w:rsid w:val="00BD6938"/>
    <w:rsid w:val="00BD6CF3"/>
    <w:rsid w:val="00BD6E66"/>
    <w:rsid w:val="00BD7F72"/>
    <w:rsid w:val="00BE0ECA"/>
    <w:rsid w:val="00BE13F0"/>
    <w:rsid w:val="00BE2180"/>
    <w:rsid w:val="00BE21F2"/>
    <w:rsid w:val="00BE2567"/>
    <w:rsid w:val="00BE3BF5"/>
    <w:rsid w:val="00BE4275"/>
    <w:rsid w:val="00BE4561"/>
    <w:rsid w:val="00BE53D0"/>
    <w:rsid w:val="00BE6E7B"/>
    <w:rsid w:val="00BF06AE"/>
    <w:rsid w:val="00BF0F95"/>
    <w:rsid w:val="00BF2433"/>
    <w:rsid w:val="00BF2E6E"/>
    <w:rsid w:val="00BF2E85"/>
    <w:rsid w:val="00BF4F5E"/>
    <w:rsid w:val="00BF58FD"/>
    <w:rsid w:val="00BF61C9"/>
    <w:rsid w:val="00BF6C94"/>
    <w:rsid w:val="00BF7A65"/>
    <w:rsid w:val="00C001CD"/>
    <w:rsid w:val="00C00424"/>
    <w:rsid w:val="00C00BB0"/>
    <w:rsid w:val="00C010B6"/>
    <w:rsid w:val="00C037B9"/>
    <w:rsid w:val="00C03B3D"/>
    <w:rsid w:val="00C053FB"/>
    <w:rsid w:val="00C06E28"/>
    <w:rsid w:val="00C07AF8"/>
    <w:rsid w:val="00C1029F"/>
    <w:rsid w:val="00C1179F"/>
    <w:rsid w:val="00C11A72"/>
    <w:rsid w:val="00C11D22"/>
    <w:rsid w:val="00C11D7B"/>
    <w:rsid w:val="00C1228C"/>
    <w:rsid w:val="00C127B9"/>
    <w:rsid w:val="00C128FA"/>
    <w:rsid w:val="00C12C14"/>
    <w:rsid w:val="00C1343C"/>
    <w:rsid w:val="00C13E3E"/>
    <w:rsid w:val="00C1448B"/>
    <w:rsid w:val="00C15E1B"/>
    <w:rsid w:val="00C15F04"/>
    <w:rsid w:val="00C1667D"/>
    <w:rsid w:val="00C1735D"/>
    <w:rsid w:val="00C179B3"/>
    <w:rsid w:val="00C17A46"/>
    <w:rsid w:val="00C17E3F"/>
    <w:rsid w:val="00C200AA"/>
    <w:rsid w:val="00C226BA"/>
    <w:rsid w:val="00C237D2"/>
    <w:rsid w:val="00C237ED"/>
    <w:rsid w:val="00C24194"/>
    <w:rsid w:val="00C2428E"/>
    <w:rsid w:val="00C24632"/>
    <w:rsid w:val="00C24D09"/>
    <w:rsid w:val="00C25418"/>
    <w:rsid w:val="00C25D9C"/>
    <w:rsid w:val="00C2778B"/>
    <w:rsid w:val="00C31649"/>
    <w:rsid w:val="00C332F9"/>
    <w:rsid w:val="00C33D4F"/>
    <w:rsid w:val="00C3434C"/>
    <w:rsid w:val="00C35614"/>
    <w:rsid w:val="00C36503"/>
    <w:rsid w:val="00C3691B"/>
    <w:rsid w:val="00C401F7"/>
    <w:rsid w:val="00C40385"/>
    <w:rsid w:val="00C4065F"/>
    <w:rsid w:val="00C41459"/>
    <w:rsid w:val="00C41768"/>
    <w:rsid w:val="00C419F2"/>
    <w:rsid w:val="00C41BD1"/>
    <w:rsid w:val="00C41EED"/>
    <w:rsid w:val="00C42897"/>
    <w:rsid w:val="00C43B0B"/>
    <w:rsid w:val="00C44585"/>
    <w:rsid w:val="00C44587"/>
    <w:rsid w:val="00C475AA"/>
    <w:rsid w:val="00C47FE1"/>
    <w:rsid w:val="00C510EC"/>
    <w:rsid w:val="00C51946"/>
    <w:rsid w:val="00C521FE"/>
    <w:rsid w:val="00C5229D"/>
    <w:rsid w:val="00C52784"/>
    <w:rsid w:val="00C527C7"/>
    <w:rsid w:val="00C53C98"/>
    <w:rsid w:val="00C548C7"/>
    <w:rsid w:val="00C554C6"/>
    <w:rsid w:val="00C56717"/>
    <w:rsid w:val="00C56CD4"/>
    <w:rsid w:val="00C56FCF"/>
    <w:rsid w:val="00C570B4"/>
    <w:rsid w:val="00C571D7"/>
    <w:rsid w:val="00C57B6C"/>
    <w:rsid w:val="00C61A59"/>
    <w:rsid w:val="00C628A6"/>
    <w:rsid w:val="00C64344"/>
    <w:rsid w:val="00C65108"/>
    <w:rsid w:val="00C65576"/>
    <w:rsid w:val="00C66165"/>
    <w:rsid w:val="00C669C2"/>
    <w:rsid w:val="00C67C2C"/>
    <w:rsid w:val="00C7060A"/>
    <w:rsid w:val="00C70BE5"/>
    <w:rsid w:val="00C7151A"/>
    <w:rsid w:val="00C717E3"/>
    <w:rsid w:val="00C71C35"/>
    <w:rsid w:val="00C71F60"/>
    <w:rsid w:val="00C72241"/>
    <w:rsid w:val="00C73691"/>
    <w:rsid w:val="00C736C9"/>
    <w:rsid w:val="00C73939"/>
    <w:rsid w:val="00C750B0"/>
    <w:rsid w:val="00C750C8"/>
    <w:rsid w:val="00C7530A"/>
    <w:rsid w:val="00C7560F"/>
    <w:rsid w:val="00C76621"/>
    <w:rsid w:val="00C76968"/>
    <w:rsid w:val="00C76E45"/>
    <w:rsid w:val="00C80100"/>
    <w:rsid w:val="00C8012E"/>
    <w:rsid w:val="00C80A0E"/>
    <w:rsid w:val="00C814F5"/>
    <w:rsid w:val="00C8213F"/>
    <w:rsid w:val="00C82808"/>
    <w:rsid w:val="00C8296C"/>
    <w:rsid w:val="00C8303F"/>
    <w:rsid w:val="00C83928"/>
    <w:rsid w:val="00C84F3D"/>
    <w:rsid w:val="00C85154"/>
    <w:rsid w:val="00C85A70"/>
    <w:rsid w:val="00C86D34"/>
    <w:rsid w:val="00C872A7"/>
    <w:rsid w:val="00C8797A"/>
    <w:rsid w:val="00C900B8"/>
    <w:rsid w:val="00C90197"/>
    <w:rsid w:val="00C90C71"/>
    <w:rsid w:val="00C91FD1"/>
    <w:rsid w:val="00C923F4"/>
    <w:rsid w:val="00C931CF"/>
    <w:rsid w:val="00C938CF"/>
    <w:rsid w:val="00C9394F"/>
    <w:rsid w:val="00C94053"/>
    <w:rsid w:val="00C9486D"/>
    <w:rsid w:val="00C95438"/>
    <w:rsid w:val="00C9624D"/>
    <w:rsid w:val="00C969DA"/>
    <w:rsid w:val="00CA13F3"/>
    <w:rsid w:val="00CA2169"/>
    <w:rsid w:val="00CA2C77"/>
    <w:rsid w:val="00CA2DEB"/>
    <w:rsid w:val="00CA3140"/>
    <w:rsid w:val="00CA371A"/>
    <w:rsid w:val="00CA428B"/>
    <w:rsid w:val="00CA444F"/>
    <w:rsid w:val="00CA47A6"/>
    <w:rsid w:val="00CA5245"/>
    <w:rsid w:val="00CA6AAA"/>
    <w:rsid w:val="00CA71F4"/>
    <w:rsid w:val="00CA7B09"/>
    <w:rsid w:val="00CB12A5"/>
    <w:rsid w:val="00CB1B38"/>
    <w:rsid w:val="00CB1CAC"/>
    <w:rsid w:val="00CB2CAB"/>
    <w:rsid w:val="00CB2F2A"/>
    <w:rsid w:val="00CB34AD"/>
    <w:rsid w:val="00CB42FC"/>
    <w:rsid w:val="00CB57E4"/>
    <w:rsid w:val="00CB5B1A"/>
    <w:rsid w:val="00CB62F0"/>
    <w:rsid w:val="00CB6B22"/>
    <w:rsid w:val="00CB748E"/>
    <w:rsid w:val="00CB7F5F"/>
    <w:rsid w:val="00CC03FC"/>
    <w:rsid w:val="00CC141F"/>
    <w:rsid w:val="00CC1B39"/>
    <w:rsid w:val="00CC1BFA"/>
    <w:rsid w:val="00CC2A5E"/>
    <w:rsid w:val="00CC2E9F"/>
    <w:rsid w:val="00CC30B7"/>
    <w:rsid w:val="00CC35EA"/>
    <w:rsid w:val="00CC3848"/>
    <w:rsid w:val="00CC6760"/>
    <w:rsid w:val="00CC6BAB"/>
    <w:rsid w:val="00CC6D5E"/>
    <w:rsid w:val="00CD0200"/>
    <w:rsid w:val="00CD083A"/>
    <w:rsid w:val="00CD178F"/>
    <w:rsid w:val="00CD327F"/>
    <w:rsid w:val="00CD3CC4"/>
    <w:rsid w:val="00CD3E06"/>
    <w:rsid w:val="00CD3F77"/>
    <w:rsid w:val="00CD46EF"/>
    <w:rsid w:val="00CD6ADC"/>
    <w:rsid w:val="00CD7193"/>
    <w:rsid w:val="00CD7DF7"/>
    <w:rsid w:val="00CE0B77"/>
    <w:rsid w:val="00CE19BA"/>
    <w:rsid w:val="00CE2775"/>
    <w:rsid w:val="00CE38C8"/>
    <w:rsid w:val="00CE50A2"/>
    <w:rsid w:val="00CE524F"/>
    <w:rsid w:val="00CE58CC"/>
    <w:rsid w:val="00CE5A20"/>
    <w:rsid w:val="00CE5B1C"/>
    <w:rsid w:val="00CE6274"/>
    <w:rsid w:val="00CE719B"/>
    <w:rsid w:val="00CE7494"/>
    <w:rsid w:val="00CE77B6"/>
    <w:rsid w:val="00CF035A"/>
    <w:rsid w:val="00CF0F0D"/>
    <w:rsid w:val="00CF1B3B"/>
    <w:rsid w:val="00CF2B8D"/>
    <w:rsid w:val="00CF2C5E"/>
    <w:rsid w:val="00CF3A1B"/>
    <w:rsid w:val="00CF4510"/>
    <w:rsid w:val="00CF456B"/>
    <w:rsid w:val="00CF4833"/>
    <w:rsid w:val="00CF51F3"/>
    <w:rsid w:val="00CF57B5"/>
    <w:rsid w:val="00CF5811"/>
    <w:rsid w:val="00CF5A22"/>
    <w:rsid w:val="00D0158D"/>
    <w:rsid w:val="00D0262E"/>
    <w:rsid w:val="00D03679"/>
    <w:rsid w:val="00D0480F"/>
    <w:rsid w:val="00D05E3D"/>
    <w:rsid w:val="00D06139"/>
    <w:rsid w:val="00D06496"/>
    <w:rsid w:val="00D07055"/>
    <w:rsid w:val="00D079DB"/>
    <w:rsid w:val="00D07AE1"/>
    <w:rsid w:val="00D10A75"/>
    <w:rsid w:val="00D110BD"/>
    <w:rsid w:val="00D13675"/>
    <w:rsid w:val="00D138FA"/>
    <w:rsid w:val="00D13D7E"/>
    <w:rsid w:val="00D141E1"/>
    <w:rsid w:val="00D148EE"/>
    <w:rsid w:val="00D14AB9"/>
    <w:rsid w:val="00D14BDC"/>
    <w:rsid w:val="00D15314"/>
    <w:rsid w:val="00D15B48"/>
    <w:rsid w:val="00D16F26"/>
    <w:rsid w:val="00D17B8C"/>
    <w:rsid w:val="00D17CC6"/>
    <w:rsid w:val="00D17D6C"/>
    <w:rsid w:val="00D2023C"/>
    <w:rsid w:val="00D2155B"/>
    <w:rsid w:val="00D217A6"/>
    <w:rsid w:val="00D22C5B"/>
    <w:rsid w:val="00D23D11"/>
    <w:rsid w:val="00D244B6"/>
    <w:rsid w:val="00D25A4F"/>
    <w:rsid w:val="00D260F1"/>
    <w:rsid w:val="00D2754D"/>
    <w:rsid w:val="00D27B27"/>
    <w:rsid w:val="00D30D5B"/>
    <w:rsid w:val="00D30E48"/>
    <w:rsid w:val="00D31755"/>
    <w:rsid w:val="00D31C33"/>
    <w:rsid w:val="00D32748"/>
    <w:rsid w:val="00D33050"/>
    <w:rsid w:val="00D33BE9"/>
    <w:rsid w:val="00D33F93"/>
    <w:rsid w:val="00D346D3"/>
    <w:rsid w:val="00D34D43"/>
    <w:rsid w:val="00D357FF"/>
    <w:rsid w:val="00D363E9"/>
    <w:rsid w:val="00D36CDB"/>
    <w:rsid w:val="00D40BC3"/>
    <w:rsid w:val="00D41651"/>
    <w:rsid w:val="00D419E5"/>
    <w:rsid w:val="00D424C7"/>
    <w:rsid w:val="00D43B2A"/>
    <w:rsid w:val="00D43CF1"/>
    <w:rsid w:val="00D43D83"/>
    <w:rsid w:val="00D45027"/>
    <w:rsid w:val="00D45307"/>
    <w:rsid w:val="00D4571B"/>
    <w:rsid w:val="00D45FE6"/>
    <w:rsid w:val="00D47575"/>
    <w:rsid w:val="00D47DE4"/>
    <w:rsid w:val="00D50E26"/>
    <w:rsid w:val="00D5243B"/>
    <w:rsid w:val="00D5306F"/>
    <w:rsid w:val="00D533EC"/>
    <w:rsid w:val="00D53663"/>
    <w:rsid w:val="00D56A95"/>
    <w:rsid w:val="00D6076E"/>
    <w:rsid w:val="00D60828"/>
    <w:rsid w:val="00D60BCB"/>
    <w:rsid w:val="00D62E2A"/>
    <w:rsid w:val="00D639E9"/>
    <w:rsid w:val="00D64B7C"/>
    <w:rsid w:val="00D65775"/>
    <w:rsid w:val="00D66352"/>
    <w:rsid w:val="00D66F4F"/>
    <w:rsid w:val="00D678FD"/>
    <w:rsid w:val="00D70F16"/>
    <w:rsid w:val="00D715C5"/>
    <w:rsid w:val="00D72617"/>
    <w:rsid w:val="00D72F57"/>
    <w:rsid w:val="00D74818"/>
    <w:rsid w:val="00D767D2"/>
    <w:rsid w:val="00D76A44"/>
    <w:rsid w:val="00D77D4C"/>
    <w:rsid w:val="00D815EF"/>
    <w:rsid w:val="00D81949"/>
    <w:rsid w:val="00D81F26"/>
    <w:rsid w:val="00D82094"/>
    <w:rsid w:val="00D822E2"/>
    <w:rsid w:val="00D835F8"/>
    <w:rsid w:val="00D83BA7"/>
    <w:rsid w:val="00D843F2"/>
    <w:rsid w:val="00D84D99"/>
    <w:rsid w:val="00D8578E"/>
    <w:rsid w:val="00D86231"/>
    <w:rsid w:val="00D86D02"/>
    <w:rsid w:val="00D912AB"/>
    <w:rsid w:val="00D91923"/>
    <w:rsid w:val="00D93753"/>
    <w:rsid w:val="00D93856"/>
    <w:rsid w:val="00D94A95"/>
    <w:rsid w:val="00D94DD7"/>
    <w:rsid w:val="00D951A0"/>
    <w:rsid w:val="00D96B26"/>
    <w:rsid w:val="00D97D7F"/>
    <w:rsid w:val="00D97FBF"/>
    <w:rsid w:val="00DA05A6"/>
    <w:rsid w:val="00DA1C20"/>
    <w:rsid w:val="00DA2764"/>
    <w:rsid w:val="00DA29D1"/>
    <w:rsid w:val="00DA2CED"/>
    <w:rsid w:val="00DA3167"/>
    <w:rsid w:val="00DA45A5"/>
    <w:rsid w:val="00DA4DC3"/>
    <w:rsid w:val="00DA5113"/>
    <w:rsid w:val="00DA7535"/>
    <w:rsid w:val="00DA77A5"/>
    <w:rsid w:val="00DA78FD"/>
    <w:rsid w:val="00DB0A49"/>
    <w:rsid w:val="00DB0E36"/>
    <w:rsid w:val="00DB15B7"/>
    <w:rsid w:val="00DB3133"/>
    <w:rsid w:val="00DB3DBF"/>
    <w:rsid w:val="00DB484F"/>
    <w:rsid w:val="00DB542B"/>
    <w:rsid w:val="00DB5E2D"/>
    <w:rsid w:val="00DB719D"/>
    <w:rsid w:val="00DB7ED6"/>
    <w:rsid w:val="00DC04F6"/>
    <w:rsid w:val="00DC0690"/>
    <w:rsid w:val="00DC18A9"/>
    <w:rsid w:val="00DC1D43"/>
    <w:rsid w:val="00DC1D65"/>
    <w:rsid w:val="00DC2C53"/>
    <w:rsid w:val="00DC3557"/>
    <w:rsid w:val="00DC3C57"/>
    <w:rsid w:val="00DC5501"/>
    <w:rsid w:val="00DC589A"/>
    <w:rsid w:val="00DC5DE4"/>
    <w:rsid w:val="00DC7146"/>
    <w:rsid w:val="00DC7154"/>
    <w:rsid w:val="00DC78E3"/>
    <w:rsid w:val="00DC7E8A"/>
    <w:rsid w:val="00DD0F78"/>
    <w:rsid w:val="00DD273C"/>
    <w:rsid w:val="00DD2E0E"/>
    <w:rsid w:val="00DD3C39"/>
    <w:rsid w:val="00DD3F28"/>
    <w:rsid w:val="00DD40DF"/>
    <w:rsid w:val="00DD4446"/>
    <w:rsid w:val="00DD4537"/>
    <w:rsid w:val="00DD4E15"/>
    <w:rsid w:val="00DD5A12"/>
    <w:rsid w:val="00DD662D"/>
    <w:rsid w:val="00DD6956"/>
    <w:rsid w:val="00DD6C6C"/>
    <w:rsid w:val="00DE14EB"/>
    <w:rsid w:val="00DE2304"/>
    <w:rsid w:val="00DE3138"/>
    <w:rsid w:val="00DE37F8"/>
    <w:rsid w:val="00DE4273"/>
    <w:rsid w:val="00DE43FF"/>
    <w:rsid w:val="00DE4FCB"/>
    <w:rsid w:val="00DE5D07"/>
    <w:rsid w:val="00DE72A7"/>
    <w:rsid w:val="00DE7832"/>
    <w:rsid w:val="00DF01BE"/>
    <w:rsid w:val="00DF18FC"/>
    <w:rsid w:val="00DF1B74"/>
    <w:rsid w:val="00DF2064"/>
    <w:rsid w:val="00DF206F"/>
    <w:rsid w:val="00DF28A8"/>
    <w:rsid w:val="00DF3CC0"/>
    <w:rsid w:val="00DF5D2B"/>
    <w:rsid w:val="00DF6341"/>
    <w:rsid w:val="00DF7A7C"/>
    <w:rsid w:val="00E00E8E"/>
    <w:rsid w:val="00E031B8"/>
    <w:rsid w:val="00E039A9"/>
    <w:rsid w:val="00E05630"/>
    <w:rsid w:val="00E06DBB"/>
    <w:rsid w:val="00E10149"/>
    <w:rsid w:val="00E10D33"/>
    <w:rsid w:val="00E11340"/>
    <w:rsid w:val="00E118C2"/>
    <w:rsid w:val="00E122A1"/>
    <w:rsid w:val="00E12B12"/>
    <w:rsid w:val="00E135DB"/>
    <w:rsid w:val="00E16372"/>
    <w:rsid w:val="00E16AD8"/>
    <w:rsid w:val="00E17046"/>
    <w:rsid w:val="00E17FFA"/>
    <w:rsid w:val="00E200AB"/>
    <w:rsid w:val="00E20E4D"/>
    <w:rsid w:val="00E20ED6"/>
    <w:rsid w:val="00E21358"/>
    <w:rsid w:val="00E2249B"/>
    <w:rsid w:val="00E22A0D"/>
    <w:rsid w:val="00E24017"/>
    <w:rsid w:val="00E2424A"/>
    <w:rsid w:val="00E244F6"/>
    <w:rsid w:val="00E258DB"/>
    <w:rsid w:val="00E26E10"/>
    <w:rsid w:val="00E2771E"/>
    <w:rsid w:val="00E27B7F"/>
    <w:rsid w:val="00E311EF"/>
    <w:rsid w:val="00E32180"/>
    <w:rsid w:val="00E34102"/>
    <w:rsid w:val="00E34948"/>
    <w:rsid w:val="00E34A62"/>
    <w:rsid w:val="00E34A93"/>
    <w:rsid w:val="00E357B7"/>
    <w:rsid w:val="00E35A02"/>
    <w:rsid w:val="00E35F2B"/>
    <w:rsid w:val="00E364BD"/>
    <w:rsid w:val="00E37569"/>
    <w:rsid w:val="00E401B2"/>
    <w:rsid w:val="00E40FDB"/>
    <w:rsid w:val="00E41118"/>
    <w:rsid w:val="00E41E30"/>
    <w:rsid w:val="00E423EF"/>
    <w:rsid w:val="00E42729"/>
    <w:rsid w:val="00E42F73"/>
    <w:rsid w:val="00E43D70"/>
    <w:rsid w:val="00E458D1"/>
    <w:rsid w:val="00E463E9"/>
    <w:rsid w:val="00E466F3"/>
    <w:rsid w:val="00E46958"/>
    <w:rsid w:val="00E46FB6"/>
    <w:rsid w:val="00E471AD"/>
    <w:rsid w:val="00E47A96"/>
    <w:rsid w:val="00E47B2C"/>
    <w:rsid w:val="00E506C6"/>
    <w:rsid w:val="00E51022"/>
    <w:rsid w:val="00E51560"/>
    <w:rsid w:val="00E51821"/>
    <w:rsid w:val="00E52AD1"/>
    <w:rsid w:val="00E52C42"/>
    <w:rsid w:val="00E53110"/>
    <w:rsid w:val="00E538D3"/>
    <w:rsid w:val="00E53FC8"/>
    <w:rsid w:val="00E54347"/>
    <w:rsid w:val="00E54B4C"/>
    <w:rsid w:val="00E55424"/>
    <w:rsid w:val="00E55915"/>
    <w:rsid w:val="00E55BB5"/>
    <w:rsid w:val="00E567B6"/>
    <w:rsid w:val="00E56AB2"/>
    <w:rsid w:val="00E570B8"/>
    <w:rsid w:val="00E611DF"/>
    <w:rsid w:val="00E62B5E"/>
    <w:rsid w:val="00E64073"/>
    <w:rsid w:val="00E646FA"/>
    <w:rsid w:val="00E653EE"/>
    <w:rsid w:val="00E65E79"/>
    <w:rsid w:val="00E668C0"/>
    <w:rsid w:val="00E66BA2"/>
    <w:rsid w:val="00E66BCB"/>
    <w:rsid w:val="00E67416"/>
    <w:rsid w:val="00E707E5"/>
    <w:rsid w:val="00E7113C"/>
    <w:rsid w:val="00E718B6"/>
    <w:rsid w:val="00E72029"/>
    <w:rsid w:val="00E723BA"/>
    <w:rsid w:val="00E728FB"/>
    <w:rsid w:val="00E73581"/>
    <w:rsid w:val="00E75811"/>
    <w:rsid w:val="00E80192"/>
    <w:rsid w:val="00E8057E"/>
    <w:rsid w:val="00E817F8"/>
    <w:rsid w:val="00E81EF6"/>
    <w:rsid w:val="00E82590"/>
    <w:rsid w:val="00E833F7"/>
    <w:rsid w:val="00E83BDF"/>
    <w:rsid w:val="00E85697"/>
    <w:rsid w:val="00E86FCC"/>
    <w:rsid w:val="00E87A1D"/>
    <w:rsid w:val="00E9094A"/>
    <w:rsid w:val="00E91D35"/>
    <w:rsid w:val="00E926A5"/>
    <w:rsid w:val="00E94D10"/>
    <w:rsid w:val="00E95B90"/>
    <w:rsid w:val="00E962CC"/>
    <w:rsid w:val="00E972F3"/>
    <w:rsid w:val="00EA17C3"/>
    <w:rsid w:val="00EA1D1F"/>
    <w:rsid w:val="00EA28D2"/>
    <w:rsid w:val="00EA2CAA"/>
    <w:rsid w:val="00EA3864"/>
    <w:rsid w:val="00EA4917"/>
    <w:rsid w:val="00EA6B68"/>
    <w:rsid w:val="00EA7F1C"/>
    <w:rsid w:val="00EB125E"/>
    <w:rsid w:val="00EB15B6"/>
    <w:rsid w:val="00EB3CA4"/>
    <w:rsid w:val="00EB3D06"/>
    <w:rsid w:val="00EB3E23"/>
    <w:rsid w:val="00EB3EC4"/>
    <w:rsid w:val="00EB4916"/>
    <w:rsid w:val="00EB70BB"/>
    <w:rsid w:val="00EB794B"/>
    <w:rsid w:val="00EC00C9"/>
    <w:rsid w:val="00EC02CC"/>
    <w:rsid w:val="00EC0DD9"/>
    <w:rsid w:val="00EC2584"/>
    <w:rsid w:val="00EC2649"/>
    <w:rsid w:val="00EC31ED"/>
    <w:rsid w:val="00EC46D2"/>
    <w:rsid w:val="00EC5836"/>
    <w:rsid w:val="00EC6757"/>
    <w:rsid w:val="00EC688C"/>
    <w:rsid w:val="00EC758F"/>
    <w:rsid w:val="00ED12E3"/>
    <w:rsid w:val="00ED24D3"/>
    <w:rsid w:val="00ED4B04"/>
    <w:rsid w:val="00ED51C6"/>
    <w:rsid w:val="00ED57EA"/>
    <w:rsid w:val="00ED5BD4"/>
    <w:rsid w:val="00EE07D3"/>
    <w:rsid w:val="00EE0C4D"/>
    <w:rsid w:val="00EE1116"/>
    <w:rsid w:val="00EE1996"/>
    <w:rsid w:val="00EE19E9"/>
    <w:rsid w:val="00EE1C01"/>
    <w:rsid w:val="00EE1F6E"/>
    <w:rsid w:val="00EE22AF"/>
    <w:rsid w:val="00EE2D7A"/>
    <w:rsid w:val="00EE3048"/>
    <w:rsid w:val="00EE3C86"/>
    <w:rsid w:val="00EE3EA9"/>
    <w:rsid w:val="00EE52A1"/>
    <w:rsid w:val="00EE5518"/>
    <w:rsid w:val="00EE57B1"/>
    <w:rsid w:val="00EE6F03"/>
    <w:rsid w:val="00EE722C"/>
    <w:rsid w:val="00EF0171"/>
    <w:rsid w:val="00EF1641"/>
    <w:rsid w:val="00EF1AE4"/>
    <w:rsid w:val="00EF1B25"/>
    <w:rsid w:val="00EF1DA0"/>
    <w:rsid w:val="00EF209B"/>
    <w:rsid w:val="00EF4747"/>
    <w:rsid w:val="00EF4BF8"/>
    <w:rsid w:val="00EF5152"/>
    <w:rsid w:val="00EF5A16"/>
    <w:rsid w:val="00EF790A"/>
    <w:rsid w:val="00EF7A90"/>
    <w:rsid w:val="00F0150E"/>
    <w:rsid w:val="00F02253"/>
    <w:rsid w:val="00F03C2E"/>
    <w:rsid w:val="00F0488F"/>
    <w:rsid w:val="00F04A66"/>
    <w:rsid w:val="00F04B4B"/>
    <w:rsid w:val="00F05032"/>
    <w:rsid w:val="00F0516C"/>
    <w:rsid w:val="00F067A2"/>
    <w:rsid w:val="00F06A93"/>
    <w:rsid w:val="00F07634"/>
    <w:rsid w:val="00F07B9E"/>
    <w:rsid w:val="00F1116F"/>
    <w:rsid w:val="00F1222D"/>
    <w:rsid w:val="00F1263A"/>
    <w:rsid w:val="00F139C5"/>
    <w:rsid w:val="00F13F03"/>
    <w:rsid w:val="00F152CD"/>
    <w:rsid w:val="00F15B77"/>
    <w:rsid w:val="00F20737"/>
    <w:rsid w:val="00F20E2C"/>
    <w:rsid w:val="00F20EB2"/>
    <w:rsid w:val="00F21236"/>
    <w:rsid w:val="00F239DF"/>
    <w:rsid w:val="00F24837"/>
    <w:rsid w:val="00F2575F"/>
    <w:rsid w:val="00F27565"/>
    <w:rsid w:val="00F27F88"/>
    <w:rsid w:val="00F310D4"/>
    <w:rsid w:val="00F31D5A"/>
    <w:rsid w:val="00F33975"/>
    <w:rsid w:val="00F33DE9"/>
    <w:rsid w:val="00F358E7"/>
    <w:rsid w:val="00F35E6D"/>
    <w:rsid w:val="00F3619A"/>
    <w:rsid w:val="00F3655F"/>
    <w:rsid w:val="00F40274"/>
    <w:rsid w:val="00F40AAA"/>
    <w:rsid w:val="00F40BA7"/>
    <w:rsid w:val="00F40F9D"/>
    <w:rsid w:val="00F41ACD"/>
    <w:rsid w:val="00F43BB6"/>
    <w:rsid w:val="00F45FE2"/>
    <w:rsid w:val="00F46055"/>
    <w:rsid w:val="00F46CB6"/>
    <w:rsid w:val="00F4756D"/>
    <w:rsid w:val="00F47DE8"/>
    <w:rsid w:val="00F512D0"/>
    <w:rsid w:val="00F542C1"/>
    <w:rsid w:val="00F550E3"/>
    <w:rsid w:val="00F55A94"/>
    <w:rsid w:val="00F55E73"/>
    <w:rsid w:val="00F55EDA"/>
    <w:rsid w:val="00F56C80"/>
    <w:rsid w:val="00F60092"/>
    <w:rsid w:val="00F610D3"/>
    <w:rsid w:val="00F61C18"/>
    <w:rsid w:val="00F62924"/>
    <w:rsid w:val="00F62D8D"/>
    <w:rsid w:val="00F648FB"/>
    <w:rsid w:val="00F65F4B"/>
    <w:rsid w:val="00F66951"/>
    <w:rsid w:val="00F66B1F"/>
    <w:rsid w:val="00F67090"/>
    <w:rsid w:val="00F677DB"/>
    <w:rsid w:val="00F67A69"/>
    <w:rsid w:val="00F70BFF"/>
    <w:rsid w:val="00F70C9D"/>
    <w:rsid w:val="00F7273E"/>
    <w:rsid w:val="00F739C0"/>
    <w:rsid w:val="00F73E08"/>
    <w:rsid w:val="00F74CD9"/>
    <w:rsid w:val="00F7503D"/>
    <w:rsid w:val="00F76D88"/>
    <w:rsid w:val="00F80A7B"/>
    <w:rsid w:val="00F80E5D"/>
    <w:rsid w:val="00F81681"/>
    <w:rsid w:val="00F81E78"/>
    <w:rsid w:val="00F83916"/>
    <w:rsid w:val="00F83A50"/>
    <w:rsid w:val="00F851CE"/>
    <w:rsid w:val="00F90113"/>
    <w:rsid w:val="00F9061B"/>
    <w:rsid w:val="00F90D05"/>
    <w:rsid w:val="00F91219"/>
    <w:rsid w:val="00F92444"/>
    <w:rsid w:val="00F92792"/>
    <w:rsid w:val="00F9393E"/>
    <w:rsid w:val="00F95231"/>
    <w:rsid w:val="00F95486"/>
    <w:rsid w:val="00F96FD0"/>
    <w:rsid w:val="00F97A78"/>
    <w:rsid w:val="00FA0B20"/>
    <w:rsid w:val="00FA1A85"/>
    <w:rsid w:val="00FA24E7"/>
    <w:rsid w:val="00FA353B"/>
    <w:rsid w:val="00FA5EE6"/>
    <w:rsid w:val="00FA689C"/>
    <w:rsid w:val="00FA6E64"/>
    <w:rsid w:val="00FA7956"/>
    <w:rsid w:val="00FB0354"/>
    <w:rsid w:val="00FB079F"/>
    <w:rsid w:val="00FB0824"/>
    <w:rsid w:val="00FB1083"/>
    <w:rsid w:val="00FB1D39"/>
    <w:rsid w:val="00FB2742"/>
    <w:rsid w:val="00FB2FCB"/>
    <w:rsid w:val="00FB31DD"/>
    <w:rsid w:val="00FB4C9C"/>
    <w:rsid w:val="00FB7C2D"/>
    <w:rsid w:val="00FB7C55"/>
    <w:rsid w:val="00FC0B2E"/>
    <w:rsid w:val="00FC1074"/>
    <w:rsid w:val="00FC14C7"/>
    <w:rsid w:val="00FC1884"/>
    <w:rsid w:val="00FC32CB"/>
    <w:rsid w:val="00FC371D"/>
    <w:rsid w:val="00FC3D81"/>
    <w:rsid w:val="00FC4895"/>
    <w:rsid w:val="00FC5F0B"/>
    <w:rsid w:val="00FC60C4"/>
    <w:rsid w:val="00FC6A4A"/>
    <w:rsid w:val="00FD022E"/>
    <w:rsid w:val="00FD14C3"/>
    <w:rsid w:val="00FD2100"/>
    <w:rsid w:val="00FD30F8"/>
    <w:rsid w:val="00FD436C"/>
    <w:rsid w:val="00FD446D"/>
    <w:rsid w:val="00FD460B"/>
    <w:rsid w:val="00FD4F2C"/>
    <w:rsid w:val="00FD5CA0"/>
    <w:rsid w:val="00FD6394"/>
    <w:rsid w:val="00FD643B"/>
    <w:rsid w:val="00FD694A"/>
    <w:rsid w:val="00FD739C"/>
    <w:rsid w:val="00FD7A27"/>
    <w:rsid w:val="00FD7A7C"/>
    <w:rsid w:val="00FE0125"/>
    <w:rsid w:val="00FE0E6C"/>
    <w:rsid w:val="00FE1CDC"/>
    <w:rsid w:val="00FE34DA"/>
    <w:rsid w:val="00FE4AC7"/>
    <w:rsid w:val="00FE5E78"/>
    <w:rsid w:val="00FE70C3"/>
    <w:rsid w:val="00FF1A8B"/>
    <w:rsid w:val="00FF1D20"/>
    <w:rsid w:val="00FF2AD9"/>
    <w:rsid w:val="00FF2E60"/>
    <w:rsid w:val="00FF359F"/>
    <w:rsid w:val="00FF3DCF"/>
    <w:rsid w:val="00FF492C"/>
    <w:rsid w:val="00FF4A21"/>
    <w:rsid w:val="00FF4C4C"/>
    <w:rsid w:val="00FF5018"/>
    <w:rsid w:val="00FF5AA3"/>
    <w:rsid w:val="00FF5AD8"/>
    <w:rsid w:val="00FF72E3"/>
    <w:rsid w:val="00FF77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4C5"/>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Sanofi TableFig Caption,Caption Char1 Char,Caption Char Char Char,Caption Char2 Char,Caption Char Char Char2,Caption Char1 Char Char Char1,Caption Char2 Char Char Char1 Char1,Caption Char Char1 Char Char Char1 Char1,c,CAPTION,Caption Char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Sanofi TableFig Caption Char,Caption Char1 Char Char,Caption Char Char Char Char,Caption Char2 Char Char,Caption Char Char Char2 Char,Caption Char1 Char Char Char1 Char,Caption Char2 Char Char Char1 Char1 Char,c Char,CAPTION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2214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22146"/>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8C6067"/>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88001C"/>
    <w:rPr>
      <w:sz w:val="20"/>
      <w:szCs w:val="20"/>
    </w:rPr>
  </w:style>
  <w:style w:type="character" w:customStyle="1" w:styleId="FootnoteTextChar">
    <w:name w:val="Footnote Text Char"/>
    <w:basedOn w:val="DefaultParagraphFont"/>
    <w:link w:val="FootnoteText"/>
    <w:semiHidden/>
    <w:rsid w:val="0088001C"/>
    <w:rPr>
      <w:rFonts w:ascii="Calibri" w:hAnsi="Calibri" w:cs="Arial"/>
    </w:rPr>
  </w:style>
  <w:style w:type="character" w:styleId="FootnoteReference">
    <w:name w:val="footnote reference"/>
    <w:basedOn w:val="DefaultParagraphFont"/>
    <w:semiHidden/>
    <w:unhideWhenUsed/>
    <w:rsid w:val="0088001C"/>
    <w:rPr>
      <w:vertAlign w:val="superscript"/>
    </w:rPr>
  </w:style>
  <w:style w:type="character" w:customStyle="1" w:styleId="UnresolvedMention1">
    <w:name w:val="Unresolved Mention1"/>
    <w:basedOn w:val="DefaultParagraphFont"/>
    <w:uiPriority w:val="99"/>
    <w:semiHidden/>
    <w:unhideWhenUsed/>
    <w:rsid w:val="009A135D"/>
    <w:rPr>
      <w:color w:val="605E5C"/>
      <w:shd w:val="clear" w:color="auto" w:fill="E1DFDD"/>
    </w:rPr>
  </w:style>
  <w:style w:type="table" w:customStyle="1" w:styleId="Summarybox3">
    <w:name w:val="Summary box3"/>
    <w:basedOn w:val="TableNormal"/>
    <w:uiPriority w:val="59"/>
    <w:rsid w:val="00EF5A1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shStyleTable1">
    <w:name w:val="Lash Style Table1"/>
    <w:basedOn w:val="TableNormal"/>
    <w:next w:val="TableGrid"/>
    <w:uiPriority w:val="59"/>
    <w:rsid w:val="008C6067"/>
    <w:rPr>
      <w:rFonts w:ascii="Verdana" w:eastAsia="Verdana" w:hAnsi="Verdan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TableGrid1">
    <w:name w:val="Table Grid1"/>
    <w:basedOn w:val="TableNormal"/>
    <w:next w:val="TableGrid"/>
    <w:uiPriority w:val="39"/>
    <w:rsid w:val="00D45307"/>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ofiTableText">
    <w:name w:val="Sanofi Table Text"/>
    <w:basedOn w:val="Normal"/>
    <w:qFormat/>
    <w:rsid w:val="0010019B"/>
    <w:pPr>
      <w:framePr w:hSpace="180" w:wrap="around" w:vAnchor="text" w:hAnchor="text" w:y="1"/>
      <w:jc w:val="left"/>
    </w:pPr>
    <w:rPr>
      <w:rFonts w:ascii="Arial Narrow" w:eastAsiaTheme="minorHAnsi" w:hAnsi="Arial Narrow" w:cstheme="minorHAnsi"/>
      <w:sz w:val="20"/>
      <w:szCs w:val="16"/>
      <w:lang w:eastAsia="en-US"/>
    </w:rPr>
  </w:style>
  <w:style w:type="table" w:customStyle="1" w:styleId="TableGrid2">
    <w:name w:val="Table Grid2"/>
    <w:basedOn w:val="TableNormal"/>
    <w:next w:val="TableGrid"/>
    <w:uiPriority w:val="39"/>
    <w:rsid w:val="00FF1D2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5886"/>
    <w:rPr>
      <w:rFonts w:ascii="Cambria" w:eastAsia="Calibri" w:hAnsi="Cambria"/>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C4A2A"/>
    <w:rPr>
      <w:rFonts w:ascii="Calibri" w:hAnsi="Calibri" w:cs="Arial"/>
      <w:b/>
      <w:caps/>
      <w:sz w:val="32"/>
      <w:szCs w:val="24"/>
    </w:rPr>
  </w:style>
  <w:style w:type="character" w:customStyle="1" w:styleId="Heading3Char">
    <w:name w:val="Heading 3 Char"/>
    <w:basedOn w:val="DefaultParagraphFont"/>
    <w:link w:val="Heading3"/>
    <w:rsid w:val="001C4A2A"/>
    <w:rPr>
      <w:rFonts w:ascii="Calibri" w:hAnsi="Calibri" w:cs="Arial"/>
      <w:sz w:val="24"/>
      <w:szCs w:val="24"/>
      <w:u w:val="single"/>
    </w:rPr>
  </w:style>
  <w:style w:type="character" w:customStyle="1" w:styleId="Heading4Char">
    <w:name w:val="Heading 4 Char"/>
    <w:basedOn w:val="DefaultParagraphFont"/>
    <w:link w:val="Heading4"/>
    <w:rsid w:val="001C4A2A"/>
    <w:rPr>
      <w:rFonts w:ascii="Calibri" w:hAnsi="Calibri" w:cs="Arial"/>
      <w:b/>
      <w:bCs/>
      <w:i/>
      <w:sz w:val="26"/>
      <w:szCs w:val="28"/>
    </w:rPr>
  </w:style>
  <w:style w:type="character" w:customStyle="1" w:styleId="Heading5Char">
    <w:name w:val="Heading 5 Char"/>
    <w:basedOn w:val="DefaultParagraphFont"/>
    <w:link w:val="Heading5"/>
    <w:rsid w:val="001C4A2A"/>
    <w:rPr>
      <w:rFonts w:ascii="Calibri" w:hAnsi="Calibri" w:cs="Arial"/>
      <w:b/>
      <w:bCs/>
      <w:iCs/>
      <w:sz w:val="26"/>
      <w:szCs w:val="26"/>
    </w:rPr>
  </w:style>
  <w:style w:type="character" w:customStyle="1" w:styleId="Heading6Char">
    <w:name w:val="Heading 6 Char"/>
    <w:basedOn w:val="DefaultParagraphFont"/>
    <w:link w:val="Heading6"/>
    <w:rsid w:val="001C4A2A"/>
    <w:rPr>
      <w:rFonts w:ascii="Calibri" w:hAnsi="Calibri" w:cs="Arial"/>
      <w:b/>
      <w:bCs/>
      <w:i/>
      <w:sz w:val="24"/>
      <w:szCs w:val="24"/>
    </w:rPr>
  </w:style>
  <w:style w:type="character" w:customStyle="1" w:styleId="cf01">
    <w:name w:val="cf01"/>
    <w:basedOn w:val="DefaultParagraphFont"/>
    <w:rsid w:val="005F42C1"/>
    <w:rPr>
      <w:rFonts w:ascii="Segoe UI" w:hAnsi="Segoe UI" w:cs="Segoe UI" w:hint="default"/>
      <w:i/>
      <w:iCs/>
      <w:sz w:val="18"/>
      <w:szCs w:val="18"/>
    </w:rPr>
  </w:style>
  <w:style w:type="paragraph" w:customStyle="1" w:styleId="4-SubsectSubhead">
    <w:name w:val="4-Subsect Subhead"/>
    <w:basedOn w:val="Heading3"/>
    <w:next w:val="Normal"/>
    <w:link w:val="4-SubsectSubheadChar"/>
    <w:qFormat/>
    <w:rsid w:val="00181546"/>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181546"/>
    <w:rPr>
      <w:rFonts w:asciiTheme="minorHAnsi" w:eastAsiaTheme="majorEastAsia" w:hAnsiTheme="minorHAnsi" w:cstheme="majorBidi"/>
      <w:b/>
      <w:color w:val="000000" w:themeColor="text1"/>
      <w:sz w:val="28"/>
      <w:szCs w:val="28"/>
    </w:rPr>
  </w:style>
  <w:style w:type="paragraph" w:customStyle="1" w:styleId="COMH1numbered">
    <w:name w:val="COM H1 numbered"/>
    <w:next w:val="Normal"/>
    <w:link w:val="COMH1numberedChar"/>
    <w:qFormat/>
    <w:rsid w:val="00E8057E"/>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E8057E"/>
    <w:pPr>
      <w:numPr>
        <w:numId w:val="0"/>
      </w:numPr>
      <w:ind w:left="720" w:hanging="720"/>
    </w:pPr>
  </w:style>
  <w:style w:type="character" w:customStyle="1" w:styleId="COMexecsumnumberedparaChar">
    <w:name w:val="COM exec sum numbered para Char"/>
    <w:basedOn w:val="DefaultParagraphFont"/>
    <w:link w:val="COMexecsumnumberedpara"/>
    <w:rsid w:val="00DE14EB"/>
    <w:rPr>
      <w:rFonts w:asciiTheme="minorHAnsi" w:hAnsiTheme="minorHAnsi" w:cs="Arial"/>
      <w:snapToGrid w:val="0"/>
      <w:sz w:val="24"/>
      <w:szCs w:val="24"/>
    </w:rPr>
  </w:style>
  <w:style w:type="paragraph" w:customStyle="1" w:styleId="SubmTableHeading">
    <w:name w:val="Subm Table Heading"/>
    <w:basedOn w:val="TableHeading"/>
    <w:qFormat/>
    <w:rsid w:val="00832583"/>
    <w:pPr>
      <w:spacing w:before="0" w:after="60"/>
    </w:pPr>
    <w:rPr>
      <w:rFonts w:eastAsiaTheme="minorHAnsi" w:cstheme="minorHAnsi"/>
      <w:snapToGrid/>
      <w:sz w:val="18"/>
      <w:szCs w:val="18"/>
      <w:lang w:eastAsia="en-US"/>
    </w:rPr>
  </w:style>
  <w:style w:type="paragraph" w:customStyle="1" w:styleId="SubmTableTxt">
    <w:name w:val="Subm Table Txt"/>
    <w:basedOn w:val="TableText0"/>
    <w:qFormat/>
    <w:rsid w:val="00832583"/>
    <w:pPr>
      <w:keepNext w:val="0"/>
      <w:spacing w:before="40" w:after="40"/>
    </w:pPr>
    <w:rPr>
      <w:rFonts w:eastAsiaTheme="minorHAnsi" w:cstheme="minorHAnsi"/>
      <w:bCs w:val="0"/>
      <w:sz w:val="18"/>
      <w:szCs w:val="18"/>
      <w:lang w:eastAsia="en-US"/>
    </w:rPr>
  </w:style>
  <w:style w:type="paragraph" w:customStyle="1" w:styleId="Numberbullet2">
    <w:name w:val="Number bullet 2"/>
    <w:basedOn w:val="ListBullet2"/>
    <w:qFormat/>
    <w:rsid w:val="006E7B13"/>
    <w:p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6E7B13"/>
    <w:pPr>
      <w:tabs>
        <w:tab w:val="clear" w:pos="360"/>
      </w:tabs>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6E7B13"/>
    <w:pPr>
      <w:numPr>
        <w:numId w:val="38"/>
      </w:numPr>
    </w:pPr>
  </w:style>
  <w:style w:type="character" w:customStyle="1" w:styleId="COMH1numberedChar">
    <w:name w:val="COM H1 numbered Char"/>
    <w:basedOn w:val="DefaultParagraphFont"/>
    <w:link w:val="COMH1numbered"/>
    <w:rsid w:val="006E7B13"/>
    <w:rPr>
      <w:rFonts w:asciiTheme="minorHAnsi" w:hAnsiTheme="minorHAnsi" w:cs="Arial"/>
      <w:b/>
      <w:snapToGrid w:val="0"/>
      <w:sz w:val="32"/>
      <w:szCs w:val="32"/>
    </w:rPr>
  </w:style>
  <w:style w:type="paragraph" w:styleId="ListBullet2">
    <w:name w:val="List Bullet 2"/>
    <w:basedOn w:val="Normal"/>
    <w:semiHidden/>
    <w:unhideWhenUsed/>
    <w:rsid w:val="006E7B13"/>
    <w:pPr>
      <w:ind w:left="425" w:hanging="425"/>
      <w:contextualSpacing/>
    </w:pPr>
  </w:style>
  <w:style w:type="paragraph" w:styleId="ListBullet3">
    <w:name w:val="List Bullet 3"/>
    <w:basedOn w:val="Normal"/>
    <w:semiHidden/>
    <w:unhideWhenUsed/>
    <w:rsid w:val="006E7B13"/>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219">
      <w:bodyDiv w:val="1"/>
      <w:marLeft w:val="0"/>
      <w:marRight w:val="0"/>
      <w:marTop w:val="0"/>
      <w:marBottom w:val="0"/>
      <w:divBdr>
        <w:top w:val="none" w:sz="0" w:space="0" w:color="auto"/>
        <w:left w:val="none" w:sz="0" w:space="0" w:color="auto"/>
        <w:bottom w:val="none" w:sz="0" w:space="0" w:color="auto"/>
        <w:right w:val="none" w:sz="0" w:space="0" w:color="auto"/>
      </w:divBdr>
    </w:div>
    <w:div w:id="8265251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674850">
      <w:bodyDiv w:val="1"/>
      <w:marLeft w:val="0"/>
      <w:marRight w:val="0"/>
      <w:marTop w:val="0"/>
      <w:marBottom w:val="0"/>
      <w:divBdr>
        <w:top w:val="none" w:sz="0" w:space="0" w:color="auto"/>
        <w:left w:val="none" w:sz="0" w:space="0" w:color="auto"/>
        <w:bottom w:val="none" w:sz="0" w:space="0" w:color="auto"/>
        <w:right w:val="none" w:sz="0" w:space="0" w:color="auto"/>
      </w:divBdr>
    </w:div>
    <w:div w:id="181213627">
      <w:bodyDiv w:val="1"/>
      <w:marLeft w:val="0"/>
      <w:marRight w:val="0"/>
      <w:marTop w:val="0"/>
      <w:marBottom w:val="0"/>
      <w:divBdr>
        <w:top w:val="none" w:sz="0" w:space="0" w:color="auto"/>
        <w:left w:val="none" w:sz="0" w:space="0" w:color="auto"/>
        <w:bottom w:val="none" w:sz="0" w:space="0" w:color="auto"/>
        <w:right w:val="none" w:sz="0" w:space="0" w:color="auto"/>
      </w:divBdr>
    </w:div>
    <w:div w:id="226111586">
      <w:bodyDiv w:val="1"/>
      <w:marLeft w:val="0"/>
      <w:marRight w:val="0"/>
      <w:marTop w:val="0"/>
      <w:marBottom w:val="0"/>
      <w:divBdr>
        <w:top w:val="none" w:sz="0" w:space="0" w:color="auto"/>
        <w:left w:val="none" w:sz="0" w:space="0" w:color="auto"/>
        <w:bottom w:val="none" w:sz="0" w:space="0" w:color="auto"/>
        <w:right w:val="none" w:sz="0" w:space="0" w:color="auto"/>
      </w:divBdr>
    </w:div>
    <w:div w:id="268321120">
      <w:bodyDiv w:val="1"/>
      <w:marLeft w:val="0"/>
      <w:marRight w:val="0"/>
      <w:marTop w:val="0"/>
      <w:marBottom w:val="0"/>
      <w:divBdr>
        <w:top w:val="none" w:sz="0" w:space="0" w:color="auto"/>
        <w:left w:val="none" w:sz="0" w:space="0" w:color="auto"/>
        <w:bottom w:val="none" w:sz="0" w:space="0" w:color="auto"/>
        <w:right w:val="none" w:sz="0" w:space="0" w:color="auto"/>
      </w:divBdr>
    </w:div>
    <w:div w:id="27979835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7824522">
      <w:bodyDiv w:val="1"/>
      <w:marLeft w:val="0"/>
      <w:marRight w:val="0"/>
      <w:marTop w:val="0"/>
      <w:marBottom w:val="0"/>
      <w:divBdr>
        <w:top w:val="none" w:sz="0" w:space="0" w:color="auto"/>
        <w:left w:val="none" w:sz="0" w:space="0" w:color="auto"/>
        <w:bottom w:val="none" w:sz="0" w:space="0" w:color="auto"/>
        <w:right w:val="none" w:sz="0" w:space="0" w:color="auto"/>
      </w:divBdr>
    </w:div>
    <w:div w:id="580872431">
      <w:bodyDiv w:val="1"/>
      <w:marLeft w:val="0"/>
      <w:marRight w:val="0"/>
      <w:marTop w:val="0"/>
      <w:marBottom w:val="0"/>
      <w:divBdr>
        <w:top w:val="none" w:sz="0" w:space="0" w:color="auto"/>
        <w:left w:val="none" w:sz="0" w:space="0" w:color="auto"/>
        <w:bottom w:val="none" w:sz="0" w:space="0" w:color="auto"/>
        <w:right w:val="none" w:sz="0" w:space="0" w:color="auto"/>
      </w:divBdr>
    </w:div>
    <w:div w:id="607666365">
      <w:bodyDiv w:val="1"/>
      <w:marLeft w:val="0"/>
      <w:marRight w:val="0"/>
      <w:marTop w:val="0"/>
      <w:marBottom w:val="0"/>
      <w:divBdr>
        <w:top w:val="none" w:sz="0" w:space="0" w:color="auto"/>
        <w:left w:val="none" w:sz="0" w:space="0" w:color="auto"/>
        <w:bottom w:val="none" w:sz="0" w:space="0" w:color="auto"/>
        <w:right w:val="none" w:sz="0" w:space="0" w:color="auto"/>
      </w:divBdr>
    </w:div>
    <w:div w:id="616759303">
      <w:bodyDiv w:val="1"/>
      <w:marLeft w:val="0"/>
      <w:marRight w:val="0"/>
      <w:marTop w:val="0"/>
      <w:marBottom w:val="0"/>
      <w:divBdr>
        <w:top w:val="none" w:sz="0" w:space="0" w:color="auto"/>
        <w:left w:val="none" w:sz="0" w:space="0" w:color="auto"/>
        <w:bottom w:val="none" w:sz="0" w:space="0" w:color="auto"/>
        <w:right w:val="none" w:sz="0" w:space="0" w:color="auto"/>
      </w:divBdr>
    </w:div>
    <w:div w:id="715159038">
      <w:bodyDiv w:val="1"/>
      <w:marLeft w:val="0"/>
      <w:marRight w:val="0"/>
      <w:marTop w:val="0"/>
      <w:marBottom w:val="0"/>
      <w:divBdr>
        <w:top w:val="none" w:sz="0" w:space="0" w:color="auto"/>
        <w:left w:val="none" w:sz="0" w:space="0" w:color="auto"/>
        <w:bottom w:val="none" w:sz="0" w:space="0" w:color="auto"/>
        <w:right w:val="none" w:sz="0" w:space="0" w:color="auto"/>
      </w:divBdr>
    </w:div>
    <w:div w:id="732697867">
      <w:bodyDiv w:val="1"/>
      <w:marLeft w:val="0"/>
      <w:marRight w:val="0"/>
      <w:marTop w:val="0"/>
      <w:marBottom w:val="0"/>
      <w:divBdr>
        <w:top w:val="none" w:sz="0" w:space="0" w:color="auto"/>
        <w:left w:val="none" w:sz="0" w:space="0" w:color="auto"/>
        <w:bottom w:val="none" w:sz="0" w:space="0" w:color="auto"/>
        <w:right w:val="none" w:sz="0" w:space="0" w:color="auto"/>
      </w:divBdr>
    </w:div>
    <w:div w:id="755130499">
      <w:bodyDiv w:val="1"/>
      <w:marLeft w:val="0"/>
      <w:marRight w:val="0"/>
      <w:marTop w:val="0"/>
      <w:marBottom w:val="0"/>
      <w:divBdr>
        <w:top w:val="none" w:sz="0" w:space="0" w:color="auto"/>
        <w:left w:val="none" w:sz="0" w:space="0" w:color="auto"/>
        <w:bottom w:val="none" w:sz="0" w:space="0" w:color="auto"/>
        <w:right w:val="none" w:sz="0" w:space="0" w:color="auto"/>
      </w:divBdr>
    </w:div>
    <w:div w:id="765997890">
      <w:bodyDiv w:val="1"/>
      <w:marLeft w:val="0"/>
      <w:marRight w:val="0"/>
      <w:marTop w:val="0"/>
      <w:marBottom w:val="0"/>
      <w:divBdr>
        <w:top w:val="none" w:sz="0" w:space="0" w:color="auto"/>
        <w:left w:val="none" w:sz="0" w:space="0" w:color="auto"/>
        <w:bottom w:val="none" w:sz="0" w:space="0" w:color="auto"/>
        <w:right w:val="none" w:sz="0" w:space="0" w:color="auto"/>
      </w:divBdr>
    </w:div>
    <w:div w:id="781414602">
      <w:bodyDiv w:val="1"/>
      <w:marLeft w:val="0"/>
      <w:marRight w:val="0"/>
      <w:marTop w:val="0"/>
      <w:marBottom w:val="0"/>
      <w:divBdr>
        <w:top w:val="none" w:sz="0" w:space="0" w:color="auto"/>
        <w:left w:val="none" w:sz="0" w:space="0" w:color="auto"/>
        <w:bottom w:val="none" w:sz="0" w:space="0" w:color="auto"/>
        <w:right w:val="none" w:sz="0" w:space="0" w:color="auto"/>
      </w:divBdr>
    </w:div>
    <w:div w:id="817258520">
      <w:bodyDiv w:val="1"/>
      <w:marLeft w:val="0"/>
      <w:marRight w:val="0"/>
      <w:marTop w:val="0"/>
      <w:marBottom w:val="0"/>
      <w:divBdr>
        <w:top w:val="none" w:sz="0" w:space="0" w:color="auto"/>
        <w:left w:val="none" w:sz="0" w:space="0" w:color="auto"/>
        <w:bottom w:val="none" w:sz="0" w:space="0" w:color="auto"/>
        <w:right w:val="none" w:sz="0" w:space="0" w:color="auto"/>
      </w:divBdr>
    </w:div>
    <w:div w:id="830675108">
      <w:bodyDiv w:val="1"/>
      <w:marLeft w:val="0"/>
      <w:marRight w:val="0"/>
      <w:marTop w:val="0"/>
      <w:marBottom w:val="0"/>
      <w:divBdr>
        <w:top w:val="none" w:sz="0" w:space="0" w:color="auto"/>
        <w:left w:val="none" w:sz="0" w:space="0" w:color="auto"/>
        <w:bottom w:val="none" w:sz="0" w:space="0" w:color="auto"/>
        <w:right w:val="none" w:sz="0" w:space="0" w:color="auto"/>
      </w:divBdr>
      <w:divsChild>
        <w:div w:id="105775523">
          <w:marLeft w:val="605"/>
          <w:marRight w:val="0"/>
          <w:marTop w:val="40"/>
          <w:marBottom w:val="80"/>
          <w:divBdr>
            <w:top w:val="none" w:sz="0" w:space="0" w:color="auto"/>
            <w:left w:val="none" w:sz="0" w:space="0" w:color="auto"/>
            <w:bottom w:val="none" w:sz="0" w:space="0" w:color="auto"/>
            <w:right w:val="none" w:sz="0" w:space="0" w:color="auto"/>
          </w:divBdr>
        </w:div>
        <w:div w:id="248125913">
          <w:marLeft w:val="605"/>
          <w:marRight w:val="0"/>
          <w:marTop w:val="40"/>
          <w:marBottom w:val="8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7891412">
      <w:bodyDiv w:val="1"/>
      <w:marLeft w:val="0"/>
      <w:marRight w:val="0"/>
      <w:marTop w:val="0"/>
      <w:marBottom w:val="0"/>
      <w:divBdr>
        <w:top w:val="none" w:sz="0" w:space="0" w:color="auto"/>
        <w:left w:val="none" w:sz="0" w:space="0" w:color="auto"/>
        <w:bottom w:val="none" w:sz="0" w:space="0" w:color="auto"/>
        <w:right w:val="none" w:sz="0" w:space="0" w:color="auto"/>
      </w:divBdr>
    </w:div>
    <w:div w:id="870923789">
      <w:bodyDiv w:val="1"/>
      <w:marLeft w:val="0"/>
      <w:marRight w:val="0"/>
      <w:marTop w:val="0"/>
      <w:marBottom w:val="0"/>
      <w:divBdr>
        <w:top w:val="none" w:sz="0" w:space="0" w:color="auto"/>
        <w:left w:val="none" w:sz="0" w:space="0" w:color="auto"/>
        <w:bottom w:val="none" w:sz="0" w:space="0" w:color="auto"/>
        <w:right w:val="none" w:sz="0" w:space="0" w:color="auto"/>
      </w:divBdr>
    </w:div>
    <w:div w:id="950549869">
      <w:bodyDiv w:val="1"/>
      <w:marLeft w:val="0"/>
      <w:marRight w:val="0"/>
      <w:marTop w:val="0"/>
      <w:marBottom w:val="0"/>
      <w:divBdr>
        <w:top w:val="none" w:sz="0" w:space="0" w:color="auto"/>
        <w:left w:val="none" w:sz="0" w:space="0" w:color="auto"/>
        <w:bottom w:val="none" w:sz="0" w:space="0" w:color="auto"/>
        <w:right w:val="none" w:sz="0" w:space="0" w:color="auto"/>
      </w:divBdr>
      <w:divsChild>
        <w:div w:id="1901750287">
          <w:marLeft w:val="605"/>
          <w:marRight w:val="0"/>
          <w:marTop w:val="40"/>
          <w:marBottom w:val="80"/>
          <w:divBdr>
            <w:top w:val="none" w:sz="0" w:space="0" w:color="auto"/>
            <w:left w:val="none" w:sz="0" w:space="0" w:color="auto"/>
            <w:bottom w:val="none" w:sz="0" w:space="0" w:color="auto"/>
            <w:right w:val="none" w:sz="0" w:space="0" w:color="auto"/>
          </w:divBdr>
        </w:div>
      </w:divsChild>
    </w:div>
    <w:div w:id="958485985">
      <w:bodyDiv w:val="1"/>
      <w:marLeft w:val="0"/>
      <w:marRight w:val="0"/>
      <w:marTop w:val="0"/>
      <w:marBottom w:val="0"/>
      <w:divBdr>
        <w:top w:val="none" w:sz="0" w:space="0" w:color="auto"/>
        <w:left w:val="none" w:sz="0" w:space="0" w:color="auto"/>
        <w:bottom w:val="none" w:sz="0" w:space="0" w:color="auto"/>
        <w:right w:val="none" w:sz="0" w:space="0" w:color="auto"/>
      </w:divBdr>
    </w:div>
    <w:div w:id="966739435">
      <w:bodyDiv w:val="1"/>
      <w:marLeft w:val="0"/>
      <w:marRight w:val="0"/>
      <w:marTop w:val="0"/>
      <w:marBottom w:val="0"/>
      <w:divBdr>
        <w:top w:val="none" w:sz="0" w:space="0" w:color="auto"/>
        <w:left w:val="none" w:sz="0" w:space="0" w:color="auto"/>
        <w:bottom w:val="none" w:sz="0" w:space="0" w:color="auto"/>
        <w:right w:val="none" w:sz="0" w:space="0" w:color="auto"/>
      </w:divBdr>
    </w:div>
    <w:div w:id="990716938">
      <w:bodyDiv w:val="1"/>
      <w:marLeft w:val="0"/>
      <w:marRight w:val="0"/>
      <w:marTop w:val="0"/>
      <w:marBottom w:val="0"/>
      <w:divBdr>
        <w:top w:val="none" w:sz="0" w:space="0" w:color="auto"/>
        <w:left w:val="none" w:sz="0" w:space="0" w:color="auto"/>
        <w:bottom w:val="none" w:sz="0" w:space="0" w:color="auto"/>
        <w:right w:val="none" w:sz="0" w:space="0" w:color="auto"/>
      </w:divBdr>
    </w:div>
    <w:div w:id="1090858139">
      <w:bodyDiv w:val="1"/>
      <w:marLeft w:val="0"/>
      <w:marRight w:val="0"/>
      <w:marTop w:val="0"/>
      <w:marBottom w:val="0"/>
      <w:divBdr>
        <w:top w:val="none" w:sz="0" w:space="0" w:color="auto"/>
        <w:left w:val="none" w:sz="0" w:space="0" w:color="auto"/>
        <w:bottom w:val="none" w:sz="0" w:space="0" w:color="auto"/>
        <w:right w:val="none" w:sz="0" w:space="0" w:color="auto"/>
      </w:divBdr>
    </w:div>
    <w:div w:id="115575552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662166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9410782">
      <w:bodyDiv w:val="1"/>
      <w:marLeft w:val="0"/>
      <w:marRight w:val="0"/>
      <w:marTop w:val="0"/>
      <w:marBottom w:val="0"/>
      <w:divBdr>
        <w:top w:val="none" w:sz="0" w:space="0" w:color="auto"/>
        <w:left w:val="none" w:sz="0" w:space="0" w:color="auto"/>
        <w:bottom w:val="none" w:sz="0" w:space="0" w:color="auto"/>
        <w:right w:val="none" w:sz="0" w:space="0" w:color="auto"/>
      </w:divBdr>
    </w:div>
    <w:div w:id="1284071140">
      <w:bodyDiv w:val="1"/>
      <w:marLeft w:val="0"/>
      <w:marRight w:val="0"/>
      <w:marTop w:val="0"/>
      <w:marBottom w:val="0"/>
      <w:divBdr>
        <w:top w:val="none" w:sz="0" w:space="0" w:color="auto"/>
        <w:left w:val="none" w:sz="0" w:space="0" w:color="auto"/>
        <w:bottom w:val="none" w:sz="0" w:space="0" w:color="auto"/>
        <w:right w:val="none" w:sz="0" w:space="0" w:color="auto"/>
      </w:divBdr>
    </w:div>
    <w:div w:id="1312175221">
      <w:bodyDiv w:val="1"/>
      <w:marLeft w:val="0"/>
      <w:marRight w:val="0"/>
      <w:marTop w:val="0"/>
      <w:marBottom w:val="0"/>
      <w:divBdr>
        <w:top w:val="none" w:sz="0" w:space="0" w:color="auto"/>
        <w:left w:val="none" w:sz="0" w:space="0" w:color="auto"/>
        <w:bottom w:val="none" w:sz="0" w:space="0" w:color="auto"/>
        <w:right w:val="none" w:sz="0" w:space="0" w:color="auto"/>
      </w:divBdr>
    </w:div>
    <w:div w:id="1321617387">
      <w:bodyDiv w:val="1"/>
      <w:marLeft w:val="0"/>
      <w:marRight w:val="0"/>
      <w:marTop w:val="0"/>
      <w:marBottom w:val="0"/>
      <w:divBdr>
        <w:top w:val="none" w:sz="0" w:space="0" w:color="auto"/>
        <w:left w:val="none" w:sz="0" w:space="0" w:color="auto"/>
        <w:bottom w:val="none" w:sz="0" w:space="0" w:color="auto"/>
        <w:right w:val="none" w:sz="0" w:space="0" w:color="auto"/>
      </w:divBdr>
    </w:div>
    <w:div w:id="1369260430">
      <w:bodyDiv w:val="1"/>
      <w:marLeft w:val="0"/>
      <w:marRight w:val="0"/>
      <w:marTop w:val="0"/>
      <w:marBottom w:val="0"/>
      <w:divBdr>
        <w:top w:val="none" w:sz="0" w:space="0" w:color="auto"/>
        <w:left w:val="none" w:sz="0" w:space="0" w:color="auto"/>
        <w:bottom w:val="none" w:sz="0" w:space="0" w:color="auto"/>
        <w:right w:val="none" w:sz="0" w:space="0" w:color="auto"/>
      </w:divBdr>
    </w:div>
    <w:div w:id="1419444284">
      <w:bodyDiv w:val="1"/>
      <w:marLeft w:val="0"/>
      <w:marRight w:val="0"/>
      <w:marTop w:val="0"/>
      <w:marBottom w:val="0"/>
      <w:divBdr>
        <w:top w:val="none" w:sz="0" w:space="0" w:color="auto"/>
        <w:left w:val="none" w:sz="0" w:space="0" w:color="auto"/>
        <w:bottom w:val="none" w:sz="0" w:space="0" w:color="auto"/>
        <w:right w:val="none" w:sz="0" w:space="0" w:color="auto"/>
      </w:divBdr>
    </w:div>
    <w:div w:id="1432583031">
      <w:bodyDiv w:val="1"/>
      <w:marLeft w:val="0"/>
      <w:marRight w:val="0"/>
      <w:marTop w:val="0"/>
      <w:marBottom w:val="0"/>
      <w:divBdr>
        <w:top w:val="none" w:sz="0" w:space="0" w:color="auto"/>
        <w:left w:val="none" w:sz="0" w:space="0" w:color="auto"/>
        <w:bottom w:val="none" w:sz="0" w:space="0" w:color="auto"/>
        <w:right w:val="none" w:sz="0" w:space="0" w:color="auto"/>
      </w:divBdr>
    </w:div>
    <w:div w:id="1476293551">
      <w:bodyDiv w:val="1"/>
      <w:marLeft w:val="0"/>
      <w:marRight w:val="0"/>
      <w:marTop w:val="0"/>
      <w:marBottom w:val="0"/>
      <w:divBdr>
        <w:top w:val="none" w:sz="0" w:space="0" w:color="auto"/>
        <w:left w:val="none" w:sz="0" w:space="0" w:color="auto"/>
        <w:bottom w:val="none" w:sz="0" w:space="0" w:color="auto"/>
        <w:right w:val="none" w:sz="0" w:space="0" w:color="auto"/>
      </w:divBdr>
    </w:div>
    <w:div w:id="1597983246">
      <w:bodyDiv w:val="1"/>
      <w:marLeft w:val="0"/>
      <w:marRight w:val="0"/>
      <w:marTop w:val="0"/>
      <w:marBottom w:val="0"/>
      <w:divBdr>
        <w:top w:val="none" w:sz="0" w:space="0" w:color="auto"/>
        <w:left w:val="none" w:sz="0" w:space="0" w:color="auto"/>
        <w:bottom w:val="none" w:sz="0" w:space="0" w:color="auto"/>
        <w:right w:val="none" w:sz="0" w:space="0" w:color="auto"/>
      </w:divBdr>
    </w:div>
    <w:div w:id="1729454243">
      <w:bodyDiv w:val="1"/>
      <w:marLeft w:val="0"/>
      <w:marRight w:val="0"/>
      <w:marTop w:val="0"/>
      <w:marBottom w:val="0"/>
      <w:divBdr>
        <w:top w:val="none" w:sz="0" w:space="0" w:color="auto"/>
        <w:left w:val="none" w:sz="0" w:space="0" w:color="auto"/>
        <w:bottom w:val="none" w:sz="0" w:space="0" w:color="auto"/>
        <w:right w:val="none" w:sz="0" w:space="0" w:color="auto"/>
      </w:divBdr>
    </w:div>
    <w:div w:id="1752585017">
      <w:bodyDiv w:val="1"/>
      <w:marLeft w:val="0"/>
      <w:marRight w:val="0"/>
      <w:marTop w:val="0"/>
      <w:marBottom w:val="0"/>
      <w:divBdr>
        <w:top w:val="none" w:sz="0" w:space="0" w:color="auto"/>
        <w:left w:val="none" w:sz="0" w:space="0" w:color="auto"/>
        <w:bottom w:val="none" w:sz="0" w:space="0" w:color="auto"/>
        <w:right w:val="none" w:sz="0" w:space="0" w:color="auto"/>
      </w:divBdr>
    </w:div>
    <w:div w:id="1768889168">
      <w:bodyDiv w:val="1"/>
      <w:marLeft w:val="0"/>
      <w:marRight w:val="0"/>
      <w:marTop w:val="0"/>
      <w:marBottom w:val="0"/>
      <w:divBdr>
        <w:top w:val="none" w:sz="0" w:space="0" w:color="auto"/>
        <w:left w:val="none" w:sz="0" w:space="0" w:color="auto"/>
        <w:bottom w:val="none" w:sz="0" w:space="0" w:color="auto"/>
        <w:right w:val="none" w:sz="0" w:space="0" w:color="auto"/>
      </w:divBdr>
    </w:div>
    <w:div w:id="1806851971">
      <w:bodyDiv w:val="1"/>
      <w:marLeft w:val="0"/>
      <w:marRight w:val="0"/>
      <w:marTop w:val="0"/>
      <w:marBottom w:val="0"/>
      <w:divBdr>
        <w:top w:val="none" w:sz="0" w:space="0" w:color="auto"/>
        <w:left w:val="none" w:sz="0" w:space="0" w:color="auto"/>
        <w:bottom w:val="none" w:sz="0" w:space="0" w:color="auto"/>
        <w:right w:val="none" w:sz="0" w:space="0" w:color="auto"/>
      </w:divBdr>
    </w:div>
    <w:div w:id="1859660548">
      <w:bodyDiv w:val="1"/>
      <w:marLeft w:val="0"/>
      <w:marRight w:val="0"/>
      <w:marTop w:val="0"/>
      <w:marBottom w:val="0"/>
      <w:divBdr>
        <w:top w:val="none" w:sz="0" w:space="0" w:color="auto"/>
        <w:left w:val="none" w:sz="0" w:space="0" w:color="auto"/>
        <w:bottom w:val="none" w:sz="0" w:space="0" w:color="auto"/>
        <w:right w:val="none" w:sz="0" w:space="0" w:color="auto"/>
      </w:divBdr>
    </w:div>
    <w:div w:id="1915360542">
      <w:bodyDiv w:val="1"/>
      <w:marLeft w:val="0"/>
      <w:marRight w:val="0"/>
      <w:marTop w:val="0"/>
      <w:marBottom w:val="0"/>
      <w:divBdr>
        <w:top w:val="none" w:sz="0" w:space="0" w:color="auto"/>
        <w:left w:val="none" w:sz="0" w:space="0" w:color="auto"/>
        <w:bottom w:val="none" w:sz="0" w:space="0" w:color="auto"/>
        <w:right w:val="none" w:sz="0" w:space="0" w:color="auto"/>
      </w:divBdr>
    </w:div>
    <w:div w:id="1920750056">
      <w:bodyDiv w:val="1"/>
      <w:marLeft w:val="0"/>
      <w:marRight w:val="0"/>
      <w:marTop w:val="0"/>
      <w:marBottom w:val="0"/>
      <w:divBdr>
        <w:top w:val="none" w:sz="0" w:space="0" w:color="auto"/>
        <w:left w:val="none" w:sz="0" w:space="0" w:color="auto"/>
        <w:bottom w:val="none" w:sz="0" w:space="0" w:color="auto"/>
        <w:right w:val="none" w:sz="0" w:space="0" w:color="auto"/>
      </w:divBdr>
    </w:div>
    <w:div w:id="192626353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1298157">
      <w:bodyDiv w:val="1"/>
      <w:marLeft w:val="0"/>
      <w:marRight w:val="0"/>
      <w:marTop w:val="0"/>
      <w:marBottom w:val="0"/>
      <w:divBdr>
        <w:top w:val="none" w:sz="0" w:space="0" w:color="auto"/>
        <w:left w:val="none" w:sz="0" w:space="0" w:color="auto"/>
        <w:bottom w:val="none" w:sz="0" w:space="0" w:color="auto"/>
        <w:right w:val="none" w:sz="0" w:space="0" w:color="auto"/>
      </w:divBdr>
    </w:div>
    <w:div w:id="2019648969">
      <w:bodyDiv w:val="1"/>
      <w:marLeft w:val="0"/>
      <w:marRight w:val="0"/>
      <w:marTop w:val="0"/>
      <w:marBottom w:val="0"/>
      <w:divBdr>
        <w:top w:val="none" w:sz="0" w:space="0" w:color="auto"/>
        <w:left w:val="none" w:sz="0" w:space="0" w:color="auto"/>
        <w:bottom w:val="none" w:sz="0" w:space="0" w:color="auto"/>
        <w:right w:val="none" w:sz="0" w:space="0" w:color="auto"/>
      </w:divBdr>
    </w:div>
    <w:div w:id="2033065068">
      <w:bodyDiv w:val="1"/>
      <w:marLeft w:val="0"/>
      <w:marRight w:val="0"/>
      <w:marTop w:val="0"/>
      <w:marBottom w:val="0"/>
      <w:divBdr>
        <w:top w:val="none" w:sz="0" w:space="0" w:color="auto"/>
        <w:left w:val="none" w:sz="0" w:space="0" w:color="auto"/>
        <w:bottom w:val="none" w:sz="0" w:space="0" w:color="auto"/>
        <w:right w:val="none" w:sz="0" w:space="0" w:color="auto"/>
      </w:divBdr>
    </w:div>
    <w:div w:id="2045904459">
      <w:bodyDiv w:val="1"/>
      <w:marLeft w:val="0"/>
      <w:marRight w:val="0"/>
      <w:marTop w:val="0"/>
      <w:marBottom w:val="0"/>
      <w:divBdr>
        <w:top w:val="none" w:sz="0" w:space="0" w:color="auto"/>
        <w:left w:val="none" w:sz="0" w:space="0" w:color="auto"/>
        <w:bottom w:val="none" w:sz="0" w:space="0" w:color="auto"/>
        <w:right w:val="none" w:sz="0" w:space="0" w:color="auto"/>
      </w:divBdr>
    </w:div>
    <w:div w:id="20693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pbs.gov.au/medicine/item/13162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bs.gov.au/medicine/item/13161q"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cci.canceraustralia.gov.au/features/national-cancer-stage-diagnosis-data" TargetMode="External"/><Relationship Id="rId2" Type="http://schemas.openxmlformats.org/officeDocument/2006/relationships/hyperlink" Target="https://www.canceraustralia.gov.au/cancer-types/lung-cancer/types" TargetMode="External"/><Relationship Id="rId1" Type="http://schemas.openxmlformats.org/officeDocument/2006/relationships/hyperlink" Target="https://www.canceraustralia.gov.au/cancer-types/lung-cancer/statistics" TargetMode="External"/><Relationship Id="rId4" Type="http://schemas.openxmlformats.org/officeDocument/2006/relationships/hyperlink" Target="https://www.aihw.gov.au/reports/cancer/cancer-data-in-australia/contents/cancer-incidence-and-survival-by-stage-data-visua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461E-FB9A-4085-9E3C-BD73A017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11427</Words>
  <Characters>64986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76261</CharactersWithSpaces>
  <SharedDoc>false</SharedDoc>
  <HLinks>
    <vt:vector size="36" baseType="variant">
      <vt:variant>
        <vt:i4>3145786</vt:i4>
      </vt:variant>
      <vt:variant>
        <vt:i4>120</vt:i4>
      </vt:variant>
      <vt:variant>
        <vt:i4>0</vt:i4>
      </vt:variant>
      <vt:variant>
        <vt:i4>5</vt:i4>
      </vt:variant>
      <vt:variant>
        <vt:lpwstr>https://www.pbs.gov.au/medicine/item/13162r</vt:lpwstr>
      </vt:variant>
      <vt:variant>
        <vt:lpwstr/>
      </vt:variant>
      <vt:variant>
        <vt:i4>3342394</vt:i4>
      </vt:variant>
      <vt:variant>
        <vt:i4>117</vt:i4>
      </vt:variant>
      <vt:variant>
        <vt:i4>0</vt:i4>
      </vt:variant>
      <vt:variant>
        <vt:i4>5</vt:i4>
      </vt:variant>
      <vt:variant>
        <vt:lpwstr>https://www.pbs.gov.au/medicine/item/13161q</vt:lpwstr>
      </vt:variant>
      <vt:variant>
        <vt:lpwstr/>
      </vt:variant>
      <vt:variant>
        <vt:i4>2097269</vt:i4>
      </vt:variant>
      <vt:variant>
        <vt:i4>9</vt:i4>
      </vt:variant>
      <vt:variant>
        <vt:i4>0</vt:i4>
      </vt:variant>
      <vt:variant>
        <vt:i4>5</vt:i4>
      </vt:variant>
      <vt:variant>
        <vt:lpwstr>https://www.aihw.gov.au/reports/cancer/cancer-data-in-australia/contents/cancer-incidence-and-survival-by-stage-data-visualisation</vt:lpwstr>
      </vt:variant>
      <vt:variant>
        <vt:lpwstr/>
      </vt:variant>
      <vt:variant>
        <vt:i4>1310733</vt:i4>
      </vt:variant>
      <vt:variant>
        <vt:i4>6</vt:i4>
      </vt:variant>
      <vt:variant>
        <vt:i4>0</vt:i4>
      </vt:variant>
      <vt:variant>
        <vt:i4>5</vt:i4>
      </vt:variant>
      <vt:variant>
        <vt:lpwstr>https://ncci.canceraustralia.gov.au/features/national-cancer-stage-diagnosis-data</vt:lpwstr>
      </vt:variant>
      <vt:variant>
        <vt:lpwstr/>
      </vt:variant>
      <vt:variant>
        <vt:i4>1310790</vt:i4>
      </vt:variant>
      <vt:variant>
        <vt:i4>3</vt:i4>
      </vt:variant>
      <vt:variant>
        <vt:i4>0</vt:i4>
      </vt:variant>
      <vt:variant>
        <vt:i4>5</vt:i4>
      </vt:variant>
      <vt:variant>
        <vt:lpwstr>https://www.canceraustralia.gov.au/cancer-types/lung-cancer/types</vt:lpwstr>
      </vt:variant>
      <vt:variant>
        <vt:lpwstr/>
      </vt:variant>
      <vt:variant>
        <vt:i4>6357038</vt:i4>
      </vt:variant>
      <vt:variant>
        <vt:i4>0</vt:i4>
      </vt:variant>
      <vt:variant>
        <vt:i4>0</vt:i4>
      </vt:variant>
      <vt:variant>
        <vt:i4>5</vt:i4>
      </vt:variant>
      <vt:variant>
        <vt:lpwstr>https://www.canceraustralia.gov.au/cancer-types/lung-cancer/statistics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2024-02-27T22:26:00Z</dcterms:created>
  <dcterms:modified xsi:type="dcterms:W3CDTF">2024-02-27T22:29:00Z</dcterms:modified>
</cp:coreProperties>
</file>