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A95AD" w14:textId="6A477CB0" w:rsidR="00971E68" w:rsidRPr="002145C5" w:rsidRDefault="007C1B62" w:rsidP="007A5C88">
      <w:pPr>
        <w:pStyle w:val="1MainTitle"/>
        <w:jc w:val="left"/>
      </w:pPr>
      <w:r w:rsidRPr="002145C5">
        <w:t>5</w:t>
      </w:r>
      <w:r w:rsidR="70971A32" w:rsidRPr="002145C5">
        <w:t>.</w:t>
      </w:r>
      <w:r w:rsidRPr="002145C5">
        <w:t>02</w:t>
      </w:r>
      <w:r w:rsidR="00872E8F" w:rsidRPr="002145C5">
        <w:tab/>
      </w:r>
      <w:r w:rsidR="00CB2CA8" w:rsidRPr="002145C5">
        <w:t>ADALIMUMAB</w:t>
      </w:r>
      <w:r w:rsidR="70971A32" w:rsidRPr="002145C5">
        <w:t xml:space="preserve">, </w:t>
      </w:r>
      <w:r w:rsidR="00872E8F" w:rsidRPr="002145C5">
        <w:br/>
      </w:r>
      <w:r w:rsidR="00A46F77" w:rsidRPr="002145C5">
        <w:t>Injection 40 mg in 0</w:t>
      </w:r>
      <w:r w:rsidR="00971E68" w:rsidRPr="002145C5">
        <w:t>.</w:t>
      </w:r>
      <w:r w:rsidR="00A46F77" w:rsidRPr="002145C5">
        <w:t>4 mL pre-filled</w:t>
      </w:r>
      <w:r w:rsidR="00BA2D6E" w:rsidRPr="002145C5">
        <w:t xml:space="preserve"> syringe</w:t>
      </w:r>
      <w:r w:rsidR="70971A32" w:rsidRPr="002145C5">
        <w:t>,</w:t>
      </w:r>
    </w:p>
    <w:p w14:paraId="181DB627" w14:textId="467D4F4C" w:rsidR="00872E8F" w:rsidRPr="002145C5" w:rsidRDefault="00971E68" w:rsidP="00971E68">
      <w:pPr>
        <w:pStyle w:val="1MainTitle"/>
        <w:ind w:firstLine="0"/>
        <w:jc w:val="left"/>
      </w:pPr>
      <w:r w:rsidRPr="002145C5">
        <w:t>Injection 40 mg in 0.4</w:t>
      </w:r>
      <w:r w:rsidR="00DC19F2" w:rsidRPr="002145C5">
        <w:t xml:space="preserve"> mL pre-filled pen</w:t>
      </w:r>
      <w:r w:rsidR="009D7F38" w:rsidRPr="002145C5">
        <w:t>,</w:t>
      </w:r>
      <w:r w:rsidR="00872E8F" w:rsidRPr="002145C5">
        <w:br/>
      </w:r>
      <w:r w:rsidR="002B57EE" w:rsidRPr="002145C5">
        <w:t>H</w:t>
      </w:r>
      <w:r w:rsidR="002B57EE">
        <w:t>adlima</w:t>
      </w:r>
      <w:r w:rsidR="70971A32" w:rsidRPr="002145C5">
        <w:t>®,</w:t>
      </w:r>
      <w:r w:rsidR="00872E8F" w:rsidRPr="002145C5">
        <w:br/>
      </w:r>
      <w:r w:rsidR="00BA2D6E" w:rsidRPr="002145C5">
        <w:t>Organon Pharma Pty Ltd</w:t>
      </w:r>
    </w:p>
    <w:p w14:paraId="5F4D54C1" w14:textId="7B7FBCE0" w:rsidR="00E11F44" w:rsidRPr="002145C5" w:rsidRDefault="007E490F" w:rsidP="00F17FBC">
      <w:pPr>
        <w:pStyle w:val="2-SectionHeading"/>
        <w:jc w:val="both"/>
        <w:rPr>
          <w:rFonts w:cstheme="minorHAnsi"/>
        </w:rPr>
      </w:pPr>
      <w:r w:rsidRPr="002145C5">
        <w:t xml:space="preserve">Purpose of </w:t>
      </w:r>
      <w:r w:rsidR="00FA0B04" w:rsidRPr="002145C5">
        <w:t>Submission</w:t>
      </w:r>
      <w:r w:rsidRPr="002145C5">
        <w:t xml:space="preserve"> </w:t>
      </w:r>
    </w:p>
    <w:p w14:paraId="2BFDAD71" w14:textId="3465761D" w:rsidR="006C6C10" w:rsidRPr="002145C5" w:rsidRDefault="006C6C10" w:rsidP="00F17FBC">
      <w:pPr>
        <w:pStyle w:val="3Bodytext"/>
        <w:jc w:val="both"/>
        <w:rPr>
          <w:rFonts w:cstheme="minorHAnsi"/>
          <w:szCs w:val="24"/>
        </w:rPr>
      </w:pPr>
      <w:r w:rsidRPr="002145C5">
        <w:rPr>
          <w:rFonts w:cstheme="minorHAnsi"/>
          <w:szCs w:val="24"/>
        </w:rPr>
        <w:t>Th</w:t>
      </w:r>
      <w:r w:rsidR="004B340F" w:rsidRPr="002145C5">
        <w:rPr>
          <w:rFonts w:cstheme="minorHAnsi"/>
          <w:szCs w:val="24"/>
        </w:rPr>
        <w:t>e</w:t>
      </w:r>
      <w:r w:rsidR="0060304C" w:rsidRPr="002145C5">
        <w:rPr>
          <w:rFonts w:cstheme="minorHAnsi"/>
          <w:szCs w:val="24"/>
        </w:rPr>
        <w:t xml:space="preserve"> Category 4</w:t>
      </w:r>
      <w:r w:rsidR="00C07936" w:rsidRPr="002145C5">
        <w:rPr>
          <w:rFonts w:cstheme="minorHAnsi"/>
          <w:szCs w:val="24"/>
        </w:rPr>
        <w:t xml:space="preserve"> </w:t>
      </w:r>
      <w:r w:rsidRPr="002145C5">
        <w:rPr>
          <w:rFonts w:cstheme="minorHAnsi"/>
          <w:szCs w:val="24"/>
        </w:rPr>
        <w:t xml:space="preserve">submission </w:t>
      </w:r>
      <w:r w:rsidR="0060304C" w:rsidRPr="002145C5">
        <w:rPr>
          <w:rFonts w:cstheme="minorHAnsi"/>
          <w:szCs w:val="24"/>
        </w:rPr>
        <w:t xml:space="preserve">sought </w:t>
      </w:r>
      <w:r w:rsidR="00C07936" w:rsidRPr="002145C5">
        <w:rPr>
          <w:rFonts w:cstheme="minorHAnsi"/>
          <w:szCs w:val="24"/>
        </w:rPr>
        <w:t xml:space="preserve">to list a biosimilar brand </w:t>
      </w:r>
      <w:r w:rsidR="0060304C" w:rsidRPr="002145C5">
        <w:rPr>
          <w:rFonts w:cstheme="minorHAnsi"/>
          <w:szCs w:val="24"/>
        </w:rPr>
        <w:t>of adalimumab (Hadlima</w:t>
      </w:r>
      <w:r w:rsidR="0060304C" w:rsidRPr="002145C5">
        <w:rPr>
          <w:szCs w:val="24"/>
        </w:rPr>
        <w:t>®)</w:t>
      </w:r>
      <w:r w:rsidR="0060304C" w:rsidRPr="002145C5">
        <w:rPr>
          <w:rFonts w:cstheme="minorHAnsi"/>
          <w:szCs w:val="24"/>
        </w:rPr>
        <w:t xml:space="preserve"> in the forms of 40 </w:t>
      </w:r>
      <w:r w:rsidR="0060304C" w:rsidRPr="002145C5">
        <w:rPr>
          <w:szCs w:val="24"/>
        </w:rPr>
        <w:t>mg in 0.4 mL pre-filled pen (PFP)</w:t>
      </w:r>
      <w:r w:rsidR="00C07936" w:rsidRPr="002145C5">
        <w:rPr>
          <w:szCs w:val="24"/>
        </w:rPr>
        <w:t xml:space="preserve"> and pre-filled syringe (PFS) </w:t>
      </w:r>
      <w:r w:rsidR="0060304C" w:rsidRPr="002145C5">
        <w:rPr>
          <w:szCs w:val="24"/>
        </w:rPr>
        <w:t xml:space="preserve">under the same circumstances as the PBS-listed </w:t>
      </w:r>
      <w:r w:rsidR="00C07936" w:rsidRPr="002145C5">
        <w:rPr>
          <w:szCs w:val="24"/>
        </w:rPr>
        <w:t xml:space="preserve">reference </w:t>
      </w:r>
      <w:r w:rsidR="0060304C" w:rsidRPr="002145C5">
        <w:rPr>
          <w:szCs w:val="24"/>
        </w:rPr>
        <w:t>biologic Humira® 40</w:t>
      </w:r>
      <w:r w:rsidR="009D7F38" w:rsidRPr="002145C5">
        <w:rPr>
          <w:szCs w:val="24"/>
        </w:rPr>
        <w:t> </w:t>
      </w:r>
      <w:r w:rsidR="0060304C" w:rsidRPr="002145C5">
        <w:rPr>
          <w:szCs w:val="24"/>
        </w:rPr>
        <w:t xml:space="preserve">mg in 0.4 mL </w:t>
      </w:r>
      <w:r w:rsidR="000A15F7" w:rsidRPr="002145C5">
        <w:rPr>
          <w:szCs w:val="24"/>
        </w:rPr>
        <w:t xml:space="preserve">PFP </w:t>
      </w:r>
      <w:r w:rsidR="0060304C" w:rsidRPr="002145C5">
        <w:rPr>
          <w:szCs w:val="24"/>
        </w:rPr>
        <w:t>and PF</w:t>
      </w:r>
      <w:r w:rsidR="000A15F7" w:rsidRPr="002145C5">
        <w:rPr>
          <w:szCs w:val="24"/>
        </w:rPr>
        <w:t>S</w:t>
      </w:r>
      <w:r w:rsidR="0060304C" w:rsidRPr="002145C5">
        <w:rPr>
          <w:rFonts w:cstheme="minorHAnsi"/>
          <w:szCs w:val="24"/>
        </w:rPr>
        <w:t>.</w:t>
      </w:r>
    </w:p>
    <w:p w14:paraId="3D1D4320" w14:textId="77777777" w:rsidR="007E490F" w:rsidRPr="002145C5" w:rsidRDefault="007E490F" w:rsidP="00F17FBC">
      <w:pPr>
        <w:pStyle w:val="2-SectionHeading"/>
        <w:jc w:val="both"/>
      </w:pPr>
      <w:r w:rsidRPr="002145C5">
        <w:t xml:space="preserve">Background </w:t>
      </w:r>
    </w:p>
    <w:p w14:paraId="33C2C319" w14:textId="66DF215F" w:rsidR="007E490F" w:rsidRPr="002145C5" w:rsidRDefault="007E490F" w:rsidP="004B340F">
      <w:pPr>
        <w:pStyle w:val="4-SubsectionHeading"/>
      </w:pPr>
      <w:r w:rsidRPr="002145C5">
        <w:t>Registration status</w:t>
      </w:r>
    </w:p>
    <w:p w14:paraId="0F456A9E" w14:textId="01ECB2F1" w:rsidR="00BC04B1" w:rsidRPr="002145C5" w:rsidRDefault="009C1537" w:rsidP="00F17FBC">
      <w:pPr>
        <w:pStyle w:val="3Bodytext"/>
        <w:jc w:val="both"/>
        <w:rPr>
          <w:color w:val="000000" w:themeColor="text1"/>
        </w:rPr>
      </w:pPr>
      <w:r w:rsidRPr="002145C5">
        <w:rPr>
          <w:color w:val="000000" w:themeColor="text1"/>
        </w:rPr>
        <w:t>Hadlima 40 mg in 0.4 mL PFP and PFS were registered on the ARTG on 15</w:t>
      </w:r>
      <w:r w:rsidR="009D7F38" w:rsidRPr="002145C5">
        <w:rPr>
          <w:color w:val="000000" w:themeColor="text1"/>
        </w:rPr>
        <w:t> </w:t>
      </w:r>
      <w:r w:rsidRPr="002145C5">
        <w:rPr>
          <w:color w:val="000000" w:themeColor="text1"/>
        </w:rPr>
        <w:t>February</w:t>
      </w:r>
      <w:r w:rsidR="009D7F38" w:rsidRPr="002145C5">
        <w:rPr>
          <w:color w:val="000000" w:themeColor="text1"/>
        </w:rPr>
        <w:t> </w:t>
      </w:r>
      <w:r w:rsidRPr="002145C5">
        <w:rPr>
          <w:color w:val="000000" w:themeColor="text1"/>
        </w:rPr>
        <w:t>2023 and</w:t>
      </w:r>
      <w:r w:rsidR="00C07936" w:rsidRPr="002145C5">
        <w:rPr>
          <w:color w:val="000000" w:themeColor="text1"/>
        </w:rPr>
        <w:t xml:space="preserve"> </w:t>
      </w:r>
      <w:r w:rsidRPr="002145C5">
        <w:rPr>
          <w:color w:val="000000" w:themeColor="text1"/>
        </w:rPr>
        <w:t>determined to be biosimilar</w:t>
      </w:r>
      <w:r w:rsidR="003464BC" w:rsidRPr="002145C5">
        <w:rPr>
          <w:color w:val="000000" w:themeColor="text1"/>
        </w:rPr>
        <w:t>s</w:t>
      </w:r>
      <w:r w:rsidRPr="002145C5">
        <w:rPr>
          <w:color w:val="000000" w:themeColor="text1"/>
        </w:rPr>
        <w:t xml:space="preserve"> to the reference brand Humira</w:t>
      </w:r>
      <w:r w:rsidR="008F635D" w:rsidRPr="002145C5">
        <w:rPr>
          <w:color w:val="000000" w:themeColor="text1"/>
        </w:rPr>
        <w:t xml:space="preserve"> 40</w:t>
      </w:r>
      <w:r w:rsidR="00FA2B16">
        <w:rPr>
          <w:color w:val="000000" w:themeColor="text1"/>
        </w:rPr>
        <w:t> </w:t>
      </w:r>
      <w:r w:rsidR="008F635D" w:rsidRPr="002145C5">
        <w:rPr>
          <w:color w:val="000000" w:themeColor="text1"/>
        </w:rPr>
        <w:t>m</w:t>
      </w:r>
      <w:r w:rsidR="00043282" w:rsidRPr="002145C5">
        <w:rPr>
          <w:color w:val="000000" w:themeColor="text1"/>
        </w:rPr>
        <w:t>g in 0.4</w:t>
      </w:r>
      <w:r w:rsidR="009D7F38" w:rsidRPr="002145C5">
        <w:rPr>
          <w:color w:val="000000" w:themeColor="text1"/>
        </w:rPr>
        <w:t> </w:t>
      </w:r>
      <w:r w:rsidR="00043282" w:rsidRPr="002145C5">
        <w:rPr>
          <w:color w:val="000000" w:themeColor="text1"/>
        </w:rPr>
        <w:t>mL</w:t>
      </w:r>
      <w:r w:rsidRPr="002145C5">
        <w:rPr>
          <w:color w:val="000000" w:themeColor="text1"/>
        </w:rPr>
        <w:t xml:space="preserve">. </w:t>
      </w:r>
      <w:r w:rsidR="00C07936" w:rsidRPr="002145C5">
        <w:rPr>
          <w:rFonts w:cstheme="minorHAnsi"/>
          <w:szCs w:val="24"/>
        </w:rPr>
        <w:t xml:space="preserve">Hadlima 40 mg </w:t>
      </w:r>
      <w:r w:rsidR="00C07936" w:rsidRPr="002145C5">
        <w:rPr>
          <w:color w:val="000000" w:themeColor="text1"/>
        </w:rPr>
        <w:t xml:space="preserve">in 0.4 mL PFP and PFS </w:t>
      </w:r>
      <w:r w:rsidR="00C07936" w:rsidRPr="002145C5">
        <w:rPr>
          <w:rFonts w:cstheme="minorHAnsi"/>
          <w:szCs w:val="24"/>
        </w:rPr>
        <w:t>are approved for the same indication as Humira 40 mg in 0.4 mL</w:t>
      </w:r>
      <w:r w:rsidR="00C07936" w:rsidRPr="002145C5">
        <w:t>.</w:t>
      </w:r>
    </w:p>
    <w:p w14:paraId="0094486E" w14:textId="77777777" w:rsidR="007E490F" w:rsidRPr="002145C5" w:rsidRDefault="007E490F" w:rsidP="004B340F">
      <w:pPr>
        <w:pStyle w:val="4-SubsectionHeading"/>
      </w:pPr>
      <w:r w:rsidRPr="002145C5">
        <w:t xml:space="preserve">Previous PBAC consideration </w:t>
      </w:r>
    </w:p>
    <w:p w14:paraId="089A3183" w14:textId="77777777" w:rsidR="00A45138" w:rsidRPr="002145C5" w:rsidRDefault="00A45138" w:rsidP="00F17FBC">
      <w:pPr>
        <w:pStyle w:val="3Bodytext"/>
        <w:jc w:val="both"/>
      </w:pPr>
      <w:r w:rsidRPr="002145C5">
        <w:rPr>
          <w:color w:val="000000" w:themeColor="text1"/>
        </w:rPr>
        <w:t>This</w:t>
      </w:r>
      <w:r w:rsidRPr="002145C5">
        <w:t xml:space="preserve"> is the first PBAC submission for Hadlima 40 mg in 0.4 mL PFS and PFP.</w:t>
      </w:r>
    </w:p>
    <w:p w14:paraId="51C052DB" w14:textId="0CE16EF0" w:rsidR="000041A8" w:rsidRPr="002145C5" w:rsidRDefault="009D7F38" w:rsidP="00F17FBC">
      <w:pPr>
        <w:pStyle w:val="3Bodytext"/>
        <w:jc w:val="both"/>
        <w:rPr>
          <w:i/>
          <w:iCs/>
        </w:rPr>
      </w:pPr>
      <w:r w:rsidRPr="002145C5">
        <w:t xml:space="preserve">The PBAC recommended </w:t>
      </w:r>
      <w:r w:rsidR="00DC0397" w:rsidRPr="002145C5">
        <w:t>Hadlima</w:t>
      </w:r>
      <w:r w:rsidR="007E490F" w:rsidRPr="002145C5">
        <w:t xml:space="preserve"> </w:t>
      </w:r>
      <w:r w:rsidR="00DC0397" w:rsidRPr="002145C5">
        <w:t xml:space="preserve">40 mg in 0.8 mL </w:t>
      </w:r>
      <w:r w:rsidR="00D3341F" w:rsidRPr="002145C5">
        <w:t xml:space="preserve">PFP and PFS </w:t>
      </w:r>
      <w:r w:rsidR="007E490F" w:rsidRPr="002145C5">
        <w:t xml:space="preserve">for </w:t>
      </w:r>
      <w:r w:rsidR="009B7435" w:rsidRPr="002145C5">
        <w:t>rheumatoid arthritis</w:t>
      </w:r>
      <w:r w:rsidR="007E490F" w:rsidRPr="002145C5">
        <w:t xml:space="preserve"> at its </w:t>
      </w:r>
      <w:r w:rsidR="00DE5211" w:rsidRPr="002145C5">
        <w:t>July 2018</w:t>
      </w:r>
      <w:r w:rsidRPr="002145C5">
        <w:t xml:space="preserve"> meeting</w:t>
      </w:r>
      <w:r w:rsidR="00DE5211" w:rsidRPr="002145C5">
        <w:t xml:space="preserve">, </w:t>
      </w:r>
      <w:r w:rsidR="009B7435" w:rsidRPr="002145C5">
        <w:t xml:space="preserve">and </w:t>
      </w:r>
      <w:r w:rsidRPr="002145C5">
        <w:t xml:space="preserve">for its </w:t>
      </w:r>
      <w:r w:rsidR="00A45138" w:rsidRPr="002145C5">
        <w:t>addition</w:t>
      </w:r>
      <w:r w:rsidR="00B0285C" w:rsidRPr="002145C5">
        <w:t>al</w:t>
      </w:r>
      <w:r w:rsidR="00A45138" w:rsidRPr="002145C5">
        <w:t xml:space="preserve"> </w:t>
      </w:r>
      <w:r w:rsidRPr="002145C5">
        <w:t xml:space="preserve">PBS-listed </w:t>
      </w:r>
      <w:r w:rsidR="009B7435" w:rsidRPr="002145C5">
        <w:t>indications</w:t>
      </w:r>
      <w:r w:rsidR="00A45138" w:rsidRPr="002145C5">
        <w:t xml:space="preserve"> </w:t>
      </w:r>
      <w:r w:rsidR="009B7435" w:rsidRPr="002145C5">
        <w:t>at</w:t>
      </w:r>
      <w:r w:rsidR="00A45138" w:rsidRPr="002145C5">
        <w:t xml:space="preserve"> </w:t>
      </w:r>
      <w:r w:rsidRPr="002145C5">
        <w:t>its</w:t>
      </w:r>
      <w:r w:rsidR="009B7435" w:rsidRPr="002145C5">
        <w:t xml:space="preserve"> </w:t>
      </w:r>
      <w:r w:rsidR="00DE5211" w:rsidRPr="002145C5">
        <w:t>July 2020</w:t>
      </w:r>
      <w:r w:rsidR="00E97F28" w:rsidRPr="002145C5">
        <w:t xml:space="preserve"> meeting</w:t>
      </w:r>
      <w:r w:rsidR="007E490F" w:rsidRPr="002145C5">
        <w:t>.</w:t>
      </w:r>
      <w:r w:rsidR="00DE5211" w:rsidRPr="002145C5">
        <w:t xml:space="preserve"> </w:t>
      </w:r>
    </w:p>
    <w:p w14:paraId="1B8790B6" w14:textId="77777777" w:rsidR="00964A9F" w:rsidRPr="002145C5" w:rsidRDefault="00964A9F" w:rsidP="00F17FBC">
      <w:pPr>
        <w:pStyle w:val="2-SectionHeading"/>
        <w:jc w:val="both"/>
      </w:pPr>
      <w:r w:rsidRPr="002145C5">
        <w:t xml:space="preserve">Requested listing </w:t>
      </w:r>
    </w:p>
    <w:p w14:paraId="77E6A776" w14:textId="13B362DE" w:rsidR="004C5D81" w:rsidRPr="002145C5" w:rsidRDefault="00964A9F" w:rsidP="00F17FBC">
      <w:pPr>
        <w:pStyle w:val="3Bodytext"/>
        <w:jc w:val="both"/>
      </w:pPr>
      <w:r w:rsidRPr="002145C5">
        <w:t xml:space="preserve">The submission requested </w:t>
      </w:r>
      <w:r w:rsidR="002E4C24" w:rsidRPr="002145C5">
        <w:t>listing Hadlima 40 mg in 0.4 mL under the same circumstances as the</w:t>
      </w:r>
      <w:r w:rsidR="00A46BB0" w:rsidRPr="002145C5">
        <w:t xml:space="preserve"> </w:t>
      </w:r>
      <w:r w:rsidR="00186C82" w:rsidRPr="002145C5">
        <w:t xml:space="preserve">PBS-listed reference biologic </w:t>
      </w:r>
      <w:r w:rsidR="000637F2" w:rsidRPr="002145C5">
        <w:t>Humira 40 mg in 0.4 mL PFS and PFP.</w:t>
      </w:r>
    </w:p>
    <w:p w14:paraId="14D96937" w14:textId="63E4A8D3" w:rsidR="0087405D" w:rsidRPr="002145C5" w:rsidRDefault="0087405D" w:rsidP="00F17FBC">
      <w:pPr>
        <w:pStyle w:val="3Bodytext"/>
        <w:jc w:val="both"/>
        <w:rPr>
          <w:i/>
        </w:rPr>
      </w:pPr>
      <w:r w:rsidRPr="002145C5">
        <w:t>The submission noted there are currently two brands of adalimumab 40 mg in 0.4</w:t>
      </w:r>
      <w:r w:rsidR="006B4501" w:rsidRPr="002145C5">
        <w:t> </w:t>
      </w:r>
      <w:r w:rsidRPr="002145C5">
        <w:t>mL PFP and PFS listed on the PBS</w:t>
      </w:r>
      <w:r w:rsidR="009D7F38" w:rsidRPr="002145C5">
        <w:t>:</w:t>
      </w:r>
      <w:r w:rsidR="006B4501" w:rsidRPr="002145C5">
        <w:t xml:space="preserve"> </w:t>
      </w:r>
      <w:r w:rsidR="004B340F" w:rsidRPr="002145C5">
        <w:t>Humira and</w:t>
      </w:r>
      <w:r w:rsidR="006B4501" w:rsidRPr="002145C5">
        <w:t xml:space="preserve"> Yuflyma</w:t>
      </w:r>
      <w:r w:rsidRPr="002145C5">
        <w:t>. These are listed for the same indications as Hadlima 40 mg in 0.8 mL</w:t>
      </w:r>
      <w:r w:rsidR="004B3B43" w:rsidRPr="002145C5">
        <w:t>, and by extension applies to all other brands of adalimumab,</w:t>
      </w:r>
      <w:r w:rsidRPr="002145C5">
        <w:t xml:space="preserve"> as noted below</w:t>
      </w:r>
      <w:r w:rsidR="009D7F38" w:rsidRPr="002145C5">
        <w:t>:</w:t>
      </w:r>
      <w:r w:rsidRPr="002145C5">
        <w:t xml:space="preserve"> </w:t>
      </w:r>
    </w:p>
    <w:p w14:paraId="3BE363C5" w14:textId="77777777" w:rsidR="00997E5F" w:rsidRPr="002145C5" w:rsidRDefault="00997E5F" w:rsidP="00F17FBC">
      <w:pPr>
        <w:pStyle w:val="3Bodytext"/>
        <w:numPr>
          <w:ilvl w:val="0"/>
          <w:numId w:val="32"/>
        </w:numPr>
        <w:ind w:left="1080"/>
        <w:jc w:val="both"/>
        <w:rPr>
          <w:iCs/>
        </w:rPr>
      </w:pPr>
      <w:r w:rsidRPr="002145C5">
        <w:rPr>
          <w:iCs/>
        </w:rPr>
        <w:t>Ankylosing spondylitis</w:t>
      </w:r>
    </w:p>
    <w:p w14:paraId="5FA0CE4E" w14:textId="562DA01C" w:rsidR="00997E5F" w:rsidRPr="002145C5" w:rsidRDefault="00997E5F" w:rsidP="00F17FBC">
      <w:pPr>
        <w:pStyle w:val="3Bodytext"/>
        <w:numPr>
          <w:ilvl w:val="0"/>
          <w:numId w:val="32"/>
        </w:numPr>
        <w:ind w:left="1080"/>
        <w:jc w:val="both"/>
        <w:rPr>
          <w:iCs/>
        </w:rPr>
      </w:pPr>
      <w:r w:rsidRPr="002145C5">
        <w:rPr>
          <w:iCs/>
        </w:rPr>
        <w:t>Complex refractory fistulising Crohn disease</w:t>
      </w:r>
    </w:p>
    <w:p w14:paraId="26285325" w14:textId="2F643CDF" w:rsidR="00EC3095" w:rsidRPr="002145C5" w:rsidRDefault="00EC3095" w:rsidP="00F17FBC">
      <w:pPr>
        <w:pStyle w:val="3Bodytext"/>
        <w:numPr>
          <w:ilvl w:val="0"/>
          <w:numId w:val="32"/>
        </w:numPr>
        <w:ind w:left="1080"/>
        <w:jc w:val="both"/>
        <w:rPr>
          <w:iCs/>
        </w:rPr>
      </w:pPr>
      <w:r w:rsidRPr="002145C5">
        <w:rPr>
          <w:iCs/>
        </w:rPr>
        <w:t>Severe Crohn disease</w:t>
      </w:r>
    </w:p>
    <w:p w14:paraId="740A7DBE" w14:textId="77777777" w:rsidR="00EC3095" w:rsidRPr="002145C5" w:rsidRDefault="00EC3095" w:rsidP="00F17FBC">
      <w:pPr>
        <w:pStyle w:val="3Bodytext"/>
        <w:numPr>
          <w:ilvl w:val="0"/>
          <w:numId w:val="32"/>
        </w:numPr>
        <w:ind w:left="1080"/>
        <w:jc w:val="both"/>
        <w:rPr>
          <w:iCs/>
        </w:rPr>
      </w:pPr>
      <w:r w:rsidRPr="002145C5">
        <w:rPr>
          <w:iCs/>
        </w:rPr>
        <w:lastRenderedPageBreak/>
        <w:t>Moderate to severe ulcerative colitis</w:t>
      </w:r>
    </w:p>
    <w:p w14:paraId="3DA789CE" w14:textId="77777777" w:rsidR="00997E5F" w:rsidRPr="002145C5" w:rsidRDefault="00997E5F" w:rsidP="00F17FBC">
      <w:pPr>
        <w:pStyle w:val="3Bodytext"/>
        <w:numPr>
          <w:ilvl w:val="0"/>
          <w:numId w:val="32"/>
        </w:numPr>
        <w:jc w:val="both"/>
        <w:rPr>
          <w:iCs/>
        </w:rPr>
      </w:pPr>
      <w:r w:rsidRPr="002145C5">
        <w:rPr>
          <w:iCs/>
        </w:rPr>
        <w:t>Moderate to severe hidradenitis suppurativa</w:t>
      </w:r>
    </w:p>
    <w:p w14:paraId="5186D0EB" w14:textId="77777777" w:rsidR="00EC3095" w:rsidRPr="002145C5" w:rsidRDefault="00EC3095" w:rsidP="00F17FBC">
      <w:pPr>
        <w:pStyle w:val="3Bodytext"/>
        <w:numPr>
          <w:ilvl w:val="0"/>
          <w:numId w:val="32"/>
        </w:numPr>
        <w:ind w:left="1080"/>
        <w:jc w:val="both"/>
        <w:rPr>
          <w:iCs/>
        </w:rPr>
      </w:pPr>
      <w:r w:rsidRPr="002145C5">
        <w:rPr>
          <w:iCs/>
        </w:rPr>
        <w:t>Severe active juvenile idiopathic arthritis</w:t>
      </w:r>
    </w:p>
    <w:p w14:paraId="577D71AB" w14:textId="77777777" w:rsidR="00EC3095" w:rsidRPr="002145C5" w:rsidRDefault="00EC3095" w:rsidP="00F17FBC">
      <w:pPr>
        <w:pStyle w:val="3Bodytext"/>
        <w:numPr>
          <w:ilvl w:val="0"/>
          <w:numId w:val="32"/>
        </w:numPr>
        <w:ind w:left="1080"/>
        <w:jc w:val="both"/>
        <w:rPr>
          <w:iCs/>
        </w:rPr>
      </w:pPr>
      <w:r w:rsidRPr="002145C5">
        <w:rPr>
          <w:iCs/>
        </w:rPr>
        <w:t>Severe active rheumatoid arthritis</w:t>
      </w:r>
    </w:p>
    <w:p w14:paraId="3157BA18" w14:textId="77777777" w:rsidR="00997E5F" w:rsidRPr="002145C5" w:rsidRDefault="00997E5F" w:rsidP="00F17FBC">
      <w:pPr>
        <w:pStyle w:val="3Bodytext"/>
        <w:numPr>
          <w:ilvl w:val="0"/>
          <w:numId w:val="32"/>
        </w:numPr>
        <w:ind w:left="1080"/>
        <w:jc w:val="both"/>
        <w:rPr>
          <w:iCs/>
        </w:rPr>
      </w:pPr>
      <w:r w:rsidRPr="002145C5">
        <w:rPr>
          <w:iCs/>
        </w:rPr>
        <w:t>Severe chronic plaque psoriasis</w:t>
      </w:r>
    </w:p>
    <w:p w14:paraId="027E97E6" w14:textId="77777777" w:rsidR="00EC3095" w:rsidRPr="002145C5" w:rsidRDefault="00EC3095" w:rsidP="00F17FBC">
      <w:pPr>
        <w:pStyle w:val="3Bodytext"/>
        <w:numPr>
          <w:ilvl w:val="0"/>
          <w:numId w:val="32"/>
        </w:numPr>
        <w:ind w:left="1080"/>
        <w:jc w:val="both"/>
        <w:rPr>
          <w:iCs/>
        </w:rPr>
      </w:pPr>
      <w:r w:rsidRPr="002145C5">
        <w:rPr>
          <w:iCs/>
        </w:rPr>
        <w:t>Severe psoriatic arthritis</w:t>
      </w:r>
    </w:p>
    <w:p w14:paraId="3DBD59F0" w14:textId="24015BEA" w:rsidR="002B02DE" w:rsidRPr="002145C5" w:rsidRDefault="002B02DE" w:rsidP="00285642">
      <w:pPr>
        <w:pStyle w:val="3Bodytext"/>
        <w:jc w:val="both"/>
      </w:pPr>
      <w:r w:rsidRPr="002145C5">
        <w:t xml:space="preserve">The submission requested the same biosimilar uptake drivers for listing Hadlima that </w:t>
      </w:r>
      <w:r w:rsidR="00E3609D" w:rsidRPr="002145C5">
        <w:t xml:space="preserve">were </w:t>
      </w:r>
      <w:r w:rsidRPr="002145C5">
        <w:t>implemented for Yuflyma</w:t>
      </w:r>
      <w:r w:rsidR="00285642" w:rsidRPr="002145C5">
        <w:t>, including an Authority Required (Streamlined) listing of Hadlima for all subsequent continuing treatment restrictions and the application of the ‘Biosimilar prescribing policy’ administrative note encouraging the use of biosimilar brands for treatment naïve patients.</w:t>
      </w:r>
    </w:p>
    <w:p w14:paraId="00094B39" w14:textId="0B91D778" w:rsidR="00BA2507" w:rsidRPr="002145C5" w:rsidRDefault="00BA2507" w:rsidP="00F17FBC">
      <w:pPr>
        <w:pStyle w:val="3Bodytext"/>
        <w:jc w:val="both"/>
      </w:pPr>
      <w:r w:rsidRPr="002145C5">
        <w:t>The submission requested</w:t>
      </w:r>
      <w:r w:rsidR="002B02DE" w:rsidRPr="002145C5">
        <w:t xml:space="preserve"> that Hadlima 40 mg/0.4 mL PFP and adalimumab 40</w:t>
      </w:r>
      <w:r w:rsidR="00D36F02">
        <w:t> </w:t>
      </w:r>
      <w:r w:rsidR="002B02DE" w:rsidRPr="002145C5">
        <w:t>mg/0.8</w:t>
      </w:r>
      <w:r w:rsidR="00D36F02">
        <w:t> </w:t>
      </w:r>
      <w:r w:rsidR="002B02DE" w:rsidRPr="002145C5">
        <w:t>mL PFP are equivalent for the purposes of substitution, and Hadlima 40</w:t>
      </w:r>
      <w:r w:rsidR="00D36F02">
        <w:t> </w:t>
      </w:r>
      <w:r w:rsidR="002B02DE" w:rsidRPr="002145C5">
        <w:t>mg/0.4 mL PFS and adalimumab 40 mg/0.8 mL PFS are equivalent for the purposes of substitution.</w:t>
      </w:r>
    </w:p>
    <w:p w14:paraId="1BBD133E" w14:textId="75C41FEA" w:rsidR="00875383" w:rsidRPr="002145C5" w:rsidRDefault="00B0285C" w:rsidP="00F17FBC">
      <w:pPr>
        <w:pStyle w:val="3Bodytext"/>
        <w:jc w:val="both"/>
      </w:pPr>
      <w:r w:rsidRPr="002145C5">
        <w:t>The requested restrictions are complex due to the number of items and indications required for the listing. If recommended by the PBAC, the implementation of these listings may occur across separate stages. As the submission requested the same restrictions as the reference brand, the full restrictions have not been reproduced here.</w:t>
      </w:r>
      <w:r w:rsidR="00BD47CB" w:rsidRPr="002145C5">
        <w:t xml:space="preserve"> </w:t>
      </w:r>
      <w:r w:rsidR="005C3389" w:rsidRPr="002145C5">
        <w:t xml:space="preserve">An example </w:t>
      </w:r>
      <w:r w:rsidRPr="002145C5">
        <w:t>of the listing follows:</w:t>
      </w:r>
      <w:r w:rsidR="00875383" w:rsidRPr="002145C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1006"/>
        <w:gridCol w:w="950"/>
        <w:gridCol w:w="801"/>
        <w:gridCol w:w="1228"/>
        <w:gridCol w:w="1917"/>
      </w:tblGrid>
      <w:tr w:rsidR="00B0285C" w:rsidRPr="002145C5" w14:paraId="619DAD9C" w14:textId="77777777" w:rsidTr="0083709B">
        <w:trPr>
          <w:cantSplit/>
          <w:trHeight w:val="20"/>
        </w:trPr>
        <w:tc>
          <w:tcPr>
            <w:tcW w:w="1727" w:type="pct"/>
          </w:tcPr>
          <w:p w14:paraId="7A8C0206" w14:textId="77777777" w:rsidR="00B0285C" w:rsidRPr="002145C5" w:rsidRDefault="00B0285C" w:rsidP="0083709B">
            <w:pPr>
              <w:keepNext/>
              <w:spacing w:before="40"/>
              <w:rPr>
                <w:rFonts w:ascii="Arial Narrow" w:eastAsia="Calibri" w:hAnsi="Arial Narrow"/>
                <w:b/>
                <w:bCs/>
                <w:iCs/>
                <w:sz w:val="20"/>
                <w:szCs w:val="20"/>
              </w:rPr>
            </w:pPr>
            <w:bookmarkStart w:id="0" w:name="_Hlk81294680"/>
            <w:r w:rsidRPr="002145C5">
              <w:rPr>
                <w:rFonts w:ascii="Arial Narrow" w:eastAsia="Calibri" w:hAnsi="Arial Narrow"/>
                <w:b/>
                <w:bCs/>
                <w:iCs/>
                <w:sz w:val="20"/>
                <w:szCs w:val="20"/>
              </w:rPr>
              <w:t>Name, restriction, manner of administration, form</w:t>
            </w:r>
          </w:p>
        </w:tc>
        <w:tc>
          <w:tcPr>
            <w:tcW w:w="558" w:type="pct"/>
          </w:tcPr>
          <w:p w14:paraId="68368AA7" w14:textId="77777777" w:rsidR="00B0285C" w:rsidRPr="002145C5" w:rsidRDefault="00B0285C" w:rsidP="0083709B">
            <w:pPr>
              <w:keepNext/>
              <w:spacing w:before="40"/>
              <w:rPr>
                <w:rFonts w:ascii="Arial Narrow" w:eastAsia="Calibri" w:hAnsi="Arial Narrow"/>
                <w:b/>
                <w:bCs/>
                <w:iCs/>
                <w:sz w:val="20"/>
                <w:szCs w:val="20"/>
              </w:rPr>
            </w:pPr>
            <w:r w:rsidRPr="002145C5">
              <w:rPr>
                <w:rFonts w:ascii="Arial Narrow" w:eastAsia="Calibri" w:hAnsi="Arial Narrow"/>
                <w:b/>
                <w:bCs/>
                <w:iCs/>
                <w:sz w:val="20"/>
                <w:szCs w:val="20"/>
              </w:rPr>
              <w:t xml:space="preserve">Max. Qty </w:t>
            </w:r>
          </w:p>
          <w:p w14:paraId="0F7206DB" w14:textId="77777777" w:rsidR="00B0285C" w:rsidRPr="002145C5" w:rsidRDefault="00B0285C" w:rsidP="0083709B">
            <w:pPr>
              <w:keepNext/>
              <w:spacing w:before="40"/>
              <w:rPr>
                <w:rFonts w:ascii="Arial Narrow" w:eastAsia="Calibri" w:hAnsi="Arial Narrow"/>
                <w:b/>
                <w:bCs/>
                <w:iCs/>
                <w:sz w:val="20"/>
                <w:szCs w:val="20"/>
              </w:rPr>
            </w:pPr>
            <w:r w:rsidRPr="002145C5">
              <w:rPr>
                <w:rFonts w:ascii="Arial Narrow" w:eastAsia="Calibri" w:hAnsi="Arial Narrow"/>
                <w:b/>
                <w:bCs/>
                <w:iCs/>
                <w:sz w:val="20"/>
                <w:szCs w:val="20"/>
              </w:rPr>
              <w:t>(packs)</w:t>
            </w:r>
          </w:p>
        </w:tc>
        <w:tc>
          <w:tcPr>
            <w:tcW w:w="527" w:type="pct"/>
          </w:tcPr>
          <w:p w14:paraId="247DBF66" w14:textId="77777777" w:rsidR="00B0285C" w:rsidRPr="002145C5" w:rsidRDefault="00B0285C" w:rsidP="0083709B">
            <w:pPr>
              <w:keepNext/>
              <w:spacing w:before="40"/>
              <w:rPr>
                <w:rFonts w:ascii="Arial Narrow" w:eastAsia="Calibri" w:hAnsi="Arial Narrow"/>
                <w:b/>
                <w:bCs/>
                <w:iCs/>
                <w:sz w:val="20"/>
                <w:szCs w:val="20"/>
              </w:rPr>
            </w:pPr>
            <w:r w:rsidRPr="002145C5">
              <w:rPr>
                <w:rFonts w:ascii="Arial Narrow" w:eastAsia="Calibri" w:hAnsi="Arial Narrow"/>
                <w:b/>
                <w:bCs/>
                <w:iCs/>
                <w:sz w:val="20"/>
                <w:szCs w:val="20"/>
              </w:rPr>
              <w:t>Max. Qty</w:t>
            </w:r>
          </w:p>
          <w:p w14:paraId="07247C9B" w14:textId="77777777" w:rsidR="00B0285C" w:rsidRPr="002145C5" w:rsidRDefault="00B0285C" w:rsidP="0083709B">
            <w:pPr>
              <w:keepNext/>
              <w:spacing w:before="40"/>
              <w:rPr>
                <w:rFonts w:ascii="Arial Narrow" w:eastAsia="Calibri" w:hAnsi="Arial Narrow"/>
                <w:b/>
                <w:bCs/>
                <w:iCs/>
                <w:sz w:val="20"/>
                <w:szCs w:val="20"/>
              </w:rPr>
            </w:pPr>
            <w:r w:rsidRPr="002145C5">
              <w:rPr>
                <w:rFonts w:ascii="Arial Narrow" w:eastAsia="Calibri" w:hAnsi="Arial Narrow"/>
                <w:b/>
                <w:bCs/>
                <w:iCs/>
                <w:sz w:val="20"/>
                <w:szCs w:val="20"/>
              </w:rPr>
              <w:t>(units)</w:t>
            </w:r>
          </w:p>
        </w:tc>
        <w:tc>
          <w:tcPr>
            <w:tcW w:w="444" w:type="pct"/>
          </w:tcPr>
          <w:p w14:paraId="1DCD03E7" w14:textId="77777777" w:rsidR="00B0285C" w:rsidRPr="002145C5" w:rsidRDefault="00B0285C" w:rsidP="0083709B">
            <w:pPr>
              <w:keepNext/>
              <w:spacing w:before="40"/>
              <w:rPr>
                <w:rFonts w:ascii="Arial Narrow" w:eastAsia="Calibri" w:hAnsi="Arial Narrow"/>
                <w:b/>
                <w:bCs/>
                <w:iCs/>
                <w:sz w:val="20"/>
                <w:szCs w:val="20"/>
              </w:rPr>
            </w:pPr>
            <w:r w:rsidRPr="002145C5">
              <w:rPr>
                <w:rFonts w:ascii="Arial Narrow" w:eastAsia="Calibri" w:hAnsi="Arial Narrow"/>
                <w:b/>
                <w:bCs/>
                <w:iCs/>
                <w:sz w:val="20"/>
                <w:szCs w:val="20"/>
              </w:rPr>
              <w:t>No. of repeats</w:t>
            </w:r>
          </w:p>
        </w:tc>
        <w:tc>
          <w:tcPr>
            <w:tcW w:w="681" w:type="pct"/>
          </w:tcPr>
          <w:p w14:paraId="5D1B743B" w14:textId="77777777" w:rsidR="00B0285C" w:rsidRPr="002145C5" w:rsidRDefault="00B0285C" w:rsidP="0083709B">
            <w:pPr>
              <w:keepNext/>
              <w:spacing w:before="40"/>
              <w:rPr>
                <w:rFonts w:ascii="Arial Narrow" w:eastAsia="Calibri" w:hAnsi="Arial Narrow"/>
                <w:b/>
                <w:bCs/>
                <w:iCs/>
                <w:sz w:val="20"/>
                <w:szCs w:val="20"/>
              </w:rPr>
            </w:pPr>
            <w:r w:rsidRPr="002145C5">
              <w:rPr>
                <w:rFonts w:ascii="Arial Narrow" w:eastAsia="Calibri" w:hAnsi="Arial Narrow"/>
                <w:b/>
                <w:bCs/>
                <w:iCs/>
                <w:sz w:val="20"/>
                <w:szCs w:val="20"/>
              </w:rPr>
              <w:t xml:space="preserve">PBS item </w:t>
            </w:r>
          </w:p>
          <w:p w14:paraId="0146E7EF" w14:textId="77777777" w:rsidR="00B0285C" w:rsidRPr="002145C5" w:rsidRDefault="00B0285C" w:rsidP="0083709B">
            <w:pPr>
              <w:keepNext/>
              <w:spacing w:before="40"/>
              <w:rPr>
                <w:rFonts w:ascii="Arial Narrow" w:eastAsia="Calibri" w:hAnsi="Arial Narrow"/>
                <w:b/>
                <w:bCs/>
                <w:iCs/>
                <w:sz w:val="20"/>
                <w:szCs w:val="20"/>
              </w:rPr>
            </w:pPr>
            <w:r w:rsidRPr="002145C5">
              <w:rPr>
                <w:rFonts w:ascii="Arial Narrow" w:eastAsia="Calibri" w:hAnsi="Arial Narrow"/>
                <w:b/>
                <w:bCs/>
                <w:iCs/>
                <w:sz w:val="20"/>
                <w:szCs w:val="20"/>
              </w:rPr>
              <w:t>code</w:t>
            </w:r>
          </w:p>
        </w:tc>
        <w:tc>
          <w:tcPr>
            <w:tcW w:w="1063" w:type="pct"/>
          </w:tcPr>
          <w:p w14:paraId="183C6FE7" w14:textId="77777777" w:rsidR="00B0285C" w:rsidRPr="002145C5" w:rsidRDefault="00B0285C" w:rsidP="0083709B">
            <w:pPr>
              <w:keepNext/>
              <w:spacing w:before="40"/>
              <w:rPr>
                <w:rFonts w:ascii="Arial Narrow" w:eastAsia="Calibri" w:hAnsi="Arial Narrow"/>
                <w:iCs/>
                <w:sz w:val="20"/>
                <w:szCs w:val="20"/>
              </w:rPr>
            </w:pPr>
            <w:r w:rsidRPr="002145C5">
              <w:rPr>
                <w:rFonts w:ascii="Arial Narrow" w:eastAsia="Calibri" w:hAnsi="Arial Narrow"/>
                <w:b/>
                <w:iCs/>
                <w:sz w:val="20"/>
                <w:szCs w:val="20"/>
              </w:rPr>
              <w:t>Proprietary name and manufacturer</w:t>
            </w:r>
          </w:p>
        </w:tc>
      </w:tr>
      <w:tr w:rsidR="00B0285C" w:rsidRPr="002145C5" w14:paraId="4F07B3CD" w14:textId="77777777" w:rsidTr="0083709B">
        <w:trPr>
          <w:cantSplit/>
          <w:trHeight w:val="20"/>
        </w:trPr>
        <w:tc>
          <w:tcPr>
            <w:tcW w:w="1727" w:type="pct"/>
            <w:tcBorders>
              <w:bottom w:val="single" w:sz="4" w:space="0" w:color="auto"/>
            </w:tcBorders>
          </w:tcPr>
          <w:p w14:paraId="791A23F4" w14:textId="77777777" w:rsidR="00B0285C" w:rsidRPr="002145C5" w:rsidRDefault="00B0285C" w:rsidP="0083709B">
            <w:pPr>
              <w:keepNext/>
              <w:rPr>
                <w:rFonts w:ascii="Arial Narrow" w:hAnsi="Arial Narrow" w:cs="Arial"/>
                <w:bCs/>
                <w:iCs/>
                <w:sz w:val="20"/>
                <w:szCs w:val="20"/>
              </w:rPr>
            </w:pPr>
            <w:r w:rsidRPr="002145C5">
              <w:rPr>
                <w:rFonts w:ascii="Arial Narrow" w:hAnsi="Arial Narrow" w:cs="Arial"/>
                <w:bCs/>
                <w:iCs/>
                <w:sz w:val="20"/>
                <w:szCs w:val="20"/>
              </w:rPr>
              <w:t xml:space="preserve">ADALIMUMAB  </w:t>
            </w:r>
          </w:p>
          <w:p w14:paraId="7AE24DE9" w14:textId="77777777" w:rsidR="00B0285C" w:rsidRPr="002145C5" w:rsidRDefault="00B0285C" w:rsidP="0083709B">
            <w:pPr>
              <w:keepNext/>
              <w:spacing w:before="40"/>
              <w:rPr>
                <w:rFonts w:ascii="Arial Narrow" w:hAnsi="Arial Narrow" w:cs="Arial"/>
                <w:bCs/>
                <w:iCs/>
                <w:sz w:val="20"/>
                <w:szCs w:val="20"/>
              </w:rPr>
            </w:pPr>
            <w:r w:rsidRPr="002145C5">
              <w:rPr>
                <w:rFonts w:ascii="Arial Narrow" w:eastAsia="Calibri" w:hAnsi="Arial Narrow"/>
                <w:iCs/>
                <w:sz w:val="20"/>
                <w:szCs w:val="20"/>
              </w:rPr>
              <w:t>adalimumab 40 mg/0.4 mL injection, pre-filled pen</w:t>
            </w:r>
          </w:p>
        </w:tc>
        <w:tc>
          <w:tcPr>
            <w:tcW w:w="558" w:type="pct"/>
            <w:tcBorders>
              <w:top w:val="nil"/>
              <w:bottom w:val="single" w:sz="4" w:space="0" w:color="auto"/>
            </w:tcBorders>
          </w:tcPr>
          <w:p w14:paraId="56D3D0AA" w14:textId="77777777" w:rsidR="00B0285C" w:rsidRPr="002145C5" w:rsidRDefault="00B0285C" w:rsidP="0083709B">
            <w:pPr>
              <w:keepNext/>
              <w:rPr>
                <w:rFonts w:ascii="Arial Narrow" w:hAnsi="Arial Narrow" w:cs="Arial"/>
                <w:bCs/>
                <w:iCs/>
                <w:sz w:val="20"/>
                <w:szCs w:val="20"/>
                <w:vertAlign w:val="superscript"/>
              </w:rPr>
            </w:pPr>
            <w:r w:rsidRPr="002145C5">
              <w:rPr>
                <w:rFonts w:ascii="Arial Narrow" w:hAnsi="Arial Narrow" w:cs="Arial"/>
                <w:bCs/>
                <w:iCs/>
                <w:sz w:val="20"/>
                <w:szCs w:val="20"/>
              </w:rPr>
              <w:t>1</w:t>
            </w:r>
          </w:p>
        </w:tc>
        <w:tc>
          <w:tcPr>
            <w:tcW w:w="527" w:type="pct"/>
            <w:tcBorders>
              <w:top w:val="nil"/>
              <w:bottom w:val="single" w:sz="4" w:space="0" w:color="auto"/>
            </w:tcBorders>
          </w:tcPr>
          <w:p w14:paraId="16F8EEB0" w14:textId="77777777" w:rsidR="00B0285C" w:rsidRPr="002145C5" w:rsidRDefault="00B0285C" w:rsidP="0083709B">
            <w:pPr>
              <w:keepNext/>
              <w:rPr>
                <w:rFonts w:ascii="Arial Narrow" w:hAnsi="Arial Narrow" w:cs="Arial"/>
                <w:bCs/>
                <w:iCs/>
                <w:sz w:val="20"/>
                <w:szCs w:val="20"/>
              </w:rPr>
            </w:pPr>
            <w:r w:rsidRPr="002145C5">
              <w:rPr>
                <w:rFonts w:ascii="Arial Narrow" w:hAnsi="Arial Narrow" w:cs="Arial"/>
                <w:bCs/>
                <w:iCs/>
                <w:sz w:val="20"/>
                <w:szCs w:val="20"/>
              </w:rPr>
              <w:t>2</w:t>
            </w:r>
          </w:p>
        </w:tc>
        <w:tc>
          <w:tcPr>
            <w:tcW w:w="444" w:type="pct"/>
            <w:tcBorders>
              <w:top w:val="nil"/>
              <w:bottom w:val="single" w:sz="4" w:space="0" w:color="auto"/>
            </w:tcBorders>
          </w:tcPr>
          <w:p w14:paraId="66E9A31D" w14:textId="77777777" w:rsidR="00B0285C" w:rsidRPr="002145C5" w:rsidRDefault="00B0285C" w:rsidP="0083709B">
            <w:pPr>
              <w:keepNext/>
              <w:rPr>
                <w:rFonts w:ascii="Arial Narrow" w:hAnsi="Arial Narrow" w:cs="Arial"/>
                <w:bCs/>
                <w:iCs/>
                <w:sz w:val="20"/>
                <w:szCs w:val="20"/>
              </w:rPr>
            </w:pPr>
            <w:r w:rsidRPr="002145C5">
              <w:rPr>
                <w:rFonts w:ascii="Arial Narrow" w:hAnsi="Arial Narrow" w:cs="Arial"/>
                <w:bCs/>
                <w:iCs/>
                <w:sz w:val="20"/>
                <w:szCs w:val="20"/>
              </w:rPr>
              <w:t>2</w:t>
            </w:r>
          </w:p>
        </w:tc>
        <w:tc>
          <w:tcPr>
            <w:tcW w:w="681" w:type="pct"/>
            <w:tcBorders>
              <w:top w:val="nil"/>
              <w:bottom w:val="single" w:sz="4" w:space="0" w:color="auto"/>
            </w:tcBorders>
          </w:tcPr>
          <w:p w14:paraId="2C236CD3" w14:textId="77777777" w:rsidR="00B0285C" w:rsidRPr="002145C5" w:rsidRDefault="00B0285C" w:rsidP="0083709B">
            <w:pPr>
              <w:keepNext/>
              <w:rPr>
                <w:rFonts w:ascii="Arial Narrow" w:hAnsi="Arial Narrow" w:cs="Arial"/>
                <w:bCs/>
                <w:iCs/>
                <w:sz w:val="20"/>
                <w:szCs w:val="20"/>
              </w:rPr>
            </w:pPr>
            <w:r w:rsidRPr="002145C5">
              <w:rPr>
                <w:rFonts w:ascii="Arial Narrow" w:hAnsi="Arial Narrow" w:cs="Arial"/>
                <w:bCs/>
                <w:iCs/>
                <w:sz w:val="20"/>
                <w:szCs w:val="20"/>
              </w:rPr>
              <w:t>12345R</w:t>
            </w:r>
          </w:p>
        </w:tc>
        <w:tc>
          <w:tcPr>
            <w:tcW w:w="1063" w:type="pct"/>
            <w:tcBorders>
              <w:top w:val="nil"/>
              <w:bottom w:val="single" w:sz="4" w:space="0" w:color="auto"/>
            </w:tcBorders>
          </w:tcPr>
          <w:p w14:paraId="66129399" w14:textId="4C8C0FEE" w:rsidR="00B0285C" w:rsidRPr="002145C5" w:rsidRDefault="00EC500A" w:rsidP="0083709B">
            <w:pPr>
              <w:keepNext/>
              <w:rPr>
                <w:rFonts w:ascii="Arial Narrow" w:hAnsi="Arial Narrow" w:cs="Arial"/>
                <w:bCs/>
                <w:iCs/>
                <w:sz w:val="20"/>
                <w:szCs w:val="20"/>
              </w:rPr>
            </w:pPr>
            <w:r w:rsidRPr="002145C5">
              <w:rPr>
                <w:rFonts w:ascii="Arial Narrow" w:hAnsi="Arial Narrow" w:cs="Arial"/>
                <w:bCs/>
                <w:iCs/>
                <w:sz w:val="20"/>
                <w:szCs w:val="20"/>
              </w:rPr>
              <w:t>Hadlima</w:t>
            </w:r>
            <w:r w:rsidR="00B0285C" w:rsidRPr="002145C5">
              <w:rPr>
                <w:rFonts w:ascii="Arial Narrow" w:hAnsi="Arial Narrow" w:cs="Arial"/>
                <w:bCs/>
                <w:iCs/>
                <w:sz w:val="20"/>
                <w:szCs w:val="20"/>
              </w:rPr>
              <w:t xml:space="preserve">® </w:t>
            </w:r>
          </w:p>
          <w:p w14:paraId="71B53037" w14:textId="016B252B" w:rsidR="00B0285C" w:rsidRPr="002145C5" w:rsidRDefault="00EC500A" w:rsidP="0083709B">
            <w:pPr>
              <w:keepNext/>
              <w:rPr>
                <w:rFonts w:ascii="Arial Narrow" w:hAnsi="Arial Narrow" w:cs="Arial"/>
                <w:bCs/>
                <w:iCs/>
                <w:sz w:val="20"/>
                <w:szCs w:val="20"/>
              </w:rPr>
            </w:pPr>
            <w:r w:rsidRPr="002145C5">
              <w:rPr>
                <w:rFonts w:ascii="Arial Narrow" w:hAnsi="Arial Narrow" w:cs="Arial"/>
                <w:bCs/>
                <w:iCs/>
                <w:sz w:val="20"/>
                <w:szCs w:val="20"/>
              </w:rPr>
              <w:t xml:space="preserve">Organon Pharma </w:t>
            </w:r>
            <w:r w:rsidR="00B0285C" w:rsidRPr="002145C5">
              <w:rPr>
                <w:rFonts w:ascii="Arial Narrow" w:hAnsi="Arial Narrow" w:cs="Arial"/>
                <w:bCs/>
                <w:iCs/>
                <w:sz w:val="20"/>
                <w:szCs w:val="20"/>
              </w:rPr>
              <w:t>Pty Ltd</w:t>
            </w:r>
          </w:p>
        </w:tc>
      </w:tr>
      <w:tr w:rsidR="00B0285C" w:rsidRPr="002145C5" w14:paraId="23657C21" w14:textId="77777777" w:rsidTr="0083709B">
        <w:trPr>
          <w:cantSplit/>
          <w:trHeight w:val="20"/>
        </w:trPr>
        <w:tc>
          <w:tcPr>
            <w:tcW w:w="1727" w:type="pct"/>
          </w:tcPr>
          <w:p w14:paraId="7589A932" w14:textId="77777777" w:rsidR="00B0285C" w:rsidRPr="002145C5" w:rsidRDefault="00B0285C" w:rsidP="0083709B">
            <w:pPr>
              <w:keepNext/>
              <w:rPr>
                <w:rFonts w:ascii="Arial Narrow" w:hAnsi="Arial Narrow" w:cs="Arial"/>
                <w:bCs/>
                <w:iCs/>
                <w:sz w:val="20"/>
                <w:szCs w:val="20"/>
              </w:rPr>
            </w:pPr>
            <w:r w:rsidRPr="002145C5">
              <w:rPr>
                <w:rFonts w:ascii="Arial Narrow" w:hAnsi="Arial Narrow" w:cs="Arial"/>
                <w:bCs/>
                <w:iCs/>
                <w:sz w:val="20"/>
                <w:szCs w:val="20"/>
              </w:rPr>
              <w:t xml:space="preserve">ADALIMUMAB  </w:t>
            </w:r>
          </w:p>
          <w:p w14:paraId="3D2CC851" w14:textId="77777777" w:rsidR="00B0285C" w:rsidRPr="002145C5" w:rsidRDefault="00B0285C" w:rsidP="0083709B">
            <w:pPr>
              <w:keepNext/>
              <w:rPr>
                <w:rFonts w:ascii="Arial Narrow" w:hAnsi="Arial Narrow" w:cs="Arial"/>
                <w:bCs/>
                <w:iCs/>
                <w:sz w:val="20"/>
                <w:szCs w:val="20"/>
              </w:rPr>
            </w:pPr>
            <w:r w:rsidRPr="002145C5">
              <w:rPr>
                <w:rFonts w:ascii="Arial Narrow" w:eastAsia="Calibri" w:hAnsi="Arial Narrow"/>
                <w:iCs/>
                <w:sz w:val="20"/>
                <w:szCs w:val="20"/>
              </w:rPr>
              <w:t>adalimumab 40 mg/0.4 mL injection, pre-filled syringe</w:t>
            </w:r>
          </w:p>
        </w:tc>
        <w:tc>
          <w:tcPr>
            <w:tcW w:w="558" w:type="pct"/>
            <w:tcBorders>
              <w:top w:val="single" w:sz="4" w:space="0" w:color="auto"/>
              <w:bottom w:val="single" w:sz="4" w:space="0" w:color="auto"/>
            </w:tcBorders>
          </w:tcPr>
          <w:p w14:paraId="7A0DADA7" w14:textId="77777777" w:rsidR="00B0285C" w:rsidRPr="002145C5" w:rsidRDefault="00B0285C" w:rsidP="0083709B">
            <w:pPr>
              <w:keepNext/>
              <w:rPr>
                <w:rFonts w:ascii="Arial Narrow" w:hAnsi="Arial Narrow" w:cs="Arial"/>
                <w:bCs/>
                <w:iCs/>
                <w:sz w:val="20"/>
                <w:szCs w:val="20"/>
              </w:rPr>
            </w:pPr>
            <w:r w:rsidRPr="002145C5">
              <w:rPr>
                <w:rFonts w:ascii="Arial Narrow" w:hAnsi="Arial Narrow" w:cs="Arial"/>
                <w:bCs/>
                <w:iCs/>
                <w:sz w:val="20"/>
                <w:szCs w:val="20"/>
              </w:rPr>
              <w:t>1</w:t>
            </w:r>
          </w:p>
        </w:tc>
        <w:tc>
          <w:tcPr>
            <w:tcW w:w="527" w:type="pct"/>
            <w:tcBorders>
              <w:top w:val="single" w:sz="4" w:space="0" w:color="auto"/>
              <w:bottom w:val="single" w:sz="4" w:space="0" w:color="auto"/>
            </w:tcBorders>
          </w:tcPr>
          <w:p w14:paraId="79CBE4E3" w14:textId="77777777" w:rsidR="00B0285C" w:rsidRPr="002145C5" w:rsidRDefault="00B0285C" w:rsidP="0083709B">
            <w:pPr>
              <w:keepNext/>
              <w:rPr>
                <w:rFonts w:ascii="Arial Narrow" w:hAnsi="Arial Narrow" w:cs="Arial"/>
                <w:bCs/>
                <w:iCs/>
                <w:sz w:val="20"/>
                <w:szCs w:val="20"/>
              </w:rPr>
            </w:pPr>
            <w:r w:rsidRPr="002145C5">
              <w:rPr>
                <w:rFonts w:ascii="Arial Narrow" w:hAnsi="Arial Narrow" w:cs="Arial"/>
                <w:bCs/>
                <w:iCs/>
                <w:sz w:val="20"/>
                <w:szCs w:val="20"/>
              </w:rPr>
              <w:t>2</w:t>
            </w:r>
          </w:p>
        </w:tc>
        <w:tc>
          <w:tcPr>
            <w:tcW w:w="444" w:type="pct"/>
            <w:tcBorders>
              <w:top w:val="single" w:sz="4" w:space="0" w:color="auto"/>
              <w:bottom w:val="single" w:sz="4" w:space="0" w:color="auto"/>
            </w:tcBorders>
          </w:tcPr>
          <w:p w14:paraId="1E18D72C" w14:textId="77777777" w:rsidR="00B0285C" w:rsidRPr="002145C5" w:rsidRDefault="00B0285C" w:rsidP="0083709B">
            <w:pPr>
              <w:keepNext/>
              <w:rPr>
                <w:rFonts w:ascii="Arial Narrow" w:hAnsi="Arial Narrow" w:cs="Arial"/>
                <w:bCs/>
                <w:iCs/>
                <w:sz w:val="20"/>
                <w:szCs w:val="20"/>
              </w:rPr>
            </w:pPr>
            <w:r w:rsidRPr="002145C5">
              <w:rPr>
                <w:rFonts w:ascii="Arial Narrow" w:hAnsi="Arial Narrow" w:cs="Arial"/>
                <w:bCs/>
                <w:iCs/>
                <w:sz w:val="20"/>
                <w:szCs w:val="20"/>
              </w:rPr>
              <w:t>2</w:t>
            </w:r>
          </w:p>
        </w:tc>
        <w:tc>
          <w:tcPr>
            <w:tcW w:w="681" w:type="pct"/>
            <w:tcBorders>
              <w:top w:val="single" w:sz="4" w:space="0" w:color="auto"/>
              <w:bottom w:val="single" w:sz="4" w:space="0" w:color="auto"/>
            </w:tcBorders>
          </w:tcPr>
          <w:p w14:paraId="3A036C74" w14:textId="77777777" w:rsidR="00B0285C" w:rsidRPr="002145C5" w:rsidRDefault="00B0285C" w:rsidP="0083709B">
            <w:pPr>
              <w:keepNext/>
              <w:rPr>
                <w:rFonts w:ascii="Arial Narrow" w:hAnsi="Arial Narrow" w:cs="Arial"/>
                <w:bCs/>
                <w:iCs/>
                <w:sz w:val="20"/>
                <w:szCs w:val="20"/>
              </w:rPr>
            </w:pPr>
            <w:r w:rsidRPr="002145C5">
              <w:rPr>
                <w:rFonts w:ascii="Arial Narrow" w:hAnsi="Arial Narrow" w:cs="Arial"/>
                <w:bCs/>
                <w:iCs/>
                <w:sz w:val="20"/>
                <w:szCs w:val="20"/>
              </w:rPr>
              <w:t>12338J</w:t>
            </w:r>
          </w:p>
        </w:tc>
        <w:tc>
          <w:tcPr>
            <w:tcW w:w="1063" w:type="pct"/>
            <w:tcBorders>
              <w:top w:val="single" w:sz="4" w:space="0" w:color="auto"/>
              <w:bottom w:val="single" w:sz="4" w:space="0" w:color="auto"/>
            </w:tcBorders>
          </w:tcPr>
          <w:p w14:paraId="02BAA751" w14:textId="77777777" w:rsidR="00EC500A" w:rsidRPr="002145C5" w:rsidRDefault="00EC500A" w:rsidP="0083709B">
            <w:pPr>
              <w:keepNext/>
              <w:rPr>
                <w:rFonts w:ascii="Arial Narrow" w:hAnsi="Arial Narrow" w:cs="Arial"/>
                <w:bCs/>
                <w:iCs/>
                <w:sz w:val="20"/>
                <w:szCs w:val="20"/>
              </w:rPr>
            </w:pPr>
            <w:r w:rsidRPr="002145C5">
              <w:rPr>
                <w:rFonts w:ascii="Arial Narrow" w:hAnsi="Arial Narrow" w:cs="Arial"/>
                <w:bCs/>
                <w:iCs/>
                <w:sz w:val="20"/>
                <w:szCs w:val="20"/>
              </w:rPr>
              <w:t xml:space="preserve">Hadlima® </w:t>
            </w:r>
          </w:p>
          <w:p w14:paraId="1B3034C7" w14:textId="4DB18CB1" w:rsidR="00B0285C" w:rsidRPr="002145C5" w:rsidRDefault="00EC500A" w:rsidP="0083709B">
            <w:pPr>
              <w:keepNext/>
              <w:rPr>
                <w:rFonts w:ascii="Arial Narrow" w:hAnsi="Arial Narrow" w:cs="Arial"/>
                <w:bCs/>
                <w:iCs/>
                <w:sz w:val="20"/>
                <w:szCs w:val="20"/>
              </w:rPr>
            </w:pPr>
            <w:r w:rsidRPr="002145C5">
              <w:rPr>
                <w:rFonts w:ascii="Arial Narrow" w:hAnsi="Arial Narrow" w:cs="Arial"/>
                <w:bCs/>
                <w:iCs/>
                <w:sz w:val="20"/>
                <w:szCs w:val="20"/>
              </w:rPr>
              <w:t>Organon Pharma Pty Ltd</w:t>
            </w:r>
          </w:p>
        </w:tc>
      </w:tr>
    </w:tbl>
    <w:bookmarkEnd w:id="0"/>
    <w:p w14:paraId="2C7CCA50" w14:textId="444B884E" w:rsidR="00B0285C" w:rsidRPr="002145C5" w:rsidRDefault="00B0285C" w:rsidP="004B340F">
      <w:pPr>
        <w:pStyle w:val="TableFooter"/>
        <w:rPr>
          <w:iCs/>
        </w:rPr>
      </w:pPr>
      <w:r w:rsidRPr="002145C5">
        <w:rPr>
          <w:iCs/>
        </w:rPr>
        <w:t>The sponsor has requested the same number of items and indications as Humira 40 mg in 0.4 mL. Maximum quantity packs and units and number of repeats will change to match the item code and indication. The example indication used is “</w:t>
      </w:r>
      <w:r w:rsidRPr="002145C5">
        <w:rPr>
          <w:rFonts w:eastAsiaTheme="minorHAnsi"/>
          <w:iCs/>
        </w:rPr>
        <w:t>Severe Crohn disease</w:t>
      </w:r>
      <w:r w:rsidR="00D865CE" w:rsidRPr="002145C5">
        <w:rPr>
          <w:rFonts w:eastAsiaTheme="minorHAnsi"/>
          <w:iCs/>
        </w:rPr>
        <w:t>;</w:t>
      </w:r>
      <w:r w:rsidRPr="002145C5">
        <w:rPr>
          <w:iCs/>
        </w:rPr>
        <w:t xml:space="preserve"> </w:t>
      </w:r>
      <w:r w:rsidRPr="002145C5">
        <w:rPr>
          <w:rFonts w:eastAsiaTheme="minorHAnsi"/>
          <w:iCs/>
        </w:rPr>
        <w:t>Treatment Phase: Initial treatment - Initial 1 (new patient)</w:t>
      </w:r>
      <w:r w:rsidRPr="002145C5">
        <w:rPr>
          <w:iCs/>
        </w:rPr>
        <w:t>”.</w:t>
      </w:r>
    </w:p>
    <w:p w14:paraId="29A96004" w14:textId="77777777" w:rsidR="00C27C1C" w:rsidRPr="002145C5" w:rsidRDefault="00C27C1C" w:rsidP="00F17FBC">
      <w:pPr>
        <w:pStyle w:val="2-SectionHeading"/>
        <w:jc w:val="both"/>
        <w:rPr>
          <w:iCs/>
          <w:color w:val="FF0000"/>
        </w:rPr>
      </w:pPr>
      <w:r w:rsidRPr="002145C5">
        <w:rPr>
          <w:iCs/>
        </w:rPr>
        <w:t xml:space="preserve">Comparator </w:t>
      </w:r>
    </w:p>
    <w:p w14:paraId="2719EF6C" w14:textId="58027A4A" w:rsidR="00763956" w:rsidRDefault="00C27C1C" w:rsidP="00F17FBC">
      <w:pPr>
        <w:pStyle w:val="3Bodytext"/>
        <w:jc w:val="both"/>
        <w:rPr>
          <w:iCs/>
        </w:rPr>
      </w:pPr>
      <w:r w:rsidRPr="002145C5">
        <w:rPr>
          <w:iCs/>
        </w:rPr>
        <w:t xml:space="preserve">The submission nominated </w:t>
      </w:r>
      <w:r w:rsidR="00D309BB" w:rsidRPr="002145C5">
        <w:rPr>
          <w:iCs/>
        </w:rPr>
        <w:t>the reference brand of adalimumab, Hu</w:t>
      </w:r>
      <w:r w:rsidR="005C3084" w:rsidRPr="002145C5">
        <w:rPr>
          <w:iCs/>
        </w:rPr>
        <w:t>mira,</w:t>
      </w:r>
      <w:r w:rsidR="00EB7210" w:rsidRPr="002145C5">
        <w:rPr>
          <w:iCs/>
        </w:rPr>
        <w:t xml:space="preserve"> </w:t>
      </w:r>
      <w:r w:rsidRPr="002145C5">
        <w:rPr>
          <w:iCs/>
        </w:rPr>
        <w:t>as the main comparator.</w:t>
      </w:r>
      <w:r w:rsidR="006A0E92" w:rsidRPr="002145C5">
        <w:rPr>
          <w:iCs/>
        </w:rPr>
        <w:t xml:space="preserve"> </w:t>
      </w:r>
      <w:r w:rsidR="00EB7210" w:rsidRPr="002145C5">
        <w:rPr>
          <w:iCs/>
        </w:rPr>
        <w:t xml:space="preserve">This </w:t>
      </w:r>
      <w:r w:rsidR="005C3084" w:rsidRPr="002145C5">
        <w:rPr>
          <w:iCs/>
        </w:rPr>
        <w:t>was</w:t>
      </w:r>
      <w:r w:rsidR="00EB7210" w:rsidRPr="002145C5">
        <w:rPr>
          <w:iCs/>
        </w:rPr>
        <w:t xml:space="preserve"> appropriate</w:t>
      </w:r>
      <w:r w:rsidR="006A0E92" w:rsidRPr="002145C5">
        <w:rPr>
          <w:iCs/>
        </w:rPr>
        <w:t xml:space="preserve"> because Humira has previously been accepted as a comparator to other adalimumab biosimilars, such </w:t>
      </w:r>
      <w:r w:rsidR="00213372" w:rsidRPr="002145C5">
        <w:rPr>
          <w:iCs/>
        </w:rPr>
        <w:t>as</w:t>
      </w:r>
      <w:r w:rsidR="006A0E92" w:rsidRPr="002145C5">
        <w:rPr>
          <w:iCs/>
        </w:rPr>
        <w:t xml:space="preserve"> Amgevita</w:t>
      </w:r>
      <w:r w:rsidR="00DD0BC1" w:rsidRPr="002145C5">
        <w:rPr>
          <w:iCs/>
        </w:rPr>
        <w:t xml:space="preserve"> (July 2018</w:t>
      </w:r>
      <w:r w:rsidR="00213372" w:rsidRPr="002145C5">
        <w:rPr>
          <w:iCs/>
        </w:rPr>
        <w:t xml:space="preserve"> </w:t>
      </w:r>
      <w:r w:rsidR="00D865CE" w:rsidRPr="002145C5">
        <w:rPr>
          <w:iCs/>
        </w:rPr>
        <w:t>Public Summary Document (</w:t>
      </w:r>
      <w:r w:rsidR="00C3182F" w:rsidRPr="002145C5">
        <w:rPr>
          <w:iCs/>
        </w:rPr>
        <w:t>PSD</w:t>
      </w:r>
      <w:r w:rsidR="00D865CE" w:rsidRPr="002145C5">
        <w:rPr>
          <w:iCs/>
        </w:rPr>
        <w:t>)</w:t>
      </w:r>
      <w:r w:rsidR="00DD0BC1" w:rsidRPr="002145C5">
        <w:rPr>
          <w:iCs/>
        </w:rPr>
        <w:t>)</w:t>
      </w:r>
      <w:r w:rsidR="006A0E92" w:rsidRPr="002145C5">
        <w:rPr>
          <w:iCs/>
        </w:rPr>
        <w:t xml:space="preserve">, Hyrimoz </w:t>
      </w:r>
      <w:r w:rsidR="00DD0BC1" w:rsidRPr="002145C5">
        <w:rPr>
          <w:iCs/>
        </w:rPr>
        <w:t>(March 2020</w:t>
      </w:r>
      <w:r w:rsidR="00213372" w:rsidRPr="002145C5">
        <w:rPr>
          <w:iCs/>
        </w:rPr>
        <w:t xml:space="preserve"> </w:t>
      </w:r>
      <w:r w:rsidR="00C3182F" w:rsidRPr="002145C5">
        <w:rPr>
          <w:iCs/>
        </w:rPr>
        <w:t>PSD</w:t>
      </w:r>
      <w:r w:rsidR="00DD0BC1" w:rsidRPr="002145C5">
        <w:rPr>
          <w:iCs/>
        </w:rPr>
        <w:t>)</w:t>
      </w:r>
      <w:r w:rsidR="00806B32" w:rsidRPr="002145C5">
        <w:rPr>
          <w:iCs/>
        </w:rPr>
        <w:t xml:space="preserve">, </w:t>
      </w:r>
      <w:r w:rsidR="006A0E92" w:rsidRPr="002145C5">
        <w:rPr>
          <w:iCs/>
        </w:rPr>
        <w:t>Idacio</w:t>
      </w:r>
      <w:r w:rsidR="00DD0BC1" w:rsidRPr="002145C5">
        <w:rPr>
          <w:iCs/>
        </w:rPr>
        <w:t xml:space="preserve"> (November 2020</w:t>
      </w:r>
      <w:r w:rsidR="00213372" w:rsidRPr="002145C5">
        <w:rPr>
          <w:iCs/>
        </w:rPr>
        <w:t xml:space="preserve"> </w:t>
      </w:r>
      <w:r w:rsidR="00C3182F" w:rsidRPr="002145C5">
        <w:rPr>
          <w:iCs/>
        </w:rPr>
        <w:t>PSD</w:t>
      </w:r>
      <w:r w:rsidR="00DD0BC1" w:rsidRPr="002145C5">
        <w:rPr>
          <w:iCs/>
        </w:rPr>
        <w:t>)</w:t>
      </w:r>
      <w:r w:rsidR="00374F8C" w:rsidRPr="002145C5">
        <w:rPr>
          <w:iCs/>
        </w:rPr>
        <w:t>,</w:t>
      </w:r>
      <w:r w:rsidR="00806B32" w:rsidRPr="002145C5">
        <w:rPr>
          <w:iCs/>
        </w:rPr>
        <w:t xml:space="preserve"> Yuflyma (July 2022 PSD)</w:t>
      </w:r>
      <w:r w:rsidR="00374F8C" w:rsidRPr="002145C5">
        <w:rPr>
          <w:iCs/>
        </w:rPr>
        <w:t xml:space="preserve"> and Adalicip (July 2023 PSD)</w:t>
      </w:r>
      <w:r w:rsidR="006A0E92" w:rsidRPr="002145C5">
        <w:rPr>
          <w:iCs/>
        </w:rPr>
        <w:t xml:space="preserve">. </w:t>
      </w:r>
    </w:p>
    <w:p w14:paraId="2603A505" w14:textId="77777777" w:rsidR="00B107C8" w:rsidRPr="002145C5" w:rsidRDefault="00B107C8" w:rsidP="00B107C8">
      <w:pPr>
        <w:pStyle w:val="3Bodytext"/>
        <w:numPr>
          <w:ilvl w:val="0"/>
          <w:numId w:val="0"/>
        </w:numPr>
        <w:ind w:left="720"/>
        <w:jc w:val="both"/>
        <w:rPr>
          <w:iCs/>
        </w:rPr>
      </w:pPr>
    </w:p>
    <w:p w14:paraId="0436B7D8" w14:textId="77777777" w:rsidR="00C27C1C" w:rsidRPr="002145C5" w:rsidRDefault="00C27C1C" w:rsidP="00F17FBC">
      <w:pPr>
        <w:pStyle w:val="Heading1"/>
        <w:keepLines/>
        <w:numPr>
          <w:ilvl w:val="0"/>
          <w:numId w:val="2"/>
        </w:numPr>
        <w:spacing w:before="240"/>
        <w:ind w:left="709" w:hanging="709"/>
        <w:jc w:val="both"/>
        <w:rPr>
          <w:iCs/>
          <w:sz w:val="32"/>
          <w:szCs w:val="32"/>
        </w:rPr>
      </w:pPr>
      <w:r w:rsidRPr="002145C5">
        <w:rPr>
          <w:iCs/>
          <w:sz w:val="32"/>
          <w:szCs w:val="32"/>
        </w:rPr>
        <w:lastRenderedPageBreak/>
        <w:t>Consideration of the evidence</w:t>
      </w:r>
    </w:p>
    <w:p w14:paraId="1FD030C1" w14:textId="39D140AF" w:rsidR="00A14406" w:rsidRPr="002145C5" w:rsidRDefault="00A14406" w:rsidP="004B340F">
      <w:pPr>
        <w:pStyle w:val="4-SubsectionHeading"/>
        <w:keepNext w:val="0"/>
        <w:rPr>
          <w:lang w:eastAsia="en-US"/>
        </w:rPr>
      </w:pPr>
      <w:r w:rsidRPr="002145C5">
        <w:rPr>
          <w:lang w:eastAsia="en-US"/>
        </w:rPr>
        <w:t>Sponsor hearing</w:t>
      </w:r>
    </w:p>
    <w:p w14:paraId="42DF757A" w14:textId="5ADD0062" w:rsidR="00551628" w:rsidRPr="002145C5" w:rsidRDefault="00551628" w:rsidP="004B340F">
      <w:pPr>
        <w:pStyle w:val="3-BodyText"/>
        <w:numPr>
          <w:ilvl w:val="1"/>
          <w:numId w:val="2"/>
        </w:numPr>
        <w:rPr>
          <w:iCs/>
        </w:rPr>
      </w:pPr>
      <w:r w:rsidRPr="002145C5">
        <w:rPr>
          <w:iCs/>
        </w:rPr>
        <w:t>There was no sponsor hearing.</w:t>
      </w:r>
    </w:p>
    <w:p w14:paraId="2BAB4DCC" w14:textId="66F632E2" w:rsidR="00551628" w:rsidRPr="002145C5" w:rsidRDefault="00551628" w:rsidP="004B340F">
      <w:pPr>
        <w:pStyle w:val="4-SubsectionHeading"/>
        <w:rPr>
          <w:lang w:eastAsia="en-US"/>
        </w:rPr>
      </w:pPr>
      <w:r w:rsidRPr="002145C5">
        <w:rPr>
          <w:lang w:eastAsia="en-US"/>
        </w:rPr>
        <w:t>Consumer comments</w:t>
      </w:r>
    </w:p>
    <w:p w14:paraId="06FBCBE1" w14:textId="78E0D030" w:rsidR="00247656" w:rsidRPr="002145C5" w:rsidRDefault="00247656" w:rsidP="00EA5F95">
      <w:pPr>
        <w:pStyle w:val="3Bodytext"/>
        <w:jc w:val="both"/>
        <w:rPr>
          <w:lang w:eastAsia="en-US"/>
        </w:rPr>
      </w:pPr>
      <w:r w:rsidRPr="002145C5">
        <w:rPr>
          <w:snapToGrid w:val="0"/>
        </w:rPr>
        <w:t xml:space="preserve">The PBAC noted and welcomed the input from </w:t>
      </w:r>
      <w:r w:rsidR="004D3558" w:rsidRPr="002145C5">
        <w:rPr>
          <w:snapToGrid w:val="0"/>
        </w:rPr>
        <w:t xml:space="preserve">consumer group/organisation (1) </w:t>
      </w:r>
      <w:r w:rsidR="001C3C73" w:rsidRPr="002145C5">
        <w:rPr>
          <w:lang w:eastAsia="en-US"/>
        </w:rPr>
        <w:t>Crohn’s and Colitis Australia</w:t>
      </w:r>
      <w:r w:rsidR="001C3C73" w:rsidRPr="002145C5">
        <w:rPr>
          <w:snapToGrid w:val="0"/>
        </w:rPr>
        <w:t xml:space="preserve"> </w:t>
      </w:r>
      <w:r w:rsidR="00E35CA8" w:rsidRPr="002145C5">
        <w:rPr>
          <w:snapToGrid w:val="0"/>
        </w:rPr>
        <w:t xml:space="preserve">(CCA) </w:t>
      </w:r>
      <w:r w:rsidRPr="002145C5">
        <w:rPr>
          <w:snapToGrid w:val="0"/>
        </w:rPr>
        <w:t xml:space="preserve">via the Consumer Comments facility on the PBS website. </w:t>
      </w:r>
      <w:r w:rsidR="001C3C73" w:rsidRPr="002145C5">
        <w:rPr>
          <w:lang w:eastAsia="en-US"/>
        </w:rPr>
        <w:t xml:space="preserve">The </w:t>
      </w:r>
      <w:r w:rsidR="004D3558" w:rsidRPr="002145C5">
        <w:rPr>
          <w:lang w:eastAsia="en-US"/>
        </w:rPr>
        <w:t xml:space="preserve">organisation </w:t>
      </w:r>
      <w:r w:rsidR="001C3C73" w:rsidRPr="002145C5">
        <w:rPr>
          <w:lang w:eastAsia="en-US"/>
        </w:rPr>
        <w:t xml:space="preserve">stated </w:t>
      </w:r>
      <w:r w:rsidRPr="002145C5">
        <w:rPr>
          <w:lang w:eastAsia="en-US"/>
        </w:rPr>
        <w:t xml:space="preserve">that </w:t>
      </w:r>
      <w:r w:rsidR="00EA5F95" w:rsidRPr="002145C5">
        <w:rPr>
          <w:lang w:eastAsia="en-US"/>
        </w:rPr>
        <w:t>it</w:t>
      </w:r>
      <w:r w:rsidR="001C3C73" w:rsidRPr="002145C5">
        <w:rPr>
          <w:lang w:eastAsia="en-US"/>
        </w:rPr>
        <w:t xml:space="preserve"> support</w:t>
      </w:r>
      <w:r w:rsidR="004D3558" w:rsidRPr="002145C5">
        <w:rPr>
          <w:lang w:eastAsia="en-US"/>
        </w:rPr>
        <w:t>ed</w:t>
      </w:r>
      <w:r w:rsidR="001C3C73" w:rsidRPr="002145C5">
        <w:rPr>
          <w:lang w:eastAsia="en-US"/>
        </w:rPr>
        <w:t xml:space="preserve"> the listing of Hadlima </w:t>
      </w:r>
      <w:r w:rsidR="00E35CA8" w:rsidRPr="002145C5">
        <w:rPr>
          <w:lang w:eastAsia="en-US"/>
        </w:rPr>
        <w:t>for the treatment of Crohn disease and ulcerative colitis</w:t>
      </w:r>
      <w:r w:rsidR="00EA5F95" w:rsidRPr="002145C5">
        <w:rPr>
          <w:lang w:eastAsia="en-US"/>
        </w:rPr>
        <w:t xml:space="preserve">, in particularly, the 0.4 mL preparation may provide reduced discomfort which is important to those who are resistant to receiving injections both paediatric and adult. Additionally, the CCA </w:t>
      </w:r>
      <w:r w:rsidR="00BA5661" w:rsidRPr="002145C5">
        <w:rPr>
          <w:lang w:eastAsia="en-US"/>
        </w:rPr>
        <w:t xml:space="preserve">noted </w:t>
      </w:r>
      <w:r w:rsidR="00E35CA8" w:rsidRPr="002145C5">
        <w:rPr>
          <w:lang w:eastAsia="en-US"/>
        </w:rPr>
        <w:t xml:space="preserve">that </w:t>
      </w:r>
      <w:r w:rsidR="00007113" w:rsidRPr="002145C5">
        <w:rPr>
          <w:lang w:eastAsia="en-US"/>
        </w:rPr>
        <w:t xml:space="preserve">having </w:t>
      </w:r>
      <w:r w:rsidR="00BA5661" w:rsidRPr="002145C5">
        <w:rPr>
          <w:lang w:eastAsia="en-US"/>
        </w:rPr>
        <w:t xml:space="preserve">biologic/biosimilars </w:t>
      </w:r>
      <w:r w:rsidR="00007113" w:rsidRPr="002145C5">
        <w:rPr>
          <w:lang w:eastAsia="en-US"/>
        </w:rPr>
        <w:t>available</w:t>
      </w:r>
      <w:r w:rsidR="00EA5F95" w:rsidRPr="002145C5">
        <w:rPr>
          <w:lang w:eastAsia="en-US"/>
        </w:rPr>
        <w:t xml:space="preserve"> in this treatment space</w:t>
      </w:r>
      <w:r w:rsidR="00007113" w:rsidRPr="002145C5">
        <w:rPr>
          <w:lang w:eastAsia="en-US"/>
        </w:rPr>
        <w:t xml:space="preserve"> </w:t>
      </w:r>
      <w:r w:rsidR="00E35CA8" w:rsidRPr="002145C5">
        <w:rPr>
          <w:lang w:eastAsia="en-US"/>
        </w:rPr>
        <w:t xml:space="preserve">provides economic and access benefits </w:t>
      </w:r>
      <w:r w:rsidR="001C3C73" w:rsidRPr="002145C5">
        <w:rPr>
          <w:lang w:eastAsia="en-US"/>
        </w:rPr>
        <w:t>to people living with inflammatory bowel disease and/or the community</w:t>
      </w:r>
      <w:r w:rsidR="00BA5661" w:rsidRPr="002145C5">
        <w:rPr>
          <w:lang w:eastAsia="en-US"/>
        </w:rPr>
        <w:t xml:space="preserve">. The </w:t>
      </w:r>
      <w:r w:rsidR="00EA18DB" w:rsidRPr="002145C5">
        <w:rPr>
          <w:lang w:eastAsia="en-US"/>
        </w:rPr>
        <w:t xml:space="preserve">PBAC noted the two patient comments in the CCA input </w:t>
      </w:r>
      <w:r w:rsidR="00BA5661" w:rsidRPr="002145C5">
        <w:rPr>
          <w:lang w:eastAsia="en-US"/>
        </w:rPr>
        <w:t xml:space="preserve">which </w:t>
      </w:r>
      <w:r w:rsidR="003654D9" w:rsidRPr="002145C5">
        <w:rPr>
          <w:lang w:eastAsia="en-US"/>
        </w:rPr>
        <w:t>described the patients’</w:t>
      </w:r>
      <w:r w:rsidR="00EA18DB" w:rsidRPr="002145C5">
        <w:rPr>
          <w:lang w:eastAsia="en-US"/>
        </w:rPr>
        <w:t xml:space="preserve"> </w:t>
      </w:r>
      <w:r w:rsidR="001C3C73" w:rsidRPr="002145C5">
        <w:rPr>
          <w:lang w:eastAsia="en-US"/>
        </w:rPr>
        <w:t>positive experience</w:t>
      </w:r>
      <w:r w:rsidR="00EA18DB" w:rsidRPr="002145C5">
        <w:rPr>
          <w:lang w:eastAsia="en-US"/>
        </w:rPr>
        <w:t xml:space="preserve">s with adalimumab </w:t>
      </w:r>
      <w:r w:rsidR="003654D9" w:rsidRPr="002145C5">
        <w:rPr>
          <w:lang w:eastAsia="en-US"/>
        </w:rPr>
        <w:t>for the treatment of Crohn disease</w:t>
      </w:r>
      <w:r w:rsidR="001C3C73" w:rsidRPr="002145C5">
        <w:rPr>
          <w:lang w:eastAsia="en-US"/>
        </w:rPr>
        <w:t>.</w:t>
      </w:r>
    </w:p>
    <w:p w14:paraId="3F679FE9" w14:textId="74168A9A" w:rsidR="00C27C1C" w:rsidRPr="002145C5" w:rsidRDefault="00C27C1C" w:rsidP="004B340F">
      <w:pPr>
        <w:pStyle w:val="4-SubsectionHeading"/>
        <w:keepNext w:val="0"/>
        <w:rPr>
          <w:lang w:eastAsia="en-US"/>
        </w:rPr>
      </w:pPr>
      <w:r w:rsidRPr="002145C5">
        <w:rPr>
          <w:lang w:eastAsia="en-US"/>
        </w:rPr>
        <w:t xml:space="preserve">Clinical trials </w:t>
      </w:r>
    </w:p>
    <w:p w14:paraId="3915A0B8" w14:textId="187CCACC" w:rsidR="007F1DEF" w:rsidRPr="002145C5" w:rsidRDefault="007F1DEF" w:rsidP="004B340F">
      <w:pPr>
        <w:pStyle w:val="3-BodyText"/>
        <w:numPr>
          <w:ilvl w:val="1"/>
          <w:numId w:val="2"/>
        </w:numPr>
        <w:rPr>
          <w:iCs/>
        </w:rPr>
      </w:pPr>
      <w:bookmarkStart w:id="1" w:name="_Hlk86163265"/>
      <w:r w:rsidRPr="002145C5">
        <w:rPr>
          <w:iCs/>
        </w:rPr>
        <w:t>The submission presented the following clinical studies.</w:t>
      </w:r>
      <w:r w:rsidR="005E5651" w:rsidRPr="002145C5">
        <w:rPr>
          <w:iCs/>
        </w:rPr>
        <w:t xml:space="preserve"> Th</w:t>
      </w:r>
      <w:r w:rsidR="00ED2319" w:rsidRPr="002145C5">
        <w:rPr>
          <w:iCs/>
        </w:rPr>
        <w:t>e</w:t>
      </w:r>
      <w:r w:rsidR="005E5651" w:rsidRPr="002145C5">
        <w:rPr>
          <w:iCs/>
        </w:rPr>
        <w:t xml:space="preserve"> Phase I clinical study demonstrat</w:t>
      </w:r>
      <w:r w:rsidR="00B81F1E" w:rsidRPr="002145C5">
        <w:rPr>
          <w:iCs/>
        </w:rPr>
        <w:t>ed</w:t>
      </w:r>
      <w:r w:rsidR="005E5651" w:rsidRPr="002145C5">
        <w:rPr>
          <w:iCs/>
        </w:rPr>
        <w:t xml:space="preserve"> the pharmacokinetic comparability of Hadlima 40 mg in 0.4 mL with Hadlima 40 mg in 0.8 mL.</w:t>
      </w:r>
      <w:r w:rsidRPr="002145C5">
        <w:rPr>
          <w:iCs/>
        </w:rPr>
        <w:t xml:space="preserve"> As a Category 4 submission, </w:t>
      </w:r>
      <w:r w:rsidRPr="002145C5">
        <w:rPr>
          <w:iCs/>
          <w:lang w:eastAsia="en-US"/>
        </w:rPr>
        <w:t>no evaluation of the clinical evidence was undertaken</w:t>
      </w:r>
      <w:r w:rsidRPr="002145C5">
        <w:rPr>
          <w:iCs/>
        </w:rPr>
        <w:t>.</w:t>
      </w:r>
    </w:p>
    <w:p w14:paraId="44E27383" w14:textId="77777777" w:rsidR="007F1DEF" w:rsidRPr="002145C5" w:rsidRDefault="007F1DEF" w:rsidP="00F17FBC">
      <w:pPr>
        <w:pStyle w:val="TableFigureHeading"/>
        <w:keepLines/>
        <w:jc w:val="both"/>
      </w:pPr>
      <w:r w:rsidRPr="002145C5">
        <w:t>Table 1: Studies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 Studies and associated reports presented in the submission"/>
      </w:tblPr>
      <w:tblGrid>
        <w:gridCol w:w="1434"/>
        <w:gridCol w:w="5054"/>
        <w:gridCol w:w="2528"/>
      </w:tblGrid>
      <w:tr w:rsidR="007F1DEF" w:rsidRPr="002145C5" w14:paraId="48AC09A7" w14:textId="77777777" w:rsidTr="0012162B">
        <w:trPr>
          <w:cantSplit/>
          <w:tblHeader/>
        </w:trPr>
        <w:tc>
          <w:tcPr>
            <w:tcW w:w="795" w:type="pct"/>
            <w:vAlign w:val="center"/>
          </w:tcPr>
          <w:p w14:paraId="3E76362E" w14:textId="77777777" w:rsidR="007F1DEF" w:rsidRPr="00373A37" w:rsidRDefault="007F1DEF" w:rsidP="00F17FBC">
            <w:pPr>
              <w:pStyle w:val="In-tableHeading"/>
              <w:jc w:val="both"/>
              <w:rPr>
                <w:lang w:val="en-AU"/>
              </w:rPr>
            </w:pPr>
            <w:r w:rsidRPr="00373A37">
              <w:rPr>
                <w:lang w:val="en-AU"/>
              </w:rPr>
              <w:t>Study ID</w:t>
            </w:r>
          </w:p>
        </w:tc>
        <w:tc>
          <w:tcPr>
            <w:tcW w:w="2803" w:type="pct"/>
            <w:vAlign w:val="center"/>
          </w:tcPr>
          <w:p w14:paraId="58094CBD" w14:textId="77777777" w:rsidR="007F1DEF" w:rsidRPr="00373A37" w:rsidRDefault="007F1DEF" w:rsidP="00F17FBC">
            <w:pPr>
              <w:pStyle w:val="In-tableHeading"/>
              <w:jc w:val="both"/>
              <w:rPr>
                <w:lang w:val="en-AU"/>
              </w:rPr>
            </w:pPr>
            <w:r w:rsidRPr="00373A37">
              <w:rPr>
                <w:lang w:val="en-AU"/>
              </w:rPr>
              <w:t>Protocol title/ Publication title</w:t>
            </w:r>
          </w:p>
        </w:tc>
        <w:tc>
          <w:tcPr>
            <w:tcW w:w="1402" w:type="pct"/>
            <w:vAlign w:val="center"/>
          </w:tcPr>
          <w:p w14:paraId="77D1DA2E" w14:textId="77777777" w:rsidR="007F1DEF" w:rsidRPr="00373A37" w:rsidRDefault="007F1DEF" w:rsidP="00F17FBC">
            <w:pPr>
              <w:pStyle w:val="In-tableHeading"/>
              <w:jc w:val="both"/>
              <w:rPr>
                <w:lang w:val="en-AU"/>
              </w:rPr>
            </w:pPr>
            <w:r w:rsidRPr="00373A37">
              <w:rPr>
                <w:lang w:val="en-AU"/>
              </w:rPr>
              <w:t>Publication citation</w:t>
            </w:r>
          </w:p>
        </w:tc>
      </w:tr>
      <w:tr w:rsidR="007F1DEF" w:rsidRPr="002145C5" w14:paraId="65AEE1D4" w14:textId="77777777" w:rsidTr="0012162B">
        <w:trPr>
          <w:cantSplit/>
        </w:trPr>
        <w:tc>
          <w:tcPr>
            <w:tcW w:w="795" w:type="pct"/>
            <w:vMerge w:val="restart"/>
            <w:vAlign w:val="center"/>
          </w:tcPr>
          <w:p w14:paraId="0AFB17B9" w14:textId="77777777" w:rsidR="007F1DEF" w:rsidRPr="002145C5" w:rsidRDefault="007F1DEF" w:rsidP="00F17FBC">
            <w:pPr>
              <w:pStyle w:val="TableText0"/>
              <w:jc w:val="both"/>
            </w:pPr>
            <w:r w:rsidRPr="002145C5">
              <w:t>SB5-1003</w:t>
            </w:r>
          </w:p>
        </w:tc>
        <w:tc>
          <w:tcPr>
            <w:tcW w:w="2803" w:type="pct"/>
            <w:tcBorders>
              <w:bottom w:val="nil"/>
            </w:tcBorders>
            <w:vAlign w:val="center"/>
          </w:tcPr>
          <w:p w14:paraId="5DC9D5B1" w14:textId="77777777" w:rsidR="007F1DEF" w:rsidRPr="002145C5" w:rsidRDefault="007F1DEF" w:rsidP="00F17FBC">
            <w:pPr>
              <w:pStyle w:val="TableText0"/>
              <w:jc w:val="both"/>
              <w:rPr>
                <w:rFonts w:ascii="Times" w:hAnsi="Times"/>
              </w:rPr>
            </w:pPr>
            <w:r w:rsidRPr="002145C5">
              <w:t>Therapeutic equivalence (and bioequivalence) between HADLIMA® 40 mg/0.4 mL and HADLIMA® 40 mg/0.8 mL</w:t>
            </w:r>
          </w:p>
        </w:tc>
        <w:tc>
          <w:tcPr>
            <w:tcW w:w="1402" w:type="pct"/>
            <w:tcBorders>
              <w:bottom w:val="nil"/>
            </w:tcBorders>
            <w:vAlign w:val="center"/>
          </w:tcPr>
          <w:p w14:paraId="2317DE10" w14:textId="77777777" w:rsidR="007F1DEF" w:rsidRPr="002145C5" w:rsidRDefault="007F1DEF" w:rsidP="00F17FBC">
            <w:pPr>
              <w:pStyle w:val="TableText0"/>
              <w:jc w:val="both"/>
            </w:pPr>
            <w:r w:rsidRPr="002145C5">
              <w:t>August 2022</w:t>
            </w:r>
          </w:p>
        </w:tc>
      </w:tr>
      <w:tr w:rsidR="007F1DEF" w:rsidRPr="002145C5" w14:paraId="60D920D5" w14:textId="77777777" w:rsidTr="0012162B">
        <w:trPr>
          <w:cantSplit/>
        </w:trPr>
        <w:tc>
          <w:tcPr>
            <w:tcW w:w="795" w:type="pct"/>
            <w:vMerge/>
            <w:tcBorders>
              <w:bottom w:val="single" w:sz="4" w:space="0" w:color="auto"/>
            </w:tcBorders>
            <w:vAlign w:val="center"/>
          </w:tcPr>
          <w:p w14:paraId="011A6FF1" w14:textId="77777777" w:rsidR="007F1DEF" w:rsidRPr="002145C5" w:rsidRDefault="007F1DEF" w:rsidP="004B340F">
            <w:pPr>
              <w:pStyle w:val="Tabletext"/>
              <w:keepNext/>
              <w:keepLines/>
            </w:pPr>
          </w:p>
        </w:tc>
        <w:tc>
          <w:tcPr>
            <w:tcW w:w="2803" w:type="pct"/>
            <w:tcBorders>
              <w:top w:val="nil"/>
              <w:bottom w:val="single" w:sz="4" w:space="0" w:color="auto"/>
            </w:tcBorders>
            <w:vAlign w:val="center"/>
          </w:tcPr>
          <w:p w14:paraId="6E450F92" w14:textId="77777777" w:rsidR="007F1DEF" w:rsidRPr="002145C5" w:rsidRDefault="007F1DEF" w:rsidP="00F17FBC">
            <w:pPr>
              <w:pStyle w:val="TableText0"/>
              <w:jc w:val="both"/>
            </w:pPr>
            <w:r w:rsidRPr="002145C5">
              <w:t>Ahn SS, Lee M, Baek Y, Lee S. A Randomized Pharmacokinetic Study in Healthy Male Subjects Comparing a High-concentration, Citrate-free SB5 Formulation (40 mg/0.4 ml) and Prior SB5 (Adalimumab Biosimilar).</w:t>
            </w:r>
          </w:p>
        </w:tc>
        <w:tc>
          <w:tcPr>
            <w:tcW w:w="1402" w:type="pct"/>
            <w:tcBorders>
              <w:top w:val="nil"/>
              <w:bottom w:val="single" w:sz="4" w:space="0" w:color="auto"/>
            </w:tcBorders>
            <w:vAlign w:val="center"/>
          </w:tcPr>
          <w:p w14:paraId="6A733585" w14:textId="77777777" w:rsidR="007F1DEF" w:rsidRPr="002145C5" w:rsidRDefault="007F1DEF" w:rsidP="00F17FBC">
            <w:pPr>
              <w:pStyle w:val="TableText0"/>
              <w:jc w:val="both"/>
            </w:pPr>
            <w:r w:rsidRPr="002145C5">
              <w:rPr>
                <w:i/>
                <w:iCs/>
              </w:rPr>
              <w:t>Rheumatol Ther.</w:t>
            </w:r>
            <w:r w:rsidRPr="002145C5">
              <w:t xml:space="preserve"> 2022 Aug;9(4):1157-1169.</w:t>
            </w:r>
          </w:p>
        </w:tc>
      </w:tr>
    </w:tbl>
    <w:p w14:paraId="23265177" w14:textId="6C40E656" w:rsidR="007F1DEF" w:rsidRDefault="00216C5B" w:rsidP="00F17FBC">
      <w:pPr>
        <w:pStyle w:val="2-SectionHeading"/>
        <w:numPr>
          <w:ilvl w:val="0"/>
          <w:numId w:val="0"/>
        </w:numPr>
        <w:spacing w:before="0" w:after="0"/>
        <w:jc w:val="both"/>
        <w:outlineLvl w:val="9"/>
        <w:rPr>
          <w:rFonts w:ascii="Arial Narrow" w:hAnsi="Arial Narrow"/>
          <w:b w:val="0"/>
          <w:sz w:val="18"/>
          <w:szCs w:val="22"/>
          <w:lang w:eastAsia="en-US"/>
        </w:rPr>
      </w:pPr>
      <w:r>
        <w:rPr>
          <w:rFonts w:ascii="Arial Narrow" w:hAnsi="Arial Narrow"/>
          <w:b w:val="0"/>
          <w:sz w:val="18"/>
          <w:szCs w:val="22"/>
          <w:lang w:eastAsia="en-US"/>
        </w:rPr>
        <w:t>Source: Submission main body</w:t>
      </w:r>
    </w:p>
    <w:p w14:paraId="4D619B17" w14:textId="77777777" w:rsidR="00216C5B" w:rsidRPr="002145C5" w:rsidRDefault="00216C5B" w:rsidP="00F17FBC">
      <w:pPr>
        <w:pStyle w:val="2-SectionHeading"/>
        <w:numPr>
          <w:ilvl w:val="0"/>
          <w:numId w:val="0"/>
        </w:numPr>
        <w:spacing w:before="0" w:after="0"/>
        <w:jc w:val="both"/>
        <w:outlineLvl w:val="9"/>
        <w:rPr>
          <w:rFonts w:ascii="Arial Narrow" w:hAnsi="Arial Narrow"/>
          <w:b w:val="0"/>
          <w:sz w:val="18"/>
          <w:szCs w:val="22"/>
          <w:lang w:eastAsia="en-US"/>
        </w:rPr>
      </w:pPr>
    </w:p>
    <w:p w14:paraId="4A3CE3BB" w14:textId="067CAF02" w:rsidR="00B6533B" w:rsidRPr="002145C5" w:rsidRDefault="00CB5472" w:rsidP="00F17FBC">
      <w:pPr>
        <w:pStyle w:val="3Bodytext"/>
        <w:jc w:val="both"/>
      </w:pPr>
      <w:r w:rsidRPr="002145C5">
        <w:t xml:space="preserve">The </w:t>
      </w:r>
      <w:r w:rsidR="009C4132" w:rsidRPr="002145C5">
        <w:t xml:space="preserve">submission </w:t>
      </w:r>
      <w:r w:rsidRPr="002145C5">
        <w:t>noted the c</w:t>
      </w:r>
      <w:r w:rsidR="00984FB9" w:rsidRPr="002145C5">
        <w:t>linical evidence presented align</w:t>
      </w:r>
      <w:r w:rsidRPr="002145C5">
        <w:t>ed</w:t>
      </w:r>
      <w:r w:rsidR="00984FB9" w:rsidRPr="002145C5">
        <w:t xml:space="preserve"> with the evidence presented to the TGA to inform their outcome of bioequivalence.</w:t>
      </w:r>
      <w:r w:rsidR="005E5651" w:rsidRPr="002145C5">
        <w:t xml:space="preserve"> The submission noted the TGA previously approved the therapeutic equivalence (and bioequivalence) of Hadlima 40 mg in 0.8 mL to the reference product Humira 40 mg in 0.8 mL. The submission therefore concluded that Hadlima 40 mg in 0.4 mL is by extension therapeutically equivalent to Humira 40 mg in 0.4 mL.</w:t>
      </w:r>
      <w:r w:rsidR="00A34037" w:rsidRPr="002145C5">
        <w:t xml:space="preserve"> The evaluation noted the product information for Hadlima noted that Hadlima is a biosimilar medicine to Humira (p1, Hadlima Product Information).</w:t>
      </w:r>
    </w:p>
    <w:bookmarkEnd w:id="1"/>
    <w:p w14:paraId="60A39F89" w14:textId="2B29A1F9" w:rsidR="00D87E3B" w:rsidRPr="002145C5" w:rsidRDefault="00C27C1C" w:rsidP="004B340F">
      <w:pPr>
        <w:pStyle w:val="4-SubsectionHeading"/>
        <w:rPr>
          <w:iCs/>
          <w:lang w:eastAsia="en-US"/>
        </w:rPr>
      </w:pPr>
      <w:r w:rsidRPr="002145C5">
        <w:rPr>
          <w:iCs/>
          <w:lang w:eastAsia="en-US"/>
        </w:rPr>
        <w:lastRenderedPageBreak/>
        <w:t>Clinical claim</w:t>
      </w:r>
    </w:p>
    <w:p w14:paraId="0436CFE0" w14:textId="2C028A05" w:rsidR="00C27C1C" w:rsidRPr="002145C5" w:rsidRDefault="00C27C1C" w:rsidP="00F17FBC">
      <w:pPr>
        <w:pStyle w:val="3Bodytext"/>
        <w:jc w:val="both"/>
      </w:pPr>
      <w:r w:rsidRPr="002145C5">
        <w:t xml:space="preserve">The submission claimed non-inferior comparative effectiveness and non-inferior comparative safety of </w:t>
      </w:r>
      <w:r w:rsidR="003704A3" w:rsidRPr="002145C5">
        <w:t>Hadlima 40 mg/0.4 mL</w:t>
      </w:r>
      <w:r w:rsidRPr="002145C5">
        <w:t xml:space="preserve"> compared with </w:t>
      </w:r>
      <w:r w:rsidR="003704A3" w:rsidRPr="002145C5">
        <w:t>Humira 40 mg/0.4</w:t>
      </w:r>
      <w:r w:rsidR="00560265" w:rsidRPr="002145C5">
        <w:t xml:space="preserve"> mL</w:t>
      </w:r>
      <w:r w:rsidRPr="002145C5">
        <w:t xml:space="preserve">. </w:t>
      </w:r>
      <w:r w:rsidR="00061742" w:rsidRPr="002145C5">
        <w:t>This was appropriate.</w:t>
      </w:r>
    </w:p>
    <w:p w14:paraId="57315343" w14:textId="52C47C88" w:rsidR="005C3CE4" w:rsidRPr="002145C5" w:rsidRDefault="005C3CE4" w:rsidP="004B340F">
      <w:pPr>
        <w:widowControl w:val="0"/>
        <w:numPr>
          <w:ilvl w:val="1"/>
          <w:numId w:val="2"/>
        </w:numPr>
        <w:spacing w:after="120"/>
        <w:rPr>
          <w:rFonts w:asciiTheme="minorHAnsi" w:hAnsiTheme="minorHAnsi" w:cs="Arial"/>
          <w:snapToGrid w:val="0"/>
          <w:szCs w:val="20"/>
        </w:rPr>
      </w:pPr>
      <w:bookmarkStart w:id="2" w:name="_Hlk76376200"/>
      <w:r w:rsidRPr="002145C5">
        <w:rPr>
          <w:rFonts w:asciiTheme="minorHAnsi" w:hAnsiTheme="minorHAnsi" w:cs="Arial"/>
          <w:iCs/>
          <w:snapToGrid w:val="0"/>
        </w:rPr>
        <w:t>The</w:t>
      </w:r>
      <w:r w:rsidRPr="002145C5">
        <w:rPr>
          <w:rFonts w:asciiTheme="minorHAnsi" w:hAnsiTheme="minorHAnsi" w:cs="Arial"/>
          <w:snapToGrid w:val="0"/>
          <w:szCs w:val="20"/>
        </w:rPr>
        <w:t xml:space="preserve"> PBAC considered that the claim of non-inferior comparative effectiveness was reasonable.</w:t>
      </w:r>
    </w:p>
    <w:p w14:paraId="7875B86E" w14:textId="45F7E978" w:rsidR="005C3CE4" w:rsidRPr="002145C5" w:rsidRDefault="005C3CE4" w:rsidP="004B340F">
      <w:pPr>
        <w:widowControl w:val="0"/>
        <w:numPr>
          <w:ilvl w:val="1"/>
          <w:numId w:val="2"/>
        </w:numPr>
        <w:spacing w:after="120"/>
        <w:rPr>
          <w:rFonts w:asciiTheme="minorHAnsi" w:hAnsiTheme="minorHAnsi" w:cs="Arial"/>
          <w:snapToGrid w:val="0"/>
          <w:szCs w:val="20"/>
        </w:rPr>
      </w:pPr>
      <w:r w:rsidRPr="002145C5">
        <w:rPr>
          <w:rFonts w:asciiTheme="minorHAnsi" w:hAnsiTheme="minorHAnsi" w:cs="Arial"/>
          <w:snapToGrid w:val="0"/>
          <w:szCs w:val="20"/>
        </w:rPr>
        <w:t>The PBAC considered that the claim of non-inferior comparative safety was reasonable.</w:t>
      </w:r>
      <w:bookmarkEnd w:id="2"/>
    </w:p>
    <w:p w14:paraId="45D181E4" w14:textId="77777777" w:rsidR="00C27C1C" w:rsidRPr="002145C5" w:rsidRDefault="00C27C1C" w:rsidP="004B340F">
      <w:pPr>
        <w:pStyle w:val="4-SubsectionHeading"/>
        <w:rPr>
          <w:iCs/>
          <w:lang w:eastAsia="en-US"/>
        </w:rPr>
      </w:pPr>
      <w:r w:rsidRPr="002145C5">
        <w:rPr>
          <w:iCs/>
          <w:lang w:eastAsia="en-US"/>
        </w:rPr>
        <w:t xml:space="preserve">Economic analysis </w:t>
      </w:r>
    </w:p>
    <w:p w14:paraId="58CC4668" w14:textId="2A95B86A" w:rsidR="004A3443" w:rsidRPr="002145C5" w:rsidRDefault="004A3443" w:rsidP="00F17FBC">
      <w:pPr>
        <w:pStyle w:val="3Bodytext"/>
        <w:jc w:val="both"/>
      </w:pPr>
      <w:r w:rsidRPr="002145C5">
        <w:t xml:space="preserve">The submission did not present an economic analysis as it was a Category 4 submission. The submission </w:t>
      </w:r>
      <w:r w:rsidR="00A34037" w:rsidRPr="002145C5">
        <w:t xml:space="preserve">requested </w:t>
      </w:r>
      <w:r w:rsidRPr="002145C5">
        <w:t>the same AEMP for Hadlima a</w:t>
      </w:r>
      <w:r w:rsidR="00CB582A" w:rsidRPr="002145C5">
        <w:t>s the existing adalimumab 40 mg in 0.4 mL formulations listed on the PBS.</w:t>
      </w:r>
    </w:p>
    <w:p w14:paraId="4A6531F2" w14:textId="24CE0DE7" w:rsidR="00B81F1E" w:rsidRPr="002145C5" w:rsidRDefault="00A34037" w:rsidP="00F17FBC">
      <w:pPr>
        <w:pStyle w:val="3Bodytext"/>
        <w:jc w:val="both"/>
        <w:rPr>
          <w:lang w:eastAsia="en-US"/>
        </w:rPr>
      </w:pPr>
      <w:r w:rsidRPr="002145C5">
        <w:t>The submission did not propose an equi-effective dose. The PBAC previously advised</w:t>
      </w:r>
      <w:r w:rsidR="004C14FF" w:rsidRPr="002145C5">
        <w:t xml:space="preserve"> 1 mg of Adalicip = 1 mg of Humira and all other biosimilar brands and formulations of adalimumab</w:t>
      </w:r>
      <w:r w:rsidR="009A2EBB" w:rsidRPr="002145C5">
        <w:t xml:space="preserve"> (</w:t>
      </w:r>
      <w:r w:rsidR="00EF2154" w:rsidRPr="002145C5">
        <w:t xml:space="preserve">paragraph 6.3, </w:t>
      </w:r>
      <w:r w:rsidR="009A2EBB" w:rsidRPr="002145C5">
        <w:t>adalimumab Ardalicip</w:t>
      </w:r>
      <w:r w:rsidR="00EF2154" w:rsidRPr="002145C5">
        <w:t xml:space="preserve"> PSD</w:t>
      </w:r>
      <w:r w:rsidR="009A2EBB" w:rsidRPr="002145C5">
        <w:t>, July 2023)</w:t>
      </w:r>
      <w:r w:rsidR="004C14FF" w:rsidRPr="002145C5">
        <w:t>.</w:t>
      </w:r>
    </w:p>
    <w:p w14:paraId="5EB16602" w14:textId="3B9125D5" w:rsidR="00D70349" w:rsidRPr="002145C5" w:rsidRDefault="00D70349" w:rsidP="004B340F">
      <w:pPr>
        <w:pStyle w:val="4-SubsectionHeading"/>
        <w:rPr>
          <w:lang w:eastAsia="en-US"/>
        </w:rPr>
      </w:pPr>
      <w:r w:rsidRPr="002145C5">
        <w:rPr>
          <w:lang w:eastAsia="en-US"/>
        </w:rPr>
        <w:t xml:space="preserve">Estimated PBS </w:t>
      </w:r>
      <w:r w:rsidR="00276BE3" w:rsidRPr="002145C5">
        <w:rPr>
          <w:lang w:eastAsia="en-US"/>
        </w:rPr>
        <w:t>usage</w:t>
      </w:r>
      <w:r w:rsidRPr="002145C5">
        <w:rPr>
          <w:lang w:eastAsia="en-US"/>
        </w:rPr>
        <w:t xml:space="preserve"> and financial implications</w:t>
      </w:r>
    </w:p>
    <w:p w14:paraId="4FC52D34" w14:textId="6462E85F" w:rsidR="00201FB8" w:rsidRPr="002145C5" w:rsidRDefault="002F6C5A" w:rsidP="00F17FBC">
      <w:pPr>
        <w:pStyle w:val="3Bodytext"/>
        <w:jc w:val="both"/>
        <w:rPr>
          <w:i/>
          <w:iCs/>
        </w:rPr>
      </w:pPr>
      <w:r w:rsidRPr="002145C5">
        <w:t xml:space="preserve">The submission stated that the listing of Hadlima </w:t>
      </w:r>
      <w:r w:rsidR="00C1614F" w:rsidRPr="002145C5">
        <w:t xml:space="preserve">40 mg in 0.4 mL is </w:t>
      </w:r>
      <w:r w:rsidRPr="002145C5">
        <w:t xml:space="preserve">not </w:t>
      </w:r>
      <w:r w:rsidR="00C1614F" w:rsidRPr="002145C5">
        <w:t xml:space="preserve">expected to </w:t>
      </w:r>
      <w:r w:rsidRPr="002145C5">
        <w:t xml:space="preserve">increase the </w:t>
      </w:r>
      <w:r w:rsidR="00C1614F" w:rsidRPr="002145C5">
        <w:t>market nor is the duration of treatment with Hadlima expected to change</w:t>
      </w:r>
      <w:r w:rsidR="00D85AB5" w:rsidRPr="002145C5">
        <w:t xml:space="preserve">. Additionally, </w:t>
      </w:r>
      <w:r w:rsidR="00C1614F" w:rsidRPr="002145C5">
        <w:t>the same price is being request</w:t>
      </w:r>
      <w:r w:rsidR="00D85AB5" w:rsidRPr="002145C5">
        <w:t>ed</w:t>
      </w:r>
      <w:r w:rsidR="00C1614F" w:rsidRPr="002145C5">
        <w:t xml:space="preserve"> as the existing brands of adalimumab 40 mg in 0.4 mL on the PBS. T</w:t>
      </w:r>
      <w:r w:rsidRPr="002145C5">
        <w:t>herefore</w:t>
      </w:r>
      <w:r w:rsidR="00C1614F" w:rsidRPr="002145C5">
        <w:t xml:space="preserve">, the listing of Hadlima 40 mg in 0.4 mL is expected to </w:t>
      </w:r>
      <w:r w:rsidRPr="002145C5">
        <w:t xml:space="preserve">be cost-neutral to Government. </w:t>
      </w:r>
      <w:r w:rsidR="005F42ED">
        <w:t>I</w:t>
      </w:r>
      <w:r w:rsidRPr="002145C5">
        <w:t xml:space="preserve">t is expected that </w:t>
      </w:r>
      <w:r w:rsidR="0015253D" w:rsidRPr="002145C5">
        <w:t>Hadlima</w:t>
      </w:r>
      <w:r w:rsidRPr="002145C5">
        <w:t xml:space="preserve"> would substitute for </w:t>
      </w:r>
      <w:r w:rsidR="0015253D" w:rsidRPr="002145C5">
        <w:t>Humira</w:t>
      </w:r>
      <w:r w:rsidRPr="002145C5">
        <w:t xml:space="preserve"> or the other biosimilar brands of adalimumab.</w:t>
      </w:r>
    </w:p>
    <w:p w14:paraId="364984F6" w14:textId="3D7F4953" w:rsidR="00EE1B71" w:rsidRPr="002145C5" w:rsidRDefault="00EE1B71" w:rsidP="00F17FBC">
      <w:pPr>
        <w:pStyle w:val="2-SectionHeading"/>
        <w:jc w:val="both"/>
        <w:rPr>
          <w:rFonts w:eastAsiaTheme="minorHAnsi"/>
        </w:rPr>
      </w:pPr>
      <w:r w:rsidRPr="002145C5">
        <w:rPr>
          <w:rFonts w:eastAsiaTheme="minorHAnsi"/>
        </w:rPr>
        <w:t>PBAC Outcome</w:t>
      </w:r>
    </w:p>
    <w:p w14:paraId="4C679168" w14:textId="10517376" w:rsidR="00154A0A" w:rsidRPr="002145C5" w:rsidRDefault="00EE1B71" w:rsidP="004B340F">
      <w:pPr>
        <w:widowControl w:val="0"/>
        <w:numPr>
          <w:ilvl w:val="1"/>
          <w:numId w:val="2"/>
        </w:numPr>
        <w:spacing w:after="120"/>
        <w:rPr>
          <w:rFonts w:asciiTheme="minorHAnsi" w:hAnsiTheme="minorHAnsi" w:cs="Arial"/>
          <w:snapToGrid w:val="0"/>
        </w:rPr>
      </w:pPr>
      <w:r w:rsidRPr="002145C5">
        <w:rPr>
          <w:snapToGrid w:val="0"/>
        </w:rPr>
        <w:t xml:space="preserve">The PBAC recommended the </w:t>
      </w:r>
      <w:r w:rsidR="002F348F" w:rsidRPr="002145C5">
        <w:rPr>
          <w:snapToGrid w:val="0"/>
        </w:rPr>
        <w:t xml:space="preserve">Authority Required </w:t>
      </w:r>
      <w:r w:rsidRPr="002145C5">
        <w:rPr>
          <w:snapToGrid w:val="0"/>
        </w:rPr>
        <w:t>listing of adalimumab</w:t>
      </w:r>
      <w:r w:rsidR="00154A0A" w:rsidRPr="002145C5">
        <w:rPr>
          <w:snapToGrid w:val="0"/>
        </w:rPr>
        <w:t xml:space="preserve"> </w:t>
      </w:r>
      <w:r w:rsidR="00154A0A" w:rsidRPr="002145C5">
        <w:rPr>
          <w:rFonts w:cstheme="minorHAnsi"/>
        </w:rPr>
        <w:t>(Hadlima</w:t>
      </w:r>
      <w:r w:rsidR="00154A0A" w:rsidRPr="002145C5">
        <w:t>®)</w:t>
      </w:r>
      <w:r w:rsidR="00154A0A" w:rsidRPr="002145C5">
        <w:rPr>
          <w:rFonts w:cstheme="minorHAnsi"/>
        </w:rPr>
        <w:t xml:space="preserve"> in the forms of 40 </w:t>
      </w:r>
      <w:r w:rsidR="00154A0A" w:rsidRPr="002145C5">
        <w:t>mg in 0.4 mL pre-filled pen (PFP) and pre-filled syringe (PFS) under the same circumstances as the PBS-listed reference biologic Humira® 40 mg in 0.4 mL PFP and PFS</w:t>
      </w:r>
      <w:r w:rsidR="00154A0A" w:rsidRPr="002145C5">
        <w:rPr>
          <w:rFonts w:cstheme="minorHAnsi"/>
        </w:rPr>
        <w:t xml:space="preserve"> </w:t>
      </w:r>
      <w:r w:rsidR="00154A0A" w:rsidRPr="002145C5">
        <w:rPr>
          <w:rFonts w:asciiTheme="minorHAnsi" w:hAnsiTheme="minorHAnsi" w:cs="Arial"/>
          <w:snapToGrid w:val="0"/>
        </w:rPr>
        <w:t xml:space="preserve">for the following indications: </w:t>
      </w:r>
    </w:p>
    <w:p w14:paraId="0A87D060" w14:textId="77777777" w:rsidR="00154A0A" w:rsidRPr="002145C5" w:rsidRDefault="00154A0A" w:rsidP="00F17FBC">
      <w:pPr>
        <w:pStyle w:val="3Bodytext"/>
        <w:numPr>
          <w:ilvl w:val="3"/>
          <w:numId w:val="43"/>
        </w:numPr>
        <w:jc w:val="both"/>
        <w:rPr>
          <w:rFonts w:eastAsia="Times New Roman" w:cs="Arial"/>
          <w:snapToGrid w:val="0"/>
          <w:szCs w:val="24"/>
        </w:rPr>
      </w:pPr>
      <w:r w:rsidRPr="002145C5">
        <w:rPr>
          <w:rFonts w:eastAsia="Times New Roman" w:cs="Arial"/>
          <w:snapToGrid w:val="0"/>
          <w:szCs w:val="24"/>
        </w:rPr>
        <w:t>Ankylosing spondylitis</w:t>
      </w:r>
    </w:p>
    <w:p w14:paraId="1751B903" w14:textId="16E72ACB" w:rsidR="00154A0A" w:rsidRPr="002145C5" w:rsidRDefault="00154A0A" w:rsidP="00F17FBC">
      <w:pPr>
        <w:pStyle w:val="3Bodytext"/>
        <w:numPr>
          <w:ilvl w:val="3"/>
          <w:numId w:val="43"/>
        </w:numPr>
        <w:jc w:val="both"/>
        <w:rPr>
          <w:rFonts w:eastAsia="Times New Roman" w:cs="Arial"/>
          <w:snapToGrid w:val="0"/>
          <w:szCs w:val="24"/>
        </w:rPr>
      </w:pPr>
      <w:r w:rsidRPr="002145C5">
        <w:rPr>
          <w:rFonts w:eastAsia="Times New Roman" w:cs="Arial"/>
          <w:snapToGrid w:val="0"/>
          <w:szCs w:val="24"/>
        </w:rPr>
        <w:t>Complex refractory fistulising Crohn disease</w:t>
      </w:r>
    </w:p>
    <w:p w14:paraId="35335C2A" w14:textId="3D615B87" w:rsidR="00154A0A" w:rsidRPr="002145C5" w:rsidRDefault="00154A0A" w:rsidP="00F17FBC">
      <w:pPr>
        <w:pStyle w:val="3Bodytext"/>
        <w:numPr>
          <w:ilvl w:val="3"/>
          <w:numId w:val="43"/>
        </w:numPr>
        <w:jc w:val="both"/>
        <w:rPr>
          <w:rFonts w:eastAsia="Times New Roman" w:cs="Arial"/>
          <w:snapToGrid w:val="0"/>
          <w:szCs w:val="24"/>
        </w:rPr>
      </w:pPr>
      <w:r w:rsidRPr="002145C5">
        <w:rPr>
          <w:rFonts w:eastAsia="Times New Roman" w:cs="Arial"/>
          <w:snapToGrid w:val="0"/>
          <w:szCs w:val="24"/>
        </w:rPr>
        <w:t>Severe Crohn disease</w:t>
      </w:r>
    </w:p>
    <w:p w14:paraId="0E639A51" w14:textId="77777777" w:rsidR="00154A0A" w:rsidRPr="002145C5" w:rsidRDefault="00154A0A" w:rsidP="00F17FBC">
      <w:pPr>
        <w:pStyle w:val="3Bodytext"/>
        <w:numPr>
          <w:ilvl w:val="3"/>
          <w:numId w:val="43"/>
        </w:numPr>
        <w:jc w:val="both"/>
        <w:rPr>
          <w:rFonts w:eastAsia="Times New Roman" w:cs="Arial"/>
          <w:snapToGrid w:val="0"/>
          <w:szCs w:val="24"/>
        </w:rPr>
      </w:pPr>
      <w:r w:rsidRPr="002145C5">
        <w:rPr>
          <w:rFonts w:eastAsia="Times New Roman" w:cs="Arial"/>
          <w:snapToGrid w:val="0"/>
          <w:szCs w:val="24"/>
        </w:rPr>
        <w:t>Moderate to severe ulcerative colitis</w:t>
      </w:r>
    </w:p>
    <w:p w14:paraId="1E23CDD9" w14:textId="77777777" w:rsidR="00154A0A" w:rsidRPr="002145C5" w:rsidRDefault="00154A0A" w:rsidP="00F17FBC">
      <w:pPr>
        <w:pStyle w:val="3Bodytext"/>
        <w:numPr>
          <w:ilvl w:val="3"/>
          <w:numId w:val="43"/>
        </w:numPr>
        <w:jc w:val="both"/>
        <w:rPr>
          <w:rFonts w:eastAsia="Times New Roman" w:cs="Arial"/>
          <w:snapToGrid w:val="0"/>
          <w:szCs w:val="24"/>
        </w:rPr>
      </w:pPr>
      <w:r w:rsidRPr="002145C5">
        <w:rPr>
          <w:rFonts w:eastAsia="Times New Roman" w:cs="Arial"/>
          <w:snapToGrid w:val="0"/>
          <w:szCs w:val="24"/>
        </w:rPr>
        <w:t>Moderate to severe hidradenitis suppurativa</w:t>
      </w:r>
    </w:p>
    <w:p w14:paraId="5E9CCF0E" w14:textId="77777777" w:rsidR="00154A0A" w:rsidRPr="002145C5" w:rsidRDefault="00154A0A" w:rsidP="00F17FBC">
      <w:pPr>
        <w:pStyle w:val="3Bodytext"/>
        <w:numPr>
          <w:ilvl w:val="3"/>
          <w:numId w:val="43"/>
        </w:numPr>
        <w:jc w:val="both"/>
        <w:rPr>
          <w:rFonts w:eastAsia="Times New Roman" w:cs="Arial"/>
          <w:snapToGrid w:val="0"/>
          <w:szCs w:val="24"/>
        </w:rPr>
      </w:pPr>
      <w:r w:rsidRPr="002145C5">
        <w:rPr>
          <w:rFonts w:eastAsia="Times New Roman" w:cs="Arial"/>
          <w:snapToGrid w:val="0"/>
          <w:szCs w:val="24"/>
        </w:rPr>
        <w:t>Severe active juvenile idiopathic arthritis</w:t>
      </w:r>
    </w:p>
    <w:p w14:paraId="40C02207" w14:textId="77777777" w:rsidR="00154A0A" w:rsidRPr="002145C5" w:rsidRDefault="00154A0A" w:rsidP="00F17FBC">
      <w:pPr>
        <w:pStyle w:val="3Bodytext"/>
        <w:numPr>
          <w:ilvl w:val="3"/>
          <w:numId w:val="43"/>
        </w:numPr>
        <w:jc w:val="both"/>
        <w:rPr>
          <w:rFonts w:eastAsia="Times New Roman" w:cs="Arial"/>
          <w:snapToGrid w:val="0"/>
          <w:szCs w:val="24"/>
        </w:rPr>
      </w:pPr>
      <w:r w:rsidRPr="002145C5">
        <w:rPr>
          <w:rFonts w:eastAsia="Times New Roman" w:cs="Arial"/>
          <w:snapToGrid w:val="0"/>
          <w:szCs w:val="24"/>
        </w:rPr>
        <w:t>Severe active rheumatoid arthritis</w:t>
      </w:r>
    </w:p>
    <w:p w14:paraId="25E64D7F" w14:textId="77777777" w:rsidR="00154A0A" w:rsidRPr="002145C5" w:rsidRDefault="00154A0A" w:rsidP="00F17FBC">
      <w:pPr>
        <w:pStyle w:val="3Bodytext"/>
        <w:numPr>
          <w:ilvl w:val="3"/>
          <w:numId w:val="43"/>
        </w:numPr>
        <w:jc w:val="both"/>
        <w:rPr>
          <w:rFonts w:eastAsia="Times New Roman" w:cs="Arial"/>
          <w:snapToGrid w:val="0"/>
          <w:szCs w:val="24"/>
        </w:rPr>
      </w:pPr>
      <w:r w:rsidRPr="002145C5">
        <w:rPr>
          <w:rFonts w:eastAsia="Times New Roman" w:cs="Arial"/>
          <w:snapToGrid w:val="0"/>
          <w:szCs w:val="24"/>
        </w:rPr>
        <w:lastRenderedPageBreak/>
        <w:t>Severe chronic plaque psoriasis</w:t>
      </w:r>
    </w:p>
    <w:p w14:paraId="0F37CAA5" w14:textId="77777777" w:rsidR="00154A0A" w:rsidRPr="002145C5" w:rsidRDefault="00154A0A" w:rsidP="00F17FBC">
      <w:pPr>
        <w:pStyle w:val="3Bodytext"/>
        <w:numPr>
          <w:ilvl w:val="3"/>
          <w:numId w:val="43"/>
        </w:numPr>
        <w:jc w:val="both"/>
        <w:rPr>
          <w:rFonts w:eastAsia="Times New Roman" w:cs="Arial"/>
          <w:snapToGrid w:val="0"/>
          <w:szCs w:val="24"/>
        </w:rPr>
      </w:pPr>
      <w:r w:rsidRPr="002145C5">
        <w:rPr>
          <w:rFonts w:eastAsia="Times New Roman" w:cs="Arial"/>
          <w:snapToGrid w:val="0"/>
          <w:szCs w:val="24"/>
        </w:rPr>
        <w:t>Severe psoriatic arthritis</w:t>
      </w:r>
    </w:p>
    <w:p w14:paraId="52E3176A" w14:textId="2486ED55" w:rsidR="005C4614" w:rsidRPr="002145C5" w:rsidRDefault="005C4614" w:rsidP="004B340F">
      <w:pPr>
        <w:widowControl w:val="0"/>
        <w:numPr>
          <w:ilvl w:val="1"/>
          <w:numId w:val="2"/>
        </w:numPr>
        <w:spacing w:after="120"/>
        <w:rPr>
          <w:rFonts w:asciiTheme="minorHAnsi" w:hAnsiTheme="minorHAnsi" w:cs="Arial"/>
          <w:snapToGrid w:val="0"/>
        </w:rPr>
      </w:pPr>
      <w:r w:rsidRPr="002145C5">
        <w:rPr>
          <w:rFonts w:asciiTheme="minorHAnsi" w:hAnsiTheme="minorHAnsi" w:cs="Arial"/>
          <w:snapToGrid w:val="0"/>
        </w:rPr>
        <w:t xml:space="preserve">The PBAC’s recommendation for listing was based on, among other matters, its assessment that the cost-effectiveness of Hadlima </w:t>
      </w:r>
      <w:r w:rsidRPr="002145C5">
        <w:rPr>
          <w:rFonts w:cstheme="minorHAnsi"/>
        </w:rPr>
        <w:t xml:space="preserve">40 </w:t>
      </w:r>
      <w:r w:rsidRPr="002145C5">
        <w:t xml:space="preserve">mg in 0.4 mL </w:t>
      </w:r>
      <w:r w:rsidRPr="002145C5">
        <w:rPr>
          <w:rFonts w:asciiTheme="minorHAnsi" w:hAnsiTheme="minorHAnsi" w:cs="Arial"/>
          <w:snapToGrid w:val="0"/>
        </w:rPr>
        <w:t>PFP and PFS would be acceptable if it were cost</w:t>
      </w:r>
      <w:r w:rsidRPr="002145C5">
        <w:rPr>
          <w:rFonts w:asciiTheme="minorHAnsi" w:hAnsiTheme="minorHAnsi" w:cs="Arial"/>
          <w:snapToGrid w:val="0"/>
        </w:rPr>
        <w:noBreakHyphen/>
        <w:t xml:space="preserve">minimised to the lowest cost </w:t>
      </w:r>
      <w:r w:rsidR="00D4424E" w:rsidRPr="002145C5">
        <w:rPr>
          <w:rFonts w:asciiTheme="minorHAnsi" w:hAnsiTheme="minorHAnsi" w:cs="Arial"/>
          <w:snapToGrid w:val="0"/>
        </w:rPr>
        <w:t xml:space="preserve">PBS-listed </w:t>
      </w:r>
      <w:r w:rsidRPr="002145C5">
        <w:rPr>
          <w:rFonts w:asciiTheme="minorHAnsi" w:hAnsiTheme="minorHAnsi" w:cs="Arial"/>
          <w:snapToGrid w:val="0"/>
        </w:rPr>
        <w:t>adalimumab brand.</w:t>
      </w:r>
    </w:p>
    <w:p w14:paraId="1EA6FAF5" w14:textId="6B6364DE" w:rsidR="00260295" w:rsidRPr="002145C5" w:rsidRDefault="00260295" w:rsidP="00F17FBC">
      <w:pPr>
        <w:pStyle w:val="3Bodytext"/>
        <w:jc w:val="both"/>
      </w:pPr>
      <w:r w:rsidRPr="002145C5">
        <w:t xml:space="preserve">The PBAC advised the equi-effective doses to be </w:t>
      </w:r>
      <w:r w:rsidRPr="002145C5">
        <w:rPr>
          <w:iCs/>
        </w:rPr>
        <w:t>1 mg of Hadlima = 1 mg of Humira</w:t>
      </w:r>
      <w:r w:rsidR="00C2452A" w:rsidRPr="002145C5">
        <w:rPr>
          <w:iCs/>
        </w:rPr>
        <w:t xml:space="preserve"> </w:t>
      </w:r>
      <w:r w:rsidR="00C2452A" w:rsidRPr="002145C5">
        <w:t>and all other biosimilar brands and formulations of adalimumab</w:t>
      </w:r>
      <w:r w:rsidR="00662285">
        <w:rPr>
          <w:iCs/>
        </w:rPr>
        <w:t xml:space="preserve">. </w:t>
      </w:r>
    </w:p>
    <w:p w14:paraId="0A6298C5" w14:textId="6BC80AB8" w:rsidR="00260295" w:rsidRPr="002145C5" w:rsidRDefault="00C2452A" w:rsidP="004B340F">
      <w:pPr>
        <w:widowControl w:val="0"/>
        <w:numPr>
          <w:ilvl w:val="1"/>
          <w:numId w:val="2"/>
        </w:numPr>
        <w:spacing w:after="120" w:line="259" w:lineRule="auto"/>
        <w:rPr>
          <w:rFonts w:eastAsia="Calibri" w:cs="Arial"/>
          <w:bCs/>
          <w:snapToGrid w:val="0"/>
          <w:lang w:eastAsia="en-US"/>
        </w:rPr>
      </w:pPr>
      <w:r w:rsidRPr="002145C5">
        <w:rPr>
          <w:rFonts w:eastAsia="Calibri" w:cs="Arial"/>
          <w:bCs/>
          <w:snapToGrid w:val="0"/>
          <w:lang w:eastAsia="en-US"/>
        </w:rPr>
        <w:t xml:space="preserve">The PBAC </w:t>
      </w:r>
      <w:r w:rsidR="00CE7A54">
        <w:rPr>
          <w:rFonts w:eastAsia="Calibri" w:cs="Arial"/>
          <w:bCs/>
          <w:snapToGrid w:val="0"/>
          <w:lang w:eastAsia="en-US"/>
        </w:rPr>
        <w:t xml:space="preserve">accepted </w:t>
      </w:r>
      <w:r w:rsidRPr="002145C5">
        <w:rPr>
          <w:rFonts w:eastAsia="Calibri" w:cs="Arial"/>
          <w:bCs/>
          <w:snapToGrid w:val="0"/>
          <w:lang w:eastAsia="en-US"/>
        </w:rPr>
        <w:t xml:space="preserve">the claim of biosimilarity for Hadlima </w:t>
      </w:r>
      <w:r w:rsidRPr="002145C5">
        <w:rPr>
          <w:rFonts w:cstheme="minorHAnsi"/>
        </w:rPr>
        <w:t xml:space="preserve">40 </w:t>
      </w:r>
      <w:r w:rsidRPr="002145C5">
        <w:t xml:space="preserve">mg in 0.4 mL </w:t>
      </w:r>
      <w:r w:rsidRPr="002145C5">
        <w:rPr>
          <w:rFonts w:asciiTheme="minorHAnsi" w:hAnsiTheme="minorHAnsi" w:cs="Arial"/>
          <w:snapToGrid w:val="0"/>
        </w:rPr>
        <w:t xml:space="preserve">PFP and PFS compared to Humira. </w:t>
      </w:r>
      <w:r w:rsidRPr="002145C5">
        <w:rPr>
          <w:rFonts w:eastAsia="Calibri" w:cs="Arial"/>
          <w:bCs/>
          <w:snapToGrid w:val="0"/>
          <w:lang w:eastAsia="en-US"/>
        </w:rPr>
        <w:t>The PBAC noted the clinical evidence presented aligned with the evidence presented to the TGA</w:t>
      </w:r>
      <w:r w:rsidR="00113EC6" w:rsidRPr="002145C5">
        <w:rPr>
          <w:rFonts w:eastAsia="Calibri" w:cs="Arial"/>
          <w:bCs/>
          <w:snapToGrid w:val="0"/>
          <w:lang w:eastAsia="en-US"/>
        </w:rPr>
        <w:t xml:space="preserve"> </w:t>
      </w:r>
      <w:r w:rsidRPr="002145C5">
        <w:rPr>
          <w:rFonts w:eastAsia="Calibri" w:cs="Arial"/>
          <w:bCs/>
          <w:snapToGrid w:val="0"/>
          <w:lang w:eastAsia="en-US"/>
        </w:rPr>
        <w:t>to inform their outcome of bioequivalence.</w:t>
      </w:r>
    </w:p>
    <w:p w14:paraId="781CEFF3" w14:textId="4111964B" w:rsidR="00D4424E" w:rsidRPr="002145C5" w:rsidRDefault="00D4424E" w:rsidP="00D4424E">
      <w:pPr>
        <w:pStyle w:val="3Bodytext"/>
        <w:jc w:val="both"/>
      </w:pPr>
      <w:r w:rsidRPr="002145C5">
        <w:t xml:space="preserve">The PBAC considered that biosimilar uptake drivers should be applied to Hadlima, consistent with the current PBS listings for adalimumab biosimilar brands, including </w:t>
      </w:r>
      <w:r w:rsidRPr="002145C5">
        <w:rPr>
          <w:rFonts w:cstheme="minorHAnsi"/>
          <w:iCs/>
        </w:rPr>
        <w:t>Amgevita, Adalicip, Hyrimoz, Idacio and Yuflyma, including the differential authority requirements for subsequent continuing treatment between the reference and biosimilar brands and inclusion of an administrative note encouraging the use of biosimilar brands for treatment naïve patients.</w:t>
      </w:r>
    </w:p>
    <w:p w14:paraId="4867A5AE" w14:textId="7D1983FD" w:rsidR="009E31B0" w:rsidRPr="002145C5" w:rsidRDefault="009E31B0" w:rsidP="004B340F">
      <w:pPr>
        <w:widowControl w:val="0"/>
        <w:numPr>
          <w:ilvl w:val="1"/>
          <w:numId w:val="2"/>
        </w:numPr>
        <w:spacing w:after="120"/>
        <w:rPr>
          <w:rFonts w:asciiTheme="minorHAnsi" w:hAnsiTheme="minorHAnsi" w:cs="Arial"/>
          <w:snapToGrid w:val="0"/>
        </w:rPr>
      </w:pPr>
      <w:r w:rsidRPr="002145C5">
        <w:t>The PBAC advised</w:t>
      </w:r>
      <w:r w:rsidR="002F348F" w:rsidRPr="002145C5">
        <w:t xml:space="preserve"> that</w:t>
      </w:r>
      <w:r w:rsidRPr="002145C5">
        <w:t xml:space="preserve">, under Section 101(4AACD) of </w:t>
      </w:r>
      <w:r w:rsidRPr="002145C5">
        <w:rPr>
          <w:i/>
        </w:rPr>
        <w:t>the National Health Act 1953</w:t>
      </w:r>
      <w:r w:rsidR="00D4424E" w:rsidRPr="002145C5">
        <w:rPr>
          <w:i/>
        </w:rPr>
        <w:t xml:space="preserve"> </w:t>
      </w:r>
      <w:r w:rsidR="00D4424E" w:rsidRPr="002145C5">
        <w:rPr>
          <w:iCs/>
        </w:rPr>
        <w:t>(the Act)</w:t>
      </w:r>
      <w:r w:rsidRPr="002145C5">
        <w:t>, in the Schedule of Pharmaceutical Benefits:</w:t>
      </w:r>
    </w:p>
    <w:p w14:paraId="4B4BE192" w14:textId="75C0E50F" w:rsidR="009E31B0" w:rsidRPr="002145C5" w:rsidRDefault="009E31B0" w:rsidP="0083709B">
      <w:pPr>
        <w:pStyle w:val="3Bodytext"/>
        <w:numPr>
          <w:ilvl w:val="1"/>
          <w:numId w:val="40"/>
        </w:numPr>
        <w:ind w:left="1134"/>
        <w:jc w:val="both"/>
      </w:pPr>
      <w:r w:rsidRPr="002145C5">
        <w:t xml:space="preserve">Humira, </w:t>
      </w:r>
      <w:r w:rsidR="002F348F" w:rsidRPr="002145C5">
        <w:t xml:space="preserve">Adalicip and </w:t>
      </w:r>
      <w:r w:rsidRPr="002145C5">
        <w:t xml:space="preserve">Yuflyma PFS and Hadlima PFS should be treated as equivalent to each other; and Humira, </w:t>
      </w:r>
      <w:r w:rsidR="002F348F" w:rsidRPr="002145C5">
        <w:t xml:space="preserve">Adalicip and Yuflyma </w:t>
      </w:r>
      <w:r w:rsidRPr="002145C5">
        <w:t xml:space="preserve">PFP and Hadlima PFP should be treated as equivalent to each other for the purposes of substitution (i.e. ‘a’ flagged in the </w:t>
      </w:r>
      <w:r w:rsidR="00143C55" w:rsidRPr="002145C5">
        <w:t>S</w:t>
      </w:r>
      <w:r w:rsidRPr="002145C5">
        <w:t>chedule)</w:t>
      </w:r>
      <w:r w:rsidR="00143C55" w:rsidRPr="002145C5">
        <w:t>.</w:t>
      </w:r>
      <w:r w:rsidRPr="002145C5">
        <w:t xml:space="preserve"> </w:t>
      </w:r>
    </w:p>
    <w:p w14:paraId="39198451" w14:textId="1325161B" w:rsidR="009E31B0" w:rsidRPr="002145C5" w:rsidRDefault="009E31B0" w:rsidP="0083709B">
      <w:pPr>
        <w:pStyle w:val="3Bodytext"/>
        <w:numPr>
          <w:ilvl w:val="1"/>
          <w:numId w:val="40"/>
        </w:numPr>
        <w:ind w:left="1134"/>
        <w:jc w:val="both"/>
      </w:pPr>
      <w:r w:rsidRPr="002145C5">
        <w:t>40 mg in 0.4 mL Hadlima PFS and 40 mg in 0.4 mL Humira,</w:t>
      </w:r>
      <w:r w:rsidR="00143C55" w:rsidRPr="002145C5">
        <w:t xml:space="preserve"> Adalicip and</w:t>
      </w:r>
      <w:r w:rsidRPr="002145C5">
        <w:t xml:space="preserve"> Yuflyma and 40 mg in 0.8 mL Amgevita, </w:t>
      </w:r>
      <w:r w:rsidR="00143C55" w:rsidRPr="002145C5">
        <w:t xml:space="preserve">Adalicip, </w:t>
      </w:r>
      <w:r w:rsidRPr="002145C5">
        <w:t xml:space="preserve">Hadlima, Hyrimoz, Idacio and </w:t>
      </w:r>
      <w:r w:rsidR="00143C55" w:rsidRPr="002145C5">
        <w:t xml:space="preserve">Yuflyma </w:t>
      </w:r>
      <w:r w:rsidRPr="002145C5">
        <w:t>PFS should be treated as equivalent to each other for the purposes of substitution</w:t>
      </w:r>
      <w:r w:rsidR="00143C55" w:rsidRPr="002145C5">
        <w:t xml:space="preserve"> (i.e. ‘a’ flagged in the Schedule).</w:t>
      </w:r>
    </w:p>
    <w:p w14:paraId="66AD4448" w14:textId="4C5E05D8" w:rsidR="00154A0A" w:rsidRPr="002145C5" w:rsidRDefault="009E31B0" w:rsidP="0083709B">
      <w:pPr>
        <w:pStyle w:val="3Bodytext"/>
        <w:numPr>
          <w:ilvl w:val="1"/>
          <w:numId w:val="40"/>
        </w:numPr>
        <w:ind w:left="1134"/>
        <w:jc w:val="both"/>
        <w:rPr>
          <w:rFonts w:cstheme="minorHAnsi"/>
        </w:rPr>
      </w:pPr>
      <w:r w:rsidRPr="002145C5">
        <w:t xml:space="preserve">40 mg in 0.4 mL Hadlima PFP and 40 mg in 0.4 mL Humira, Adalicip </w:t>
      </w:r>
      <w:r w:rsidR="00143C55" w:rsidRPr="002145C5">
        <w:t xml:space="preserve">and Yuflyma </w:t>
      </w:r>
      <w:r w:rsidRPr="002145C5">
        <w:t xml:space="preserve">and 40 mg in 0.8 mL Amgevita, </w:t>
      </w:r>
      <w:r w:rsidR="00143C55" w:rsidRPr="002145C5">
        <w:t xml:space="preserve">Adalicip, </w:t>
      </w:r>
      <w:r w:rsidRPr="002145C5">
        <w:t xml:space="preserve">Hadlima, Hyrimoz, Idacio and </w:t>
      </w:r>
      <w:r w:rsidR="00143C55" w:rsidRPr="002145C5">
        <w:t xml:space="preserve">Yuflyma </w:t>
      </w:r>
      <w:r w:rsidRPr="002145C5">
        <w:t>PFP should be treated as equivalent to each other for the purposes of substitution</w:t>
      </w:r>
      <w:r w:rsidR="00143C55" w:rsidRPr="002145C5">
        <w:t xml:space="preserve"> (i.e. ‘a’ flagged in the Schedule)</w:t>
      </w:r>
      <w:r w:rsidRPr="002145C5">
        <w:t>.</w:t>
      </w:r>
    </w:p>
    <w:p w14:paraId="3177F70E" w14:textId="7B6FF30E" w:rsidR="008F2B7D" w:rsidRPr="002145C5" w:rsidRDefault="008F2B7D" w:rsidP="00F17FBC">
      <w:pPr>
        <w:widowControl w:val="0"/>
        <w:numPr>
          <w:ilvl w:val="1"/>
          <w:numId w:val="2"/>
        </w:numPr>
        <w:spacing w:after="120"/>
        <w:rPr>
          <w:rFonts w:eastAsia="Calibri" w:cs="Arial"/>
          <w:bCs/>
          <w:snapToGrid w:val="0"/>
          <w:lang w:eastAsia="en-US"/>
        </w:rPr>
      </w:pPr>
      <w:r w:rsidRPr="002145C5">
        <w:rPr>
          <w:rFonts w:eastAsia="Calibri" w:cs="Arial"/>
          <w:bCs/>
          <w:snapToGrid w:val="0"/>
          <w:lang w:eastAsia="en-US"/>
        </w:rPr>
        <w:t xml:space="preserve">The PBAC </w:t>
      </w:r>
      <w:r w:rsidRPr="002145C5">
        <w:t xml:space="preserve">advised that, under Section 101(4AACD) of the </w:t>
      </w:r>
      <w:r w:rsidRPr="002145C5">
        <w:rPr>
          <w:iCs/>
        </w:rPr>
        <w:t>Act,</w:t>
      </w:r>
      <w:r w:rsidRPr="002145C5">
        <w:t xml:space="preserve"> in the Schedule of Pharmaceutical Benefits, Hadlima PFP should not be considered equivalent for the purposes of substitution with any adalimumab PFS, consistent with its previous considerations of adalimumab.</w:t>
      </w:r>
    </w:p>
    <w:p w14:paraId="429173C5" w14:textId="37027236" w:rsidR="00260295" w:rsidRPr="002145C5" w:rsidRDefault="00260295" w:rsidP="004B340F">
      <w:pPr>
        <w:widowControl w:val="0"/>
        <w:numPr>
          <w:ilvl w:val="1"/>
          <w:numId w:val="2"/>
        </w:numPr>
        <w:spacing w:after="120" w:line="259" w:lineRule="auto"/>
        <w:rPr>
          <w:rFonts w:eastAsia="Calibri" w:cs="Arial"/>
          <w:bCs/>
          <w:snapToGrid w:val="0"/>
          <w:lang w:eastAsia="en-US"/>
        </w:rPr>
      </w:pPr>
      <w:r w:rsidRPr="002145C5">
        <w:rPr>
          <w:rFonts w:eastAsia="Calibri" w:cs="Arial"/>
          <w:bCs/>
          <w:snapToGrid w:val="0"/>
          <w:lang w:eastAsia="en-US"/>
        </w:rPr>
        <w:t xml:space="preserve">The PBAC </w:t>
      </w:r>
      <w:r w:rsidR="008F2B7D" w:rsidRPr="002145C5">
        <w:rPr>
          <w:rFonts w:eastAsia="Calibri" w:cs="Arial"/>
          <w:bCs/>
          <w:snapToGrid w:val="0"/>
          <w:lang w:eastAsia="en-US"/>
        </w:rPr>
        <w:t xml:space="preserve">considered that </w:t>
      </w:r>
      <w:r w:rsidR="008F2B7D" w:rsidRPr="002145C5">
        <w:t>the listing of Hadlima 40 mg in 0.4 mL PFP and PFS is expected to be cost-neutral to Government</w:t>
      </w:r>
      <w:r w:rsidRPr="002145C5">
        <w:rPr>
          <w:rFonts w:eastAsia="Calibri" w:cs="Arial"/>
          <w:bCs/>
          <w:snapToGrid w:val="0"/>
          <w:lang w:eastAsia="en-US"/>
        </w:rPr>
        <w:t xml:space="preserve"> </w:t>
      </w:r>
      <w:r w:rsidR="008F2B7D" w:rsidRPr="002145C5">
        <w:rPr>
          <w:rFonts w:eastAsia="Calibri" w:cs="Arial"/>
          <w:bCs/>
          <w:snapToGrid w:val="0"/>
          <w:lang w:eastAsia="en-US"/>
        </w:rPr>
        <w:t xml:space="preserve">given </w:t>
      </w:r>
      <w:r w:rsidRPr="002145C5">
        <w:rPr>
          <w:rFonts w:eastAsia="Calibri" w:cs="Arial"/>
          <w:bCs/>
          <w:snapToGrid w:val="0"/>
          <w:lang w:eastAsia="en-US"/>
        </w:rPr>
        <w:t>that Hadlima will likely substitute for existing adalimumab brands and therefore not increase overall market utilisation.</w:t>
      </w:r>
    </w:p>
    <w:p w14:paraId="513D1EA7" w14:textId="10E68E89" w:rsidR="00260295" w:rsidRPr="002145C5" w:rsidRDefault="00260295" w:rsidP="004B340F">
      <w:pPr>
        <w:widowControl w:val="0"/>
        <w:numPr>
          <w:ilvl w:val="1"/>
          <w:numId w:val="2"/>
        </w:numPr>
        <w:spacing w:after="120" w:line="259" w:lineRule="auto"/>
        <w:rPr>
          <w:rFonts w:eastAsia="Calibri" w:cs="Arial"/>
          <w:bCs/>
          <w:snapToGrid w:val="0"/>
          <w:lang w:eastAsia="en-US"/>
        </w:rPr>
      </w:pPr>
      <w:r w:rsidRPr="002145C5">
        <w:rPr>
          <w:rFonts w:eastAsia="Calibri" w:cs="Arial"/>
          <w:bCs/>
          <w:snapToGrid w:val="0"/>
          <w:lang w:eastAsia="en-US"/>
        </w:rPr>
        <w:lastRenderedPageBreak/>
        <w:t xml:space="preserve">The PBAC noted that its recommendation was on a cost-minimisation basis and advised that, because Hadlima is not expected to provide a substantial and clinically relevant improvement in efficacy, or reduction of toxicity, over Humira, or not expected to address a high and urgent unmet clinical need given the presence of an alternative therapy, the criteria prescribed by the </w:t>
      </w:r>
      <w:r w:rsidRPr="002145C5">
        <w:rPr>
          <w:rFonts w:eastAsia="Calibri" w:cs="Arial"/>
          <w:bCs/>
          <w:i/>
          <w:iCs/>
          <w:snapToGrid w:val="0"/>
          <w:lang w:eastAsia="en-US"/>
        </w:rPr>
        <w:t>National Health (Pharmaceuticals and Vaccines – Cost Recovery) Regulations 2022</w:t>
      </w:r>
      <w:r w:rsidRPr="002145C5">
        <w:rPr>
          <w:rFonts w:eastAsia="Calibri" w:cs="Arial"/>
          <w:bCs/>
          <w:snapToGrid w:val="0"/>
          <w:lang w:eastAsia="en-US"/>
        </w:rPr>
        <w:t xml:space="preserve"> for Pricing Pathway A were not met.</w:t>
      </w:r>
    </w:p>
    <w:p w14:paraId="7187D5DA" w14:textId="45F86BC0" w:rsidR="009E31B0" w:rsidRPr="002145C5" w:rsidRDefault="009E31B0" w:rsidP="004B340F">
      <w:pPr>
        <w:widowControl w:val="0"/>
        <w:numPr>
          <w:ilvl w:val="1"/>
          <w:numId w:val="2"/>
        </w:numPr>
        <w:spacing w:after="120" w:line="259" w:lineRule="auto"/>
        <w:rPr>
          <w:rFonts w:eastAsia="Calibri" w:cs="Arial"/>
          <w:bCs/>
          <w:snapToGrid w:val="0"/>
          <w:lang w:eastAsia="en-US"/>
        </w:rPr>
      </w:pPr>
      <w:r w:rsidRPr="002145C5">
        <w:rPr>
          <w:rFonts w:eastAsia="Calibri" w:cs="Arial"/>
          <w:bCs/>
          <w:snapToGrid w:val="0"/>
          <w:lang w:eastAsia="en-US"/>
        </w:rPr>
        <w:t xml:space="preserve">The PBAC noted that this submission is not eligible for an Independent Review as it received a positive recommendation. </w:t>
      </w:r>
    </w:p>
    <w:p w14:paraId="5EFE2958" w14:textId="0FF825E5" w:rsidR="001A697D" w:rsidRPr="002145C5" w:rsidRDefault="009E31B0" w:rsidP="009E31B0">
      <w:r w:rsidRPr="002145C5">
        <w:rPr>
          <w:b/>
        </w:rPr>
        <w:t>Outcome:</w:t>
      </w:r>
      <w:r w:rsidRPr="002145C5">
        <w:br/>
        <w:t>Recommended</w:t>
      </w:r>
    </w:p>
    <w:p w14:paraId="4BF4F25C" w14:textId="77777777" w:rsidR="009E31B0" w:rsidRPr="002145C5" w:rsidRDefault="009E31B0" w:rsidP="009E31B0">
      <w:pPr>
        <w:pStyle w:val="Heading1"/>
        <w:keepLines/>
        <w:numPr>
          <w:ilvl w:val="0"/>
          <w:numId w:val="2"/>
        </w:numPr>
        <w:spacing w:before="240"/>
        <w:ind w:left="709" w:hanging="709"/>
        <w:rPr>
          <w:sz w:val="32"/>
          <w:szCs w:val="32"/>
        </w:rPr>
      </w:pPr>
      <w:r w:rsidRPr="002145C5">
        <w:rPr>
          <w:sz w:val="32"/>
          <w:szCs w:val="32"/>
        </w:rPr>
        <w:t xml:space="preserve">Recommended listing </w:t>
      </w:r>
    </w:p>
    <w:p w14:paraId="1819D005" w14:textId="02E596B0" w:rsidR="009E31B0" w:rsidRPr="002145C5" w:rsidRDefault="009E31B0" w:rsidP="00763521">
      <w:pPr>
        <w:pStyle w:val="3Bodytext"/>
      </w:pPr>
      <w:r w:rsidRPr="002145C5">
        <w:t>Add</w:t>
      </w:r>
      <w:r w:rsidR="00B014F0" w:rsidRPr="002145C5">
        <w:t xml:space="preserve"> new adalimumab </w:t>
      </w:r>
      <w:r w:rsidR="00077C6F" w:rsidRPr="002145C5">
        <w:t>form</w:t>
      </w:r>
      <w:r w:rsidR="00B014F0" w:rsidRPr="002145C5">
        <w:t xml:space="preserve"> (Hadlima</w:t>
      </w:r>
      <w:r w:rsidR="00077C6F" w:rsidRPr="002145C5">
        <w:t xml:space="preserve"> 40 mg in 0.4 mL PFS and PFP</w:t>
      </w:r>
      <w:r w:rsidR="00B014F0" w:rsidRPr="002145C5">
        <w:t xml:space="preserve">) with schedule equivalence (‘a’ flag) for the same indications as Humira </w:t>
      </w:r>
      <w:r w:rsidR="00077C6F" w:rsidRPr="002145C5">
        <w:t xml:space="preserve">40 mg in 0.4 mL PFS and PFP </w:t>
      </w:r>
      <w:r w:rsidR="00B014F0" w:rsidRPr="002145C5">
        <w:t xml:space="preserve">as noted in Section </w:t>
      </w:r>
      <w:r w:rsidR="00946166" w:rsidRPr="002145C5">
        <w:t>6</w:t>
      </w:r>
      <w:r w:rsidR="00B014F0" w:rsidRPr="002145C5">
        <w:t>.</w:t>
      </w:r>
    </w:p>
    <w:p w14:paraId="2FE182C1" w14:textId="77777777" w:rsidR="00260295" w:rsidRPr="002145C5" w:rsidRDefault="00260295" w:rsidP="00260295">
      <w:pPr>
        <w:pStyle w:val="3Bodytext"/>
        <w:jc w:val="both"/>
      </w:pPr>
      <w:r w:rsidRPr="002145C5">
        <w:t>Amend existing/recommended listing as follows:</w:t>
      </w:r>
    </w:p>
    <w:p w14:paraId="7961FC5A" w14:textId="6FFECF1E" w:rsidR="00260295" w:rsidRPr="002145C5" w:rsidRDefault="00260295" w:rsidP="0083709B">
      <w:pPr>
        <w:pStyle w:val="3Bodytext"/>
        <w:numPr>
          <w:ilvl w:val="0"/>
          <w:numId w:val="42"/>
        </w:numPr>
        <w:ind w:left="993"/>
        <w:jc w:val="both"/>
      </w:pPr>
      <w:bookmarkStart w:id="3" w:name="_Hlk141081764"/>
      <w:r w:rsidRPr="002145C5">
        <w:t>Authority Required listing of Hadlima, with the Authority type for each treatment phase and indication to be consistent with current listings for the other biosimilar brands of adalimumab.</w:t>
      </w:r>
      <w:r w:rsidRPr="002145C5" w:rsidDel="00AD56D6">
        <w:t xml:space="preserve"> </w:t>
      </w:r>
      <w:bookmarkEnd w:id="3"/>
    </w:p>
    <w:p w14:paraId="3F1B0B85" w14:textId="238F004A" w:rsidR="00260295" w:rsidRPr="00373A37" w:rsidRDefault="00260295" w:rsidP="0083709B">
      <w:pPr>
        <w:pStyle w:val="3Bodytext"/>
        <w:numPr>
          <w:ilvl w:val="0"/>
          <w:numId w:val="42"/>
        </w:numPr>
        <w:ind w:left="993"/>
        <w:jc w:val="both"/>
        <w:rPr>
          <w:strike/>
        </w:rPr>
      </w:pPr>
      <w:r w:rsidRPr="003D68A0">
        <w:t>The application of the ‘Biosimilar prescribing policy’ administrative note encouraging the use of biosimilar brands for treatment naïve patients</w:t>
      </w:r>
      <w:r w:rsidR="00373A37" w:rsidRPr="00134DEA">
        <w:t>.</w:t>
      </w:r>
    </w:p>
    <w:p w14:paraId="0B95CCDA" w14:textId="68763DA2" w:rsidR="00260295" w:rsidRPr="003D68A0" w:rsidRDefault="00260295" w:rsidP="0083709B">
      <w:pPr>
        <w:pStyle w:val="3Bodytext"/>
        <w:numPr>
          <w:ilvl w:val="0"/>
          <w:numId w:val="0"/>
        </w:numPr>
        <w:ind w:left="993"/>
        <w:jc w:val="both"/>
        <w:rPr>
          <w:i/>
        </w:rPr>
      </w:pPr>
      <w:r w:rsidRPr="003D68A0">
        <w:rPr>
          <w:i/>
        </w:rPr>
        <w:t xml:space="preserve">Prescribing of the biosimilar brand Amgevita, Adalicip, Hadlima, Hyrimoz, Idacio or Yuflyma is encouraged for treatment naïve patients. </w:t>
      </w:r>
    </w:p>
    <w:p w14:paraId="049FB7E8" w14:textId="5BF5BA2B" w:rsidR="00260295" w:rsidRPr="003D68A0" w:rsidRDefault="00260295" w:rsidP="0083709B">
      <w:pPr>
        <w:pStyle w:val="3Bodytext"/>
        <w:numPr>
          <w:ilvl w:val="0"/>
          <w:numId w:val="0"/>
        </w:numPr>
        <w:spacing w:after="240"/>
        <w:ind w:left="993"/>
        <w:jc w:val="both"/>
      </w:pPr>
      <w:r w:rsidRPr="003D68A0">
        <w:rPr>
          <w:i/>
          <w:snapToGrid w:val="0"/>
          <w:lang w:eastAsia="en-US"/>
        </w:rPr>
        <w:t xml:space="preserve">Encouraging biosimilar prescribing for treatment naïve patients is Government policy. A viable biosimilar market is expected to result in reduced costs for biological medicines, allowing the Government to reinvest in new treatments. Further information can be found on the B Medicines </w:t>
      </w:r>
      <w:r w:rsidRPr="003D68A0">
        <w:t xml:space="preserve">webpage </w:t>
      </w:r>
      <w:r w:rsidRPr="003D68A0">
        <w:rPr>
          <w:i/>
          <w:iCs/>
        </w:rPr>
        <w:t>(</w:t>
      </w:r>
      <w:hyperlink r:id="rId8" w:history="1">
        <w:r w:rsidRPr="003D68A0">
          <w:rPr>
            <w:rStyle w:val="Hyperlink"/>
            <w:i/>
            <w:iCs/>
          </w:rPr>
          <w:t>www.health.gov.au/health-topics/medicines</w:t>
        </w:r>
      </w:hyperlink>
      <w:r w:rsidRPr="003D68A0">
        <w:rPr>
          <w:i/>
          <w:iCs/>
        </w:rPr>
        <w:t>)</w:t>
      </w:r>
      <w:r w:rsidRPr="003D68A0">
        <w:t xml:space="preserve"> </w:t>
      </w:r>
      <w:hyperlink w:history="1"/>
    </w:p>
    <w:p w14:paraId="3C2BA2D5" w14:textId="6491C5F5" w:rsidR="009E31B0" w:rsidRDefault="009E31B0" w:rsidP="00036D35">
      <w:pPr>
        <w:pStyle w:val="3-BodyText"/>
        <w:numPr>
          <w:ilvl w:val="0"/>
          <w:numId w:val="0"/>
        </w:numPr>
        <w:rPr>
          <w:b/>
          <w:bCs/>
          <w:i/>
          <w:iCs/>
        </w:rPr>
      </w:pPr>
      <w:r w:rsidRPr="002145C5">
        <w:rPr>
          <w:b/>
          <w:bCs/>
          <w:i/>
          <w:iCs/>
        </w:rPr>
        <w:t>This restriction may be subject to further review. Should there be any changes made to the restriction the Sponsor will be informed.</w:t>
      </w:r>
    </w:p>
    <w:p w14:paraId="6BB35787" w14:textId="0682A3EA" w:rsidR="002F385B" w:rsidRDefault="002F385B" w:rsidP="002F385B">
      <w:pPr>
        <w:pStyle w:val="COMH1numbered"/>
        <w:numPr>
          <w:ilvl w:val="0"/>
          <w:numId w:val="0"/>
        </w:numPr>
        <w:ind w:left="720" w:hanging="720"/>
        <w:rPr>
          <w:bCs/>
          <w:lang w:val="en-GB"/>
        </w:rPr>
      </w:pPr>
      <w:r>
        <w:t>8</w:t>
      </w:r>
      <w:r w:rsidRPr="00C07617">
        <w:tab/>
        <w:t>Context for Decision</w:t>
      </w:r>
    </w:p>
    <w:p w14:paraId="5A31D3FF" w14:textId="77777777" w:rsidR="002F385B" w:rsidRPr="00311EEF" w:rsidRDefault="002F385B" w:rsidP="002F385B">
      <w:pPr>
        <w:spacing w:after="120"/>
        <w:ind w:left="720"/>
        <w:rPr>
          <w:rFonts w:asciiTheme="minorHAnsi" w:hAnsiTheme="minorHAnsi" w:cs="Arial"/>
          <w:bCs/>
          <w:lang w:val="en-GB"/>
        </w:rPr>
      </w:pPr>
      <w:r w:rsidRPr="00311EEF">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w:t>
      </w:r>
      <w:r w:rsidRPr="00311EEF">
        <w:rPr>
          <w:rFonts w:asciiTheme="minorHAnsi" w:hAnsiTheme="minorHAnsi" w:cs="Arial"/>
          <w:bCs/>
          <w:lang w:val="en-GB"/>
        </w:rPr>
        <w:lastRenderedPageBreak/>
        <w:t>through the PBS. The PBAC welcomes applications containing new information at any time.</w:t>
      </w:r>
    </w:p>
    <w:p w14:paraId="449EC483" w14:textId="09DD0482" w:rsidR="002F385B" w:rsidRPr="00311EEF" w:rsidRDefault="002F385B" w:rsidP="002F385B">
      <w:pPr>
        <w:pStyle w:val="COMH1numbered"/>
        <w:numPr>
          <w:ilvl w:val="0"/>
          <w:numId w:val="0"/>
        </w:numPr>
        <w:ind w:left="720" w:hanging="720"/>
      </w:pPr>
      <w:r>
        <w:t>9</w:t>
      </w:r>
      <w:r>
        <w:tab/>
      </w:r>
      <w:r w:rsidRPr="00311EEF">
        <w:t>Sponsor’s Comment</w:t>
      </w:r>
    </w:p>
    <w:p w14:paraId="229EA58C" w14:textId="43303D2C" w:rsidR="002F385B" w:rsidRPr="00036D35" w:rsidRDefault="002F385B" w:rsidP="0083709B">
      <w:pPr>
        <w:pStyle w:val="3-BodyText"/>
        <w:numPr>
          <w:ilvl w:val="0"/>
          <w:numId w:val="0"/>
        </w:numPr>
        <w:ind w:firstLine="720"/>
        <w:rPr>
          <w:b/>
          <w:bCs/>
          <w:i/>
          <w:iCs/>
        </w:rPr>
      </w:pPr>
      <w:r>
        <w:rPr>
          <w:rFonts w:cs="Arial"/>
          <w:bCs/>
          <w:szCs w:val="24"/>
        </w:rPr>
        <w:t>The sponsor had no comment.</w:t>
      </w:r>
    </w:p>
    <w:sectPr w:rsidR="002F385B" w:rsidRPr="00036D35"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02367" w14:textId="77777777" w:rsidR="00667684" w:rsidRDefault="00667684">
      <w:r>
        <w:separator/>
      </w:r>
    </w:p>
    <w:p w14:paraId="007AE5D0" w14:textId="77777777" w:rsidR="00667684" w:rsidRDefault="00667684"/>
  </w:endnote>
  <w:endnote w:type="continuationSeparator" w:id="0">
    <w:p w14:paraId="71BE774A" w14:textId="77777777" w:rsidR="00667684" w:rsidRDefault="00667684">
      <w:r>
        <w:continuationSeparator/>
      </w:r>
    </w:p>
    <w:p w14:paraId="32F340D0" w14:textId="77777777" w:rsidR="00667684" w:rsidRDefault="00667684"/>
  </w:endnote>
  <w:endnote w:type="continuationNotice" w:id="1">
    <w:p w14:paraId="559D458F" w14:textId="77777777" w:rsidR="00667684" w:rsidRDefault="00667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pitch w:val="default"/>
  </w:font>
  <w:font w:name="Montserrat">
    <w:charset w:val="00"/>
    <w:family w:val="auto"/>
    <w:pitch w:val="variable"/>
    <w:sig w:usb0="2000020F" w:usb1="00000003" w:usb2="00000000" w:usb3="00000000" w:csb0="00000197"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18CC151A" w:rsidR="009C26AA" w:rsidRPr="00865E80" w:rsidRDefault="00401640" w:rsidP="00C56D78">
    <w:pPr>
      <w:pStyle w:val="MinorOVRHeader"/>
      <w:jc w:val="center"/>
      <w:rPr>
        <w:b/>
        <w:bCs/>
      </w:rPr>
    </w:pPr>
    <w:r w:rsidRPr="00865E80">
      <w:rPr>
        <w:b/>
        <w:bCs/>
      </w:rPr>
      <w:fldChar w:fldCharType="begin"/>
    </w:r>
    <w:r w:rsidRPr="00865E80">
      <w:rPr>
        <w:b/>
        <w:bCs/>
      </w:rPr>
      <w:instrText xml:space="preserve"> PAGE   \* MERGEFORMAT </w:instrText>
    </w:r>
    <w:r w:rsidRPr="00865E80">
      <w:rPr>
        <w:b/>
        <w:bCs/>
      </w:rPr>
      <w:fldChar w:fldCharType="separate"/>
    </w:r>
    <w:r w:rsidRPr="00865E80">
      <w:rPr>
        <w:b/>
        <w:bCs/>
      </w:rPr>
      <w:t>1</w:t>
    </w:r>
    <w:r w:rsidRPr="00865E80">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1708E" w14:textId="77777777" w:rsidR="00667684" w:rsidRDefault="00667684">
      <w:r>
        <w:separator/>
      </w:r>
    </w:p>
    <w:p w14:paraId="36E7E2CF" w14:textId="77777777" w:rsidR="00667684" w:rsidRDefault="00667684"/>
  </w:footnote>
  <w:footnote w:type="continuationSeparator" w:id="0">
    <w:p w14:paraId="689B4AF5" w14:textId="77777777" w:rsidR="00667684" w:rsidRDefault="00667684">
      <w:r>
        <w:continuationSeparator/>
      </w:r>
    </w:p>
    <w:p w14:paraId="289793D0" w14:textId="77777777" w:rsidR="00667684" w:rsidRDefault="00667684"/>
  </w:footnote>
  <w:footnote w:type="continuationNotice" w:id="1">
    <w:p w14:paraId="74B5305B" w14:textId="77777777" w:rsidR="00667684" w:rsidRDefault="006676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0C06CD20" w:rsidR="00C56D78" w:rsidRPr="00C56D78" w:rsidRDefault="002B57EE"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 xml:space="preserve">Public Summary Document </w:t>
    </w:r>
    <w:r w:rsidR="00865E80" w:rsidRPr="00865E80">
      <w:rPr>
        <w:rFonts w:asciiTheme="minorHAnsi" w:eastAsiaTheme="minorEastAsia" w:hAnsiTheme="minorHAnsi" w:cstheme="minorHAnsi"/>
        <w:i/>
        <w:color w:val="808080"/>
      </w:rPr>
      <w:t>–</w:t>
    </w:r>
    <w:r w:rsidR="00865E80" w:rsidRPr="00A217E0">
      <w:rPr>
        <w:rFonts w:asciiTheme="minorHAnsi" w:hAnsiTheme="minorHAnsi" w:cs="Arial"/>
        <w:i/>
      </w:rPr>
      <w:t xml:space="preserve"> </w:t>
    </w:r>
    <w:r w:rsidR="009930E7">
      <w:rPr>
        <w:rFonts w:asciiTheme="minorHAnsi" w:eastAsiaTheme="minorEastAsia" w:hAnsiTheme="minorHAnsi" w:cstheme="minorHAnsi"/>
        <w:i/>
        <w:color w:val="808080"/>
      </w:rPr>
      <w:t>November</w:t>
    </w:r>
    <w:r w:rsidR="00C56D78">
      <w:rPr>
        <w:rFonts w:asciiTheme="minorHAnsi" w:eastAsiaTheme="minorEastAsia" w:hAnsiTheme="minorHAnsi" w:cstheme="minorHAnsi"/>
        <w:i/>
        <w:color w:val="808080"/>
      </w:rPr>
      <w:t xml:space="preserve"> 202</w:t>
    </w:r>
    <w:r w:rsidR="009930E7">
      <w:rPr>
        <w:rFonts w:asciiTheme="minorHAnsi" w:eastAsiaTheme="minorEastAsia" w:hAnsiTheme="minorHAnsi" w:cstheme="minorHAnsi"/>
        <w:i/>
        <w:color w:val="808080"/>
      </w:rPr>
      <w:t>3</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2479" w14:textId="77777777" w:rsidR="00142D64" w:rsidRDefault="00142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A5F2D85E"/>
    <w:lvl w:ilvl="0" w:tplc="DBD660D0">
      <w:start w:val="1"/>
      <w:numFmt w:val="bullet"/>
      <w:pStyle w:val="ListBullet"/>
      <w:lvlText w:val=""/>
      <w:lvlJc w:val="left"/>
      <w:pPr>
        <w:tabs>
          <w:tab w:val="num" w:pos="1495"/>
        </w:tabs>
        <w:ind w:left="1495"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A477D83"/>
    <w:multiLevelType w:val="hybridMultilevel"/>
    <w:tmpl w:val="A08E0F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CFD74B5"/>
    <w:multiLevelType w:val="multilevel"/>
    <w:tmpl w:val="3A2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5D06EA1"/>
    <w:multiLevelType w:val="multilevel"/>
    <w:tmpl w:val="CA1659B2"/>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941E55"/>
    <w:multiLevelType w:val="multilevel"/>
    <w:tmpl w:val="979EEE1A"/>
    <w:lvl w:ilvl="0">
      <w:start w:val="1"/>
      <w:numFmt w:val="decimal"/>
      <w:lvlText w:val="%1"/>
      <w:lvlJc w:val="left"/>
      <w:pPr>
        <w:ind w:left="720" w:hanging="720"/>
      </w:pPr>
      <w:rPr>
        <w:b/>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1CDA15CE"/>
    <w:multiLevelType w:val="hybridMultilevel"/>
    <w:tmpl w:val="815AC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21263B"/>
    <w:multiLevelType w:val="hybridMultilevel"/>
    <w:tmpl w:val="BD32C1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586C8E"/>
    <w:multiLevelType w:val="hybridMultilevel"/>
    <w:tmpl w:val="98E28AF0"/>
    <w:lvl w:ilvl="0" w:tplc="0C090001">
      <w:start w:val="1"/>
      <w:numFmt w:val="bullet"/>
      <w:lvlText w:val=""/>
      <w:lvlJc w:val="left"/>
      <w:pPr>
        <w:ind w:left="107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4002A46"/>
    <w:multiLevelType w:val="hybridMultilevel"/>
    <w:tmpl w:val="DB029798"/>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6"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7"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8B3312"/>
    <w:multiLevelType w:val="multilevel"/>
    <w:tmpl w:val="979EEE1A"/>
    <w:lvl w:ilvl="0">
      <w:start w:val="1"/>
      <w:numFmt w:val="decimal"/>
      <w:lvlText w:val="%1"/>
      <w:lvlJc w:val="left"/>
      <w:pPr>
        <w:ind w:left="720" w:hanging="720"/>
      </w:pPr>
      <w:rPr>
        <w:b/>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1" w15:restartNumberingAfterBreak="0">
    <w:nsid w:val="47A82EDB"/>
    <w:multiLevelType w:val="hybridMultilevel"/>
    <w:tmpl w:val="6F0696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3" w15:restartNumberingAfterBreak="0">
    <w:nsid w:val="4CE710A4"/>
    <w:multiLevelType w:val="hybridMultilevel"/>
    <w:tmpl w:val="9D4CF2C8"/>
    <w:lvl w:ilvl="0" w:tplc="4A96AD60">
      <w:start w:val="1"/>
      <w:numFmt w:val="lowerLetter"/>
      <w:lvlText w:val="%1."/>
      <w:lvlJc w:val="left"/>
      <w:pPr>
        <w:ind w:left="1288"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6EC5B9E"/>
    <w:multiLevelType w:val="hybridMultilevel"/>
    <w:tmpl w:val="CCDEEF74"/>
    <w:lvl w:ilvl="0" w:tplc="855CB150">
      <w:start w:val="29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E5B1B14"/>
    <w:multiLevelType w:val="multilevel"/>
    <w:tmpl w:val="979EEE1A"/>
    <w:lvl w:ilvl="0">
      <w:start w:val="1"/>
      <w:numFmt w:val="decimal"/>
      <w:lvlText w:val="%1"/>
      <w:lvlJc w:val="left"/>
      <w:pPr>
        <w:ind w:left="720" w:hanging="720"/>
      </w:pPr>
      <w:rPr>
        <w:b/>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5FB97528"/>
    <w:multiLevelType w:val="hybridMultilevel"/>
    <w:tmpl w:val="62DE74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11F8CD8A">
      <w:numFmt w:val="bullet"/>
      <w:lvlText w:val="•"/>
      <w:lvlJc w:val="left"/>
      <w:pPr>
        <w:ind w:left="2520" w:hanging="720"/>
      </w:pPr>
      <w:rPr>
        <w:rFonts w:ascii="Calibri" w:eastAsiaTheme="minorHAnsi"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4" w15:restartNumberingAfterBreak="0">
    <w:nsid w:val="7786190C"/>
    <w:multiLevelType w:val="multilevel"/>
    <w:tmpl w:val="7A082830"/>
    <w:lvl w:ilvl="0">
      <w:start w:val="1"/>
      <w:numFmt w:val="decimal"/>
      <w:lvlText w:val="%1"/>
      <w:lvlJc w:val="left"/>
      <w:pPr>
        <w:ind w:left="720" w:hanging="720"/>
      </w:pPr>
      <w:rPr>
        <w:b/>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bullet"/>
      <w:lvlText w:val=""/>
      <w:lvlJc w:val="left"/>
      <w:pPr>
        <w:ind w:left="1070" w:hanging="36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6"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E537B19"/>
    <w:multiLevelType w:val="hybridMultilevel"/>
    <w:tmpl w:val="71460710"/>
    <w:lvl w:ilvl="0" w:tplc="4B2ADFF8">
      <w:start w:val="1"/>
      <w:numFmt w:val="upperLetter"/>
      <w:lvlText w:val="%1."/>
      <w:lvlJc w:val="left"/>
      <w:pPr>
        <w:ind w:left="360" w:hanging="360"/>
      </w:pPr>
      <w:rPr>
        <w:rFonts w:eastAsiaTheme="minorHAnsi" w:hint="default"/>
        <w:i w:val="0"/>
        <w:iCs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27094886">
    <w:abstractNumId w:val="16"/>
  </w:num>
  <w:num w:numId="2" w16cid:durableId="1270697407">
    <w:abstractNumId w:val="35"/>
  </w:num>
  <w:num w:numId="3" w16cid:durableId="2008897656">
    <w:abstractNumId w:val="0"/>
  </w:num>
  <w:num w:numId="4" w16cid:durableId="1910841179">
    <w:abstractNumId w:val="26"/>
  </w:num>
  <w:num w:numId="5" w16cid:durableId="739450526">
    <w:abstractNumId w:val="37"/>
  </w:num>
  <w:num w:numId="6" w16cid:durableId="1643925023">
    <w:abstractNumId w:val="32"/>
  </w:num>
  <w:num w:numId="7" w16cid:durableId="1538347803">
    <w:abstractNumId w:val="23"/>
  </w:num>
  <w:num w:numId="8" w16cid:durableId="1172911864">
    <w:abstractNumId w:val="20"/>
  </w:num>
  <w:num w:numId="9" w16cid:durableId="1166941376">
    <w:abstractNumId w:val="1"/>
  </w:num>
  <w:num w:numId="10" w16cid:durableId="936332715">
    <w:abstractNumId w:val="35"/>
  </w:num>
  <w:num w:numId="11" w16cid:durableId="24331289">
    <w:abstractNumId w:val="31"/>
  </w:num>
  <w:num w:numId="12" w16cid:durableId="169225007">
    <w:abstractNumId w:val="33"/>
  </w:num>
  <w:num w:numId="13" w16cid:durableId="1071653759">
    <w:abstractNumId w:val="14"/>
  </w:num>
  <w:num w:numId="14" w16cid:durableId="1119447885">
    <w:abstractNumId w:val="11"/>
  </w:num>
  <w:num w:numId="15" w16cid:durableId="1022900248">
    <w:abstractNumId w:val="29"/>
  </w:num>
  <w:num w:numId="16" w16cid:durableId="1076829611">
    <w:abstractNumId w:val="2"/>
  </w:num>
  <w:num w:numId="17" w16cid:durableId="2799963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8150258">
    <w:abstractNumId w:val="36"/>
  </w:num>
  <w:num w:numId="19" w16cid:durableId="1200967804">
    <w:abstractNumId w:val="25"/>
  </w:num>
  <w:num w:numId="20" w16cid:durableId="78062961">
    <w:abstractNumId w:val="8"/>
  </w:num>
  <w:num w:numId="21" w16cid:durableId="928151920">
    <w:abstractNumId w:val="7"/>
  </w:num>
  <w:num w:numId="22" w16cid:durableId="454062285">
    <w:abstractNumId w:val="22"/>
  </w:num>
  <w:num w:numId="23" w16cid:durableId="1386217486">
    <w:abstractNumId w:val="10"/>
  </w:num>
  <w:num w:numId="24" w16cid:durableId="326832252">
    <w:abstractNumId w:val="4"/>
  </w:num>
  <w:num w:numId="25" w16cid:durableId="495269975">
    <w:abstractNumId w:val="17"/>
  </w:num>
  <w:num w:numId="26" w16cid:durableId="1436823293">
    <w:abstractNumId w:val="24"/>
  </w:num>
  <w:num w:numId="27" w16cid:durableId="162471854">
    <w:abstractNumId w:val="19"/>
  </w:num>
  <w:num w:numId="28" w16cid:durableId="63068172">
    <w:abstractNumId w:val="38"/>
  </w:num>
  <w:num w:numId="29" w16cid:durableId="814644354">
    <w:abstractNumId w:val="28"/>
  </w:num>
  <w:num w:numId="30" w16cid:durableId="768818244">
    <w:abstractNumId w:val="15"/>
  </w:num>
  <w:num w:numId="31" w16cid:durableId="1834177632">
    <w:abstractNumId w:val="12"/>
  </w:num>
  <w:num w:numId="32" w16cid:durableId="253170249">
    <w:abstractNumId w:val="13"/>
  </w:num>
  <w:num w:numId="33" w16cid:durableId="1026714893">
    <w:abstractNumId w:val="21"/>
  </w:num>
  <w:num w:numId="34" w16cid:durableId="1151368587">
    <w:abstractNumId w:val="35"/>
  </w:num>
  <w:num w:numId="35" w16cid:durableId="15926632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15735739">
    <w:abstractNumId w:val="35"/>
  </w:num>
  <w:num w:numId="37" w16cid:durableId="549918721">
    <w:abstractNumId w:val="35"/>
  </w:num>
  <w:num w:numId="38" w16cid:durableId="2037077017">
    <w:abstractNumId w:val="35"/>
  </w:num>
  <w:num w:numId="39" w16cid:durableId="2000378123">
    <w:abstractNumId w:val="18"/>
  </w:num>
  <w:num w:numId="40" w16cid:durableId="2085565248">
    <w:abstractNumId w:val="27"/>
  </w:num>
  <w:num w:numId="41" w16cid:durableId="1812406404">
    <w:abstractNumId w:val="9"/>
  </w:num>
  <w:num w:numId="42" w16cid:durableId="2013559251">
    <w:abstractNumId w:val="3"/>
  </w:num>
  <w:num w:numId="43" w16cid:durableId="433014049">
    <w:abstractNumId w:val="34"/>
  </w:num>
  <w:num w:numId="44" w16cid:durableId="1925799928">
    <w:abstractNumId w:val="5"/>
  </w:num>
  <w:num w:numId="45" w16cid:durableId="1091587855">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2BB"/>
    <w:rsid w:val="0000080A"/>
    <w:rsid w:val="0000096D"/>
    <w:rsid w:val="00001663"/>
    <w:rsid w:val="000025AD"/>
    <w:rsid w:val="00002693"/>
    <w:rsid w:val="0000335D"/>
    <w:rsid w:val="00003EC5"/>
    <w:rsid w:val="000041A8"/>
    <w:rsid w:val="00006782"/>
    <w:rsid w:val="00007113"/>
    <w:rsid w:val="0001179A"/>
    <w:rsid w:val="00011A59"/>
    <w:rsid w:val="00014D69"/>
    <w:rsid w:val="00016A41"/>
    <w:rsid w:val="000214D1"/>
    <w:rsid w:val="00021F20"/>
    <w:rsid w:val="0002464A"/>
    <w:rsid w:val="00024F39"/>
    <w:rsid w:val="00025A04"/>
    <w:rsid w:val="0002693D"/>
    <w:rsid w:val="0003050E"/>
    <w:rsid w:val="00030A83"/>
    <w:rsid w:val="0003106B"/>
    <w:rsid w:val="00031D0A"/>
    <w:rsid w:val="000335B9"/>
    <w:rsid w:val="00034905"/>
    <w:rsid w:val="00036D35"/>
    <w:rsid w:val="00037906"/>
    <w:rsid w:val="00040A30"/>
    <w:rsid w:val="000421A1"/>
    <w:rsid w:val="0004240E"/>
    <w:rsid w:val="000425A2"/>
    <w:rsid w:val="00043282"/>
    <w:rsid w:val="00044E52"/>
    <w:rsid w:val="00044EC4"/>
    <w:rsid w:val="00045E26"/>
    <w:rsid w:val="00046903"/>
    <w:rsid w:val="0004724F"/>
    <w:rsid w:val="000514B5"/>
    <w:rsid w:val="000521ED"/>
    <w:rsid w:val="0005322E"/>
    <w:rsid w:val="00054E2B"/>
    <w:rsid w:val="00060E64"/>
    <w:rsid w:val="00061742"/>
    <w:rsid w:val="000621AB"/>
    <w:rsid w:val="00062C03"/>
    <w:rsid w:val="00062E88"/>
    <w:rsid w:val="000637F2"/>
    <w:rsid w:val="00065A19"/>
    <w:rsid w:val="00066193"/>
    <w:rsid w:val="00066755"/>
    <w:rsid w:val="00066C4C"/>
    <w:rsid w:val="00071A5B"/>
    <w:rsid w:val="00072730"/>
    <w:rsid w:val="0007337F"/>
    <w:rsid w:val="00073EC4"/>
    <w:rsid w:val="00074320"/>
    <w:rsid w:val="000763D5"/>
    <w:rsid w:val="00076C38"/>
    <w:rsid w:val="00077143"/>
    <w:rsid w:val="00077C6F"/>
    <w:rsid w:val="00077DF7"/>
    <w:rsid w:val="0008050C"/>
    <w:rsid w:val="00082169"/>
    <w:rsid w:val="000834BE"/>
    <w:rsid w:val="00083F01"/>
    <w:rsid w:val="000875A5"/>
    <w:rsid w:val="00087C4C"/>
    <w:rsid w:val="000918CB"/>
    <w:rsid w:val="00091B06"/>
    <w:rsid w:val="000946A6"/>
    <w:rsid w:val="000951C4"/>
    <w:rsid w:val="00095ADA"/>
    <w:rsid w:val="00095F3A"/>
    <w:rsid w:val="000969AD"/>
    <w:rsid w:val="000975FB"/>
    <w:rsid w:val="000A02F8"/>
    <w:rsid w:val="000A15F7"/>
    <w:rsid w:val="000A3AA2"/>
    <w:rsid w:val="000A42EF"/>
    <w:rsid w:val="000A44B2"/>
    <w:rsid w:val="000A52F6"/>
    <w:rsid w:val="000A58B8"/>
    <w:rsid w:val="000B435D"/>
    <w:rsid w:val="000B44C3"/>
    <w:rsid w:val="000B4A90"/>
    <w:rsid w:val="000B558D"/>
    <w:rsid w:val="000B5A89"/>
    <w:rsid w:val="000B65F6"/>
    <w:rsid w:val="000B7767"/>
    <w:rsid w:val="000C1AFF"/>
    <w:rsid w:val="000C5740"/>
    <w:rsid w:val="000C5F95"/>
    <w:rsid w:val="000C6996"/>
    <w:rsid w:val="000C7C46"/>
    <w:rsid w:val="000D09E9"/>
    <w:rsid w:val="000D113F"/>
    <w:rsid w:val="000D23BA"/>
    <w:rsid w:val="000D4CDE"/>
    <w:rsid w:val="000E19B7"/>
    <w:rsid w:val="000E20FC"/>
    <w:rsid w:val="000E3C1D"/>
    <w:rsid w:val="000E3D38"/>
    <w:rsid w:val="000E3DFB"/>
    <w:rsid w:val="000E5EA1"/>
    <w:rsid w:val="000E681E"/>
    <w:rsid w:val="000E696B"/>
    <w:rsid w:val="000E7E52"/>
    <w:rsid w:val="000E7E90"/>
    <w:rsid w:val="000EE1C7"/>
    <w:rsid w:val="000F0003"/>
    <w:rsid w:val="000F01FD"/>
    <w:rsid w:val="000F3384"/>
    <w:rsid w:val="000F46F2"/>
    <w:rsid w:val="000F4E6A"/>
    <w:rsid w:val="000F6ABB"/>
    <w:rsid w:val="000F7354"/>
    <w:rsid w:val="000F7C27"/>
    <w:rsid w:val="00101ABE"/>
    <w:rsid w:val="00102202"/>
    <w:rsid w:val="00102700"/>
    <w:rsid w:val="00102A78"/>
    <w:rsid w:val="00103118"/>
    <w:rsid w:val="00103F1B"/>
    <w:rsid w:val="00104227"/>
    <w:rsid w:val="001053D5"/>
    <w:rsid w:val="00107409"/>
    <w:rsid w:val="001107BF"/>
    <w:rsid w:val="00113649"/>
    <w:rsid w:val="00113D5C"/>
    <w:rsid w:val="00113EC6"/>
    <w:rsid w:val="00116B03"/>
    <w:rsid w:val="00120AA6"/>
    <w:rsid w:val="0012143B"/>
    <w:rsid w:val="0012162B"/>
    <w:rsid w:val="001239DB"/>
    <w:rsid w:val="0012417C"/>
    <w:rsid w:val="00124BF2"/>
    <w:rsid w:val="00125837"/>
    <w:rsid w:val="0012597F"/>
    <w:rsid w:val="00126B19"/>
    <w:rsid w:val="00126D3A"/>
    <w:rsid w:val="0012749D"/>
    <w:rsid w:val="00127A23"/>
    <w:rsid w:val="00130053"/>
    <w:rsid w:val="001306A5"/>
    <w:rsid w:val="00130918"/>
    <w:rsid w:val="001311AE"/>
    <w:rsid w:val="00134994"/>
    <w:rsid w:val="00134DEA"/>
    <w:rsid w:val="001366C2"/>
    <w:rsid w:val="00136C17"/>
    <w:rsid w:val="00140B74"/>
    <w:rsid w:val="00140D94"/>
    <w:rsid w:val="00141910"/>
    <w:rsid w:val="00142395"/>
    <w:rsid w:val="0014250D"/>
    <w:rsid w:val="00142714"/>
    <w:rsid w:val="00142D64"/>
    <w:rsid w:val="00143C55"/>
    <w:rsid w:val="00144D09"/>
    <w:rsid w:val="00144E06"/>
    <w:rsid w:val="001452ED"/>
    <w:rsid w:val="00147D84"/>
    <w:rsid w:val="00151CBD"/>
    <w:rsid w:val="0015253D"/>
    <w:rsid w:val="001533C3"/>
    <w:rsid w:val="001549C1"/>
    <w:rsid w:val="00154A0A"/>
    <w:rsid w:val="00156C8D"/>
    <w:rsid w:val="00160F4D"/>
    <w:rsid w:val="00161AE9"/>
    <w:rsid w:val="001626CB"/>
    <w:rsid w:val="00162BDD"/>
    <w:rsid w:val="00162D4E"/>
    <w:rsid w:val="00162EC9"/>
    <w:rsid w:val="00163329"/>
    <w:rsid w:val="00164623"/>
    <w:rsid w:val="001652DE"/>
    <w:rsid w:val="001653EC"/>
    <w:rsid w:val="00165B64"/>
    <w:rsid w:val="001678EA"/>
    <w:rsid w:val="00167C39"/>
    <w:rsid w:val="00176B9D"/>
    <w:rsid w:val="00180713"/>
    <w:rsid w:val="00180720"/>
    <w:rsid w:val="001830CE"/>
    <w:rsid w:val="001836E3"/>
    <w:rsid w:val="00184659"/>
    <w:rsid w:val="001860E5"/>
    <w:rsid w:val="0018643B"/>
    <w:rsid w:val="00186C82"/>
    <w:rsid w:val="00190472"/>
    <w:rsid w:val="001958B1"/>
    <w:rsid w:val="00196307"/>
    <w:rsid w:val="00197C70"/>
    <w:rsid w:val="00197F03"/>
    <w:rsid w:val="001A0D10"/>
    <w:rsid w:val="001A33EA"/>
    <w:rsid w:val="001A3615"/>
    <w:rsid w:val="001A4413"/>
    <w:rsid w:val="001A4C4F"/>
    <w:rsid w:val="001A5A2B"/>
    <w:rsid w:val="001A697D"/>
    <w:rsid w:val="001A76FB"/>
    <w:rsid w:val="001B017F"/>
    <w:rsid w:val="001B0B79"/>
    <w:rsid w:val="001B19EA"/>
    <w:rsid w:val="001B2BBC"/>
    <w:rsid w:val="001B2BCD"/>
    <w:rsid w:val="001B3A40"/>
    <w:rsid w:val="001B3FFE"/>
    <w:rsid w:val="001B5129"/>
    <w:rsid w:val="001C0B4C"/>
    <w:rsid w:val="001C0EC4"/>
    <w:rsid w:val="001C1195"/>
    <w:rsid w:val="001C12AE"/>
    <w:rsid w:val="001C1E84"/>
    <w:rsid w:val="001C20E1"/>
    <w:rsid w:val="001C2A0F"/>
    <w:rsid w:val="001C2E42"/>
    <w:rsid w:val="001C3C73"/>
    <w:rsid w:val="001D1F5F"/>
    <w:rsid w:val="001D2492"/>
    <w:rsid w:val="001D6F01"/>
    <w:rsid w:val="001E06D2"/>
    <w:rsid w:val="001E17C4"/>
    <w:rsid w:val="001E2D65"/>
    <w:rsid w:val="001F005B"/>
    <w:rsid w:val="001F1850"/>
    <w:rsid w:val="001F1FBF"/>
    <w:rsid w:val="001F2311"/>
    <w:rsid w:val="001F2B80"/>
    <w:rsid w:val="001F2F1C"/>
    <w:rsid w:val="001F3189"/>
    <w:rsid w:val="001F6F2D"/>
    <w:rsid w:val="00200BEA"/>
    <w:rsid w:val="00201FB8"/>
    <w:rsid w:val="00203FAC"/>
    <w:rsid w:val="00213372"/>
    <w:rsid w:val="002133FB"/>
    <w:rsid w:val="00213CFB"/>
    <w:rsid w:val="002145C5"/>
    <w:rsid w:val="0021553C"/>
    <w:rsid w:val="0021557B"/>
    <w:rsid w:val="00216B87"/>
    <w:rsid w:val="00216C5B"/>
    <w:rsid w:val="002174FD"/>
    <w:rsid w:val="00217BE1"/>
    <w:rsid w:val="00221361"/>
    <w:rsid w:val="002214B9"/>
    <w:rsid w:val="00222680"/>
    <w:rsid w:val="00223370"/>
    <w:rsid w:val="00224D1E"/>
    <w:rsid w:val="00226611"/>
    <w:rsid w:val="00227BC5"/>
    <w:rsid w:val="00230F63"/>
    <w:rsid w:val="00234252"/>
    <w:rsid w:val="0023466E"/>
    <w:rsid w:val="00237AC6"/>
    <w:rsid w:val="00242B64"/>
    <w:rsid w:val="00242BFD"/>
    <w:rsid w:val="00244139"/>
    <w:rsid w:val="00244490"/>
    <w:rsid w:val="00244BEC"/>
    <w:rsid w:val="00245B9C"/>
    <w:rsid w:val="00247656"/>
    <w:rsid w:val="00252587"/>
    <w:rsid w:val="00253499"/>
    <w:rsid w:val="002551A4"/>
    <w:rsid w:val="00257664"/>
    <w:rsid w:val="00260165"/>
    <w:rsid w:val="00260295"/>
    <w:rsid w:val="00265151"/>
    <w:rsid w:val="002657F6"/>
    <w:rsid w:val="00265C2C"/>
    <w:rsid w:val="00266509"/>
    <w:rsid w:val="0027189D"/>
    <w:rsid w:val="00271BA1"/>
    <w:rsid w:val="00272358"/>
    <w:rsid w:val="00272BEA"/>
    <w:rsid w:val="00272E11"/>
    <w:rsid w:val="00273AC5"/>
    <w:rsid w:val="002746C1"/>
    <w:rsid w:val="002762FA"/>
    <w:rsid w:val="00276BE3"/>
    <w:rsid w:val="00277505"/>
    <w:rsid w:val="00277873"/>
    <w:rsid w:val="0028158C"/>
    <w:rsid w:val="002823B6"/>
    <w:rsid w:val="00285642"/>
    <w:rsid w:val="0028678F"/>
    <w:rsid w:val="00290C03"/>
    <w:rsid w:val="00292392"/>
    <w:rsid w:val="00292E3B"/>
    <w:rsid w:val="002933A8"/>
    <w:rsid w:val="00294274"/>
    <w:rsid w:val="0029458F"/>
    <w:rsid w:val="002979AC"/>
    <w:rsid w:val="00297A63"/>
    <w:rsid w:val="002A018F"/>
    <w:rsid w:val="002A0E04"/>
    <w:rsid w:val="002A104C"/>
    <w:rsid w:val="002A1EF7"/>
    <w:rsid w:val="002A2B7B"/>
    <w:rsid w:val="002A43AE"/>
    <w:rsid w:val="002A494D"/>
    <w:rsid w:val="002A4960"/>
    <w:rsid w:val="002A5935"/>
    <w:rsid w:val="002A636A"/>
    <w:rsid w:val="002A755F"/>
    <w:rsid w:val="002B02DE"/>
    <w:rsid w:val="002B0AE0"/>
    <w:rsid w:val="002B12B8"/>
    <w:rsid w:val="002B1AE6"/>
    <w:rsid w:val="002B1D51"/>
    <w:rsid w:val="002B2B7A"/>
    <w:rsid w:val="002B2DE8"/>
    <w:rsid w:val="002B30F8"/>
    <w:rsid w:val="002B388A"/>
    <w:rsid w:val="002B3BFE"/>
    <w:rsid w:val="002B3C1A"/>
    <w:rsid w:val="002B4C2A"/>
    <w:rsid w:val="002B5596"/>
    <w:rsid w:val="002B57EE"/>
    <w:rsid w:val="002B7456"/>
    <w:rsid w:val="002B77D7"/>
    <w:rsid w:val="002B7B15"/>
    <w:rsid w:val="002C0763"/>
    <w:rsid w:val="002C212F"/>
    <w:rsid w:val="002C2F35"/>
    <w:rsid w:val="002C3B63"/>
    <w:rsid w:val="002C4272"/>
    <w:rsid w:val="002C6AA9"/>
    <w:rsid w:val="002C7485"/>
    <w:rsid w:val="002D2641"/>
    <w:rsid w:val="002D283A"/>
    <w:rsid w:val="002D4543"/>
    <w:rsid w:val="002D715F"/>
    <w:rsid w:val="002E022A"/>
    <w:rsid w:val="002E3153"/>
    <w:rsid w:val="002E4A02"/>
    <w:rsid w:val="002E4C24"/>
    <w:rsid w:val="002E5292"/>
    <w:rsid w:val="002E72CA"/>
    <w:rsid w:val="002E75DD"/>
    <w:rsid w:val="002F16AB"/>
    <w:rsid w:val="002F1D07"/>
    <w:rsid w:val="002F348F"/>
    <w:rsid w:val="002F385B"/>
    <w:rsid w:val="002F41F8"/>
    <w:rsid w:val="002F5C5B"/>
    <w:rsid w:val="002F600D"/>
    <w:rsid w:val="002F6C5A"/>
    <w:rsid w:val="002F6F0F"/>
    <w:rsid w:val="002F7E47"/>
    <w:rsid w:val="00300AD6"/>
    <w:rsid w:val="00300B1B"/>
    <w:rsid w:val="003019D0"/>
    <w:rsid w:val="003019DE"/>
    <w:rsid w:val="0030311E"/>
    <w:rsid w:val="003064AF"/>
    <w:rsid w:val="00307DC6"/>
    <w:rsid w:val="00310A8B"/>
    <w:rsid w:val="00310B68"/>
    <w:rsid w:val="00315B91"/>
    <w:rsid w:val="003160D2"/>
    <w:rsid w:val="003173FC"/>
    <w:rsid w:val="00317C6C"/>
    <w:rsid w:val="00320B80"/>
    <w:rsid w:val="00320CD3"/>
    <w:rsid w:val="003215FF"/>
    <w:rsid w:val="00322667"/>
    <w:rsid w:val="0032607C"/>
    <w:rsid w:val="00326E79"/>
    <w:rsid w:val="0032748A"/>
    <w:rsid w:val="003301B1"/>
    <w:rsid w:val="00331189"/>
    <w:rsid w:val="0033263D"/>
    <w:rsid w:val="00334E69"/>
    <w:rsid w:val="0033518A"/>
    <w:rsid w:val="00335535"/>
    <w:rsid w:val="003367EF"/>
    <w:rsid w:val="00341AE4"/>
    <w:rsid w:val="003425CA"/>
    <w:rsid w:val="00343FB7"/>
    <w:rsid w:val="003464BC"/>
    <w:rsid w:val="003476EE"/>
    <w:rsid w:val="00352596"/>
    <w:rsid w:val="00354107"/>
    <w:rsid w:val="003541DD"/>
    <w:rsid w:val="00354A7D"/>
    <w:rsid w:val="00355719"/>
    <w:rsid w:val="00356E5B"/>
    <w:rsid w:val="00360887"/>
    <w:rsid w:val="00360CCF"/>
    <w:rsid w:val="0036249F"/>
    <w:rsid w:val="00362615"/>
    <w:rsid w:val="003654D9"/>
    <w:rsid w:val="003704A3"/>
    <w:rsid w:val="00371246"/>
    <w:rsid w:val="003736C9"/>
    <w:rsid w:val="00373A37"/>
    <w:rsid w:val="00373E4C"/>
    <w:rsid w:val="00374F8C"/>
    <w:rsid w:val="00377592"/>
    <w:rsid w:val="00381573"/>
    <w:rsid w:val="00383B77"/>
    <w:rsid w:val="00384988"/>
    <w:rsid w:val="003872CF"/>
    <w:rsid w:val="003874CB"/>
    <w:rsid w:val="00393CA7"/>
    <w:rsid w:val="00396E08"/>
    <w:rsid w:val="003970DD"/>
    <w:rsid w:val="0039782C"/>
    <w:rsid w:val="003A13A6"/>
    <w:rsid w:val="003A1930"/>
    <w:rsid w:val="003A2165"/>
    <w:rsid w:val="003A3AF3"/>
    <w:rsid w:val="003A3FD4"/>
    <w:rsid w:val="003A5B4A"/>
    <w:rsid w:val="003A5D95"/>
    <w:rsid w:val="003A6510"/>
    <w:rsid w:val="003A74E2"/>
    <w:rsid w:val="003B0D3A"/>
    <w:rsid w:val="003B2302"/>
    <w:rsid w:val="003B23C5"/>
    <w:rsid w:val="003B2A75"/>
    <w:rsid w:val="003B49B2"/>
    <w:rsid w:val="003B6124"/>
    <w:rsid w:val="003B7960"/>
    <w:rsid w:val="003B7E6D"/>
    <w:rsid w:val="003C0908"/>
    <w:rsid w:val="003C093A"/>
    <w:rsid w:val="003C1ECF"/>
    <w:rsid w:val="003C2FB5"/>
    <w:rsid w:val="003C412E"/>
    <w:rsid w:val="003C6B2F"/>
    <w:rsid w:val="003D24C5"/>
    <w:rsid w:val="003D3146"/>
    <w:rsid w:val="003D4594"/>
    <w:rsid w:val="003D4AC4"/>
    <w:rsid w:val="003D5433"/>
    <w:rsid w:val="003D62CE"/>
    <w:rsid w:val="003D63B7"/>
    <w:rsid w:val="003D68A0"/>
    <w:rsid w:val="003D74C5"/>
    <w:rsid w:val="003E4374"/>
    <w:rsid w:val="003E468B"/>
    <w:rsid w:val="003E62BD"/>
    <w:rsid w:val="003E658D"/>
    <w:rsid w:val="003F044F"/>
    <w:rsid w:val="003F0C3A"/>
    <w:rsid w:val="003F15F0"/>
    <w:rsid w:val="003F2AD9"/>
    <w:rsid w:val="003F3228"/>
    <w:rsid w:val="003F5C8C"/>
    <w:rsid w:val="003F63CE"/>
    <w:rsid w:val="003F775A"/>
    <w:rsid w:val="00400E25"/>
    <w:rsid w:val="00400E55"/>
    <w:rsid w:val="0040128E"/>
    <w:rsid w:val="00401640"/>
    <w:rsid w:val="0040216B"/>
    <w:rsid w:val="0040285F"/>
    <w:rsid w:val="00404852"/>
    <w:rsid w:val="0040590E"/>
    <w:rsid w:val="00407CC8"/>
    <w:rsid w:val="00414F0C"/>
    <w:rsid w:val="00415401"/>
    <w:rsid w:val="00417DE3"/>
    <w:rsid w:val="00420400"/>
    <w:rsid w:val="00423E78"/>
    <w:rsid w:val="004252EC"/>
    <w:rsid w:val="0042776D"/>
    <w:rsid w:val="00427AF4"/>
    <w:rsid w:val="00430D39"/>
    <w:rsid w:val="00431711"/>
    <w:rsid w:val="00435895"/>
    <w:rsid w:val="00442C91"/>
    <w:rsid w:val="00444E9D"/>
    <w:rsid w:val="004465BD"/>
    <w:rsid w:val="00446938"/>
    <w:rsid w:val="004528FA"/>
    <w:rsid w:val="00452A6C"/>
    <w:rsid w:val="00461A44"/>
    <w:rsid w:val="00462D26"/>
    <w:rsid w:val="0046368B"/>
    <w:rsid w:val="0046385A"/>
    <w:rsid w:val="00464039"/>
    <w:rsid w:val="00466ADA"/>
    <w:rsid w:val="004702BB"/>
    <w:rsid w:val="0047494B"/>
    <w:rsid w:val="00476226"/>
    <w:rsid w:val="00476245"/>
    <w:rsid w:val="00477A9B"/>
    <w:rsid w:val="00482AE4"/>
    <w:rsid w:val="00483035"/>
    <w:rsid w:val="00485940"/>
    <w:rsid w:val="00486C95"/>
    <w:rsid w:val="004877C2"/>
    <w:rsid w:val="004904B9"/>
    <w:rsid w:val="00491EDC"/>
    <w:rsid w:val="004928E1"/>
    <w:rsid w:val="00492D8D"/>
    <w:rsid w:val="00496662"/>
    <w:rsid w:val="004A1431"/>
    <w:rsid w:val="004A2484"/>
    <w:rsid w:val="004A3443"/>
    <w:rsid w:val="004A5A85"/>
    <w:rsid w:val="004A71D1"/>
    <w:rsid w:val="004A7B63"/>
    <w:rsid w:val="004A7C5B"/>
    <w:rsid w:val="004B1845"/>
    <w:rsid w:val="004B2348"/>
    <w:rsid w:val="004B29C9"/>
    <w:rsid w:val="004B2E01"/>
    <w:rsid w:val="004B2E98"/>
    <w:rsid w:val="004B340F"/>
    <w:rsid w:val="004B3B43"/>
    <w:rsid w:val="004B5640"/>
    <w:rsid w:val="004B6084"/>
    <w:rsid w:val="004BCF29"/>
    <w:rsid w:val="004C0206"/>
    <w:rsid w:val="004C03D0"/>
    <w:rsid w:val="004C14FF"/>
    <w:rsid w:val="004C1BD7"/>
    <w:rsid w:val="004C1BF2"/>
    <w:rsid w:val="004C239C"/>
    <w:rsid w:val="004C31FE"/>
    <w:rsid w:val="004C524C"/>
    <w:rsid w:val="004C5D81"/>
    <w:rsid w:val="004C5EDD"/>
    <w:rsid w:val="004C5FFA"/>
    <w:rsid w:val="004C691D"/>
    <w:rsid w:val="004C6C07"/>
    <w:rsid w:val="004C7E15"/>
    <w:rsid w:val="004C7EC6"/>
    <w:rsid w:val="004D2CD1"/>
    <w:rsid w:val="004D3558"/>
    <w:rsid w:val="004D365C"/>
    <w:rsid w:val="004D4FF6"/>
    <w:rsid w:val="004D5ADD"/>
    <w:rsid w:val="004E0CC3"/>
    <w:rsid w:val="004E5522"/>
    <w:rsid w:val="004E692D"/>
    <w:rsid w:val="004E7230"/>
    <w:rsid w:val="004E7D87"/>
    <w:rsid w:val="004F2553"/>
    <w:rsid w:val="004F306A"/>
    <w:rsid w:val="00501554"/>
    <w:rsid w:val="00502AFE"/>
    <w:rsid w:val="00502E64"/>
    <w:rsid w:val="00503AD7"/>
    <w:rsid w:val="00503E89"/>
    <w:rsid w:val="00503F62"/>
    <w:rsid w:val="00504E0C"/>
    <w:rsid w:val="00504E13"/>
    <w:rsid w:val="005109D4"/>
    <w:rsid w:val="0051230A"/>
    <w:rsid w:val="00514CD7"/>
    <w:rsid w:val="005167EC"/>
    <w:rsid w:val="005170DA"/>
    <w:rsid w:val="00520CC1"/>
    <w:rsid w:val="00520D6A"/>
    <w:rsid w:val="00522DB6"/>
    <w:rsid w:val="005264A7"/>
    <w:rsid w:val="0052792D"/>
    <w:rsid w:val="00530C98"/>
    <w:rsid w:val="005319B2"/>
    <w:rsid w:val="00532402"/>
    <w:rsid w:val="00532C74"/>
    <w:rsid w:val="00533239"/>
    <w:rsid w:val="00534E2E"/>
    <w:rsid w:val="00535133"/>
    <w:rsid w:val="00535A77"/>
    <w:rsid w:val="0054008B"/>
    <w:rsid w:val="0054064C"/>
    <w:rsid w:val="00544552"/>
    <w:rsid w:val="00545130"/>
    <w:rsid w:val="00546B36"/>
    <w:rsid w:val="00551628"/>
    <w:rsid w:val="0055286A"/>
    <w:rsid w:val="00555745"/>
    <w:rsid w:val="00557D4F"/>
    <w:rsid w:val="00560265"/>
    <w:rsid w:val="0056122E"/>
    <w:rsid w:val="00561DB1"/>
    <w:rsid w:val="00561DBC"/>
    <w:rsid w:val="0056484E"/>
    <w:rsid w:val="00565999"/>
    <w:rsid w:val="00567D8A"/>
    <w:rsid w:val="00570095"/>
    <w:rsid w:val="00570231"/>
    <w:rsid w:val="005714B7"/>
    <w:rsid w:val="005764CD"/>
    <w:rsid w:val="00577C4D"/>
    <w:rsid w:val="00580532"/>
    <w:rsid w:val="00580DFF"/>
    <w:rsid w:val="00581932"/>
    <w:rsid w:val="00583002"/>
    <w:rsid w:val="00583931"/>
    <w:rsid w:val="005903BB"/>
    <w:rsid w:val="00593893"/>
    <w:rsid w:val="005963BB"/>
    <w:rsid w:val="0059645C"/>
    <w:rsid w:val="00596D37"/>
    <w:rsid w:val="005A15D2"/>
    <w:rsid w:val="005A3173"/>
    <w:rsid w:val="005A3223"/>
    <w:rsid w:val="005A3DA3"/>
    <w:rsid w:val="005A52C4"/>
    <w:rsid w:val="005A63A1"/>
    <w:rsid w:val="005B0486"/>
    <w:rsid w:val="005B1032"/>
    <w:rsid w:val="005B1473"/>
    <w:rsid w:val="005B36FA"/>
    <w:rsid w:val="005C3084"/>
    <w:rsid w:val="005C3389"/>
    <w:rsid w:val="005C3CE4"/>
    <w:rsid w:val="005C4614"/>
    <w:rsid w:val="005C4F73"/>
    <w:rsid w:val="005D03AB"/>
    <w:rsid w:val="005D401D"/>
    <w:rsid w:val="005D5017"/>
    <w:rsid w:val="005D5708"/>
    <w:rsid w:val="005D63FA"/>
    <w:rsid w:val="005D643D"/>
    <w:rsid w:val="005D73C7"/>
    <w:rsid w:val="005E0C2D"/>
    <w:rsid w:val="005E0D82"/>
    <w:rsid w:val="005E0F59"/>
    <w:rsid w:val="005E1333"/>
    <w:rsid w:val="005E3136"/>
    <w:rsid w:val="005E507D"/>
    <w:rsid w:val="005E5651"/>
    <w:rsid w:val="005F0AD0"/>
    <w:rsid w:val="005F42ED"/>
    <w:rsid w:val="00601A91"/>
    <w:rsid w:val="00602BA3"/>
    <w:rsid w:val="00602BDE"/>
    <w:rsid w:val="0060304C"/>
    <w:rsid w:val="00605B63"/>
    <w:rsid w:val="00605F9A"/>
    <w:rsid w:val="00606442"/>
    <w:rsid w:val="00606EED"/>
    <w:rsid w:val="006076D7"/>
    <w:rsid w:val="00607DDB"/>
    <w:rsid w:val="00612979"/>
    <w:rsid w:val="00612A95"/>
    <w:rsid w:val="00612E34"/>
    <w:rsid w:val="00614159"/>
    <w:rsid w:val="00614F22"/>
    <w:rsid w:val="006158A3"/>
    <w:rsid w:val="00616C5F"/>
    <w:rsid w:val="00616DAC"/>
    <w:rsid w:val="00617725"/>
    <w:rsid w:val="00617C00"/>
    <w:rsid w:val="00621906"/>
    <w:rsid w:val="006263BF"/>
    <w:rsid w:val="0062748A"/>
    <w:rsid w:val="006278D8"/>
    <w:rsid w:val="00630546"/>
    <w:rsid w:val="00630A2C"/>
    <w:rsid w:val="00631AC4"/>
    <w:rsid w:val="00633262"/>
    <w:rsid w:val="00634A75"/>
    <w:rsid w:val="0063682E"/>
    <w:rsid w:val="00640088"/>
    <w:rsid w:val="00642672"/>
    <w:rsid w:val="00642DA8"/>
    <w:rsid w:val="006436CD"/>
    <w:rsid w:val="00650976"/>
    <w:rsid w:val="00651169"/>
    <w:rsid w:val="00653D69"/>
    <w:rsid w:val="006552E6"/>
    <w:rsid w:val="00655794"/>
    <w:rsid w:val="00656F2F"/>
    <w:rsid w:val="00657C63"/>
    <w:rsid w:val="00661CBC"/>
    <w:rsid w:val="00662285"/>
    <w:rsid w:val="00662B85"/>
    <w:rsid w:val="006670B3"/>
    <w:rsid w:val="006670BE"/>
    <w:rsid w:val="00667684"/>
    <w:rsid w:val="00670A76"/>
    <w:rsid w:val="006711AA"/>
    <w:rsid w:val="00672B57"/>
    <w:rsid w:val="00673F1F"/>
    <w:rsid w:val="00675622"/>
    <w:rsid w:val="00675DEB"/>
    <w:rsid w:val="0067747D"/>
    <w:rsid w:val="006777E7"/>
    <w:rsid w:val="00681693"/>
    <w:rsid w:val="006818D5"/>
    <w:rsid w:val="00681CA4"/>
    <w:rsid w:val="00683E70"/>
    <w:rsid w:val="00685561"/>
    <w:rsid w:val="006860A7"/>
    <w:rsid w:val="00686559"/>
    <w:rsid w:val="006869AA"/>
    <w:rsid w:val="0069039D"/>
    <w:rsid w:val="006906DB"/>
    <w:rsid w:val="00691900"/>
    <w:rsid w:val="00691E6C"/>
    <w:rsid w:val="00693425"/>
    <w:rsid w:val="0069342D"/>
    <w:rsid w:val="00693DFB"/>
    <w:rsid w:val="00694FD5"/>
    <w:rsid w:val="0069501D"/>
    <w:rsid w:val="00696129"/>
    <w:rsid w:val="00697CF2"/>
    <w:rsid w:val="006A0CBC"/>
    <w:rsid w:val="006A0E92"/>
    <w:rsid w:val="006A12A5"/>
    <w:rsid w:val="006A2515"/>
    <w:rsid w:val="006A572D"/>
    <w:rsid w:val="006A5E20"/>
    <w:rsid w:val="006A7846"/>
    <w:rsid w:val="006B0B1B"/>
    <w:rsid w:val="006B0D94"/>
    <w:rsid w:val="006B16B6"/>
    <w:rsid w:val="006B4501"/>
    <w:rsid w:val="006B485D"/>
    <w:rsid w:val="006B7DDA"/>
    <w:rsid w:val="006C0C45"/>
    <w:rsid w:val="006C1EA7"/>
    <w:rsid w:val="006C2806"/>
    <w:rsid w:val="006C334C"/>
    <w:rsid w:val="006C6C10"/>
    <w:rsid w:val="006C708E"/>
    <w:rsid w:val="006D14E7"/>
    <w:rsid w:val="006D1B0B"/>
    <w:rsid w:val="006D2E2B"/>
    <w:rsid w:val="006D4444"/>
    <w:rsid w:val="006D6493"/>
    <w:rsid w:val="006D6EC7"/>
    <w:rsid w:val="006D7B05"/>
    <w:rsid w:val="006D7E45"/>
    <w:rsid w:val="006E1143"/>
    <w:rsid w:val="006E11BF"/>
    <w:rsid w:val="006E1BCD"/>
    <w:rsid w:val="006E2732"/>
    <w:rsid w:val="006E401E"/>
    <w:rsid w:val="006E59CD"/>
    <w:rsid w:val="006F00ED"/>
    <w:rsid w:val="006F026F"/>
    <w:rsid w:val="006F0A71"/>
    <w:rsid w:val="006F0AD4"/>
    <w:rsid w:val="006F1C6B"/>
    <w:rsid w:val="006F40C2"/>
    <w:rsid w:val="006F5125"/>
    <w:rsid w:val="006F733D"/>
    <w:rsid w:val="00700765"/>
    <w:rsid w:val="00700CA0"/>
    <w:rsid w:val="00701465"/>
    <w:rsid w:val="00702491"/>
    <w:rsid w:val="00702959"/>
    <w:rsid w:val="00702B6F"/>
    <w:rsid w:val="007030B4"/>
    <w:rsid w:val="00703B86"/>
    <w:rsid w:val="00704069"/>
    <w:rsid w:val="00706A2F"/>
    <w:rsid w:val="0070714E"/>
    <w:rsid w:val="0070718E"/>
    <w:rsid w:val="00707E52"/>
    <w:rsid w:val="00710259"/>
    <w:rsid w:val="0071031F"/>
    <w:rsid w:val="00710737"/>
    <w:rsid w:val="00710D76"/>
    <w:rsid w:val="007132D8"/>
    <w:rsid w:val="0071340B"/>
    <w:rsid w:val="00713C50"/>
    <w:rsid w:val="0071436D"/>
    <w:rsid w:val="00715BBB"/>
    <w:rsid w:val="007174BB"/>
    <w:rsid w:val="0072025D"/>
    <w:rsid w:val="00723328"/>
    <w:rsid w:val="007237DE"/>
    <w:rsid w:val="0072502E"/>
    <w:rsid w:val="0073137C"/>
    <w:rsid w:val="007340B9"/>
    <w:rsid w:val="00734903"/>
    <w:rsid w:val="007353D3"/>
    <w:rsid w:val="0074156B"/>
    <w:rsid w:val="00741619"/>
    <w:rsid w:val="00742885"/>
    <w:rsid w:val="00747092"/>
    <w:rsid w:val="007477FF"/>
    <w:rsid w:val="007526E6"/>
    <w:rsid w:val="00754992"/>
    <w:rsid w:val="00754DF9"/>
    <w:rsid w:val="007555E8"/>
    <w:rsid w:val="00755CC5"/>
    <w:rsid w:val="0075659C"/>
    <w:rsid w:val="00761644"/>
    <w:rsid w:val="00762862"/>
    <w:rsid w:val="00763521"/>
    <w:rsid w:val="00763956"/>
    <w:rsid w:val="0076420C"/>
    <w:rsid w:val="00766F23"/>
    <w:rsid w:val="007714D8"/>
    <w:rsid w:val="00771D07"/>
    <w:rsid w:val="00772649"/>
    <w:rsid w:val="007728FA"/>
    <w:rsid w:val="00773BE3"/>
    <w:rsid w:val="007743DD"/>
    <w:rsid w:val="00774E2C"/>
    <w:rsid w:val="00774FC4"/>
    <w:rsid w:val="0077503C"/>
    <w:rsid w:val="0077518D"/>
    <w:rsid w:val="007753C2"/>
    <w:rsid w:val="00776068"/>
    <w:rsid w:val="0077665A"/>
    <w:rsid w:val="007838B8"/>
    <w:rsid w:val="00785779"/>
    <w:rsid w:val="00787FD8"/>
    <w:rsid w:val="007915BA"/>
    <w:rsid w:val="00791844"/>
    <w:rsid w:val="00793CE9"/>
    <w:rsid w:val="007962CF"/>
    <w:rsid w:val="00796667"/>
    <w:rsid w:val="00797068"/>
    <w:rsid w:val="007979BD"/>
    <w:rsid w:val="007A3D8E"/>
    <w:rsid w:val="007A4133"/>
    <w:rsid w:val="007A5C88"/>
    <w:rsid w:val="007A6A2F"/>
    <w:rsid w:val="007B024E"/>
    <w:rsid w:val="007B3BAF"/>
    <w:rsid w:val="007B3DDC"/>
    <w:rsid w:val="007B72A6"/>
    <w:rsid w:val="007C06D2"/>
    <w:rsid w:val="007C08E0"/>
    <w:rsid w:val="007C0F57"/>
    <w:rsid w:val="007C1B62"/>
    <w:rsid w:val="007C2F4B"/>
    <w:rsid w:val="007C40B6"/>
    <w:rsid w:val="007C5975"/>
    <w:rsid w:val="007C721E"/>
    <w:rsid w:val="007C729F"/>
    <w:rsid w:val="007C72AD"/>
    <w:rsid w:val="007D2D3B"/>
    <w:rsid w:val="007D503D"/>
    <w:rsid w:val="007D59E7"/>
    <w:rsid w:val="007D5F2A"/>
    <w:rsid w:val="007E07AC"/>
    <w:rsid w:val="007E1014"/>
    <w:rsid w:val="007E12F8"/>
    <w:rsid w:val="007E1D28"/>
    <w:rsid w:val="007E4564"/>
    <w:rsid w:val="007E490F"/>
    <w:rsid w:val="007E6533"/>
    <w:rsid w:val="007F0021"/>
    <w:rsid w:val="007F1DEF"/>
    <w:rsid w:val="007F2641"/>
    <w:rsid w:val="007F3966"/>
    <w:rsid w:val="007F4640"/>
    <w:rsid w:val="007F7887"/>
    <w:rsid w:val="007F7C36"/>
    <w:rsid w:val="007F7F45"/>
    <w:rsid w:val="0080001F"/>
    <w:rsid w:val="00801958"/>
    <w:rsid w:val="00804043"/>
    <w:rsid w:val="008055AF"/>
    <w:rsid w:val="008057CD"/>
    <w:rsid w:val="008066B8"/>
    <w:rsid w:val="00806796"/>
    <w:rsid w:val="00806B32"/>
    <w:rsid w:val="00810167"/>
    <w:rsid w:val="008104D0"/>
    <w:rsid w:val="00811153"/>
    <w:rsid w:val="00811CC0"/>
    <w:rsid w:val="00813368"/>
    <w:rsid w:val="00814276"/>
    <w:rsid w:val="008151D6"/>
    <w:rsid w:val="00820803"/>
    <w:rsid w:val="00821527"/>
    <w:rsid w:val="008225CE"/>
    <w:rsid w:val="00822696"/>
    <w:rsid w:val="00825A6C"/>
    <w:rsid w:val="0082617E"/>
    <w:rsid w:val="008268BB"/>
    <w:rsid w:val="00826F6D"/>
    <w:rsid w:val="008306F3"/>
    <w:rsid w:val="00830E40"/>
    <w:rsid w:val="00830F56"/>
    <w:rsid w:val="00832D9A"/>
    <w:rsid w:val="00834C9E"/>
    <w:rsid w:val="00835C62"/>
    <w:rsid w:val="008368A1"/>
    <w:rsid w:val="0083709B"/>
    <w:rsid w:val="008409EC"/>
    <w:rsid w:val="00840EF7"/>
    <w:rsid w:val="00844C0A"/>
    <w:rsid w:val="00846056"/>
    <w:rsid w:val="0084681F"/>
    <w:rsid w:val="00847D08"/>
    <w:rsid w:val="00847EC0"/>
    <w:rsid w:val="0085351B"/>
    <w:rsid w:val="00854506"/>
    <w:rsid w:val="00855FD6"/>
    <w:rsid w:val="00856DDD"/>
    <w:rsid w:val="00860233"/>
    <w:rsid w:val="00860842"/>
    <w:rsid w:val="00863E68"/>
    <w:rsid w:val="008647B5"/>
    <w:rsid w:val="00865E80"/>
    <w:rsid w:val="00867D64"/>
    <w:rsid w:val="00870B44"/>
    <w:rsid w:val="00872E8F"/>
    <w:rsid w:val="0087405D"/>
    <w:rsid w:val="00875383"/>
    <w:rsid w:val="00875DCB"/>
    <w:rsid w:val="00876FBF"/>
    <w:rsid w:val="0087755A"/>
    <w:rsid w:val="00882085"/>
    <w:rsid w:val="00883188"/>
    <w:rsid w:val="00884A0C"/>
    <w:rsid w:val="00886ACA"/>
    <w:rsid w:val="00886B01"/>
    <w:rsid w:val="0089004E"/>
    <w:rsid w:val="0089031E"/>
    <w:rsid w:val="00890C3D"/>
    <w:rsid w:val="00890F8A"/>
    <w:rsid w:val="0089109A"/>
    <w:rsid w:val="00893D5C"/>
    <w:rsid w:val="0089460B"/>
    <w:rsid w:val="00897D58"/>
    <w:rsid w:val="00897F22"/>
    <w:rsid w:val="008A0B39"/>
    <w:rsid w:val="008A17A3"/>
    <w:rsid w:val="008A1956"/>
    <w:rsid w:val="008A1E85"/>
    <w:rsid w:val="008A2419"/>
    <w:rsid w:val="008A4937"/>
    <w:rsid w:val="008A50F1"/>
    <w:rsid w:val="008A59D9"/>
    <w:rsid w:val="008A643E"/>
    <w:rsid w:val="008A6819"/>
    <w:rsid w:val="008B007A"/>
    <w:rsid w:val="008B2EC0"/>
    <w:rsid w:val="008B6DCF"/>
    <w:rsid w:val="008C006E"/>
    <w:rsid w:val="008C0487"/>
    <w:rsid w:val="008C2DBD"/>
    <w:rsid w:val="008C4D49"/>
    <w:rsid w:val="008D0945"/>
    <w:rsid w:val="008D1409"/>
    <w:rsid w:val="008D15CC"/>
    <w:rsid w:val="008D1729"/>
    <w:rsid w:val="008D1B5C"/>
    <w:rsid w:val="008D3C82"/>
    <w:rsid w:val="008D447E"/>
    <w:rsid w:val="008D5216"/>
    <w:rsid w:val="008D56F6"/>
    <w:rsid w:val="008D6ACF"/>
    <w:rsid w:val="008D7A41"/>
    <w:rsid w:val="008E2C72"/>
    <w:rsid w:val="008E3680"/>
    <w:rsid w:val="008E4F87"/>
    <w:rsid w:val="008E5870"/>
    <w:rsid w:val="008E77E4"/>
    <w:rsid w:val="008F0213"/>
    <w:rsid w:val="008F07ED"/>
    <w:rsid w:val="008F11F8"/>
    <w:rsid w:val="008F1434"/>
    <w:rsid w:val="008F2B7D"/>
    <w:rsid w:val="008F2BB9"/>
    <w:rsid w:val="008F3D6A"/>
    <w:rsid w:val="008F454F"/>
    <w:rsid w:val="008F54C3"/>
    <w:rsid w:val="008F635D"/>
    <w:rsid w:val="008F7355"/>
    <w:rsid w:val="00901F76"/>
    <w:rsid w:val="009023DC"/>
    <w:rsid w:val="009027C5"/>
    <w:rsid w:val="00904413"/>
    <w:rsid w:val="009067B7"/>
    <w:rsid w:val="00906C4E"/>
    <w:rsid w:val="00906E7A"/>
    <w:rsid w:val="00906E7F"/>
    <w:rsid w:val="0090775A"/>
    <w:rsid w:val="00907DFD"/>
    <w:rsid w:val="00911090"/>
    <w:rsid w:val="0091219D"/>
    <w:rsid w:val="00912F63"/>
    <w:rsid w:val="00913C99"/>
    <w:rsid w:val="00917D69"/>
    <w:rsid w:val="00920B6D"/>
    <w:rsid w:val="00925861"/>
    <w:rsid w:val="00926560"/>
    <w:rsid w:val="00926B15"/>
    <w:rsid w:val="00930291"/>
    <w:rsid w:val="00930937"/>
    <w:rsid w:val="009324A6"/>
    <w:rsid w:val="00933B7D"/>
    <w:rsid w:val="00933E6C"/>
    <w:rsid w:val="00935A6E"/>
    <w:rsid w:val="00937734"/>
    <w:rsid w:val="00937958"/>
    <w:rsid w:val="009406E5"/>
    <w:rsid w:val="00941602"/>
    <w:rsid w:val="00942160"/>
    <w:rsid w:val="009434FF"/>
    <w:rsid w:val="00946166"/>
    <w:rsid w:val="00946921"/>
    <w:rsid w:val="00947343"/>
    <w:rsid w:val="00951388"/>
    <w:rsid w:val="0095146F"/>
    <w:rsid w:val="00951F2D"/>
    <w:rsid w:val="00952839"/>
    <w:rsid w:val="009534C7"/>
    <w:rsid w:val="00957944"/>
    <w:rsid w:val="009602C5"/>
    <w:rsid w:val="0096103A"/>
    <w:rsid w:val="00962223"/>
    <w:rsid w:val="0096252B"/>
    <w:rsid w:val="009644D9"/>
    <w:rsid w:val="00964A9F"/>
    <w:rsid w:val="00966D0D"/>
    <w:rsid w:val="00967732"/>
    <w:rsid w:val="0096783C"/>
    <w:rsid w:val="00970023"/>
    <w:rsid w:val="00971E68"/>
    <w:rsid w:val="009722B3"/>
    <w:rsid w:val="00973E24"/>
    <w:rsid w:val="00974C21"/>
    <w:rsid w:val="00974D5F"/>
    <w:rsid w:val="00975948"/>
    <w:rsid w:val="009772FD"/>
    <w:rsid w:val="00977BF3"/>
    <w:rsid w:val="009803E4"/>
    <w:rsid w:val="00980B0E"/>
    <w:rsid w:val="00982B39"/>
    <w:rsid w:val="009836A3"/>
    <w:rsid w:val="00984C58"/>
    <w:rsid w:val="00984FB9"/>
    <w:rsid w:val="009855A8"/>
    <w:rsid w:val="00985CBE"/>
    <w:rsid w:val="00985D1A"/>
    <w:rsid w:val="00987E7F"/>
    <w:rsid w:val="00990CF8"/>
    <w:rsid w:val="009913F4"/>
    <w:rsid w:val="00991782"/>
    <w:rsid w:val="009930E7"/>
    <w:rsid w:val="009937F7"/>
    <w:rsid w:val="0099465B"/>
    <w:rsid w:val="00994FE9"/>
    <w:rsid w:val="009951A1"/>
    <w:rsid w:val="00997A44"/>
    <w:rsid w:val="00997E5F"/>
    <w:rsid w:val="009A0CDD"/>
    <w:rsid w:val="009A2EBB"/>
    <w:rsid w:val="009A3168"/>
    <w:rsid w:val="009A4621"/>
    <w:rsid w:val="009A4BDF"/>
    <w:rsid w:val="009A5D04"/>
    <w:rsid w:val="009A61CA"/>
    <w:rsid w:val="009B0062"/>
    <w:rsid w:val="009B0C64"/>
    <w:rsid w:val="009B0F67"/>
    <w:rsid w:val="009B208A"/>
    <w:rsid w:val="009B2756"/>
    <w:rsid w:val="009B3D56"/>
    <w:rsid w:val="009B3F8C"/>
    <w:rsid w:val="009B533B"/>
    <w:rsid w:val="009B546B"/>
    <w:rsid w:val="009B7435"/>
    <w:rsid w:val="009C1537"/>
    <w:rsid w:val="009C26AA"/>
    <w:rsid w:val="009C4132"/>
    <w:rsid w:val="009C703C"/>
    <w:rsid w:val="009D0C29"/>
    <w:rsid w:val="009D206E"/>
    <w:rsid w:val="009D3CAA"/>
    <w:rsid w:val="009D507A"/>
    <w:rsid w:val="009D6532"/>
    <w:rsid w:val="009D71FD"/>
    <w:rsid w:val="009D7F38"/>
    <w:rsid w:val="009E06F0"/>
    <w:rsid w:val="009E0755"/>
    <w:rsid w:val="009E10AD"/>
    <w:rsid w:val="009E2588"/>
    <w:rsid w:val="009E2E8E"/>
    <w:rsid w:val="009E31B0"/>
    <w:rsid w:val="009E40E1"/>
    <w:rsid w:val="009E577D"/>
    <w:rsid w:val="009F0EFA"/>
    <w:rsid w:val="009F4E46"/>
    <w:rsid w:val="009F5551"/>
    <w:rsid w:val="009F5B65"/>
    <w:rsid w:val="009F5F2E"/>
    <w:rsid w:val="00A005ED"/>
    <w:rsid w:val="00A01432"/>
    <w:rsid w:val="00A06225"/>
    <w:rsid w:val="00A066E6"/>
    <w:rsid w:val="00A110D1"/>
    <w:rsid w:val="00A12587"/>
    <w:rsid w:val="00A128E6"/>
    <w:rsid w:val="00A14406"/>
    <w:rsid w:val="00A144D3"/>
    <w:rsid w:val="00A17EA7"/>
    <w:rsid w:val="00A21D7D"/>
    <w:rsid w:val="00A22AC3"/>
    <w:rsid w:val="00A2351E"/>
    <w:rsid w:val="00A23F3F"/>
    <w:rsid w:val="00A24067"/>
    <w:rsid w:val="00A24A4B"/>
    <w:rsid w:val="00A2744D"/>
    <w:rsid w:val="00A30D16"/>
    <w:rsid w:val="00A314F1"/>
    <w:rsid w:val="00A33577"/>
    <w:rsid w:val="00A339E5"/>
    <w:rsid w:val="00A33EB7"/>
    <w:rsid w:val="00A34037"/>
    <w:rsid w:val="00A34E6C"/>
    <w:rsid w:val="00A34FD0"/>
    <w:rsid w:val="00A36398"/>
    <w:rsid w:val="00A37C8D"/>
    <w:rsid w:val="00A4020E"/>
    <w:rsid w:val="00A40493"/>
    <w:rsid w:val="00A408E8"/>
    <w:rsid w:val="00A40FB5"/>
    <w:rsid w:val="00A42826"/>
    <w:rsid w:val="00A429B3"/>
    <w:rsid w:val="00A43101"/>
    <w:rsid w:val="00A44EC1"/>
    <w:rsid w:val="00A45138"/>
    <w:rsid w:val="00A46BB0"/>
    <w:rsid w:val="00A46F77"/>
    <w:rsid w:val="00A510E4"/>
    <w:rsid w:val="00A51F8C"/>
    <w:rsid w:val="00A526F7"/>
    <w:rsid w:val="00A5273B"/>
    <w:rsid w:val="00A53A9D"/>
    <w:rsid w:val="00A5436D"/>
    <w:rsid w:val="00A55FEE"/>
    <w:rsid w:val="00A57422"/>
    <w:rsid w:val="00A62C1A"/>
    <w:rsid w:val="00A63CA2"/>
    <w:rsid w:val="00A6426D"/>
    <w:rsid w:val="00A665C1"/>
    <w:rsid w:val="00A673A4"/>
    <w:rsid w:val="00A7001A"/>
    <w:rsid w:val="00A70622"/>
    <w:rsid w:val="00A70977"/>
    <w:rsid w:val="00A70D58"/>
    <w:rsid w:val="00A744F9"/>
    <w:rsid w:val="00A753A1"/>
    <w:rsid w:val="00A77613"/>
    <w:rsid w:val="00A77B87"/>
    <w:rsid w:val="00A801AD"/>
    <w:rsid w:val="00A81851"/>
    <w:rsid w:val="00A8390C"/>
    <w:rsid w:val="00A86AE0"/>
    <w:rsid w:val="00A912B0"/>
    <w:rsid w:val="00A91362"/>
    <w:rsid w:val="00A9151C"/>
    <w:rsid w:val="00A919C6"/>
    <w:rsid w:val="00A928BD"/>
    <w:rsid w:val="00A92D61"/>
    <w:rsid w:val="00A97DE9"/>
    <w:rsid w:val="00AA010D"/>
    <w:rsid w:val="00AA12CD"/>
    <w:rsid w:val="00AA4D1C"/>
    <w:rsid w:val="00AA52FD"/>
    <w:rsid w:val="00AA7006"/>
    <w:rsid w:val="00AB3138"/>
    <w:rsid w:val="00AB4684"/>
    <w:rsid w:val="00AB5856"/>
    <w:rsid w:val="00AC081D"/>
    <w:rsid w:val="00AC0C6F"/>
    <w:rsid w:val="00AC1266"/>
    <w:rsid w:val="00AC193C"/>
    <w:rsid w:val="00AC30C1"/>
    <w:rsid w:val="00AC4DE5"/>
    <w:rsid w:val="00AC5206"/>
    <w:rsid w:val="00AD095B"/>
    <w:rsid w:val="00AD1579"/>
    <w:rsid w:val="00AD3106"/>
    <w:rsid w:val="00AD4322"/>
    <w:rsid w:val="00AD6C1F"/>
    <w:rsid w:val="00AE0DFB"/>
    <w:rsid w:val="00AE11A5"/>
    <w:rsid w:val="00AE13E2"/>
    <w:rsid w:val="00AE22D3"/>
    <w:rsid w:val="00AE5A49"/>
    <w:rsid w:val="00AE5F12"/>
    <w:rsid w:val="00AE66D4"/>
    <w:rsid w:val="00AE6E21"/>
    <w:rsid w:val="00AF03E6"/>
    <w:rsid w:val="00AF11D8"/>
    <w:rsid w:val="00AF5867"/>
    <w:rsid w:val="00AF62DF"/>
    <w:rsid w:val="00AF68CC"/>
    <w:rsid w:val="00AF70D7"/>
    <w:rsid w:val="00B00086"/>
    <w:rsid w:val="00B00CD0"/>
    <w:rsid w:val="00B00E7F"/>
    <w:rsid w:val="00B014F0"/>
    <w:rsid w:val="00B01FF4"/>
    <w:rsid w:val="00B0285C"/>
    <w:rsid w:val="00B0326D"/>
    <w:rsid w:val="00B06037"/>
    <w:rsid w:val="00B06478"/>
    <w:rsid w:val="00B07533"/>
    <w:rsid w:val="00B07CFB"/>
    <w:rsid w:val="00B1059E"/>
    <w:rsid w:val="00B107C8"/>
    <w:rsid w:val="00B14A36"/>
    <w:rsid w:val="00B16273"/>
    <w:rsid w:val="00B170A5"/>
    <w:rsid w:val="00B1725F"/>
    <w:rsid w:val="00B176C8"/>
    <w:rsid w:val="00B17EE5"/>
    <w:rsid w:val="00B205AA"/>
    <w:rsid w:val="00B2100A"/>
    <w:rsid w:val="00B21A91"/>
    <w:rsid w:val="00B22E84"/>
    <w:rsid w:val="00B233AD"/>
    <w:rsid w:val="00B23E25"/>
    <w:rsid w:val="00B25F75"/>
    <w:rsid w:val="00B26B3F"/>
    <w:rsid w:val="00B26F86"/>
    <w:rsid w:val="00B2778F"/>
    <w:rsid w:val="00B327E2"/>
    <w:rsid w:val="00B33235"/>
    <w:rsid w:val="00B33635"/>
    <w:rsid w:val="00B37A23"/>
    <w:rsid w:val="00B37CF8"/>
    <w:rsid w:val="00B42AF4"/>
    <w:rsid w:val="00B43E90"/>
    <w:rsid w:val="00B44308"/>
    <w:rsid w:val="00B45722"/>
    <w:rsid w:val="00B460F4"/>
    <w:rsid w:val="00B467DC"/>
    <w:rsid w:val="00B47A88"/>
    <w:rsid w:val="00B47EB8"/>
    <w:rsid w:val="00B52303"/>
    <w:rsid w:val="00B5392A"/>
    <w:rsid w:val="00B539EF"/>
    <w:rsid w:val="00B56118"/>
    <w:rsid w:val="00B566E1"/>
    <w:rsid w:val="00B56AFB"/>
    <w:rsid w:val="00B602F6"/>
    <w:rsid w:val="00B6204E"/>
    <w:rsid w:val="00B62EC1"/>
    <w:rsid w:val="00B64A96"/>
    <w:rsid w:val="00B6533B"/>
    <w:rsid w:val="00B6773F"/>
    <w:rsid w:val="00B70EB3"/>
    <w:rsid w:val="00B72443"/>
    <w:rsid w:val="00B72906"/>
    <w:rsid w:val="00B74F48"/>
    <w:rsid w:val="00B7525E"/>
    <w:rsid w:val="00B75433"/>
    <w:rsid w:val="00B75D17"/>
    <w:rsid w:val="00B75F70"/>
    <w:rsid w:val="00B760FB"/>
    <w:rsid w:val="00B76765"/>
    <w:rsid w:val="00B767AB"/>
    <w:rsid w:val="00B801BA"/>
    <w:rsid w:val="00B812D6"/>
    <w:rsid w:val="00B81F1E"/>
    <w:rsid w:val="00B846E6"/>
    <w:rsid w:val="00B84D5C"/>
    <w:rsid w:val="00B85140"/>
    <w:rsid w:val="00B85AF6"/>
    <w:rsid w:val="00B92A02"/>
    <w:rsid w:val="00B92E46"/>
    <w:rsid w:val="00B941ED"/>
    <w:rsid w:val="00B9425F"/>
    <w:rsid w:val="00B956ED"/>
    <w:rsid w:val="00BA2507"/>
    <w:rsid w:val="00BA2D6E"/>
    <w:rsid w:val="00BA2DA8"/>
    <w:rsid w:val="00BA347C"/>
    <w:rsid w:val="00BA4C79"/>
    <w:rsid w:val="00BA4E63"/>
    <w:rsid w:val="00BA5661"/>
    <w:rsid w:val="00BB298A"/>
    <w:rsid w:val="00BB3469"/>
    <w:rsid w:val="00BB41A4"/>
    <w:rsid w:val="00BB5C49"/>
    <w:rsid w:val="00BB6240"/>
    <w:rsid w:val="00BB6285"/>
    <w:rsid w:val="00BB69F5"/>
    <w:rsid w:val="00BB6E48"/>
    <w:rsid w:val="00BB7EC3"/>
    <w:rsid w:val="00BC04B1"/>
    <w:rsid w:val="00BC470E"/>
    <w:rsid w:val="00BC4B9A"/>
    <w:rsid w:val="00BD02C3"/>
    <w:rsid w:val="00BD47CB"/>
    <w:rsid w:val="00BD727C"/>
    <w:rsid w:val="00BD7483"/>
    <w:rsid w:val="00BD784C"/>
    <w:rsid w:val="00BE020A"/>
    <w:rsid w:val="00BE13DF"/>
    <w:rsid w:val="00BE1EF0"/>
    <w:rsid w:val="00BE25D7"/>
    <w:rsid w:val="00BF092C"/>
    <w:rsid w:val="00BF27A0"/>
    <w:rsid w:val="00BF4CB6"/>
    <w:rsid w:val="00BF51E1"/>
    <w:rsid w:val="00BF5D23"/>
    <w:rsid w:val="00BF6CBD"/>
    <w:rsid w:val="00C00DA7"/>
    <w:rsid w:val="00C034FB"/>
    <w:rsid w:val="00C04CDE"/>
    <w:rsid w:val="00C059D5"/>
    <w:rsid w:val="00C068A6"/>
    <w:rsid w:val="00C07936"/>
    <w:rsid w:val="00C12768"/>
    <w:rsid w:val="00C12D70"/>
    <w:rsid w:val="00C1614F"/>
    <w:rsid w:val="00C16724"/>
    <w:rsid w:val="00C21B09"/>
    <w:rsid w:val="00C2218B"/>
    <w:rsid w:val="00C2452A"/>
    <w:rsid w:val="00C25EFF"/>
    <w:rsid w:val="00C2673A"/>
    <w:rsid w:val="00C278CD"/>
    <w:rsid w:val="00C27B58"/>
    <w:rsid w:val="00C27C1C"/>
    <w:rsid w:val="00C3166C"/>
    <w:rsid w:val="00C3182F"/>
    <w:rsid w:val="00C33186"/>
    <w:rsid w:val="00C35996"/>
    <w:rsid w:val="00C42BCD"/>
    <w:rsid w:val="00C4485F"/>
    <w:rsid w:val="00C46887"/>
    <w:rsid w:val="00C46C13"/>
    <w:rsid w:val="00C4747E"/>
    <w:rsid w:val="00C5025F"/>
    <w:rsid w:val="00C5151E"/>
    <w:rsid w:val="00C52256"/>
    <w:rsid w:val="00C5342C"/>
    <w:rsid w:val="00C53B2B"/>
    <w:rsid w:val="00C56D78"/>
    <w:rsid w:val="00C56E34"/>
    <w:rsid w:val="00C57465"/>
    <w:rsid w:val="00C60272"/>
    <w:rsid w:val="00C603D4"/>
    <w:rsid w:val="00C60F57"/>
    <w:rsid w:val="00C6256A"/>
    <w:rsid w:val="00C63FDA"/>
    <w:rsid w:val="00C64EBC"/>
    <w:rsid w:val="00C664D2"/>
    <w:rsid w:val="00C677E1"/>
    <w:rsid w:val="00C70E6E"/>
    <w:rsid w:val="00C710E2"/>
    <w:rsid w:val="00C71C3F"/>
    <w:rsid w:val="00C724B6"/>
    <w:rsid w:val="00C7409E"/>
    <w:rsid w:val="00C74D6D"/>
    <w:rsid w:val="00C76E76"/>
    <w:rsid w:val="00C77891"/>
    <w:rsid w:val="00C77B74"/>
    <w:rsid w:val="00C82062"/>
    <w:rsid w:val="00C829A9"/>
    <w:rsid w:val="00C87969"/>
    <w:rsid w:val="00C87B80"/>
    <w:rsid w:val="00C90330"/>
    <w:rsid w:val="00C91449"/>
    <w:rsid w:val="00C92D10"/>
    <w:rsid w:val="00C92F79"/>
    <w:rsid w:val="00C95200"/>
    <w:rsid w:val="00C96EC0"/>
    <w:rsid w:val="00CA06F9"/>
    <w:rsid w:val="00CA0C2D"/>
    <w:rsid w:val="00CA14BB"/>
    <w:rsid w:val="00CA230C"/>
    <w:rsid w:val="00CA48D9"/>
    <w:rsid w:val="00CA7614"/>
    <w:rsid w:val="00CB1193"/>
    <w:rsid w:val="00CB27BC"/>
    <w:rsid w:val="00CB2CA8"/>
    <w:rsid w:val="00CB4767"/>
    <w:rsid w:val="00CB493D"/>
    <w:rsid w:val="00CB5472"/>
    <w:rsid w:val="00CB582A"/>
    <w:rsid w:val="00CB63F2"/>
    <w:rsid w:val="00CC3B97"/>
    <w:rsid w:val="00CD54BF"/>
    <w:rsid w:val="00CD6257"/>
    <w:rsid w:val="00CD7990"/>
    <w:rsid w:val="00CD7C0B"/>
    <w:rsid w:val="00CE10C4"/>
    <w:rsid w:val="00CE2343"/>
    <w:rsid w:val="00CE27B5"/>
    <w:rsid w:val="00CE2BDF"/>
    <w:rsid w:val="00CE370B"/>
    <w:rsid w:val="00CE6D24"/>
    <w:rsid w:val="00CE6DAF"/>
    <w:rsid w:val="00CE7A54"/>
    <w:rsid w:val="00CF34F9"/>
    <w:rsid w:val="00CF35B5"/>
    <w:rsid w:val="00CF410A"/>
    <w:rsid w:val="00CF5CDF"/>
    <w:rsid w:val="00CF7528"/>
    <w:rsid w:val="00CF7FDE"/>
    <w:rsid w:val="00D012AF"/>
    <w:rsid w:val="00D0321E"/>
    <w:rsid w:val="00D05457"/>
    <w:rsid w:val="00D0564B"/>
    <w:rsid w:val="00D069EB"/>
    <w:rsid w:val="00D07A8A"/>
    <w:rsid w:val="00D10E20"/>
    <w:rsid w:val="00D10E31"/>
    <w:rsid w:val="00D11199"/>
    <w:rsid w:val="00D1455A"/>
    <w:rsid w:val="00D14573"/>
    <w:rsid w:val="00D14A70"/>
    <w:rsid w:val="00D16946"/>
    <w:rsid w:val="00D207EA"/>
    <w:rsid w:val="00D20E5B"/>
    <w:rsid w:val="00D211FB"/>
    <w:rsid w:val="00D22093"/>
    <w:rsid w:val="00D2460E"/>
    <w:rsid w:val="00D309BB"/>
    <w:rsid w:val="00D31150"/>
    <w:rsid w:val="00D3138B"/>
    <w:rsid w:val="00D31FCE"/>
    <w:rsid w:val="00D3280C"/>
    <w:rsid w:val="00D3341F"/>
    <w:rsid w:val="00D3406A"/>
    <w:rsid w:val="00D34D24"/>
    <w:rsid w:val="00D36F02"/>
    <w:rsid w:val="00D40B11"/>
    <w:rsid w:val="00D42864"/>
    <w:rsid w:val="00D429EC"/>
    <w:rsid w:val="00D441F1"/>
    <w:rsid w:val="00D4424E"/>
    <w:rsid w:val="00D4572C"/>
    <w:rsid w:val="00D469B2"/>
    <w:rsid w:val="00D52B24"/>
    <w:rsid w:val="00D52EAA"/>
    <w:rsid w:val="00D52ECF"/>
    <w:rsid w:val="00D54B09"/>
    <w:rsid w:val="00D557C0"/>
    <w:rsid w:val="00D5627C"/>
    <w:rsid w:val="00D60239"/>
    <w:rsid w:val="00D6243E"/>
    <w:rsid w:val="00D65658"/>
    <w:rsid w:val="00D67EB2"/>
    <w:rsid w:val="00D70349"/>
    <w:rsid w:val="00D72B6F"/>
    <w:rsid w:val="00D741EB"/>
    <w:rsid w:val="00D74CEA"/>
    <w:rsid w:val="00D7679C"/>
    <w:rsid w:val="00D817A9"/>
    <w:rsid w:val="00D820F3"/>
    <w:rsid w:val="00D83605"/>
    <w:rsid w:val="00D84934"/>
    <w:rsid w:val="00D85AB5"/>
    <w:rsid w:val="00D865CE"/>
    <w:rsid w:val="00D866EB"/>
    <w:rsid w:val="00D87D1A"/>
    <w:rsid w:val="00D87E3B"/>
    <w:rsid w:val="00D906DA"/>
    <w:rsid w:val="00D91271"/>
    <w:rsid w:val="00D919F5"/>
    <w:rsid w:val="00D945F6"/>
    <w:rsid w:val="00D94F03"/>
    <w:rsid w:val="00D95161"/>
    <w:rsid w:val="00D95C23"/>
    <w:rsid w:val="00DA0A82"/>
    <w:rsid w:val="00DA0D14"/>
    <w:rsid w:val="00DA1F7D"/>
    <w:rsid w:val="00DA1FC9"/>
    <w:rsid w:val="00DA2CB5"/>
    <w:rsid w:val="00DA358F"/>
    <w:rsid w:val="00DA383E"/>
    <w:rsid w:val="00DA4BAC"/>
    <w:rsid w:val="00DA722E"/>
    <w:rsid w:val="00DA792A"/>
    <w:rsid w:val="00DB0151"/>
    <w:rsid w:val="00DB0160"/>
    <w:rsid w:val="00DB04D7"/>
    <w:rsid w:val="00DB50E1"/>
    <w:rsid w:val="00DB5D66"/>
    <w:rsid w:val="00DC0397"/>
    <w:rsid w:val="00DC0566"/>
    <w:rsid w:val="00DC05E1"/>
    <w:rsid w:val="00DC1499"/>
    <w:rsid w:val="00DC16CF"/>
    <w:rsid w:val="00DC19F2"/>
    <w:rsid w:val="00DC2C3E"/>
    <w:rsid w:val="00DC3137"/>
    <w:rsid w:val="00DC3A71"/>
    <w:rsid w:val="00DC4880"/>
    <w:rsid w:val="00DC5E90"/>
    <w:rsid w:val="00DD0BC1"/>
    <w:rsid w:val="00DD0BE9"/>
    <w:rsid w:val="00DD26F9"/>
    <w:rsid w:val="00DD350E"/>
    <w:rsid w:val="00DD42AB"/>
    <w:rsid w:val="00DD7BE3"/>
    <w:rsid w:val="00DE06AF"/>
    <w:rsid w:val="00DE4C3F"/>
    <w:rsid w:val="00DE5211"/>
    <w:rsid w:val="00DE5397"/>
    <w:rsid w:val="00DE64AD"/>
    <w:rsid w:val="00DE6D27"/>
    <w:rsid w:val="00DE76EA"/>
    <w:rsid w:val="00DF01F8"/>
    <w:rsid w:val="00DF021D"/>
    <w:rsid w:val="00DF14EE"/>
    <w:rsid w:val="00DF217D"/>
    <w:rsid w:val="00DF26A7"/>
    <w:rsid w:val="00DF3277"/>
    <w:rsid w:val="00DF6A31"/>
    <w:rsid w:val="00DF77A1"/>
    <w:rsid w:val="00DF7919"/>
    <w:rsid w:val="00E0207E"/>
    <w:rsid w:val="00E02AE6"/>
    <w:rsid w:val="00E03912"/>
    <w:rsid w:val="00E03AE6"/>
    <w:rsid w:val="00E04748"/>
    <w:rsid w:val="00E060AF"/>
    <w:rsid w:val="00E07167"/>
    <w:rsid w:val="00E078D9"/>
    <w:rsid w:val="00E10293"/>
    <w:rsid w:val="00E103A0"/>
    <w:rsid w:val="00E1043F"/>
    <w:rsid w:val="00E11F44"/>
    <w:rsid w:val="00E13E60"/>
    <w:rsid w:val="00E15627"/>
    <w:rsid w:val="00E164B3"/>
    <w:rsid w:val="00E16910"/>
    <w:rsid w:val="00E21164"/>
    <w:rsid w:val="00E239E2"/>
    <w:rsid w:val="00E24E09"/>
    <w:rsid w:val="00E27234"/>
    <w:rsid w:val="00E3495C"/>
    <w:rsid w:val="00E34EEB"/>
    <w:rsid w:val="00E35CA8"/>
    <w:rsid w:val="00E3609D"/>
    <w:rsid w:val="00E42BDB"/>
    <w:rsid w:val="00E524A9"/>
    <w:rsid w:val="00E52F6F"/>
    <w:rsid w:val="00E53F1A"/>
    <w:rsid w:val="00E54D52"/>
    <w:rsid w:val="00E5726D"/>
    <w:rsid w:val="00E57EEB"/>
    <w:rsid w:val="00E62D94"/>
    <w:rsid w:val="00E62ECC"/>
    <w:rsid w:val="00E642FD"/>
    <w:rsid w:val="00E64F37"/>
    <w:rsid w:val="00E65091"/>
    <w:rsid w:val="00E65393"/>
    <w:rsid w:val="00E65E54"/>
    <w:rsid w:val="00E661C7"/>
    <w:rsid w:val="00E66679"/>
    <w:rsid w:val="00E678C0"/>
    <w:rsid w:val="00E70B07"/>
    <w:rsid w:val="00E732C4"/>
    <w:rsid w:val="00E74E41"/>
    <w:rsid w:val="00E80155"/>
    <w:rsid w:val="00E8134B"/>
    <w:rsid w:val="00E81E0D"/>
    <w:rsid w:val="00E81F28"/>
    <w:rsid w:val="00E848C0"/>
    <w:rsid w:val="00E84BB8"/>
    <w:rsid w:val="00E84D8B"/>
    <w:rsid w:val="00E86F92"/>
    <w:rsid w:val="00E91B96"/>
    <w:rsid w:val="00E92F2E"/>
    <w:rsid w:val="00E935DA"/>
    <w:rsid w:val="00E93D1E"/>
    <w:rsid w:val="00E941A1"/>
    <w:rsid w:val="00E95CE3"/>
    <w:rsid w:val="00E95F9A"/>
    <w:rsid w:val="00E97F28"/>
    <w:rsid w:val="00EA0856"/>
    <w:rsid w:val="00EA18DB"/>
    <w:rsid w:val="00EA1DC4"/>
    <w:rsid w:val="00EA252F"/>
    <w:rsid w:val="00EA2825"/>
    <w:rsid w:val="00EA5027"/>
    <w:rsid w:val="00EA5F95"/>
    <w:rsid w:val="00EA64C2"/>
    <w:rsid w:val="00EA6518"/>
    <w:rsid w:val="00EA71A2"/>
    <w:rsid w:val="00EA7466"/>
    <w:rsid w:val="00EA7EDE"/>
    <w:rsid w:val="00EB0B63"/>
    <w:rsid w:val="00EB1936"/>
    <w:rsid w:val="00EB2503"/>
    <w:rsid w:val="00EB3545"/>
    <w:rsid w:val="00EB37BE"/>
    <w:rsid w:val="00EB4BAE"/>
    <w:rsid w:val="00EB5088"/>
    <w:rsid w:val="00EB7210"/>
    <w:rsid w:val="00EC2726"/>
    <w:rsid w:val="00EC3095"/>
    <w:rsid w:val="00EC500A"/>
    <w:rsid w:val="00EC681C"/>
    <w:rsid w:val="00EC75D8"/>
    <w:rsid w:val="00EC7B87"/>
    <w:rsid w:val="00ED1644"/>
    <w:rsid w:val="00ED2319"/>
    <w:rsid w:val="00ED2593"/>
    <w:rsid w:val="00ED3709"/>
    <w:rsid w:val="00ED44C0"/>
    <w:rsid w:val="00ED7D55"/>
    <w:rsid w:val="00ED7D9C"/>
    <w:rsid w:val="00EE00A7"/>
    <w:rsid w:val="00EE1129"/>
    <w:rsid w:val="00EE1B71"/>
    <w:rsid w:val="00EE2F77"/>
    <w:rsid w:val="00EE3158"/>
    <w:rsid w:val="00EE31A2"/>
    <w:rsid w:val="00EE3F5F"/>
    <w:rsid w:val="00EE4329"/>
    <w:rsid w:val="00EE6203"/>
    <w:rsid w:val="00EF0069"/>
    <w:rsid w:val="00EF2154"/>
    <w:rsid w:val="00EF3C52"/>
    <w:rsid w:val="00EF44A0"/>
    <w:rsid w:val="00EF4580"/>
    <w:rsid w:val="00EF4B0B"/>
    <w:rsid w:val="00EF4FED"/>
    <w:rsid w:val="00EF5F45"/>
    <w:rsid w:val="00EF6843"/>
    <w:rsid w:val="00EF6941"/>
    <w:rsid w:val="00EF6FB3"/>
    <w:rsid w:val="00F0068B"/>
    <w:rsid w:val="00F007C6"/>
    <w:rsid w:val="00F0172E"/>
    <w:rsid w:val="00F02189"/>
    <w:rsid w:val="00F04EBF"/>
    <w:rsid w:val="00F050BD"/>
    <w:rsid w:val="00F05657"/>
    <w:rsid w:val="00F05AB0"/>
    <w:rsid w:val="00F12C74"/>
    <w:rsid w:val="00F12FA7"/>
    <w:rsid w:val="00F13214"/>
    <w:rsid w:val="00F14136"/>
    <w:rsid w:val="00F1559A"/>
    <w:rsid w:val="00F16A18"/>
    <w:rsid w:val="00F17ED6"/>
    <w:rsid w:val="00F17FBC"/>
    <w:rsid w:val="00F202D7"/>
    <w:rsid w:val="00F20676"/>
    <w:rsid w:val="00F209E2"/>
    <w:rsid w:val="00F2398F"/>
    <w:rsid w:val="00F25578"/>
    <w:rsid w:val="00F255EE"/>
    <w:rsid w:val="00F258E5"/>
    <w:rsid w:val="00F25B9C"/>
    <w:rsid w:val="00F2675A"/>
    <w:rsid w:val="00F26C04"/>
    <w:rsid w:val="00F26CC6"/>
    <w:rsid w:val="00F300BC"/>
    <w:rsid w:val="00F305FA"/>
    <w:rsid w:val="00F3263C"/>
    <w:rsid w:val="00F3334E"/>
    <w:rsid w:val="00F3573A"/>
    <w:rsid w:val="00F36CCB"/>
    <w:rsid w:val="00F374E5"/>
    <w:rsid w:val="00F37B93"/>
    <w:rsid w:val="00F37BAD"/>
    <w:rsid w:val="00F37ECA"/>
    <w:rsid w:val="00F4094C"/>
    <w:rsid w:val="00F40A1C"/>
    <w:rsid w:val="00F43AF2"/>
    <w:rsid w:val="00F45216"/>
    <w:rsid w:val="00F5007E"/>
    <w:rsid w:val="00F508F6"/>
    <w:rsid w:val="00F50EC4"/>
    <w:rsid w:val="00F52232"/>
    <w:rsid w:val="00F527B1"/>
    <w:rsid w:val="00F52DC2"/>
    <w:rsid w:val="00F54AF9"/>
    <w:rsid w:val="00F550CF"/>
    <w:rsid w:val="00F553D2"/>
    <w:rsid w:val="00F56A2D"/>
    <w:rsid w:val="00F56CF1"/>
    <w:rsid w:val="00F57A6D"/>
    <w:rsid w:val="00F6044B"/>
    <w:rsid w:val="00F60F05"/>
    <w:rsid w:val="00F62F19"/>
    <w:rsid w:val="00F638CC"/>
    <w:rsid w:val="00F64C9E"/>
    <w:rsid w:val="00F64CC1"/>
    <w:rsid w:val="00F650BF"/>
    <w:rsid w:val="00F708B1"/>
    <w:rsid w:val="00F72317"/>
    <w:rsid w:val="00F73DC1"/>
    <w:rsid w:val="00F75BB8"/>
    <w:rsid w:val="00F775C1"/>
    <w:rsid w:val="00F77714"/>
    <w:rsid w:val="00F80475"/>
    <w:rsid w:val="00F80E6E"/>
    <w:rsid w:val="00F81390"/>
    <w:rsid w:val="00F81F7A"/>
    <w:rsid w:val="00F8247A"/>
    <w:rsid w:val="00F82E5C"/>
    <w:rsid w:val="00F83C43"/>
    <w:rsid w:val="00F83E86"/>
    <w:rsid w:val="00F83F58"/>
    <w:rsid w:val="00F85206"/>
    <w:rsid w:val="00F86200"/>
    <w:rsid w:val="00F87C7A"/>
    <w:rsid w:val="00F87CEA"/>
    <w:rsid w:val="00F9265D"/>
    <w:rsid w:val="00F94D07"/>
    <w:rsid w:val="00F9629A"/>
    <w:rsid w:val="00F97EFC"/>
    <w:rsid w:val="00FA0B04"/>
    <w:rsid w:val="00FA0C7C"/>
    <w:rsid w:val="00FA1BDD"/>
    <w:rsid w:val="00FA2B16"/>
    <w:rsid w:val="00FA305C"/>
    <w:rsid w:val="00FA462E"/>
    <w:rsid w:val="00FA4DD5"/>
    <w:rsid w:val="00FA5861"/>
    <w:rsid w:val="00FA5883"/>
    <w:rsid w:val="00FA6055"/>
    <w:rsid w:val="00FB0B39"/>
    <w:rsid w:val="00FB322F"/>
    <w:rsid w:val="00FB442F"/>
    <w:rsid w:val="00FC118C"/>
    <w:rsid w:val="00FC1929"/>
    <w:rsid w:val="00FC22B9"/>
    <w:rsid w:val="00FC5B46"/>
    <w:rsid w:val="00FD0777"/>
    <w:rsid w:val="00FD1D4F"/>
    <w:rsid w:val="00FD24BF"/>
    <w:rsid w:val="00FD3B6E"/>
    <w:rsid w:val="00FD4140"/>
    <w:rsid w:val="00FD57EB"/>
    <w:rsid w:val="00FD6D8E"/>
    <w:rsid w:val="00FE0663"/>
    <w:rsid w:val="00FE0E94"/>
    <w:rsid w:val="00FE369C"/>
    <w:rsid w:val="00FE3CD9"/>
    <w:rsid w:val="00FF00BD"/>
    <w:rsid w:val="00FF067C"/>
    <w:rsid w:val="00FF0B13"/>
    <w:rsid w:val="00FF1672"/>
    <w:rsid w:val="00FF1ED4"/>
    <w:rsid w:val="00FF2801"/>
    <w:rsid w:val="00FF2EDE"/>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Styl moj,Akapit z listą11,Bullets,列出段落1"/>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列出段落1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uiPriority w:val="99"/>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paragraph" w:customStyle="1" w:styleId="Tabletext8pt">
    <w:name w:val="Table text 8pt"/>
    <w:basedOn w:val="Tabletext"/>
    <w:qFormat/>
    <w:rsid w:val="00360CCF"/>
    <w:pPr>
      <w:keepNext/>
      <w:keepLines/>
      <w:spacing w:before="20" w:after="20"/>
      <w:jc w:val="left"/>
    </w:pPr>
    <w:rPr>
      <w:rFonts w:ascii="Montserrat" w:eastAsia="Calibri" w:hAnsi="Montserrat" w:cs="Calibri"/>
      <w:sz w:val="16"/>
      <w:szCs w:val="16"/>
    </w:rPr>
  </w:style>
  <w:style w:type="table" w:customStyle="1" w:styleId="PlainTable21">
    <w:name w:val="Plain Table 21"/>
    <w:basedOn w:val="TableNormal"/>
    <w:uiPriority w:val="42"/>
    <w:rsid w:val="00911090"/>
    <w:rPr>
      <w:rFonts w:asciiTheme="minorHAnsi" w:eastAsiaTheme="minorHAnsi" w:hAnsiTheme="minorHAnsi" w:cstheme="minorBidi"/>
      <w:sz w:val="22"/>
      <w:szCs w:val="22"/>
      <w:lang w:eastAsia="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911090"/>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911090"/>
    <w:rPr>
      <w:b/>
      <w:bCs/>
    </w:rPr>
  </w:style>
  <w:style w:type="paragraph" w:styleId="FootnoteText">
    <w:name w:val="footnote text"/>
    <w:basedOn w:val="Normal"/>
    <w:link w:val="FootnoteTextChar"/>
    <w:semiHidden/>
    <w:unhideWhenUsed/>
    <w:rsid w:val="0054008B"/>
    <w:rPr>
      <w:sz w:val="20"/>
      <w:szCs w:val="20"/>
    </w:rPr>
  </w:style>
  <w:style w:type="character" w:customStyle="1" w:styleId="FootnoteTextChar">
    <w:name w:val="Footnote Text Char"/>
    <w:basedOn w:val="DefaultParagraphFont"/>
    <w:link w:val="FootnoteText"/>
    <w:semiHidden/>
    <w:rsid w:val="0054008B"/>
    <w:rPr>
      <w:rFonts w:ascii="Calibri" w:hAnsi="Calibri"/>
    </w:rPr>
  </w:style>
  <w:style w:type="character" w:styleId="FootnoteReference">
    <w:name w:val="footnote reference"/>
    <w:basedOn w:val="DefaultParagraphFont"/>
    <w:semiHidden/>
    <w:unhideWhenUsed/>
    <w:rsid w:val="0054008B"/>
    <w:rPr>
      <w:vertAlign w:val="superscript"/>
    </w:rPr>
  </w:style>
  <w:style w:type="paragraph" w:customStyle="1" w:styleId="Numberbullet2">
    <w:name w:val="Number bullet 2"/>
    <w:basedOn w:val="ListBullet2"/>
    <w:qFormat/>
    <w:rsid w:val="002F385B"/>
    <w:pPr>
      <w:numPr>
        <w:ilvl w:val="1"/>
      </w:numPr>
      <w:spacing w:before="120" w:after="180" w:line="240" w:lineRule="atLeast"/>
      <w:ind w:left="1080" w:hanging="360"/>
      <w:contextualSpacing w:val="0"/>
      <w:jc w:val="left"/>
    </w:pPr>
    <w:rPr>
      <w:rFonts w:ascii="Cambria" w:eastAsia="Cambria" w:hAnsi="Cambria"/>
      <w:sz w:val="22"/>
      <w:szCs w:val="22"/>
      <w:lang w:eastAsia="en-US"/>
    </w:rPr>
  </w:style>
  <w:style w:type="paragraph" w:customStyle="1" w:styleId="Numberbullet3">
    <w:name w:val="Number bullet 3"/>
    <w:basedOn w:val="ListBullet3"/>
    <w:qFormat/>
    <w:rsid w:val="002F385B"/>
    <w:pPr>
      <w:numPr>
        <w:ilvl w:val="2"/>
        <w:numId w:val="44"/>
      </w:numPr>
      <w:spacing w:before="120" w:after="180" w:line="240" w:lineRule="atLeast"/>
      <w:ind w:left="1800" w:hanging="180"/>
      <w:contextualSpacing w:val="0"/>
      <w:jc w:val="left"/>
    </w:pPr>
    <w:rPr>
      <w:rFonts w:ascii="Cambria" w:eastAsia="Cambria" w:hAnsi="Cambria"/>
      <w:sz w:val="22"/>
      <w:szCs w:val="22"/>
      <w:lang w:eastAsia="en-US"/>
    </w:rPr>
  </w:style>
  <w:style w:type="numbering" w:customStyle="1" w:styleId="NumberBullet">
    <w:name w:val="NumberBullet"/>
    <w:uiPriority w:val="99"/>
    <w:locked/>
    <w:rsid w:val="002F385B"/>
    <w:pPr>
      <w:numPr>
        <w:numId w:val="44"/>
      </w:numPr>
    </w:pPr>
  </w:style>
  <w:style w:type="paragraph" w:customStyle="1" w:styleId="COMH1numbered">
    <w:name w:val="COM H1 numbered"/>
    <w:next w:val="Normal"/>
    <w:link w:val="COMH1numberedChar"/>
    <w:qFormat/>
    <w:rsid w:val="002F385B"/>
    <w:pPr>
      <w:keepNext/>
      <w:numPr>
        <w:numId w:val="44"/>
      </w:numPr>
      <w:spacing w:before="240" w:after="12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2F385B"/>
    <w:rPr>
      <w:rFonts w:asciiTheme="minorHAnsi" w:hAnsiTheme="minorHAnsi" w:cs="Arial"/>
      <w:b/>
      <w:snapToGrid w:val="0"/>
      <w:sz w:val="32"/>
      <w:szCs w:val="32"/>
    </w:rPr>
  </w:style>
  <w:style w:type="paragraph" w:styleId="ListBullet2">
    <w:name w:val="List Bullet 2"/>
    <w:basedOn w:val="Normal"/>
    <w:semiHidden/>
    <w:unhideWhenUsed/>
    <w:rsid w:val="002F385B"/>
    <w:pPr>
      <w:ind w:left="425" w:hanging="425"/>
      <w:contextualSpacing/>
    </w:pPr>
  </w:style>
  <w:style w:type="paragraph" w:styleId="ListBullet3">
    <w:name w:val="List Bullet 3"/>
    <w:basedOn w:val="Normal"/>
    <w:semiHidden/>
    <w:unhideWhenUsed/>
    <w:rsid w:val="002F385B"/>
    <w:pPr>
      <w:numPr>
        <w:numId w:val="4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77634458">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12004973">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18167461">
      <w:bodyDiv w:val="1"/>
      <w:marLeft w:val="0"/>
      <w:marRight w:val="0"/>
      <w:marTop w:val="0"/>
      <w:marBottom w:val="0"/>
      <w:divBdr>
        <w:top w:val="none" w:sz="0" w:space="0" w:color="auto"/>
        <w:left w:val="none" w:sz="0" w:space="0" w:color="auto"/>
        <w:bottom w:val="none" w:sz="0" w:space="0" w:color="auto"/>
        <w:right w:val="none" w:sz="0" w:space="0" w:color="auto"/>
      </w:divBdr>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health-topics/medicin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2079</Words>
  <Characters>11212</Characters>
  <Application>Microsoft Office Word</Application>
  <DocSecurity>0</DocSecurity>
  <Lines>249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2024-02-22T01:46:00Z</dcterms:created>
  <dcterms:modified xsi:type="dcterms:W3CDTF">2024-02-22T02:32:00Z</dcterms:modified>
</cp:coreProperties>
</file>