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9649" w14:textId="4DE0AFC9" w:rsidR="003E0CE7" w:rsidRPr="002C3702" w:rsidRDefault="0071738D" w:rsidP="000977CF">
      <w:pPr>
        <w:pStyle w:val="1-MainHeading"/>
        <w:ind w:left="851" w:hanging="851"/>
      </w:pPr>
      <w:bookmarkStart w:id="0" w:name="_Toc145422829"/>
      <w:bookmarkStart w:id="1" w:name="_Toc22897637"/>
      <w:r w:rsidRPr="002C3702">
        <w:t>6.01</w:t>
      </w:r>
      <w:r w:rsidR="003E0CE7" w:rsidRPr="002C3702">
        <w:tab/>
        <w:t>ABEMACICLIB,</w:t>
      </w:r>
      <w:r w:rsidR="003E0CE7" w:rsidRPr="002C3702">
        <w:br/>
      </w:r>
      <w:r w:rsidR="00B74994" w:rsidRPr="002C3702">
        <w:t>T</w:t>
      </w:r>
      <w:r w:rsidR="003E0CE7" w:rsidRPr="002C3702">
        <w:t>ablet</w:t>
      </w:r>
      <w:r w:rsidR="00B74994" w:rsidRPr="002C3702">
        <w:t xml:space="preserve"> </w:t>
      </w:r>
      <w:r w:rsidR="003E0CE7" w:rsidRPr="002C3702">
        <w:t>50mg</w:t>
      </w:r>
      <w:r w:rsidR="00D12E87" w:rsidRPr="002C3702">
        <w:t>,</w:t>
      </w:r>
      <w:r w:rsidR="00D12E87" w:rsidRPr="002C3702">
        <w:br/>
        <w:t xml:space="preserve">Tablet </w:t>
      </w:r>
      <w:r w:rsidR="003E0CE7" w:rsidRPr="002C3702">
        <w:t>100mg</w:t>
      </w:r>
      <w:r w:rsidR="00D12E87" w:rsidRPr="002C3702">
        <w:t>,</w:t>
      </w:r>
      <w:r w:rsidR="00D12E87" w:rsidRPr="002C3702">
        <w:br/>
        <w:t xml:space="preserve">Tablet </w:t>
      </w:r>
      <w:r w:rsidR="003E0CE7" w:rsidRPr="002C3702">
        <w:t>150mg,</w:t>
      </w:r>
      <w:r w:rsidR="003E0CE7" w:rsidRPr="002C3702">
        <w:br/>
        <w:t>Verzenio</w:t>
      </w:r>
      <w:r w:rsidR="003E0CE7" w:rsidRPr="002C3702">
        <w:rPr>
          <w:vertAlign w:val="superscript"/>
        </w:rPr>
        <w:t>®</w:t>
      </w:r>
      <w:r w:rsidR="003E0CE7" w:rsidRPr="002C3702">
        <w:t>,</w:t>
      </w:r>
      <w:r w:rsidR="003E0CE7" w:rsidRPr="002C3702">
        <w:br/>
        <w:t>Eli Lilly Australia PTY LTD.</w:t>
      </w:r>
      <w:bookmarkEnd w:id="0"/>
    </w:p>
    <w:p w14:paraId="5B3D996A" w14:textId="77777777" w:rsidR="00030CC5" w:rsidRPr="002C3702" w:rsidRDefault="00030CC5" w:rsidP="00030CC5">
      <w:pPr>
        <w:pStyle w:val="2-SectionHeading"/>
      </w:pPr>
      <w:bookmarkStart w:id="2" w:name="_Toc145422831"/>
      <w:bookmarkEnd w:id="1"/>
      <w:r w:rsidRPr="002C3702">
        <w:t>Purpose of submission</w:t>
      </w:r>
      <w:bookmarkEnd w:id="2"/>
    </w:p>
    <w:p w14:paraId="65336A72" w14:textId="13CCFE85" w:rsidR="00030CC5" w:rsidRPr="002C3702" w:rsidRDefault="00030CC5" w:rsidP="00030CC5">
      <w:pPr>
        <w:pStyle w:val="3-BodyText"/>
      </w:pPr>
      <w:r w:rsidRPr="002C3702">
        <w:t>The</w:t>
      </w:r>
      <w:r w:rsidR="0071738D" w:rsidRPr="002C3702">
        <w:t xml:space="preserve"> </w:t>
      </w:r>
      <w:r w:rsidR="00EE7397" w:rsidRPr="002C3702">
        <w:t>Category 2 submission</w:t>
      </w:r>
      <w:r w:rsidR="0071738D" w:rsidRPr="002C3702">
        <w:t xml:space="preserve"> requested a</w:t>
      </w:r>
      <w:r w:rsidRPr="002C3702">
        <w:t xml:space="preserve"> General Schedule Authority Required (Telephone/Online) listing for abemaciclib (ABE)</w:t>
      </w:r>
      <w:r w:rsidR="0071738D" w:rsidRPr="002C3702">
        <w:t>, in combination with standard adjuvant endocrine therapy (ET),</w:t>
      </w:r>
      <w:r w:rsidRPr="002C3702">
        <w:t xml:space="preserve"> for the treatment of </w:t>
      </w:r>
      <w:r w:rsidR="0071738D" w:rsidRPr="002C3702">
        <w:t>hormone receptor positive (</w:t>
      </w:r>
      <w:r w:rsidRPr="002C3702">
        <w:t>HR+</w:t>
      </w:r>
      <w:r w:rsidR="0071738D" w:rsidRPr="002C3702">
        <w:t>), human epidermal growth factor receptor 2 negative</w:t>
      </w:r>
      <w:r w:rsidRPr="002C3702">
        <w:t xml:space="preserve"> </w:t>
      </w:r>
      <w:r w:rsidR="0071738D" w:rsidRPr="002C3702">
        <w:t>(</w:t>
      </w:r>
      <w:r w:rsidRPr="002C3702">
        <w:t>HER2-</w:t>
      </w:r>
      <w:r w:rsidR="0071738D" w:rsidRPr="002C3702">
        <w:t>),</w:t>
      </w:r>
      <w:r w:rsidRPr="002C3702">
        <w:t xml:space="preserve"> lymph node positive, invasive, resected early breast cancer (EBC) at high risk of disease recurrence.</w:t>
      </w:r>
    </w:p>
    <w:p w14:paraId="008789AF" w14:textId="34D80408" w:rsidR="00030CC5" w:rsidRPr="002C3702" w:rsidRDefault="00030CC5" w:rsidP="00030CC5">
      <w:pPr>
        <w:pStyle w:val="3-BodyText"/>
      </w:pPr>
      <w:r w:rsidRPr="002C3702">
        <w:t xml:space="preserve">Listing was requested on the basis of a cost-effectiveness analysis versus ET alone. </w:t>
      </w:r>
    </w:p>
    <w:p w14:paraId="6AB9B21F" w14:textId="619C57F7" w:rsidR="00030CC5" w:rsidRPr="002C3702" w:rsidRDefault="00030CC5" w:rsidP="00961CA9">
      <w:pPr>
        <w:pStyle w:val="TableFigureHeading"/>
        <w:rPr>
          <w:rStyle w:val="CommentReference"/>
          <w:b/>
          <w:bCs w:val="0"/>
        </w:rPr>
      </w:pPr>
      <w:bookmarkStart w:id="3" w:name="_Ref142830779"/>
      <w:r w:rsidRPr="002C3702">
        <w:t xml:space="preserve">Table </w:t>
      </w:r>
      <w:r w:rsidRPr="002C3702">
        <w:fldChar w:fldCharType="begin"/>
      </w:r>
      <w:r w:rsidRPr="002C3702">
        <w:instrText>SEQ Table \* ARABIC</w:instrText>
      </w:r>
      <w:r w:rsidRPr="002C3702">
        <w:fldChar w:fldCharType="separate"/>
      </w:r>
      <w:r w:rsidR="00676505">
        <w:rPr>
          <w:noProof/>
        </w:rPr>
        <w:t>1</w:t>
      </w:r>
      <w:r w:rsidRPr="002C3702">
        <w:fldChar w:fldCharType="end"/>
      </w:r>
      <w:bookmarkEnd w:id="3"/>
      <w:r w:rsidRPr="002C3702">
        <w:rPr>
          <w:b w:val="0"/>
          <w:bCs w:val="0"/>
        </w:rPr>
        <w:t>:</w:t>
      </w:r>
      <w:r w:rsidRPr="002C3702">
        <w:rPr>
          <w:rStyle w:val="CommentReference"/>
          <w:b/>
          <w:bCs w:val="0"/>
        </w:rPr>
        <w:t xml:space="preserve"> Key components of the clinical issue addressed by the submission (as stated in the submission)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0"/>
        <w:gridCol w:w="7590"/>
      </w:tblGrid>
      <w:tr w:rsidR="00030CC5" w:rsidRPr="002C3702" w14:paraId="60A2FA58" w14:textId="77777777" w:rsidTr="00334BE0">
        <w:trPr>
          <w:trHeight w:val="300"/>
        </w:trPr>
        <w:tc>
          <w:tcPr>
            <w:tcW w:w="1410" w:type="dxa"/>
            <w:shd w:val="clear" w:color="auto" w:fill="auto"/>
            <w:hideMark/>
          </w:tcPr>
          <w:p w14:paraId="70F34E44" w14:textId="77777777" w:rsidR="00030CC5" w:rsidRPr="002C3702" w:rsidRDefault="00030CC5" w:rsidP="00961CA9">
            <w:pPr>
              <w:keepNext/>
              <w:ind w:firstLine="129"/>
              <w:jc w:val="left"/>
              <w:textAlignment w:val="baseline"/>
              <w:rPr>
                <w:rFonts w:ascii="Times New Roman" w:hAnsi="Times New Roman" w:cs="Times New Roman"/>
                <w:b/>
                <w:bCs/>
              </w:rPr>
            </w:pPr>
            <w:r w:rsidRPr="002C3702">
              <w:rPr>
                <w:rFonts w:ascii="Arial Narrow" w:hAnsi="Arial Narrow" w:cs="Times New Roman"/>
                <w:b/>
                <w:bCs/>
                <w:sz w:val="20"/>
                <w:szCs w:val="20"/>
              </w:rPr>
              <w:t>Component </w:t>
            </w:r>
          </w:p>
        </w:tc>
        <w:tc>
          <w:tcPr>
            <w:tcW w:w="7590" w:type="dxa"/>
            <w:shd w:val="clear" w:color="auto" w:fill="auto"/>
            <w:hideMark/>
          </w:tcPr>
          <w:p w14:paraId="410E6770" w14:textId="77777777" w:rsidR="00030CC5" w:rsidRPr="002C3702" w:rsidRDefault="00030CC5" w:rsidP="00961CA9">
            <w:pPr>
              <w:keepNext/>
              <w:ind w:left="70"/>
              <w:jc w:val="left"/>
              <w:textAlignment w:val="baseline"/>
              <w:rPr>
                <w:rFonts w:ascii="Times New Roman" w:hAnsi="Times New Roman" w:cs="Times New Roman"/>
                <w:b/>
                <w:bCs/>
              </w:rPr>
            </w:pPr>
            <w:r w:rsidRPr="002C3702">
              <w:rPr>
                <w:rFonts w:ascii="Arial Narrow" w:hAnsi="Arial Narrow" w:cs="Times New Roman"/>
                <w:b/>
                <w:bCs/>
                <w:sz w:val="20"/>
                <w:szCs w:val="20"/>
              </w:rPr>
              <w:t>Description </w:t>
            </w:r>
          </w:p>
        </w:tc>
      </w:tr>
      <w:tr w:rsidR="00030CC5" w:rsidRPr="002C3702" w14:paraId="49E2C354" w14:textId="77777777" w:rsidTr="00334BE0">
        <w:trPr>
          <w:trHeight w:val="300"/>
        </w:trPr>
        <w:tc>
          <w:tcPr>
            <w:tcW w:w="1410" w:type="dxa"/>
            <w:shd w:val="clear" w:color="auto" w:fill="auto"/>
            <w:hideMark/>
          </w:tcPr>
          <w:p w14:paraId="676AE6D2" w14:textId="77777777" w:rsidR="00030CC5" w:rsidRPr="002C3702" w:rsidRDefault="00030CC5" w:rsidP="00961CA9">
            <w:pPr>
              <w:keepNext/>
              <w:ind w:firstLine="129"/>
              <w:jc w:val="left"/>
              <w:textAlignment w:val="baseline"/>
              <w:rPr>
                <w:rFonts w:ascii="Times New Roman" w:hAnsi="Times New Roman" w:cs="Times New Roman"/>
              </w:rPr>
            </w:pPr>
            <w:r w:rsidRPr="002C3702">
              <w:rPr>
                <w:rFonts w:ascii="Arial Narrow" w:hAnsi="Arial Narrow" w:cs="Times New Roman"/>
                <w:sz w:val="20"/>
                <w:szCs w:val="20"/>
              </w:rPr>
              <w:t>Population </w:t>
            </w:r>
          </w:p>
        </w:tc>
        <w:tc>
          <w:tcPr>
            <w:tcW w:w="7590" w:type="dxa"/>
            <w:shd w:val="clear" w:color="auto" w:fill="FFFFFF" w:themeFill="background1"/>
            <w:hideMark/>
          </w:tcPr>
          <w:p w14:paraId="0B25F2DD" w14:textId="77777777" w:rsidR="00030CC5" w:rsidRPr="002C3702" w:rsidRDefault="00030CC5" w:rsidP="00961CA9">
            <w:pPr>
              <w:keepNext/>
              <w:ind w:left="70"/>
              <w:jc w:val="left"/>
              <w:textAlignment w:val="baseline"/>
              <w:rPr>
                <w:rFonts w:ascii="Times New Roman" w:hAnsi="Times New Roman" w:cs="Times New Roman"/>
              </w:rPr>
            </w:pPr>
            <w:r w:rsidRPr="002C3702">
              <w:rPr>
                <w:rFonts w:ascii="Arial Narrow" w:hAnsi="Arial Narrow" w:cs="Times New Roman"/>
                <w:sz w:val="20"/>
                <w:szCs w:val="20"/>
              </w:rPr>
              <w:t>Adult patients with HR+, HER2- lymph node-positive, invasive, resected, EBC and high risk of recurrence </w:t>
            </w:r>
          </w:p>
        </w:tc>
      </w:tr>
      <w:tr w:rsidR="00030CC5" w:rsidRPr="002C3702" w14:paraId="1D1FE2E4" w14:textId="77777777" w:rsidTr="00334BE0">
        <w:trPr>
          <w:trHeight w:val="300"/>
        </w:trPr>
        <w:tc>
          <w:tcPr>
            <w:tcW w:w="1410" w:type="dxa"/>
            <w:shd w:val="clear" w:color="auto" w:fill="auto"/>
            <w:hideMark/>
          </w:tcPr>
          <w:p w14:paraId="1B6C4C74" w14:textId="77777777" w:rsidR="00030CC5" w:rsidRPr="002C3702" w:rsidRDefault="00030CC5" w:rsidP="00961CA9">
            <w:pPr>
              <w:keepNext/>
              <w:ind w:firstLine="129"/>
              <w:jc w:val="left"/>
              <w:textAlignment w:val="baseline"/>
              <w:rPr>
                <w:rFonts w:ascii="Times New Roman" w:hAnsi="Times New Roman" w:cs="Times New Roman"/>
              </w:rPr>
            </w:pPr>
            <w:r w:rsidRPr="002C3702">
              <w:rPr>
                <w:rFonts w:ascii="Arial Narrow" w:hAnsi="Arial Narrow" w:cs="Times New Roman"/>
                <w:sz w:val="20"/>
                <w:szCs w:val="20"/>
              </w:rPr>
              <w:t>Intervention </w:t>
            </w:r>
          </w:p>
        </w:tc>
        <w:tc>
          <w:tcPr>
            <w:tcW w:w="7590" w:type="dxa"/>
            <w:shd w:val="clear" w:color="auto" w:fill="FFFFFF" w:themeFill="background1"/>
            <w:hideMark/>
          </w:tcPr>
          <w:p w14:paraId="24BDB6F0" w14:textId="77777777" w:rsidR="00030CC5" w:rsidRPr="002C3702" w:rsidRDefault="00030CC5" w:rsidP="00961CA9">
            <w:pPr>
              <w:pStyle w:val="TableText0"/>
              <w:ind w:left="70"/>
              <w:rPr>
                <w:rFonts w:ascii="Times New Roman" w:hAnsi="Times New Roman"/>
              </w:rPr>
            </w:pPr>
            <w:r w:rsidRPr="002C3702">
              <w:t>ABE, 150mg twice daily (recommended dose) in combination with standard adjuvant ET</w:t>
            </w:r>
          </w:p>
        </w:tc>
      </w:tr>
      <w:tr w:rsidR="00030CC5" w:rsidRPr="002C3702" w14:paraId="1B049DF7" w14:textId="77777777" w:rsidTr="00334BE0">
        <w:trPr>
          <w:trHeight w:val="300"/>
        </w:trPr>
        <w:tc>
          <w:tcPr>
            <w:tcW w:w="1410" w:type="dxa"/>
            <w:shd w:val="clear" w:color="auto" w:fill="auto"/>
            <w:hideMark/>
          </w:tcPr>
          <w:p w14:paraId="6B50062A" w14:textId="77777777" w:rsidR="00030CC5" w:rsidRPr="002C3702" w:rsidRDefault="00030CC5" w:rsidP="00961CA9">
            <w:pPr>
              <w:keepNext/>
              <w:ind w:firstLine="129"/>
              <w:jc w:val="left"/>
              <w:textAlignment w:val="baseline"/>
              <w:rPr>
                <w:rFonts w:ascii="Times New Roman" w:hAnsi="Times New Roman" w:cs="Times New Roman"/>
              </w:rPr>
            </w:pPr>
            <w:r w:rsidRPr="002C3702">
              <w:rPr>
                <w:rFonts w:ascii="Arial Narrow" w:hAnsi="Arial Narrow" w:cs="Times New Roman"/>
                <w:sz w:val="20"/>
                <w:szCs w:val="20"/>
              </w:rPr>
              <w:t>Comparator </w:t>
            </w:r>
          </w:p>
        </w:tc>
        <w:tc>
          <w:tcPr>
            <w:tcW w:w="7590" w:type="dxa"/>
            <w:shd w:val="clear" w:color="auto" w:fill="FFFFFF" w:themeFill="background1"/>
            <w:hideMark/>
          </w:tcPr>
          <w:p w14:paraId="78096214" w14:textId="77777777" w:rsidR="00030CC5" w:rsidRPr="002C3702" w:rsidRDefault="00030CC5" w:rsidP="00961CA9">
            <w:pPr>
              <w:pStyle w:val="TableText0"/>
              <w:ind w:left="70"/>
              <w:rPr>
                <w:rFonts w:ascii="Times New Roman" w:hAnsi="Times New Roman"/>
                <w:vertAlign w:val="superscript"/>
              </w:rPr>
            </w:pPr>
            <w:r w:rsidRPr="002C3702">
              <w:rPr>
                <w:b/>
                <w:bCs w:val="0"/>
              </w:rPr>
              <w:t>Standard</w:t>
            </w:r>
            <w:r w:rsidRPr="002C3702">
              <w:t xml:space="preserve"> adjuvant ET alone, presenting SoC</w:t>
            </w:r>
          </w:p>
        </w:tc>
      </w:tr>
      <w:tr w:rsidR="00030CC5" w:rsidRPr="002C3702" w14:paraId="44D3AC02" w14:textId="77777777" w:rsidTr="00334BE0">
        <w:trPr>
          <w:trHeight w:val="300"/>
        </w:trPr>
        <w:tc>
          <w:tcPr>
            <w:tcW w:w="1410" w:type="dxa"/>
            <w:shd w:val="clear" w:color="auto" w:fill="auto"/>
            <w:hideMark/>
          </w:tcPr>
          <w:p w14:paraId="1B2CDA95" w14:textId="77777777" w:rsidR="00030CC5" w:rsidRPr="002C3702" w:rsidRDefault="00030CC5" w:rsidP="00961CA9">
            <w:pPr>
              <w:keepNext/>
              <w:ind w:firstLine="129"/>
              <w:jc w:val="left"/>
              <w:textAlignment w:val="baseline"/>
              <w:rPr>
                <w:rFonts w:ascii="Times New Roman" w:hAnsi="Times New Roman" w:cs="Times New Roman"/>
              </w:rPr>
            </w:pPr>
            <w:r w:rsidRPr="002C3702">
              <w:rPr>
                <w:rFonts w:ascii="Arial Narrow" w:hAnsi="Arial Narrow" w:cs="Times New Roman"/>
                <w:sz w:val="20"/>
                <w:szCs w:val="20"/>
              </w:rPr>
              <w:t>Outcomes </w:t>
            </w:r>
          </w:p>
        </w:tc>
        <w:tc>
          <w:tcPr>
            <w:tcW w:w="7590" w:type="dxa"/>
            <w:shd w:val="clear" w:color="auto" w:fill="FFFFFF" w:themeFill="background1"/>
            <w:hideMark/>
          </w:tcPr>
          <w:p w14:paraId="22CA5568" w14:textId="77777777" w:rsidR="00030CC5" w:rsidRPr="002C3702" w:rsidRDefault="00030CC5" w:rsidP="00961CA9">
            <w:pPr>
              <w:pStyle w:val="TableText0"/>
              <w:ind w:left="70"/>
            </w:pPr>
            <w:r w:rsidRPr="002C3702">
              <w:t xml:space="preserve">Primary endpoint: IDFS </w:t>
            </w:r>
          </w:p>
          <w:p w14:paraId="473B3100" w14:textId="161344FB" w:rsidR="00030CC5" w:rsidRPr="002C3702" w:rsidRDefault="00030CC5" w:rsidP="00961CA9">
            <w:pPr>
              <w:pStyle w:val="TableText0"/>
              <w:ind w:left="70"/>
              <w:rPr>
                <w:rFonts w:ascii="Times New Roman" w:hAnsi="Times New Roman"/>
              </w:rPr>
            </w:pPr>
            <w:r w:rsidRPr="002C3702">
              <w:t>Secondary endpoints: DRFS, HRQoL</w:t>
            </w:r>
            <w:r w:rsidR="7D9B1513" w:rsidRPr="002C3702">
              <w:t>, OS</w:t>
            </w:r>
          </w:p>
        </w:tc>
      </w:tr>
      <w:tr w:rsidR="00030CC5" w:rsidRPr="002C3702" w14:paraId="04855699" w14:textId="77777777" w:rsidTr="00334BE0">
        <w:trPr>
          <w:trHeight w:val="687"/>
        </w:trPr>
        <w:tc>
          <w:tcPr>
            <w:tcW w:w="1410" w:type="dxa"/>
            <w:shd w:val="clear" w:color="auto" w:fill="auto"/>
            <w:hideMark/>
          </w:tcPr>
          <w:p w14:paraId="077AAEDC" w14:textId="77777777" w:rsidR="00030CC5" w:rsidRPr="002C3702" w:rsidRDefault="00030CC5" w:rsidP="00961CA9">
            <w:pPr>
              <w:keepNext/>
              <w:ind w:firstLine="129"/>
              <w:jc w:val="left"/>
              <w:textAlignment w:val="baseline"/>
              <w:rPr>
                <w:rFonts w:ascii="Times New Roman" w:hAnsi="Times New Roman" w:cs="Times New Roman"/>
              </w:rPr>
            </w:pPr>
            <w:r w:rsidRPr="002C3702">
              <w:rPr>
                <w:rFonts w:ascii="Arial Narrow" w:hAnsi="Arial Narrow" w:cs="Times New Roman"/>
                <w:sz w:val="20"/>
                <w:szCs w:val="20"/>
              </w:rPr>
              <w:t>Clinical claim </w:t>
            </w:r>
          </w:p>
        </w:tc>
        <w:tc>
          <w:tcPr>
            <w:tcW w:w="7590" w:type="dxa"/>
            <w:shd w:val="clear" w:color="auto" w:fill="FFFFFF" w:themeFill="background1"/>
            <w:hideMark/>
          </w:tcPr>
          <w:p w14:paraId="0892D124" w14:textId="77777777" w:rsidR="00030CC5" w:rsidRPr="002C3702" w:rsidRDefault="00030CC5" w:rsidP="00961CA9">
            <w:pPr>
              <w:pStyle w:val="TableText0"/>
              <w:ind w:left="70"/>
            </w:pPr>
            <w:r w:rsidRPr="002C3702">
              <w:t xml:space="preserve">In the target population described above: </w:t>
            </w:r>
          </w:p>
          <w:p w14:paraId="036E13CB" w14:textId="77777777" w:rsidR="00030CC5" w:rsidRPr="002C3702" w:rsidRDefault="00030CC5" w:rsidP="00961CA9">
            <w:pPr>
              <w:pStyle w:val="TableText0"/>
              <w:numPr>
                <w:ilvl w:val="0"/>
                <w:numId w:val="8"/>
              </w:numPr>
              <w:ind w:left="70" w:firstLine="0"/>
            </w:pPr>
            <w:r w:rsidRPr="002C3702">
              <w:t xml:space="preserve">ABE + ET provides superior effectiveness to ET alone; and  </w:t>
            </w:r>
          </w:p>
          <w:p w14:paraId="30FA11B0" w14:textId="77777777" w:rsidR="00030CC5" w:rsidRPr="002C3702" w:rsidRDefault="00030CC5" w:rsidP="00961CA9">
            <w:pPr>
              <w:pStyle w:val="TableText0"/>
              <w:numPr>
                <w:ilvl w:val="0"/>
                <w:numId w:val="8"/>
              </w:numPr>
              <w:ind w:left="70" w:firstLine="0"/>
            </w:pPr>
            <w:r w:rsidRPr="002C3702">
              <w:t xml:space="preserve">ABE + ET provides </w:t>
            </w:r>
            <w:r w:rsidRPr="002C3702">
              <w:rPr>
                <w:b/>
                <w:bCs w:val="0"/>
              </w:rPr>
              <w:t>monitorable</w:t>
            </w:r>
            <w:r w:rsidRPr="002C3702">
              <w:t xml:space="preserve"> and manageable safety to ET alone</w:t>
            </w:r>
          </w:p>
        </w:tc>
      </w:tr>
    </w:tbl>
    <w:p w14:paraId="0A57CDE7" w14:textId="77777777" w:rsidR="00030CC5" w:rsidRPr="002C3702" w:rsidRDefault="00030CC5" w:rsidP="00961CA9">
      <w:pPr>
        <w:keepNext/>
        <w:ind w:right="-165"/>
        <w:textAlignment w:val="baseline"/>
        <w:rPr>
          <w:rFonts w:ascii="Segoe UI" w:hAnsi="Segoe UI" w:cs="Segoe UI"/>
          <w:color w:val="000000"/>
          <w:sz w:val="18"/>
          <w:szCs w:val="18"/>
        </w:rPr>
      </w:pPr>
      <w:r w:rsidRPr="002C3702">
        <w:rPr>
          <w:rFonts w:ascii="Arial Narrow" w:hAnsi="Arial Narrow" w:cs="Segoe UI"/>
          <w:color w:val="000000"/>
          <w:sz w:val="18"/>
          <w:szCs w:val="18"/>
        </w:rPr>
        <w:t>Source: Table 11, p24 of the submission. </w:t>
      </w:r>
    </w:p>
    <w:p w14:paraId="6582D1BC" w14:textId="7F60C55C" w:rsidR="00030CC5" w:rsidRPr="002C3702" w:rsidRDefault="00030CC5" w:rsidP="00961CA9">
      <w:pPr>
        <w:keepNext/>
        <w:ind w:right="-165"/>
        <w:textAlignment w:val="baseline"/>
        <w:rPr>
          <w:rFonts w:ascii="Segoe UI" w:hAnsi="Segoe UI" w:cs="Segoe UI"/>
          <w:color w:val="000000"/>
          <w:sz w:val="18"/>
          <w:szCs w:val="18"/>
        </w:rPr>
      </w:pPr>
      <w:r w:rsidRPr="002C3702">
        <w:rPr>
          <w:rFonts w:ascii="Arial Narrow" w:hAnsi="Arial Narrow" w:cs="Segoe UI"/>
          <w:color w:val="000000"/>
          <w:sz w:val="18"/>
          <w:szCs w:val="18"/>
        </w:rPr>
        <w:t>ABE = abemaciclib; EBC = early-stage breast cancer; ET = endocrine therapy, DRFS = distant relapse-free survival, HER2- = human epidermal growth factor receptor 2 negative, HR+ = hormone receptor positive; HRQoL = health-related quality of life, IDFS = invasive disease-free survival, mg= milligram, OS = overall survival, SoC = standard of care</w:t>
      </w:r>
      <w:r w:rsidR="002C3702">
        <w:rPr>
          <w:rFonts w:ascii="Arial Narrow" w:hAnsi="Arial Narrow" w:cs="Segoe UI"/>
          <w:color w:val="000000"/>
          <w:sz w:val="18"/>
          <w:szCs w:val="18"/>
        </w:rPr>
        <w:t xml:space="preserve">. </w:t>
      </w:r>
    </w:p>
    <w:p w14:paraId="16E6206C" w14:textId="5DA897DE" w:rsidR="007D1161" w:rsidRPr="002C3702" w:rsidRDefault="002C3702" w:rsidP="00961CA9">
      <w:pPr>
        <w:pStyle w:val="TableFigureFooter"/>
        <w:keepNext/>
      </w:pPr>
      <w:r w:rsidRPr="002C3702">
        <w:rPr>
          <w:b/>
          <w:bCs/>
          <w:u w:val="single"/>
        </w:rPr>
        <w:t>Bold</w:t>
      </w:r>
      <w:r w:rsidRPr="002C3702">
        <w:t xml:space="preserve"> </w:t>
      </w:r>
      <w:r w:rsidR="00030CC5" w:rsidRPr="002C3702">
        <w:t>text indicates changes</w:t>
      </w:r>
      <w:r w:rsidR="00030CC5" w:rsidRPr="002C3702" w:rsidDel="00EE2E0D">
        <w:t xml:space="preserve"> </w:t>
      </w:r>
      <w:r w:rsidR="00030CC5" w:rsidRPr="002C3702">
        <w:t xml:space="preserve">from previous submission. The current </w:t>
      </w:r>
      <w:r w:rsidR="6AF6F403" w:rsidRPr="002C3702">
        <w:t>submission</w:t>
      </w:r>
      <w:r w:rsidR="00030CC5" w:rsidRPr="002C3702">
        <w:t xml:space="preserve"> included the word “standard” to “adjuvant ET alone” and the word “monitorable” to “manageable safety to ET alone”. </w:t>
      </w:r>
    </w:p>
    <w:p w14:paraId="4A419076" w14:textId="77777777" w:rsidR="00030CC5" w:rsidRPr="002C3702" w:rsidRDefault="00030CC5" w:rsidP="00030CC5">
      <w:pPr>
        <w:pStyle w:val="2-SectionHeading"/>
      </w:pPr>
      <w:bookmarkStart w:id="4" w:name="_Toc145422832"/>
      <w:r w:rsidRPr="002C3702">
        <w:t>Background</w:t>
      </w:r>
      <w:bookmarkEnd w:id="4"/>
    </w:p>
    <w:p w14:paraId="504FCB71" w14:textId="77777777" w:rsidR="00030CC5" w:rsidRPr="002C3702" w:rsidRDefault="00030CC5" w:rsidP="00030CC5">
      <w:pPr>
        <w:pStyle w:val="4-SubsectionHeading"/>
      </w:pPr>
      <w:bookmarkStart w:id="5" w:name="_Toc22897638"/>
      <w:bookmarkStart w:id="6" w:name="_Toc145422833"/>
      <w:r w:rsidRPr="002C3702">
        <w:t>Registration status</w:t>
      </w:r>
      <w:bookmarkEnd w:id="5"/>
      <w:bookmarkEnd w:id="6"/>
    </w:p>
    <w:p w14:paraId="67DE8E5E" w14:textId="23F6E432" w:rsidR="0009577D" w:rsidRPr="002C3702" w:rsidRDefault="00030CC5" w:rsidP="00030CC5">
      <w:pPr>
        <w:pStyle w:val="3-BodyText"/>
      </w:pPr>
      <w:r w:rsidRPr="002C3702">
        <w:t xml:space="preserve">ABE </w:t>
      </w:r>
      <w:r w:rsidR="0009577D" w:rsidRPr="002C3702">
        <w:t xml:space="preserve">in combination with ET </w:t>
      </w:r>
      <w:r w:rsidRPr="002C3702">
        <w:t>received Therapeutic Goods Administration (TGA) registration in EBC on the 9 June 2022 for the adjuvant treatment of patients with HR+, HER2-, node positive EBC at high risk of recurrence.</w:t>
      </w:r>
    </w:p>
    <w:p w14:paraId="203CA052" w14:textId="33F309F5" w:rsidR="00030CC5" w:rsidRPr="002C3702" w:rsidRDefault="00030CC5" w:rsidP="00030CC5">
      <w:pPr>
        <w:pStyle w:val="3-BodyText"/>
      </w:pPr>
      <w:r w:rsidRPr="002C3702">
        <w:t xml:space="preserve">ABE also has TGA registration for </w:t>
      </w:r>
      <w:r w:rsidR="0009577D" w:rsidRPr="002C3702">
        <w:t xml:space="preserve">the treatment of </w:t>
      </w:r>
      <w:r w:rsidRPr="002C3702">
        <w:rPr>
          <w:rFonts w:ascii="Calibri" w:hAnsi="Calibri" w:cs="Calibri"/>
          <w:iCs/>
        </w:rPr>
        <w:t>HR+, HER2- locally advanced or metastatic breast cancer in combination with an aromatase inhibitor (AI) or fulvestrant as initial endocrine-based therapy or following prior ET.</w:t>
      </w:r>
    </w:p>
    <w:p w14:paraId="1A756B40" w14:textId="77777777" w:rsidR="00030CC5" w:rsidRPr="002C3702" w:rsidRDefault="00030CC5" w:rsidP="00030CC5">
      <w:pPr>
        <w:pStyle w:val="4-SubsectionHeading"/>
      </w:pPr>
      <w:bookmarkStart w:id="7" w:name="_Toc22897639"/>
      <w:bookmarkStart w:id="8" w:name="_Toc145422834"/>
      <w:r w:rsidRPr="002C3702">
        <w:lastRenderedPageBreak/>
        <w:t>Previous PBAC consideration</w:t>
      </w:r>
      <w:bookmarkEnd w:id="7"/>
      <w:bookmarkEnd w:id="8"/>
    </w:p>
    <w:p w14:paraId="25A02528" w14:textId="1A193D9E" w:rsidR="00030CC5" w:rsidRPr="002C3702" w:rsidRDefault="00030CC5" w:rsidP="00030CC5">
      <w:pPr>
        <w:pStyle w:val="3-BodyText"/>
        <w:rPr>
          <w:snapToGrid/>
        </w:rPr>
      </w:pPr>
      <w:r w:rsidRPr="002C3702">
        <w:rPr>
          <w:rStyle w:val="normaltextrun"/>
          <w:color w:val="000000"/>
          <w:shd w:val="clear" w:color="auto" w:fill="FFFFFF"/>
        </w:rPr>
        <w:t>This is the third consideration of ABE in combination with ET for the adjuvant treatment of patients with HR+, HER2-, node-positive</w:t>
      </w:r>
      <w:r w:rsidR="00D5458F" w:rsidRPr="002C3702">
        <w:rPr>
          <w:rStyle w:val="normaltextrun"/>
          <w:color w:val="000000"/>
          <w:shd w:val="clear" w:color="auto" w:fill="FFFFFF"/>
        </w:rPr>
        <w:t>,</w:t>
      </w:r>
      <w:r w:rsidRPr="002C3702">
        <w:rPr>
          <w:rStyle w:val="normaltextrun"/>
          <w:color w:val="000000"/>
          <w:shd w:val="clear" w:color="auto" w:fill="FFFFFF"/>
        </w:rPr>
        <w:t xml:space="preserve"> </w:t>
      </w:r>
      <w:r w:rsidR="00D5458F" w:rsidRPr="002C3702">
        <w:rPr>
          <w:rFonts w:ascii="Calibri" w:hAnsi="Calibri" w:cs="Calibri"/>
        </w:rPr>
        <w:t xml:space="preserve">invasive, resected </w:t>
      </w:r>
      <w:r w:rsidRPr="002C3702">
        <w:rPr>
          <w:rStyle w:val="normaltextrun"/>
          <w:color w:val="000000"/>
          <w:shd w:val="clear" w:color="auto" w:fill="FFFFFF"/>
        </w:rPr>
        <w:t xml:space="preserve">EBC at high risk of recurrence. The initial submission for ABE was considered by the </w:t>
      </w:r>
      <w:r w:rsidR="004C162F">
        <w:rPr>
          <w:rStyle w:val="normaltextrun"/>
          <w:color w:val="000000"/>
          <w:shd w:val="clear" w:color="auto" w:fill="FFFFFF"/>
        </w:rPr>
        <w:t>Pharmaceutical Benefits Advisory Committee (</w:t>
      </w:r>
      <w:r w:rsidRPr="002C3702">
        <w:rPr>
          <w:rStyle w:val="normaltextrun"/>
          <w:color w:val="000000"/>
          <w:shd w:val="clear" w:color="auto" w:fill="FFFFFF"/>
        </w:rPr>
        <w:t>PBAC</w:t>
      </w:r>
      <w:r w:rsidR="004C162F">
        <w:rPr>
          <w:rStyle w:val="normaltextrun"/>
          <w:color w:val="000000"/>
          <w:shd w:val="clear" w:color="auto" w:fill="FFFFFF"/>
        </w:rPr>
        <w:t>)</w:t>
      </w:r>
      <w:r w:rsidRPr="002C3702">
        <w:rPr>
          <w:rStyle w:val="normaltextrun"/>
          <w:color w:val="000000"/>
          <w:shd w:val="clear" w:color="auto" w:fill="FFFFFF"/>
        </w:rPr>
        <w:t xml:space="preserve"> in March 2022 but was not recommended. In March 2023,</w:t>
      </w:r>
      <w:r w:rsidRPr="002C3702" w:rsidDel="00D5458F">
        <w:rPr>
          <w:rStyle w:val="normaltextrun"/>
          <w:color w:val="000000"/>
          <w:shd w:val="clear" w:color="auto" w:fill="FFFFFF"/>
        </w:rPr>
        <w:t xml:space="preserve"> </w:t>
      </w:r>
      <w:r w:rsidRPr="002C3702">
        <w:rPr>
          <w:rStyle w:val="normaltextrun"/>
          <w:color w:val="000000"/>
          <w:shd w:val="clear" w:color="auto" w:fill="FFFFFF"/>
        </w:rPr>
        <w:t>ABE</w:t>
      </w:r>
      <w:r w:rsidR="00D5458F" w:rsidRPr="002C3702">
        <w:rPr>
          <w:rStyle w:val="normaltextrun"/>
          <w:color w:val="000000"/>
          <w:shd w:val="clear" w:color="auto" w:fill="FFFFFF"/>
        </w:rPr>
        <w:t xml:space="preserve"> received </w:t>
      </w:r>
      <w:r w:rsidRPr="002C3702">
        <w:rPr>
          <w:rStyle w:val="normaltextrun"/>
          <w:color w:val="000000"/>
          <w:shd w:val="clear" w:color="auto" w:fill="FFFFFF"/>
        </w:rPr>
        <w:t>a positive recommendation</w:t>
      </w:r>
      <w:r w:rsidR="005E0E43" w:rsidRPr="002C3702">
        <w:rPr>
          <w:rStyle w:val="normaltextrun"/>
          <w:color w:val="000000"/>
          <w:shd w:val="clear" w:color="auto" w:fill="FFFFFF"/>
        </w:rPr>
        <w:t xml:space="preserve"> that was contingent</w:t>
      </w:r>
      <w:r w:rsidR="006B6215" w:rsidRPr="002C3702">
        <w:rPr>
          <w:rStyle w:val="normaltextrun"/>
          <w:color w:val="000000"/>
          <w:shd w:val="clear" w:color="auto" w:fill="FFFFFF"/>
        </w:rPr>
        <w:t xml:space="preserve"> on addressing</w:t>
      </w:r>
      <w:r w:rsidR="006B6215" w:rsidRPr="002C3702">
        <w:rPr>
          <w:rStyle w:val="normaltextrun"/>
          <w:color w:val="000000" w:themeColor="text1"/>
        </w:rPr>
        <w:t xml:space="preserve"> the remaining concerns held by the </w:t>
      </w:r>
      <w:r w:rsidR="006B6215" w:rsidRPr="002C3702">
        <w:rPr>
          <w:rStyle w:val="normaltextrun"/>
          <w:color w:val="000000"/>
          <w:shd w:val="clear" w:color="auto" w:fill="FFFFFF"/>
        </w:rPr>
        <w:t>PBAC</w:t>
      </w:r>
      <w:r w:rsidR="1F2BE399" w:rsidRPr="002C3702">
        <w:rPr>
          <w:rStyle w:val="normaltextrun"/>
          <w:color w:val="000000"/>
          <w:shd w:val="clear" w:color="auto" w:fill="FFFFFF"/>
        </w:rPr>
        <w:t>.</w:t>
      </w:r>
      <w:r w:rsidRPr="002C3702">
        <w:rPr>
          <w:rStyle w:val="normaltextrun"/>
          <w:color w:val="000000"/>
          <w:shd w:val="clear" w:color="auto" w:fill="FFFFFF"/>
        </w:rPr>
        <w:t xml:space="preserve"> The </w:t>
      </w:r>
      <w:r w:rsidRPr="002C3702">
        <w:rPr>
          <w:rStyle w:val="normaltextrun"/>
          <w:color w:val="000000" w:themeColor="text1"/>
        </w:rPr>
        <w:t xml:space="preserve">current </w:t>
      </w:r>
      <w:r w:rsidR="12BAFF9E" w:rsidRPr="002C3702">
        <w:rPr>
          <w:rStyle w:val="normaltextrun"/>
          <w:color w:val="000000" w:themeColor="text1"/>
        </w:rPr>
        <w:t>submission</w:t>
      </w:r>
      <w:r w:rsidRPr="002C3702">
        <w:rPr>
          <w:rStyle w:val="normaltextrun"/>
          <w:color w:val="000000"/>
          <w:shd w:val="clear" w:color="auto" w:fill="FFFFFF"/>
        </w:rPr>
        <w:t xml:space="preserve"> sought to address those concerns</w:t>
      </w:r>
      <w:r w:rsidR="00B879D4" w:rsidRPr="002C3702">
        <w:rPr>
          <w:rStyle w:val="normaltextrun"/>
          <w:color w:val="000000" w:themeColor="text1"/>
        </w:rPr>
        <w:t xml:space="preserve"> </w:t>
      </w:r>
      <w:r w:rsidR="006B6215" w:rsidRPr="002C3702">
        <w:rPr>
          <w:rStyle w:val="normaltextrun"/>
          <w:color w:val="000000" w:themeColor="text1"/>
        </w:rPr>
        <w:t>using alternate approaches to those recommended by the PBAC</w:t>
      </w:r>
      <w:r w:rsidR="00454F3A" w:rsidRPr="002C3702">
        <w:rPr>
          <w:rStyle w:val="normaltextrun"/>
          <w:color w:val="000000" w:themeColor="text1"/>
        </w:rPr>
        <w:t xml:space="preserve"> at the March 2023 meeting</w:t>
      </w:r>
      <w:r w:rsidRPr="002C3702">
        <w:rPr>
          <w:rStyle w:val="normaltextrun"/>
          <w:color w:val="000000"/>
          <w:shd w:val="clear" w:color="auto" w:fill="FFFFFF"/>
        </w:rPr>
        <w:t xml:space="preserve">. </w:t>
      </w:r>
      <w:r w:rsidR="00B2316A" w:rsidRPr="002C3702">
        <w:rPr>
          <w:rStyle w:val="normaltextrun"/>
          <w:color w:val="000000"/>
          <w:shd w:val="clear" w:color="auto" w:fill="FFFFFF"/>
        </w:rPr>
        <w:t>Previous</w:t>
      </w:r>
      <w:r w:rsidRPr="002C3702">
        <w:rPr>
          <w:snapToGrid/>
        </w:rPr>
        <w:t xml:space="preserve"> concerns and how they were addressed in the </w:t>
      </w:r>
      <w:r w:rsidRPr="002C3702">
        <w:rPr>
          <w:rStyle w:val="normaltextrun"/>
          <w:color w:val="000000" w:themeColor="text1"/>
        </w:rPr>
        <w:t xml:space="preserve">current </w:t>
      </w:r>
      <w:r w:rsidR="52E7D1FD" w:rsidRPr="002C3702">
        <w:rPr>
          <w:rStyle w:val="normaltextrun"/>
          <w:color w:val="000000" w:themeColor="text1"/>
        </w:rPr>
        <w:t>submission</w:t>
      </w:r>
      <w:r w:rsidRPr="002C3702">
        <w:rPr>
          <w:rStyle w:val="normaltextrun"/>
          <w:color w:val="000000"/>
          <w:shd w:val="clear" w:color="auto" w:fill="FFFFFF"/>
        </w:rPr>
        <w:t xml:space="preserve"> </w:t>
      </w:r>
      <w:r w:rsidR="00B2316A" w:rsidRPr="002C3702">
        <w:rPr>
          <w:snapToGrid/>
        </w:rPr>
        <w:t>are</w:t>
      </w:r>
      <w:r w:rsidRPr="002C3702">
        <w:rPr>
          <w:snapToGrid/>
        </w:rPr>
        <w:t xml:space="preserve"> summarised in </w:t>
      </w:r>
      <w:r w:rsidRPr="002C3702">
        <w:rPr>
          <w:snapToGrid/>
        </w:rPr>
        <w:fldChar w:fldCharType="begin"/>
      </w:r>
      <w:r w:rsidRPr="002C3702">
        <w:rPr>
          <w:snapToGrid/>
        </w:rPr>
        <w:instrText xml:space="preserve"> REF _Ref142558688 \h </w:instrText>
      </w:r>
      <w:r w:rsidR="009548CB" w:rsidRPr="002C3702">
        <w:rPr>
          <w:snapToGrid/>
        </w:rPr>
        <w:instrText xml:space="preserve"> \* MERGEFORMAT </w:instrText>
      </w:r>
      <w:r w:rsidRPr="002C3702">
        <w:rPr>
          <w:snapToGrid/>
        </w:rPr>
      </w:r>
      <w:r w:rsidRPr="002C3702">
        <w:rPr>
          <w:snapToGrid/>
        </w:rPr>
        <w:fldChar w:fldCharType="separate"/>
      </w:r>
      <w:r w:rsidR="00676505" w:rsidRPr="002C3702">
        <w:t xml:space="preserve">Table </w:t>
      </w:r>
      <w:r w:rsidR="00676505">
        <w:t>2</w:t>
      </w:r>
      <w:r w:rsidRPr="002C3702">
        <w:rPr>
          <w:snapToGrid/>
        </w:rPr>
        <w:fldChar w:fldCharType="end"/>
      </w:r>
      <w:r w:rsidRPr="002C3702">
        <w:rPr>
          <w:snapToGrid/>
        </w:rPr>
        <w:t xml:space="preserve">. </w:t>
      </w:r>
    </w:p>
    <w:p w14:paraId="0BBE3E22" w14:textId="5DFE651F" w:rsidR="001F6FAD" w:rsidRPr="002C3702" w:rsidRDefault="00030CC5" w:rsidP="00030CC5">
      <w:pPr>
        <w:pStyle w:val="3-BodyText"/>
        <w:rPr>
          <w:snapToGrid/>
        </w:rPr>
      </w:pPr>
      <w:r w:rsidRPr="002C3702">
        <w:rPr>
          <w:snapToGrid/>
        </w:rPr>
        <w:t>The initial submission for ABE is referred to as ‘March 2022 submission</w:t>
      </w:r>
      <w:r w:rsidR="0087310C" w:rsidRPr="002C3702">
        <w:rPr>
          <w:snapToGrid/>
        </w:rPr>
        <w:t>’</w:t>
      </w:r>
      <w:r w:rsidRPr="002C3702">
        <w:rPr>
          <w:snapToGrid/>
        </w:rPr>
        <w:t>. The first resubmission is referred to as ‘March 2023 resubmission</w:t>
      </w:r>
      <w:r w:rsidR="0087310C" w:rsidRPr="002C3702">
        <w:rPr>
          <w:snapToGrid/>
        </w:rPr>
        <w:t>’</w:t>
      </w:r>
      <w:r w:rsidRPr="002C3702">
        <w:rPr>
          <w:snapToGrid/>
        </w:rPr>
        <w:t>, while the</w:t>
      </w:r>
      <w:r w:rsidR="00D0555E" w:rsidRPr="002C3702">
        <w:rPr>
          <w:snapToGrid/>
        </w:rPr>
        <w:t xml:space="preserve"> </w:t>
      </w:r>
      <w:r w:rsidRPr="002C3702">
        <w:rPr>
          <w:snapToGrid/>
        </w:rPr>
        <w:t>November 2023 submission is referred to as the ‘</w:t>
      </w:r>
      <w:r w:rsidRPr="002C3702">
        <w:t xml:space="preserve">current </w:t>
      </w:r>
      <w:r w:rsidR="2BD6BAC6" w:rsidRPr="002C3702">
        <w:t>submission</w:t>
      </w:r>
      <w:r w:rsidRPr="002C3702">
        <w:rPr>
          <w:snapToGrid/>
        </w:rPr>
        <w:t xml:space="preserve">’ </w:t>
      </w:r>
      <w:r w:rsidR="009548CB" w:rsidRPr="002C3702">
        <w:rPr>
          <w:snapToGrid/>
        </w:rPr>
        <w:t>herein.</w:t>
      </w:r>
    </w:p>
    <w:p w14:paraId="1C626696" w14:textId="37DA79EE" w:rsidR="00030CC5" w:rsidRPr="002C3702" w:rsidRDefault="00030CC5" w:rsidP="00191286">
      <w:pPr>
        <w:pStyle w:val="TableFigureHeading"/>
        <w:widowControl w:val="0"/>
        <w:rPr>
          <w:rStyle w:val="CommentReference"/>
          <w:b/>
        </w:rPr>
      </w:pPr>
      <w:bookmarkStart w:id="9" w:name="_Ref142558688"/>
      <w:r w:rsidRPr="002C3702">
        <w:t xml:space="preserve">Table </w:t>
      </w:r>
      <w:fldSimple w:instr=" SEQ Table \* ARABIC ">
        <w:r w:rsidR="00676505">
          <w:rPr>
            <w:noProof/>
          </w:rPr>
          <w:t>2</w:t>
        </w:r>
      </w:fldSimple>
      <w:bookmarkEnd w:id="9"/>
      <w:r w:rsidRPr="002C3702">
        <w:t>:</w:t>
      </w:r>
      <w:r w:rsidRPr="002C3702">
        <w:rPr>
          <w:rStyle w:val="CommentReference"/>
        </w:rPr>
        <w:t xml:space="preserve"> </w:t>
      </w:r>
      <w:r w:rsidRPr="002C3702">
        <w:rPr>
          <w:rStyle w:val="CommentReference"/>
          <w:b/>
          <w:bCs w:val="0"/>
        </w:rPr>
        <w:t>Summary of key matters of concern</w:t>
      </w:r>
    </w:p>
    <w:tbl>
      <w:tblPr>
        <w:tblpPr w:leftFromText="181" w:rightFromText="18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3635"/>
      </w:tblGrid>
      <w:tr w:rsidR="00F54E36" w:rsidRPr="002C3702" w14:paraId="0C0E71FE" w14:textId="77777777" w:rsidTr="00961CA9">
        <w:trPr>
          <w:cantSplit/>
          <w:tblHeader/>
        </w:trPr>
        <w:tc>
          <w:tcPr>
            <w:tcW w:w="1555" w:type="dxa"/>
          </w:tcPr>
          <w:p w14:paraId="06063FDE" w14:textId="77777777" w:rsidR="00030CC5" w:rsidRPr="002C3702" w:rsidRDefault="00030CC5" w:rsidP="00191286">
            <w:pPr>
              <w:pStyle w:val="In-tableHeading"/>
              <w:widowControl w:val="0"/>
              <w:rPr>
                <w:lang w:val="en-AU"/>
              </w:rPr>
            </w:pPr>
            <w:r w:rsidRPr="002C3702">
              <w:rPr>
                <w:lang w:val="en-AU"/>
              </w:rPr>
              <w:t>Component</w:t>
            </w:r>
          </w:p>
        </w:tc>
        <w:tc>
          <w:tcPr>
            <w:tcW w:w="3827" w:type="dxa"/>
          </w:tcPr>
          <w:p w14:paraId="38CCE40B" w14:textId="77777777" w:rsidR="00030CC5" w:rsidRPr="002C3702" w:rsidRDefault="00030CC5" w:rsidP="00191286">
            <w:pPr>
              <w:pStyle w:val="In-tableHeading"/>
              <w:widowControl w:val="0"/>
              <w:rPr>
                <w:lang w:val="en-AU"/>
              </w:rPr>
            </w:pPr>
            <w:r w:rsidRPr="002C3702">
              <w:rPr>
                <w:lang w:val="en-AU"/>
              </w:rPr>
              <w:t>Matter of concern</w:t>
            </w:r>
          </w:p>
        </w:tc>
        <w:tc>
          <w:tcPr>
            <w:tcW w:w="3635" w:type="dxa"/>
          </w:tcPr>
          <w:p w14:paraId="27553CE9" w14:textId="2C4D25B8" w:rsidR="00030CC5" w:rsidRPr="002C3702" w:rsidRDefault="00030CC5" w:rsidP="00191286">
            <w:pPr>
              <w:pStyle w:val="In-tableHeading"/>
              <w:widowControl w:val="0"/>
              <w:rPr>
                <w:lang w:val="en-AU"/>
              </w:rPr>
            </w:pPr>
            <w:r w:rsidRPr="002C3702">
              <w:rPr>
                <w:lang w:val="en-AU"/>
              </w:rPr>
              <w:t xml:space="preserve">How the </w:t>
            </w:r>
            <w:r w:rsidR="00B92625" w:rsidRPr="002C3702">
              <w:rPr>
                <w:lang w:val="en-AU"/>
              </w:rPr>
              <w:t xml:space="preserve">current </w:t>
            </w:r>
            <w:r w:rsidR="319DD534" w:rsidRPr="002C3702">
              <w:rPr>
                <w:lang w:val="en-AU"/>
              </w:rPr>
              <w:t>submission</w:t>
            </w:r>
            <w:r w:rsidRPr="002C3702">
              <w:rPr>
                <w:lang w:val="en-AU"/>
              </w:rPr>
              <w:t xml:space="preserve"> addresses it</w:t>
            </w:r>
          </w:p>
        </w:tc>
      </w:tr>
      <w:tr w:rsidR="00F54E36" w:rsidRPr="002C3702" w14:paraId="4EA948C0" w14:textId="77777777" w:rsidTr="00191286">
        <w:trPr>
          <w:cantSplit/>
        </w:trPr>
        <w:tc>
          <w:tcPr>
            <w:tcW w:w="1555" w:type="dxa"/>
          </w:tcPr>
          <w:p w14:paraId="2137CB5B" w14:textId="77777777" w:rsidR="00030CC5" w:rsidRPr="002C3702" w:rsidRDefault="00030CC5" w:rsidP="00191286">
            <w:pPr>
              <w:pStyle w:val="TableText0"/>
              <w:widowControl w:val="0"/>
            </w:pPr>
            <w:r w:rsidRPr="002C3702">
              <w:t>Clinical place in therapy</w:t>
            </w:r>
          </w:p>
        </w:tc>
        <w:tc>
          <w:tcPr>
            <w:tcW w:w="3827" w:type="dxa"/>
          </w:tcPr>
          <w:p w14:paraId="1B376B80" w14:textId="61D39528" w:rsidR="00030CC5" w:rsidRPr="002C3702" w:rsidRDefault="00030CC5" w:rsidP="00191286">
            <w:pPr>
              <w:pStyle w:val="TableText0"/>
              <w:widowControl w:val="0"/>
            </w:pPr>
            <w:r w:rsidRPr="002C3702">
              <w:t>The PBAC recommended flow on changes for all currently PBS-listed CDK4/6 inhibitors in the advanced/metastatic treatment context to prohibit sequential application (i.e. use in EBC and then use in advanced/metastatic breast cancer) due to the absence of safety or efficacy data supporting repeated use of CDK4/6 inhibitors</w:t>
            </w:r>
            <w:r w:rsidR="00390362" w:rsidRPr="002C3702">
              <w:t xml:space="preserve"> </w:t>
            </w:r>
            <w:r w:rsidRPr="002C3702">
              <w:t>(</w:t>
            </w:r>
            <w:r w:rsidR="355E8D89" w:rsidRPr="002C3702">
              <w:t>p</w:t>
            </w:r>
            <w:r w:rsidRPr="002C3702">
              <w:t xml:space="preserve">ara 7.5, </w:t>
            </w:r>
            <w:r w:rsidR="00B3218C" w:rsidRPr="002C3702">
              <w:t>a</w:t>
            </w:r>
            <w:r w:rsidR="00995F87" w:rsidRPr="002C3702">
              <w:t>bemaciclib</w:t>
            </w:r>
            <w:r w:rsidR="000157B8" w:rsidRPr="002C3702">
              <w:t>,</w:t>
            </w:r>
            <w:r w:rsidR="00427561" w:rsidRPr="002C3702">
              <w:t xml:space="preserve"> </w:t>
            </w:r>
            <w:r w:rsidRPr="002C3702">
              <w:t>PSD</w:t>
            </w:r>
            <w:r w:rsidR="00427561" w:rsidRPr="002C3702">
              <w:t>,</w:t>
            </w:r>
            <w:r w:rsidR="00D87F92" w:rsidRPr="002C3702">
              <w:t xml:space="preserve"> </w:t>
            </w:r>
            <w:r w:rsidR="00427561" w:rsidRPr="002C3702">
              <w:t>March 2023</w:t>
            </w:r>
            <w:r w:rsidR="000157B8" w:rsidRPr="002C3702">
              <w:t xml:space="preserve"> PBAC Meeting</w:t>
            </w:r>
            <w:r w:rsidRPr="002C3702">
              <w:t>).</w:t>
            </w:r>
            <w:r w:rsidR="00995F87" w:rsidRPr="002C3702" w:rsidDel="00995F87">
              <w:t xml:space="preserve"> </w:t>
            </w:r>
          </w:p>
        </w:tc>
        <w:tc>
          <w:tcPr>
            <w:tcW w:w="3635" w:type="dxa"/>
          </w:tcPr>
          <w:p w14:paraId="3823C0D4" w14:textId="71ECF7E8" w:rsidR="00030CC5" w:rsidRPr="002C3702" w:rsidRDefault="00030CC5" w:rsidP="00191286">
            <w:pPr>
              <w:pStyle w:val="TableText0"/>
              <w:widowControl w:val="0"/>
            </w:pPr>
            <w:r w:rsidRPr="002C3702">
              <w:t xml:space="preserve">Not addressed. The </w:t>
            </w:r>
            <w:r w:rsidR="003AD68D" w:rsidRPr="002C3702">
              <w:t>sequential impact of ABE in EBC to metastatic disease has not been captured in the clinical management algorithm of the current submission.</w:t>
            </w:r>
          </w:p>
        </w:tc>
      </w:tr>
      <w:tr w:rsidR="00F54E36" w:rsidRPr="002C3702" w14:paraId="2B4CAEA3" w14:textId="77777777" w:rsidTr="00191286">
        <w:trPr>
          <w:cantSplit/>
        </w:trPr>
        <w:tc>
          <w:tcPr>
            <w:tcW w:w="1555" w:type="dxa"/>
          </w:tcPr>
          <w:p w14:paraId="4F58CF62" w14:textId="77777777" w:rsidR="00030CC5" w:rsidRPr="002C3702" w:rsidRDefault="00030CC5" w:rsidP="00191286">
            <w:pPr>
              <w:pStyle w:val="TableText0"/>
              <w:widowControl w:val="0"/>
            </w:pPr>
            <w:r w:rsidRPr="002C3702">
              <w:t>Clinical effectiveness</w:t>
            </w:r>
          </w:p>
        </w:tc>
        <w:tc>
          <w:tcPr>
            <w:tcW w:w="3827" w:type="dxa"/>
          </w:tcPr>
          <w:p w14:paraId="1D18B014" w14:textId="59910B59" w:rsidR="00030CC5" w:rsidRPr="002C3702" w:rsidRDefault="00030CC5" w:rsidP="00191286">
            <w:pPr>
              <w:pStyle w:val="TableText0"/>
              <w:widowControl w:val="0"/>
            </w:pPr>
            <w:r w:rsidRPr="002C3702">
              <w:t>The PBAC considered that due to immature OS data there remained an unclear relationship between IDFS/DRFS and OS (</w:t>
            </w:r>
            <w:r w:rsidR="007E13B6" w:rsidRPr="002C3702">
              <w:t>p</w:t>
            </w:r>
            <w:r w:rsidRPr="002C3702">
              <w:t xml:space="preserve">ara 7.7, </w:t>
            </w:r>
            <w:r w:rsidR="00B3218C" w:rsidRPr="002C3702">
              <w:t>a</w:t>
            </w:r>
            <w:r w:rsidR="01F621BA" w:rsidRPr="002C3702">
              <w:t>bemaciclib, PSD, March 2023 PBAC Meeting</w:t>
            </w:r>
            <w:r w:rsidRPr="002C3702">
              <w:t>).</w:t>
            </w:r>
          </w:p>
        </w:tc>
        <w:tc>
          <w:tcPr>
            <w:tcW w:w="3635" w:type="dxa"/>
          </w:tcPr>
          <w:p w14:paraId="5727C20F" w14:textId="12FCCEE4" w:rsidR="00030CC5" w:rsidRPr="002C3702" w:rsidRDefault="00030CC5" w:rsidP="00191286">
            <w:pPr>
              <w:pStyle w:val="TableText0"/>
              <w:widowControl w:val="0"/>
            </w:pPr>
            <w:r w:rsidRPr="002C3702">
              <w:t xml:space="preserve">No new clinical data was presented since the March 2023 resubmission. The economic model has been updated to use the July 2022 data cut. </w:t>
            </w:r>
          </w:p>
        </w:tc>
      </w:tr>
      <w:tr w:rsidR="00EB6CDA" w:rsidRPr="002C3702" w14:paraId="3AAE65DF" w14:textId="77777777" w:rsidTr="00191286">
        <w:trPr>
          <w:cantSplit/>
          <w:trHeight w:val="872"/>
        </w:trPr>
        <w:tc>
          <w:tcPr>
            <w:tcW w:w="1555" w:type="dxa"/>
            <w:vMerge w:val="restart"/>
          </w:tcPr>
          <w:p w14:paraId="37D4805A" w14:textId="0E11460D" w:rsidR="00EB6CDA" w:rsidRPr="002C3702" w:rsidRDefault="00EB6CDA" w:rsidP="00191286">
            <w:pPr>
              <w:pStyle w:val="TableText0"/>
              <w:widowControl w:val="0"/>
            </w:pPr>
            <w:r w:rsidRPr="002C3702">
              <w:t>Economic evaluation</w:t>
            </w:r>
          </w:p>
        </w:tc>
        <w:tc>
          <w:tcPr>
            <w:tcW w:w="3827" w:type="dxa"/>
          </w:tcPr>
          <w:p w14:paraId="6E4CCE11" w14:textId="7F0DAE2F" w:rsidR="00EB6CDA" w:rsidRPr="002C3702" w:rsidRDefault="00EB6CDA" w:rsidP="00191286">
            <w:pPr>
              <w:pStyle w:val="TableText0"/>
              <w:widowControl w:val="0"/>
            </w:pPr>
            <w:r w:rsidRPr="002C3702">
              <w:t xml:space="preserve">The PBAC considered the treatment waning effect should be from Year 4 to Year 7 (para 7.11, </w:t>
            </w:r>
            <w:r w:rsidR="00B3218C" w:rsidRPr="002C3702">
              <w:t>a</w:t>
            </w:r>
            <w:r w:rsidRPr="002C3702">
              <w:t>bemaciclib, PSD, March 2023 PBAC Meeting).</w:t>
            </w:r>
          </w:p>
        </w:tc>
        <w:tc>
          <w:tcPr>
            <w:tcW w:w="3635" w:type="dxa"/>
          </w:tcPr>
          <w:p w14:paraId="138A460F" w14:textId="63D2F8A7" w:rsidR="00EB6CDA" w:rsidRPr="002C3702" w:rsidRDefault="00EB6CDA" w:rsidP="00191286">
            <w:pPr>
              <w:pStyle w:val="TableText0"/>
              <w:widowControl w:val="0"/>
            </w:pPr>
            <w:r w:rsidRPr="002C3702">
              <w:t>Treatment waning has been changed from Year 7 to Year 28.9 (March 2023 resubmission) to Year 7 to Year 10 in the current submission.</w:t>
            </w:r>
            <w:r w:rsidR="00A75C48" w:rsidRPr="002C3702">
              <w:t xml:space="preserve"> This was further revised to 6-9 years in the pre-PBAC response.</w:t>
            </w:r>
          </w:p>
        </w:tc>
      </w:tr>
      <w:tr w:rsidR="00EB6CDA" w:rsidRPr="002C3702" w14:paraId="3348518A" w14:textId="77777777" w:rsidTr="00191286">
        <w:trPr>
          <w:cantSplit/>
        </w:trPr>
        <w:tc>
          <w:tcPr>
            <w:tcW w:w="1555" w:type="dxa"/>
            <w:vMerge/>
          </w:tcPr>
          <w:p w14:paraId="4F86ED3C" w14:textId="77777777" w:rsidR="00EB6CDA" w:rsidRPr="002C3702" w:rsidRDefault="00EB6CDA" w:rsidP="00191286">
            <w:pPr>
              <w:pStyle w:val="TableText0"/>
              <w:widowControl w:val="0"/>
            </w:pPr>
          </w:p>
        </w:tc>
        <w:tc>
          <w:tcPr>
            <w:tcW w:w="3827" w:type="dxa"/>
          </w:tcPr>
          <w:p w14:paraId="0647ECBE" w14:textId="3B44C0D4" w:rsidR="00EB6CDA" w:rsidRPr="002C3702" w:rsidRDefault="00EB6CDA" w:rsidP="00191286">
            <w:pPr>
              <w:pStyle w:val="TableText0"/>
              <w:widowControl w:val="0"/>
            </w:pPr>
            <w:r w:rsidRPr="002C3702">
              <w:t xml:space="preserve">The PBAC considered the starting age for the modelled cohort should be approximately 60 years (para 7.12, </w:t>
            </w:r>
            <w:r w:rsidR="00B3218C" w:rsidRPr="002C3702">
              <w:t>a</w:t>
            </w:r>
            <w:r w:rsidRPr="002C3702">
              <w:t>bemaciclib, PSD, March 2023 PBAC Meeting).</w:t>
            </w:r>
          </w:p>
        </w:tc>
        <w:tc>
          <w:tcPr>
            <w:tcW w:w="3635" w:type="dxa"/>
          </w:tcPr>
          <w:p w14:paraId="1051F59D" w14:textId="2E40A3D6" w:rsidR="00EB6CDA" w:rsidRPr="002C3702" w:rsidRDefault="00EB6CDA" w:rsidP="00191286">
            <w:pPr>
              <w:pStyle w:val="TableText0"/>
              <w:widowControl w:val="0"/>
            </w:pPr>
            <w:r w:rsidRPr="002C3702">
              <w:t>Starting age has been changed from 52.2 years (March 2023 resubmission) to 56 years in the current submission.</w:t>
            </w:r>
            <w:r w:rsidR="00A75C48" w:rsidRPr="002C3702">
              <w:t xml:space="preserve"> This was further revised to 58.5 years in the pre-PBAC response.</w:t>
            </w:r>
          </w:p>
        </w:tc>
      </w:tr>
      <w:tr w:rsidR="00EB6CDA" w:rsidRPr="002C3702" w14:paraId="24D8D001" w14:textId="77777777" w:rsidTr="00191286">
        <w:trPr>
          <w:cantSplit/>
        </w:trPr>
        <w:tc>
          <w:tcPr>
            <w:tcW w:w="1555" w:type="dxa"/>
            <w:vMerge/>
          </w:tcPr>
          <w:p w14:paraId="786CFC3D" w14:textId="77777777" w:rsidR="00EB6CDA" w:rsidRPr="002C3702" w:rsidRDefault="00EB6CDA" w:rsidP="00191286">
            <w:pPr>
              <w:pStyle w:val="TableText0"/>
              <w:widowControl w:val="0"/>
            </w:pPr>
          </w:p>
        </w:tc>
        <w:tc>
          <w:tcPr>
            <w:tcW w:w="3827" w:type="dxa"/>
          </w:tcPr>
          <w:p w14:paraId="08159997" w14:textId="515336B0" w:rsidR="00EB6CDA" w:rsidRPr="002C3702" w:rsidRDefault="00EB6CDA" w:rsidP="00191286">
            <w:pPr>
              <w:pStyle w:val="TableText0"/>
              <w:widowControl w:val="0"/>
            </w:pPr>
            <w:r w:rsidRPr="002C3702">
              <w:t xml:space="preserve">The PBAC previously considered that a 20-year time horizon would be more reasonable, however, the 30-year time horizon would be reasonable in the context of a more conservative treatment waning (4 to 7 years) and older age at model entry (61.4 years) (para 7.13, </w:t>
            </w:r>
            <w:r w:rsidR="00B3218C" w:rsidRPr="002C3702">
              <w:t>a</w:t>
            </w:r>
            <w:r w:rsidRPr="002C3702">
              <w:t>bemaciclib, PSD, March 2023 PBAC Meeting).</w:t>
            </w:r>
          </w:p>
        </w:tc>
        <w:tc>
          <w:tcPr>
            <w:tcW w:w="3635" w:type="dxa"/>
          </w:tcPr>
          <w:p w14:paraId="3FB1D8D9" w14:textId="03DCA052" w:rsidR="00EB6CDA" w:rsidRPr="002C3702" w:rsidRDefault="00EB6CDA" w:rsidP="00191286">
            <w:pPr>
              <w:pStyle w:val="TableText0"/>
              <w:widowControl w:val="0"/>
            </w:pPr>
            <w:r w:rsidRPr="002C3702">
              <w:t xml:space="preserve">Time horizon remains unchanged at 30 years. The 30-year time horizon </w:t>
            </w:r>
            <w:r w:rsidR="00A75C48" w:rsidRPr="002C3702">
              <w:t>wa</w:t>
            </w:r>
            <w:r w:rsidRPr="002C3702">
              <w:t>s combined with treatment waning from Year 7 to Year 10, and an age at model entry of 56 years</w:t>
            </w:r>
            <w:r w:rsidR="00A75C48" w:rsidRPr="002C3702">
              <w:t xml:space="preserve"> in the submission, and with treatment waning from Year 6 to Year 9, and an age at model entry of 58.5 years in the pre-PBAC re</w:t>
            </w:r>
            <w:r w:rsidR="00A459D2" w:rsidRPr="002C3702">
              <w:t>s</w:t>
            </w:r>
            <w:r w:rsidR="00A75C48" w:rsidRPr="002C3702">
              <w:t xml:space="preserve">ponse </w:t>
            </w:r>
            <w:r w:rsidRPr="002C3702">
              <w:t>.</w:t>
            </w:r>
          </w:p>
        </w:tc>
      </w:tr>
      <w:tr w:rsidR="00BB78DE" w:rsidRPr="002C3702" w14:paraId="4D2E6AAB" w14:textId="77777777" w:rsidTr="004F3B15">
        <w:trPr>
          <w:cantSplit/>
          <w:trHeight w:val="3213"/>
        </w:trPr>
        <w:tc>
          <w:tcPr>
            <w:tcW w:w="1555" w:type="dxa"/>
            <w:vMerge/>
          </w:tcPr>
          <w:p w14:paraId="672497EA" w14:textId="77777777" w:rsidR="00BB78DE" w:rsidRPr="002C3702" w:rsidRDefault="00BB78DE" w:rsidP="00191286">
            <w:pPr>
              <w:pStyle w:val="TableText0"/>
              <w:widowControl w:val="0"/>
            </w:pPr>
          </w:p>
        </w:tc>
        <w:tc>
          <w:tcPr>
            <w:tcW w:w="3827" w:type="dxa"/>
          </w:tcPr>
          <w:p w14:paraId="01E4D297" w14:textId="082174F8" w:rsidR="00BB78DE" w:rsidRPr="002C3702" w:rsidRDefault="00BB78DE" w:rsidP="00191286">
            <w:pPr>
              <w:pStyle w:val="TableText0"/>
              <w:widowControl w:val="0"/>
            </w:pPr>
            <w:r w:rsidRPr="002C3702">
              <w:t>The PBAC noted the economic model assumed that treatment with ABE would reduce the risk of recurrence and would result in an increase in OS. The PBAC further noted a relationship between DFS and OS had not been consistently demonstrated with other treatments for HR+ EBC, thus considered the modelled OS gain to be highly uncertain (para 7.9, abemaciclib, PSD, March 2023 PBAC Meeting). Additionally, the  PBAC considered that an ICER of up to $30,000/QALY gained would account for the uncertainty regarding the modelled OS (para 7.13, abemaciclib, PSD, March 2023 PBAC Meeting).</w:t>
            </w:r>
          </w:p>
        </w:tc>
        <w:tc>
          <w:tcPr>
            <w:tcW w:w="3635" w:type="dxa"/>
          </w:tcPr>
          <w:p w14:paraId="426F9185" w14:textId="771F63F5" w:rsidR="00BB78DE" w:rsidRPr="002C3702" w:rsidRDefault="00BB78DE" w:rsidP="00191286">
            <w:pPr>
              <w:pStyle w:val="TableText0"/>
              <w:widowControl w:val="0"/>
            </w:pPr>
            <w:r w:rsidRPr="002C3702">
              <w:t>The current submission’s economic model maintained the assumption that treatment with ABE would reduce the risk of recurrence resulting in an increase in OS (OS benefit modelled indirectly through IDFS). The current submission presented a revised economic analysis with updated data from the July 2022 data cut-off of the monarchE trial, however, the modelled OS gain remained highly uncertain</w:t>
            </w:r>
            <w:r w:rsidR="002C3702">
              <w:t xml:space="preserve">. </w:t>
            </w:r>
          </w:p>
        </w:tc>
      </w:tr>
      <w:tr w:rsidR="00465C47" w:rsidRPr="002C3702" w14:paraId="714FE547" w14:textId="77777777" w:rsidTr="00191286">
        <w:trPr>
          <w:cantSplit/>
        </w:trPr>
        <w:tc>
          <w:tcPr>
            <w:tcW w:w="1555" w:type="dxa"/>
            <w:vMerge w:val="restart"/>
          </w:tcPr>
          <w:p w14:paraId="2CB081AB" w14:textId="7FA17107" w:rsidR="00465C47" w:rsidRPr="002C3702" w:rsidRDefault="00465C47" w:rsidP="00191286">
            <w:pPr>
              <w:pStyle w:val="TableText0"/>
              <w:widowControl w:val="0"/>
            </w:pPr>
            <w:r w:rsidRPr="002C3702">
              <w:t>Financial estimates</w:t>
            </w:r>
          </w:p>
        </w:tc>
        <w:tc>
          <w:tcPr>
            <w:tcW w:w="3827" w:type="dxa"/>
          </w:tcPr>
          <w:p w14:paraId="0A6B45A8" w14:textId="22DE5CCF" w:rsidR="00465C47" w:rsidRPr="002C3702" w:rsidRDefault="00F63CD9" w:rsidP="00191286">
            <w:pPr>
              <w:pStyle w:val="TableText0"/>
              <w:widowControl w:val="0"/>
            </w:pPr>
            <w:r w:rsidRPr="002C3702">
              <w:rPr>
                <w:iCs/>
                <w:color w:val="000000" w:themeColor="text1"/>
              </w:rPr>
              <w:t xml:space="preserve">The PBAC </w:t>
            </w:r>
            <w:r w:rsidR="0041294F" w:rsidRPr="002C3702">
              <w:rPr>
                <w:iCs/>
                <w:color w:val="000000" w:themeColor="text1"/>
              </w:rPr>
              <w:t xml:space="preserve">previously </w:t>
            </w:r>
            <w:r w:rsidRPr="002C3702">
              <w:rPr>
                <w:iCs/>
                <w:color w:val="000000" w:themeColor="text1"/>
              </w:rPr>
              <w:t xml:space="preserve">considered that the assumed maximum uptake of </w:t>
            </w:r>
            <w:r w:rsidR="008129BD">
              <w:rPr>
                <w:iCs/>
                <w:color w:val="000000" w:themeColor="text1"/>
              </w:rPr>
              <w:t xml:space="preserve"> </w:t>
            </w:r>
            <w:r w:rsidR="008129BD" w:rsidRPr="00CF6630">
              <w:rPr>
                <w:iCs/>
                <w:color w:val="000000" w:themeColor="text1"/>
                <w:spacing w:val="53"/>
                <w:shd w:val="solid" w:color="000000" w:fill="000000"/>
                <w:fitText w:val="330" w:id="-1032093440"/>
                <w14:textFill>
                  <w14:solidFill>
                    <w14:schemeClr w14:val="tx1">
                      <w14:alpha w14:val="100000"/>
                    </w14:schemeClr>
                  </w14:solidFill>
                </w14:textFill>
              </w:rPr>
              <w:t>|||</w:t>
            </w:r>
            <w:r w:rsidR="008129BD" w:rsidRPr="00CF6630">
              <w:rPr>
                <w:iCs/>
                <w:color w:val="000000" w:themeColor="text1"/>
                <w:spacing w:val="1"/>
                <w:shd w:val="solid" w:color="000000" w:fill="000000"/>
                <w:fitText w:val="330" w:id="-1032093440"/>
                <w14:textFill>
                  <w14:solidFill>
                    <w14:schemeClr w14:val="tx1">
                      <w14:alpha w14:val="100000"/>
                    </w14:schemeClr>
                  </w14:solidFill>
                </w14:textFill>
              </w:rPr>
              <w:t>|</w:t>
            </w:r>
            <w:r w:rsidRPr="002C3702">
              <w:rPr>
                <w:iCs/>
                <w:color w:val="000000" w:themeColor="text1"/>
              </w:rPr>
              <w:t xml:space="preserve">% was too high and considered that a maximum uptake rate of </w:t>
            </w:r>
            <w:r w:rsidR="008129BD">
              <w:rPr>
                <w:iCs/>
                <w:color w:val="000000" w:themeColor="text1"/>
              </w:rPr>
              <w:t xml:space="preserve"> </w:t>
            </w:r>
            <w:r w:rsidR="008129BD" w:rsidRPr="00CF6630">
              <w:rPr>
                <w:iCs/>
                <w:color w:val="000000" w:themeColor="text1"/>
                <w:spacing w:val="53"/>
                <w:shd w:val="solid" w:color="000000" w:fill="000000"/>
                <w:fitText w:val="330" w:id="-1032093439"/>
                <w14:textFill>
                  <w14:solidFill>
                    <w14:schemeClr w14:val="tx1">
                      <w14:alpha w14:val="100000"/>
                    </w14:schemeClr>
                  </w14:solidFill>
                </w14:textFill>
              </w:rPr>
              <w:t>|||</w:t>
            </w:r>
            <w:r w:rsidR="008129BD" w:rsidRPr="00CF6630">
              <w:rPr>
                <w:iCs/>
                <w:color w:val="000000" w:themeColor="text1"/>
                <w:spacing w:val="1"/>
                <w:shd w:val="solid" w:color="000000" w:fill="000000"/>
                <w:fitText w:val="330" w:id="-1032093439"/>
                <w14:textFill>
                  <w14:solidFill>
                    <w14:schemeClr w14:val="tx1">
                      <w14:alpha w14:val="100000"/>
                    </w14:schemeClr>
                  </w14:solidFill>
                </w14:textFill>
              </w:rPr>
              <w:t>|</w:t>
            </w:r>
            <w:r w:rsidRPr="002C3702">
              <w:rPr>
                <w:iCs/>
                <w:color w:val="000000" w:themeColor="text1"/>
              </w:rPr>
              <w:t xml:space="preserve">% would be reasonable (para 7.14, </w:t>
            </w:r>
            <w:r w:rsidR="00B3218C" w:rsidRPr="002C3702">
              <w:rPr>
                <w:iCs/>
                <w:color w:val="000000" w:themeColor="text1"/>
              </w:rPr>
              <w:t>a</w:t>
            </w:r>
            <w:r w:rsidRPr="002C3702">
              <w:rPr>
                <w:iCs/>
                <w:color w:val="000000" w:themeColor="text1"/>
              </w:rPr>
              <w:t xml:space="preserve">bemaciclib, PSD, March 2023 PBAC Meeting). </w:t>
            </w:r>
          </w:p>
        </w:tc>
        <w:tc>
          <w:tcPr>
            <w:tcW w:w="3635" w:type="dxa"/>
          </w:tcPr>
          <w:p w14:paraId="505BEAEA" w14:textId="73631E26" w:rsidR="00465C47" w:rsidRPr="002C3702" w:rsidRDefault="00A03CEC" w:rsidP="00191286">
            <w:pPr>
              <w:pStyle w:val="TableText0"/>
              <w:widowControl w:val="0"/>
            </w:pPr>
            <w:r w:rsidRPr="002C3702">
              <w:t>Partially a</w:t>
            </w:r>
            <w:r w:rsidR="00CE226D" w:rsidRPr="002C3702">
              <w:t xml:space="preserve">ddressed. </w:t>
            </w:r>
            <w:r w:rsidR="00465C47" w:rsidRPr="002C3702">
              <w:t xml:space="preserve">The current submission applied a constant uptake </w:t>
            </w:r>
            <w:r w:rsidR="00465C47" w:rsidRPr="003700CF">
              <w:t>rate (</w:t>
            </w:r>
            <w:r w:rsidR="00CF6630">
              <w:t xml:space="preserve"> </w:t>
            </w:r>
            <w:r w:rsidR="00CF6630" w:rsidRPr="00CF6630">
              <w:rPr>
                <w:color w:val="000000"/>
                <w:spacing w:val="53"/>
                <w:shd w:val="solid" w:color="000000" w:fill="000000"/>
                <w:fitText w:val="330" w:id="-1026295296"/>
                <w14:textFill>
                  <w14:solidFill>
                    <w14:srgbClr w14:val="000000">
                      <w14:alpha w14:val="100000"/>
                    </w14:srgbClr>
                  </w14:solidFill>
                </w14:textFill>
              </w:rPr>
              <w:t>|||</w:t>
            </w:r>
            <w:r w:rsidR="00CF6630" w:rsidRPr="00CF6630">
              <w:rPr>
                <w:color w:val="000000"/>
                <w:spacing w:val="1"/>
                <w:shd w:val="solid" w:color="000000" w:fill="000000"/>
                <w:fitText w:val="330" w:id="-1026295296"/>
                <w14:textFill>
                  <w14:solidFill>
                    <w14:srgbClr w14:val="000000">
                      <w14:alpha w14:val="100000"/>
                    </w14:srgbClr>
                  </w14:solidFill>
                </w14:textFill>
              </w:rPr>
              <w:t>|</w:t>
            </w:r>
            <w:r w:rsidR="00465C47" w:rsidRPr="002C3702">
              <w:t xml:space="preserve">%) from Year 1 to Year 6. This was changed from the March 2023 resubmission that used </w:t>
            </w:r>
            <w:r w:rsidR="008129BD">
              <w:t xml:space="preserve"> </w:t>
            </w:r>
            <w:r w:rsidR="008129BD" w:rsidRPr="00CF6630">
              <w:rPr>
                <w:color w:val="000000"/>
                <w:spacing w:val="53"/>
                <w:shd w:val="solid" w:color="000000" w:fill="000000"/>
                <w:fitText w:val="330" w:id="-1032093438"/>
                <w14:textFill>
                  <w14:solidFill>
                    <w14:srgbClr w14:val="000000">
                      <w14:alpha w14:val="100000"/>
                    </w14:srgbClr>
                  </w14:solidFill>
                </w14:textFill>
              </w:rPr>
              <w:t>|||</w:t>
            </w:r>
            <w:r w:rsidR="008129BD" w:rsidRPr="00CF6630">
              <w:rPr>
                <w:color w:val="000000"/>
                <w:spacing w:val="1"/>
                <w:shd w:val="solid" w:color="000000" w:fill="000000"/>
                <w:fitText w:val="330" w:id="-1032093438"/>
                <w14:textFill>
                  <w14:solidFill>
                    <w14:srgbClr w14:val="000000">
                      <w14:alpha w14:val="100000"/>
                    </w14:srgbClr>
                  </w14:solidFill>
                </w14:textFill>
              </w:rPr>
              <w:t>|</w:t>
            </w:r>
            <w:r w:rsidR="00465C47" w:rsidRPr="002C3702">
              <w:t xml:space="preserve">% in Year 1 increasing to </w:t>
            </w:r>
            <w:r w:rsidR="008129BD">
              <w:t xml:space="preserve"> </w:t>
            </w:r>
            <w:r w:rsidR="008129BD" w:rsidRPr="00CF6630">
              <w:rPr>
                <w:color w:val="000000"/>
                <w:spacing w:val="53"/>
                <w:shd w:val="solid" w:color="000000" w:fill="000000"/>
                <w:fitText w:val="330" w:id="-1032093437"/>
                <w14:textFill>
                  <w14:solidFill>
                    <w14:srgbClr w14:val="000000">
                      <w14:alpha w14:val="100000"/>
                    </w14:srgbClr>
                  </w14:solidFill>
                </w14:textFill>
              </w:rPr>
              <w:t>|||</w:t>
            </w:r>
            <w:r w:rsidR="008129BD" w:rsidRPr="00CF6630">
              <w:rPr>
                <w:color w:val="000000"/>
                <w:spacing w:val="1"/>
                <w:shd w:val="solid" w:color="000000" w:fill="000000"/>
                <w:fitText w:val="330" w:id="-1032093437"/>
                <w14:textFill>
                  <w14:solidFill>
                    <w14:srgbClr w14:val="000000">
                      <w14:alpha w14:val="100000"/>
                    </w14:srgbClr>
                  </w14:solidFill>
                </w14:textFill>
              </w:rPr>
              <w:t>|</w:t>
            </w:r>
            <w:r w:rsidR="00465C47" w:rsidRPr="002C3702">
              <w:t>% in Years 3-6.</w:t>
            </w:r>
            <w:r w:rsidR="00E93317" w:rsidRPr="002C3702">
              <w:t xml:space="preserve"> This was further revised in the </w:t>
            </w:r>
            <w:r w:rsidR="004C162F">
              <w:t>p</w:t>
            </w:r>
            <w:r w:rsidR="00E93317" w:rsidRPr="002C3702">
              <w:t xml:space="preserve">re-PBAC response to </w:t>
            </w:r>
            <w:r w:rsidR="008129BD">
              <w:rPr>
                <w:rFonts w:cs="Calibri"/>
              </w:rPr>
              <w:t xml:space="preserve"> </w:t>
            </w:r>
            <w:r w:rsidR="008129BD" w:rsidRPr="00CF6630">
              <w:rPr>
                <w:rFonts w:cs="Calibri"/>
                <w:color w:val="000000"/>
                <w:spacing w:val="53"/>
                <w:shd w:val="solid" w:color="000000" w:fill="000000"/>
                <w:fitText w:val="330" w:id="-1032093436"/>
                <w14:textFill>
                  <w14:solidFill>
                    <w14:srgbClr w14:val="000000">
                      <w14:alpha w14:val="100000"/>
                    </w14:srgbClr>
                  </w14:solidFill>
                </w14:textFill>
              </w:rPr>
              <w:t>|||</w:t>
            </w:r>
            <w:r w:rsidR="008129BD" w:rsidRPr="00CF6630">
              <w:rPr>
                <w:rFonts w:cs="Calibri"/>
                <w:color w:val="000000"/>
                <w:spacing w:val="1"/>
                <w:shd w:val="solid" w:color="000000" w:fill="000000"/>
                <w:fitText w:val="330" w:id="-1032093436"/>
                <w14:textFill>
                  <w14:solidFill>
                    <w14:srgbClr w14:val="000000">
                      <w14:alpha w14:val="100000"/>
                    </w14:srgbClr>
                  </w14:solidFill>
                </w14:textFill>
              </w:rPr>
              <w:t>|</w:t>
            </w:r>
            <w:r w:rsidR="00E93317" w:rsidRPr="002C3702">
              <w:rPr>
                <w:rFonts w:cs="Calibri"/>
              </w:rPr>
              <w:t xml:space="preserve">% in Year 1 increasing to </w:t>
            </w:r>
            <w:r w:rsidR="008129BD">
              <w:rPr>
                <w:rFonts w:cs="Calibri"/>
              </w:rPr>
              <w:t xml:space="preserve"> </w:t>
            </w:r>
            <w:r w:rsidR="008129BD" w:rsidRPr="00CF6630">
              <w:rPr>
                <w:rFonts w:cs="Calibri"/>
                <w:color w:val="000000"/>
                <w:spacing w:val="53"/>
                <w:shd w:val="solid" w:color="000000" w:fill="000000"/>
                <w:fitText w:val="330" w:id="-1032093435"/>
                <w14:textFill>
                  <w14:solidFill>
                    <w14:srgbClr w14:val="000000">
                      <w14:alpha w14:val="100000"/>
                    </w14:srgbClr>
                  </w14:solidFill>
                </w14:textFill>
              </w:rPr>
              <w:t>|||</w:t>
            </w:r>
            <w:r w:rsidR="008129BD" w:rsidRPr="00CF6630">
              <w:rPr>
                <w:rFonts w:cs="Calibri"/>
                <w:color w:val="000000"/>
                <w:spacing w:val="1"/>
                <w:shd w:val="solid" w:color="000000" w:fill="000000"/>
                <w:fitText w:val="330" w:id="-1032093435"/>
                <w14:textFill>
                  <w14:solidFill>
                    <w14:srgbClr w14:val="000000">
                      <w14:alpha w14:val="100000"/>
                    </w14:srgbClr>
                  </w14:solidFill>
                </w14:textFill>
              </w:rPr>
              <w:t>|</w:t>
            </w:r>
            <w:r w:rsidR="00E93317" w:rsidRPr="002C3702">
              <w:rPr>
                <w:rFonts w:cs="Calibri"/>
              </w:rPr>
              <w:t xml:space="preserve">% in Year 2 and </w:t>
            </w:r>
            <w:r w:rsidR="008129BD">
              <w:rPr>
                <w:rFonts w:cs="Calibri"/>
              </w:rPr>
              <w:t xml:space="preserve"> </w:t>
            </w:r>
            <w:r w:rsidR="008129BD" w:rsidRPr="00CF6630">
              <w:rPr>
                <w:rFonts w:cs="Calibri"/>
                <w:color w:val="000000"/>
                <w:spacing w:val="53"/>
                <w:shd w:val="solid" w:color="000000" w:fill="000000"/>
                <w:fitText w:val="330" w:id="-1032093434"/>
                <w14:textFill>
                  <w14:solidFill>
                    <w14:srgbClr w14:val="000000">
                      <w14:alpha w14:val="100000"/>
                    </w14:srgbClr>
                  </w14:solidFill>
                </w14:textFill>
              </w:rPr>
              <w:t>|||</w:t>
            </w:r>
            <w:r w:rsidR="008129BD" w:rsidRPr="00CF6630">
              <w:rPr>
                <w:rFonts w:cs="Calibri"/>
                <w:color w:val="000000"/>
                <w:spacing w:val="1"/>
                <w:shd w:val="solid" w:color="000000" w:fill="000000"/>
                <w:fitText w:val="330" w:id="-1032093434"/>
                <w14:textFill>
                  <w14:solidFill>
                    <w14:srgbClr w14:val="000000">
                      <w14:alpha w14:val="100000"/>
                    </w14:srgbClr>
                  </w14:solidFill>
                </w14:textFill>
              </w:rPr>
              <w:t>|</w:t>
            </w:r>
            <w:r w:rsidR="00E93317" w:rsidRPr="002C3702">
              <w:rPr>
                <w:rFonts w:cs="Calibri"/>
              </w:rPr>
              <w:t xml:space="preserve">% in </w:t>
            </w:r>
            <w:r w:rsidR="00E93317" w:rsidRPr="002C3702">
              <w:t>Years 3</w:t>
            </w:r>
            <w:r w:rsidR="00E93317" w:rsidRPr="002C3702">
              <w:rPr>
                <w:rFonts w:cs="Calibri"/>
              </w:rPr>
              <w:t>−6.</w:t>
            </w:r>
          </w:p>
        </w:tc>
      </w:tr>
      <w:tr w:rsidR="00465C47" w:rsidRPr="002C3702" w14:paraId="1D3F815C" w14:textId="77777777" w:rsidTr="00191286">
        <w:trPr>
          <w:cantSplit/>
          <w:trHeight w:val="1133"/>
        </w:trPr>
        <w:tc>
          <w:tcPr>
            <w:tcW w:w="1555" w:type="dxa"/>
            <w:vMerge/>
          </w:tcPr>
          <w:p w14:paraId="211BBF91" w14:textId="77777777" w:rsidR="00465C47" w:rsidRPr="002C3702" w:rsidRDefault="00465C47" w:rsidP="00191286">
            <w:pPr>
              <w:pStyle w:val="TableText0"/>
              <w:widowControl w:val="0"/>
            </w:pPr>
          </w:p>
        </w:tc>
        <w:tc>
          <w:tcPr>
            <w:tcW w:w="3827" w:type="dxa"/>
          </w:tcPr>
          <w:p w14:paraId="7B516C7A" w14:textId="663ABB1A" w:rsidR="00465C47" w:rsidRPr="002C3702" w:rsidRDefault="00465C47" w:rsidP="00191286">
            <w:pPr>
              <w:pStyle w:val="TableText0"/>
              <w:widowControl w:val="0"/>
            </w:pPr>
            <w:r w:rsidRPr="002C3702">
              <w:t>The PBAC recommended</w:t>
            </w:r>
            <w:r w:rsidRPr="002C3702" w:rsidDel="005B1081">
              <w:t xml:space="preserve"> </w:t>
            </w:r>
            <w:r w:rsidRPr="002C3702">
              <w:t xml:space="preserve">a compliance rate that is less than reported for hormonal therapy (84%) (para 7.14, </w:t>
            </w:r>
            <w:r w:rsidR="00B3218C" w:rsidRPr="002C3702">
              <w:t>a</w:t>
            </w:r>
            <w:r w:rsidRPr="002C3702">
              <w:t>bemaciclib, PSD, March 2023 PBAC meeting).</w:t>
            </w:r>
          </w:p>
        </w:tc>
        <w:tc>
          <w:tcPr>
            <w:tcW w:w="3635" w:type="dxa"/>
          </w:tcPr>
          <w:p w14:paraId="7DBB808C" w14:textId="2F9C5621" w:rsidR="00465C47" w:rsidRPr="002C3702" w:rsidRDefault="004C68D2" w:rsidP="00191286">
            <w:pPr>
              <w:pStyle w:val="TableText0"/>
              <w:widowControl w:val="0"/>
            </w:pPr>
            <w:r w:rsidRPr="002C3702">
              <w:t xml:space="preserve">Addressed. </w:t>
            </w:r>
            <w:r w:rsidR="00465C47" w:rsidRPr="002C3702">
              <w:t>The current submission used 83% compliance</w:t>
            </w:r>
            <w:r w:rsidR="00030CC5" w:rsidRPr="002C3702">
              <w:t>.</w:t>
            </w:r>
            <w:r w:rsidR="00465C47" w:rsidRPr="002C3702">
              <w:t xml:space="preserve"> This has been updated from 100% compliance over 24 months in the March 2023 resubmission.</w:t>
            </w:r>
          </w:p>
        </w:tc>
      </w:tr>
      <w:tr w:rsidR="0041294F" w:rsidRPr="002C3702" w14:paraId="36BEE5DB" w14:textId="77777777" w:rsidTr="00191286">
        <w:trPr>
          <w:cantSplit/>
          <w:trHeight w:val="1133"/>
        </w:trPr>
        <w:tc>
          <w:tcPr>
            <w:tcW w:w="1555" w:type="dxa"/>
            <w:vMerge/>
          </w:tcPr>
          <w:p w14:paraId="14EDA888" w14:textId="77777777" w:rsidR="0041294F" w:rsidRPr="002C3702" w:rsidRDefault="0041294F" w:rsidP="00191286">
            <w:pPr>
              <w:pStyle w:val="TableText0"/>
              <w:widowControl w:val="0"/>
            </w:pPr>
          </w:p>
        </w:tc>
        <w:tc>
          <w:tcPr>
            <w:tcW w:w="3827" w:type="dxa"/>
          </w:tcPr>
          <w:p w14:paraId="7C6731DC" w14:textId="26DA274C" w:rsidR="0041294F" w:rsidRPr="002C3702" w:rsidRDefault="0041294F" w:rsidP="00191286">
            <w:pPr>
              <w:pStyle w:val="TableText0"/>
              <w:widowControl w:val="0"/>
            </w:pPr>
            <w:r w:rsidRPr="002C3702">
              <w:t xml:space="preserve">The PBAC previously considered the assumed treatment duration of 24 months was too long. The PBAC considered abemaciclib use in clinical practice was likely to be less than the mean treatment duration reported in the monarchE trial (82.7 weeks, 20.7 months) due to the toxicity associated with abemaciclib and the likely older cohort treated through the PBS. The PBAC considered that a mean treatment duration of 18 months was a more reasonable estimate (para 7.14, </w:t>
            </w:r>
            <w:r w:rsidR="00B3218C" w:rsidRPr="002C3702">
              <w:t>a</w:t>
            </w:r>
            <w:r w:rsidRPr="002C3702">
              <w:t xml:space="preserve">bemaciclib, PSD, March 2023 PBAC Meeting). </w:t>
            </w:r>
          </w:p>
        </w:tc>
        <w:tc>
          <w:tcPr>
            <w:tcW w:w="3635" w:type="dxa"/>
          </w:tcPr>
          <w:p w14:paraId="1DF0B791" w14:textId="6330DCE4" w:rsidR="0041294F" w:rsidRPr="002C3702" w:rsidRDefault="004C68D2" w:rsidP="00191286">
            <w:pPr>
              <w:pStyle w:val="TableText0"/>
              <w:widowControl w:val="0"/>
            </w:pPr>
            <w:r w:rsidRPr="002C3702">
              <w:t xml:space="preserve">Not addressed. </w:t>
            </w:r>
            <w:r w:rsidR="0041294F" w:rsidRPr="002C3702">
              <w:t xml:space="preserve">The assumed length of therapy in the financial estimates </w:t>
            </w:r>
            <w:r w:rsidR="00E93317" w:rsidRPr="002C3702">
              <w:t>was</w:t>
            </w:r>
            <w:r w:rsidR="0041294F" w:rsidRPr="002C3702">
              <w:t xml:space="preserve"> unchanged </w:t>
            </w:r>
            <w:r w:rsidR="00E93317" w:rsidRPr="002C3702">
              <w:t xml:space="preserve">in the submission </w:t>
            </w:r>
            <w:r w:rsidR="0041294F" w:rsidRPr="002C3702">
              <w:t>(24 months)</w:t>
            </w:r>
            <w:r w:rsidR="00E93317" w:rsidRPr="002C3702">
              <w:t xml:space="preserve"> </w:t>
            </w:r>
            <w:r w:rsidR="009A7BFB" w:rsidRPr="002C3702">
              <w:t xml:space="preserve"> The assumed length of therapy in the financial estimates was unchanged in the submission (24 months) and revised to 21 months in the </w:t>
            </w:r>
            <w:r w:rsidR="004C162F">
              <w:t>p</w:t>
            </w:r>
            <w:r w:rsidR="009A7BFB" w:rsidRPr="002C3702">
              <w:t>re-PBAC response. The mean length of therapy modelled in the economic evaluation was also 21 months</w:t>
            </w:r>
            <w:r w:rsidR="006B4F5E" w:rsidRPr="002C3702">
              <w:t xml:space="preserve"> (based on a K-M TTD curve)</w:t>
            </w:r>
            <w:r w:rsidR="009A7BFB" w:rsidRPr="002C3702">
              <w:t>.</w:t>
            </w:r>
          </w:p>
        </w:tc>
      </w:tr>
      <w:tr w:rsidR="00465C47" w:rsidRPr="002C3702" w14:paraId="66A5B1C3" w14:textId="77777777" w:rsidTr="006B4F5E">
        <w:trPr>
          <w:cantSplit/>
          <w:trHeight w:val="178"/>
        </w:trPr>
        <w:tc>
          <w:tcPr>
            <w:tcW w:w="1555" w:type="dxa"/>
            <w:vMerge/>
          </w:tcPr>
          <w:p w14:paraId="0652B917" w14:textId="77777777" w:rsidR="00465C47" w:rsidRPr="002C3702" w:rsidRDefault="00465C47" w:rsidP="00191286">
            <w:pPr>
              <w:pStyle w:val="TableText0"/>
              <w:widowControl w:val="0"/>
            </w:pPr>
          </w:p>
        </w:tc>
        <w:tc>
          <w:tcPr>
            <w:tcW w:w="3827" w:type="dxa"/>
          </w:tcPr>
          <w:p w14:paraId="2E9350CB" w14:textId="021EAC3F" w:rsidR="00465C47" w:rsidRPr="002C3702" w:rsidRDefault="00037E01" w:rsidP="00191286">
            <w:pPr>
              <w:pStyle w:val="TableText0"/>
              <w:widowControl w:val="0"/>
            </w:pPr>
            <w:r w:rsidRPr="002C3702">
              <w:t xml:space="preserve">The PBAC considered that a </w:t>
            </w:r>
            <w:r w:rsidR="00612F92" w:rsidRPr="002C3702">
              <w:t xml:space="preserve">RSA </w:t>
            </w:r>
            <w:r w:rsidRPr="002C3702">
              <w:t xml:space="preserve">with financial caps based on revised estimates would be required to manage the risk of utilisation in patients with a lower risk of recurrence where use would be less cost-effective. The PBAC considered a rebate </w:t>
            </w:r>
            <w:r w:rsidRPr="00537C5B">
              <w:t>of 80% for</w:t>
            </w:r>
            <w:r w:rsidRPr="002C3702">
              <w:t xml:space="preserve"> use exceeding the financial caps would be appropriate noting that the cost effectiveness of such use would be unknown</w:t>
            </w:r>
            <w:r w:rsidR="00EB51CB" w:rsidRPr="002C3702">
              <w:t xml:space="preserve"> (para 7.15, </w:t>
            </w:r>
            <w:r w:rsidR="00B3218C" w:rsidRPr="002C3702">
              <w:t>a</w:t>
            </w:r>
            <w:r w:rsidR="00EB51CB" w:rsidRPr="002C3702">
              <w:t>bemaciclib, PSD, March 2023 PBAC meeting).</w:t>
            </w:r>
          </w:p>
        </w:tc>
        <w:tc>
          <w:tcPr>
            <w:tcW w:w="3635" w:type="dxa"/>
          </w:tcPr>
          <w:p w14:paraId="72905C9E" w14:textId="779D1D8D" w:rsidR="0028678F" w:rsidRPr="002C3702" w:rsidRDefault="004C68D2" w:rsidP="00191286">
            <w:pPr>
              <w:pStyle w:val="3-BodyText"/>
              <w:keepNext/>
              <w:widowControl w:val="0"/>
              <w:numPr>
                <w:ilvl w:val="0"/>
                <w:numId w:val="0"/>
              </w:numPr>
              <w:rPr>
                <w:rFonts w:ascii="Arial Narrow" w:eastAsiaTheme="majorEastAsia" w:hAnsi="Arial Narrow" w:cstheme="majorBidi"/>
                <w:bCs/>
                <w:snapToGrid/>
                <w:sz w:val="20"/>
              </w:rPr>
            </w:pPr>
            <w:r w:rsidRPr="002C3702">
              <w:rPr>
                <w:rFonts w:ascii="Arial Narrow" w:eastAsiaTheme="majorEastAsia" w:hAnsi="Arial Narrow" w:cstheme="majorBidi"/>
                <w:bCs/>
                <w:snapToGrid/>
                <w:sz w:val="20"/>
              </w:rPr>
              <w:t xml:space="preserve">Addressed. </w:t>
            </w:r>
            <w:r w:rsidR="0028678F" w:rsidRPr="002C3702">
              <w:rPr>
                <w:rFonts w:ascii="Arial Narrow" w:eastAsiaTheme="majorEastAsia" w:hAnsi="Arial Narrow" w:cstheme="majorBidi"/>
                <w:bCs/>
                <w:snapToGrid/>
                <w:sz w:val="20"/>
              </w:rPr>
              <w:t xml:space="preserve">The current submission proposed a </w:t>
            </w:r>
            <w:r w:rsidR="008C6F9C" w:rsidRPr="002C3702">
              <w:rPr>
                <w:rFonts w:ascii="Arial Narrow" w:eastAsiaTheme="majorEastAsia" w:hAnsi="Arial Narrow" w:cstheme="majorBidi"/>
                <w:bCs/>
                <w:snapToGrid/>
                <w:sz w:val="20"/>
              </w:rPr>
              <w:t>RSA</w:t>
            </w:r>
            <w:r w:rsidR="0028678F" w:rsidRPr="002C3702">
              <w:rPr>
                <w:rFonts w:ascii="Arial Narrow" w:eastAsiaTheme="majorEastAsia" w:hAnsi="Arial Narrow" w:cstheme="majorBidi"/>
                <w:bCs/>
                <w:snapToGrid/>
                <w:sz w:val="20"/>
              </w:rPr>
              <w:t xml:space="preserve"> with annual subsidisation caps with a rebate of </w:t>
            </w:r>
            <w:r w:rsidR="008129BD">
              <w:rPr>
                <w:rFonts w:ascii="Arial Narrow" w:eastAsiaTheme="majorEastAsia" w:hAnsi="Arial Narrow" w:cstheme="majorBidi"/>
                <w:bCs/>
                <w:snapToGrid/>
                <w:sz w:val="20"/>
              </w:rPr>
              <w:t xml:space="preserve"> </w:t>
            </w:r>
            <w:r w:rsidR="008129BD" w:rsidRPr="008129BD">
              <w:rPr>
                <w:rFonts w:ascii="Arial Narrow" w:eastAsiaTheme="majorEastAsia" w:hAnsi="Arial Narrow" w:cstheme="majorBidi"/>
                <w:bCs/>
                <w:snapToGrid/>
                <w:color w:val="000000"/>
                <w:spacing w:val="7"/>
                <w:sz w:val="20"/>
                <w:shd w:val="solid" w:color="000000" w:fill="000000"/>
                <w:fitText w:val="300" w:id="-1032093433"/>
                <w14:textFill>
                  <w14:solidFill>
                    <w14:srgbClr w14:val="000000">
                      <w14:alpha w14:val="100000"/>
                    </w14:srgbClr>
                  </w14:solidFill>
                </w14:textFill>
              </w:rPr>
              <w:t>||  |</w:t>
            </w:r>
            <w:r w:rsidR="008129BD" w:rsidRPr="008129BD">
              <w:rPr>
                <w:rFonts w:ascii="Arial Narrow" w:eastAsiaTheme="majorEastAsia" w:hAnsi="Arial Narrow" w:cstheme="majorBidi"/>
                <w:bCs/>
                <w:snapToGrid/>
                <w:color w:val="000000"/>
                <w:spacing w:val="4"/>
                <w:sz w:val="20"/>
                <w:shd w:val="solid" w:color="000000" w:fill="000000"/>
                <w:fitText w:val="300" w:id="-1032093433"/>
                <w14:textFill>
                  <w14:solidFill>
                    <w14:srgbClr w14:val="000000">
                      <w14:alpha w14:val="100000"/>
                    </w14:srgbClr>
                  </w14:solidFill>
                </w14:textFill>
              </w:rPr>
              <w:t>|</w:t>
            </w:r>
            <w:r w:rsidR="0028678F" w:rsidRPr="002C3702">
              <w:rPr>
                <w:rFonts w:ascii="Arial Narrow" w:eastAsiaTheme="majorEastAsia" w:hAnsi="Arial Narrow" w:cstheme="majorBidi"/>
                <w:bCs/>
                <w:snapToGrid/>
                <w:sz w:val="20"/>
              </w:rPr>
              <w:t>% for use exceeding the financial caps.</w:t>
            </w:r>
          </w:p>
          <w:p w14:paraId="648F4061" w14:textId="273E0E23" w:rsidR="00465C47" w:rsidRPr="002C3702" w:rsidRDefault="00465C47" w:rsidP="00191286">
            <w:pPr>
              <w:pStyle w:val="TableText0"/>
              <w:widowControl w:val="0"/>
            </w:pPr>
          </w:p>
        </w:tc>
      </w:tr>
    </w:tbl>
    <w:p w14:paraId="28525BB3" w14:textId="77777777" w:rsidR="00030CC5" w:rsidRPr="002C3702" w:rsidRDefault="00030CC5" w:rsidP="00191286">
      <w:pPr>
        <w:pStyle w:val="FooterTableFigure"/>
        <w:keepNext/>
        <w:widowControl w:val="0"/>
      </w:pPr>
      <w:r w:rsidRPr="002C3702">
        <w:t>Source: Abemaciclib Public Summary Document, March 2023; Abemaciclib, DUSC Advice, March 2022 PBAC Meeting</w:t>
      </w:r>
    </w:p>
    <w:p w14:paraId="7A949B1F" w14:textId="109B41F5" w:rsidR="00030CC5" w:rsidRPr="002C3702" w:rsidRDefault="00030CC5" w:rsidP="00191286">
      <w:pPr>
        <w:pStyle w:val="FooterTableFigure"/>
        <w:keepNext/>
        <w:widowControl w:val="0"/>
      </w:pPr>
      <w:r w:rsidRPr="002C3702">
        <w:t>ABE</w:t>
      </w:r>
      <w:r w:rsidRPr="002C3702" w:rsidDel="00785030">
        <w:t xml:space="preserve"> </w:t>
      </w:r>
      <w:r w:rsidRPr="002C3702">
        <w:t>= abemaciclib, CDK</w:t>
      </w:r>
      <w:r w:rsidR="00097ABC" w:rsidRPr="002C3702">
        <w:t xml:space="preserve"> </w:t>
      </w:r>
      <w:r w:rsidRPr="002C3702">
        <w:t>= cyclin dependent kinases, DRFS = distance relapse-free survival, DUSC</w:t>
      </w:r>
      <w:r w:rsidR="00097ABC" w:rsidRPr="002C3702">
        <w:t xml:space="preserve"> </w:t>
      </w:r>
      <w:r w:rsidRPr="002C3702">
        <w:t>= drug utilisation sub</w:t>
      </w:r>
      <w:r w:rsidR="004A7FF1" w:rsidRPr="002C3702">
        <w:t>-</w:t>
      </w:r>
      <w:r w:rsidRPr="002C3702">
        <w:t xml:space="preserve">committee, EBC = early breast cancer, IDFS = invasive disease-free survival, </w:t>
      </w:r>
      <w:r w:rsidR="006B4F5E" w:rsidRPr="002C3702">
        <w:t xml:space="preserve">KM = Kaplan-Meier; </w:t>
      </w:r>
      <w:r w:rsidRPr="002C3702">
        <w:t>OS = overall survival, PBAC</w:t>
      </w:r>
      <w:r w:rsidR="00097ABC" w:rsidRPr="002C3702">
        <w:t xml:space="preserve"> </w:t>
      </w:r>
      <w:r w:rsidRPr="002C3702">
        <w:t>= pharmaceutical benefits advisory committee, PBS= Pharmaceutical Benefits Scheme, PSD= public summary document</w:t>
      </w:r>
      <w:r w:rsidR="00097ABC" w:rsidRPr="002C3702">
        <w:t>,</w:t>
      </w:r>
      <w:r w:rsidR="00785030" w:rsidRPr="002C3702">
        <w:t xml:space="preserve"> RSA</w:t>
      </w:r>
      <w:r w:rsidR="00097ABC" w:rsidRPr="002C3702">
        <w:t xml:space="preserve"> </w:t>
      </w:r>
      <w:r w:rsidR="00785030" w:rsidRPr="002C3702">
        <w:t>= risk sharing arrangement</w:t>
      </w:r>
      <w:r w:rsidRPr="002C3702">
        <w:t>.</w:t>
      </w:r>
    </w:p>
    <w:p w14:paraId="658F3272" w14:textId="77777777" w:rsidR="004A015A" w:rsidRPr="002C3702" w:rsidRDefault="004A015A" w:rsidP="00766EA9">
      <w:pPr>
        <w:pStyle w:val="3-BodyText"/>
        <w:numPr>
          <w:ilvl w:val="0"/>
          <w:numId w:val="0"/>
        </w:numPr>
        <w:ind w:left="720"/>
        <w:rPr>
          <w:i/>
          <w:iCs/>
        </w:rPr>
      </w:pPr>
      <w:bookmarkStart w:id="10" w:name="_Toc107902078"/>
      <w:bookmarkStart w:id="11" w:name="_Hlk76375324"/>
      <w:bookmarkStart w:id="12" w:name="_Toc145422835"/>
      <w:bookmarkEnd w:id="10"/>
      <w:r w:rsidRPr="00766EA9">
        <w:rPr>
          <w:i/>
          <w:iCs/>
          <w:snapToGrid/>
        </w:rPr>
        <w:t>For</w:t>
      </w:r>
      <w:r w:rsidRPr="002C3702">
        <w:rPr>
          <w:i/>
          <w:iCs/>
        </w:rPr>
        <w:t xml:space="preserve"> more detail on PBAC’s view, see section 7 PBAC outcome.</w:t>
      </w:r>
      <w:bookmarkEnd w:id="11"/>
    </w:p>
    <w:p w14:paraId="25BE3209" w14:textId="77777777" w:rsidR="00030CC5" w:rsidRPr="002C3702" w:rsidRDefault="00030CC5" w:rsidP="00030CC5">
      <w:pPr>
        <w:pStyle w:val="2-SectionHeading"/>
      </w:pPr>
      <w:r w:rsidRPr="002C3702">
        <w:lastRenderedPageBreak/>
        <w:t>Requested listing</w:t>
      </w:r>
      <w:bookmarkEnd w:id="12"/>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595"/>
        <w:gridCol w:w="812"/>
        <w:gridCol w:w="811"/>
        <w:gridCol w:w="812"/>
        <w:gridCol w:w="1881"/>
      </w:tblGrid>
      <w:tr w:rsidR="00030CC5" w:rsidRPr="002C3702" w14:paraId="1572BB29" w14:textId="77777777" w:rsidTr="008A4194">
        <w:trPr>
          <w:cantSplit/>
          <w:trHeight w:val="20"/>
        </w:trPr>
        <w:tc>
          <w:tcPr>
            <w:tcW w:w="2156" w:type="dxa"/>
            <w:shd w:val="clear" w:color="auto" w:fill="auto"/>
          </w:tcPr>
          <w:p w14:paraId="0C924E34" w14:textId="42AF42D9" w:rsidR="00030CC5" w:rsidRPr="002C3702" w:rsidRDefault="00030CC5" w:rsidP="006E7D62">
            <w:pPr>
              <w:pStyle w:val="paragraph"/>
              <w:spacing w:before="0" w:beforeAutospacing="0" w:after="0" w:afterAutospacing="0"/>
              <w:jc w:val="both"/>
              <w:textAlignment w:val="baseline"/>
              <w:rPr>
                <w:rFonts w:ascii="Segoe UI" w:hAnsi="Segoe UI" w:cs="Segoe UI"/>
                <w:sz w:val="20"/>
                <w:szCs w:val="20"/>
              </w:rPr>
            </w:pPr>
            <w:bookmarkStart w:id="13" w:name="_Hlk104809055"/>
            <w:r w:rsidRPr="002C3702">
              <w:rPr>
                <w:rStyle w:val="normaltextrun"/>
                <w:rFonts w:ascii="Arial Narrow" w:hAnsi="Arial Narrow" w:cs="Segoe UI"/>
                <w:b/>
                <w:bCs/>
                <w:sz w:val="20"/>
                <w:szCs w:val="20"/>
              </w:rPr>
              <w:t>MEDICINAL PRODUCT</w:t>
            </w:r>
            <w:r w:rsidRPr="002C3702">
              <w:rPr>
                <w:rStyle w:val="eop"/>
                <w:rFonts w:ascii="Arial Narrow" w:hAnsi="Arial Narrow" w:cs="Segoe UI"/>
                <w:sz w:val="20"/>
                <w:szCs w:val="20"/>
              </w:rPr>
              <w:t> </w:t>
            </w:r>
          </w:p>
          <w:p w14:paraId="63CEC694" w14:textId="77777777" w:rsidR="00030CC5" w:rsidRPr="002C3702" w:rsidRDefault="00030CC5" w:rsidP="006E7D62">
            <w:pPr>
              <w:keepLines/>
              <w:rPr>
                <w:rFonts w:ascii="Arial Narrow" w:hAnsi="Arial Narrow"/>
                <w:b/>
                <w:sz w:val="20"/>
                <w:szCs w:val="20"/>
              </w:rPr>
            </w:pPr>
            <w:r w:rsidRPr="002C3702">
              <w:rPr>
                <w:rStyle w:val="normaltextrun"/>
                <w:rFonts w:ascii="Arial Narrow" w:hAnsi="Arial Narrow" w:cs="Segoe UI"/>
                <w:b/>
                <w:bCs/>
                <w:sz w:val="20"/>
                <w:szCs w:val="20"/>
              </w:rPr>
              <w:t>medicinal product pack</w:t>
            </w:r>
            <w:r w:rsidRPr="002C3702">
              <w:rPr>
                <w:rStyle w:val="eop"/>
                <w:rFonts w:ascii="Arial Narrow" w:hAnsi="Arial Narrow" w:cs="Segoe UI"/>
                <w:sz w:val="20"/>
                <w:szCs w:val="20"/>
              </w:rPr>
              <w:t> </w:t>
            </w:r>
          </w:p>
        </w:tc>
        <w:tc>
          <w:tcPr>
            <w:tcW w:w="2595" w:type="dxa"/>
            <w:shd w:val="clear" w:color="auto" w:fill="auto"/>
          </w:tcPr>
          <w:p w14:paraId="0EA5039F" w14:textId="77777777" w:rsidR="00030CC5" w:rsidRPr="002C3702" w:rsidRDefault="00030CC5" w:rsidP="006E7D62">
            <w:pPr>
              <w:pStyle w:val="TableText0"/>
              <w:rPr>
                <w:b/>
                <w:bCs w:val="0"/>
                <w:szCs w:val="20"/>
              </w:rPr>
            </w:pPr>
            <w:r w:rsidRPr="002C3702">
              <w:rPr>
                <w:rStyle w:val="normaltextrun"/>
                <w:rFonts w:cs="Segoe UI"/>
                <w:b/>
                <w:bCs w:val="0"/>
                <w:szCs w:val="20"/>
              </w:rPr>
              <w:t>Dispensed Price for Max. Qty </w:t>
            </w:r>
            <w:r w:rsidRPr="002C3702">
              <w:rPr>
                <w:rStyle w:val="eop"/>
                <w:rFonts w:cs="Segoe UI"/>
                <w:szCs w:val="20"/>
              </w:rPr>
              <w:t> </w:t>
            </w:r>
          </w:p>
        </w:tc>
        <w:tc>
          <w:tcPr>
            <w:tcW w:w="812" w:type="dxa"/>
            <w:shd w:val="clear" w:color="auto" w:fill="auto"/>
          </w:tcPr>
          <w:p w14:paraId="6B8894CB" w14:textId="77777777" w:rsidR="00030CC5" w:rsidRPr="002C3702" w:rsidRDefault="00030CC5" w:rsidP="006E7D62">
            <w:pPr>
              <w:keepLines/>
              <w:jc w:val="center"/>
              <w:rPr>
                <w:rFonts w:ascii="Arial Narrow" w:hAnsi="Arial Narrow"/>
                <w:b/>
                <w:sz w:val="20"/>
                <w:szCs w:val="20"/>
              </w:rPr>
            </w:pPr>
            <w:r w:rsidRPr="002C3702">
              <w:rPr>
                <w:rStyle w:val="normaltextrun"/>
                <w:rFonts w:ascii="Arial Narrow" w:hAnsi="Arial Narrow" w:cs="Segoe UI"/>
                <w:b/>
                <w:bCs/>
                <w:sz w:val="20"/>
                <w:szCs w:val="20"/>
              </w:rPr>
              <w:t>Max. qty packs</w:t>
            </w:r>
            <w:r w:rsidRPr="002C3702">
              <w:rPr>
                <w:rStyle w:val="eop"/>
                <w:rFonts w:ascii="Arial Narrow" w:hAnsi="Arial Narrow" w:cs="Segoe UI"/>
                <w:sz w:val="20"/>
                <w:szCs w:val="20"/>
              </w:rPr>
              <w:t> </w:t>
            </w:r>
          </w:p>
        </w:tc>
        <w:tc>
          <w:tcPr>
            <w:tcW w:w="811" w:type="dxa"/>
            <w:shd w:val="clear" w:color="auto" w:fill="auto"/>
          </w:tcPr>
          <w:p w14:paraId="71C12C20" w14:textId="77777777" w:rsidR="00030CC5" w:rsidRPr="002C3702" w:rsidRDefault="00030CC5" w:rsidP="006E7D62">
            <w:pPr>
              <w:keepLines/>
              <w:jc w:val="center"/>
              <w:rPr>
                <w:rFonts w:ascii="Arial Narrow" w:hAnsi="Arial Narrow"/>
                <w:b/>
                <w:sz w:val="20"/>
                <w:szCs w:val="20"/>
              </w:rPr>
            </w:pPr>
            <w:r w:rsidRPr="002C3702">
              <w:rPr>
                <w:rStyle w:val="normaltextrun"/>
                <w:rFonts w:ascii="Arial Narrow" w:hAnsi="Arial Narrow" w:cs="Segoe UI"/>
                <w:b/>
                <w:bCs/>
                <w:sz w:val="20"/>
                <w:szCs w:val="20"/>
              </w:rPr>
              <w:t>Max. qty units</w:t>
            </w:r>
            <w:r w:rsidRPr="002C3702">
              <w:rPr>
                <w:rStyle w:val="eop"/>
                <w:rFonts w:ascii="Arial Narrow" w:hAnsi="Arial Narrow" w:cs="Segoe UI"/>
                <w:sz w:val="20"/>
                <w:szCs w:val="20"/>
              </w:rPr>
              <w:t> </w:t>
            </w:r>
          </w:p>
        </w:tc>
        <w:tc>
          <w:tcPr>
            <w:tcW w:w="812" w:type="dxa"/>
            <w:shd w:val="clear" w:color="auto" w:fill="auto"/>
          </w:tcPr>
          <w:p w14:paraId="1AC6B58C" w14:textId="77777777" w:rsidR="00030CC5" w:rsidRPr="002C3702" w:rsidRDefault="00030CC5" w:rsidP="006E7D62">
            <w:pPr>
              <w:pStyle w:val="paragraph"/>
              <w:spacing w:before="0" w:beforeAutospacing="0" w:after="0" w:afterAutospacing="0"/>
              <w:jc w:val="center"/>
              <w:textAlignment w:val="baseline"/>
              <w:rPr>
                <w:rFonts w:ascii="Segoe UI" w:hAnsi="Segoe UI" w:cs="Segoe UI"/>
                <w:sz w:val="20"/>
                <w:szCs w:val="20"/>
              </w:rPr>
            </w:pPr>
            <w:r w:rsidRPr="002C3702">
              <w:rPr>
                <w:rStyle w:val="normaltextrun"/>
                <w:rFonts w:ascii="Arial Narrow" w:hAnsi="Arial Narrow" w:cs="Segoe UI"/>
                <w:b/>
                <w:bCs/>
                <w:sz w:val="20"/>
                <w:szCs w:val="20"/>
              </w:rPr>
              <w:t>№.of</w:t>
            </w:r>
            <w:r w:rsidRPr="002C3702">
              <w:rPr>
                <w:rStyle w:val="eop"/>
                <w:rFonts w:ascii="Arial Narrow" w:hAnsi="Arial Narrow" w:cs="Segoe UI"/>
                <w:sz w:val="20"/>
                <w:szCs w:val="20"/>
              </w:rPr>
              <w:t> </w:t>
            </w:r>
          </w:p>
          <w:p w14:paraId="542F8151" w14:textId="77777777" w:rsidR="00030CC5" w:rsidRPr="002C3702" w:rsidRDefault="00030CC5" w:rsidP="006E7D62">
            <w:pPr>
              <w:keepLines/>
              <w:jc w:val="center"/>
              <w:rPr>
                <w:rFonts w:ascii="Arial Narrow" w:hAnsi="Arial Narrow"/>
                <w:b/>
                <w:sz w:val="20"/>
                <w:szCs w:val="20"/>
              </w:rPr>
            </w:pPr>
            <w:r w:rsidRPr="002C3702">
              <w:rPr>
                <w:rStyle w:val="normaltextrun"/>
                <w:rFonts w:ascii="Arial Narrow" w:hAnsi="Arial Narrow" w:cs="Segoe UI"/>
                <w:b/>
                <w:bCs/>
                <w:sz w:val="20"/>
                <w:szCs w:val="20"/>
              </w:rPr>
              <w:t>Rpts</w:t>
            </w:r>
            <w:r w:rsidRPr="002C3702">
              <w:rPr>
                <w:rStyle w:val="eop"/>
                <w:rFonts w:ascii="Arial Narrow" w:hAnsi="Arial Narrow" w:cs="Segoe UI"/>
                <w:sz w:val="20"/>
                <w:szCs w:val="20"/>
              </w:rPr>
              <w:t> </w:t>
            </w:r>
          </w:p>
        </w:tc>
        <w:tc>
          <w:tcPr>
            <w:tcW w:w="1881" w:type="dxa"/>
            <w:shd w:val="clear" w:color="auto" w:fill="auto"/>
          </w:tcPr>
          <w:p w14:paraId="3D80E8E0" w14:textId="77777777" w:rsidR="00030CC5" w:rsidRPr="002C3702" w:rsidRDefault="00030CC5" w:rsidP="006E7D62">
            <w:pPr>
              <w:keepLines/>
              <w:rPr>
                <w:rFonts w:ascii="Arial Narrow" w:hAnsi="Arial Narrow"/>
                <w:b/>
                <w:sz w:val="20"/>
                <w:szCs w:val="20"/>
              </w:rPr>
            </w:pPr>
            <w:r w:rsidRPr="002C3702">
              <w:rPr>
                <w:rStyle w:val="normaltextrun"/>
                <w:rFonts w:ascii="Arial Narrow" w:hAnsi="Arial Narrow" w:cs="Segoe UI"/>
                <w:b/>
                <w:bCs/>
                <w:sz w:val="20"/>
                <w:szCs w:val="20"/>
              </w:rPr>
              <w:t>Available brands</w:t>
            </w:r>
            <w:r w:rsidRPr="002C3702">
              <w:rPr>
                <w:rStyle w:val="eop"/>
                <w:rFonts w:ascii="Arial Narrow" w:hAnsi="Arial Narrow" w:cs="Segoe UI"/>
                <w:sz w:val="20"/>
                <w:szCs w:val="20"/>
              </w:rPr>
              <w:t> </w:t>
            </w:r>
          </w:p>
        </w:tc>
      </w:tr>
      <w:tr w:rsidR="00030CC5" w:rsidRPr="002C3702" w14:paraId="4D63B678" w14:textId="77777777" w:rsidTr="008A4194">
        <w:trPr>
          <w:cantSplit/>
          <w:trHeight w:val="20"/>
        </w:trPr>
        <w:tc>
          <w:tcPr>
            <w:tcW w:w="9067" w:type="dxa"/>
            <w:gridSpan w:val="6"/>
            <w:shd w:val="clear" w:color="auto" w:fill="auto"/>
            <w:vAlign w:val="center"/>
          </w:tcPr>
          <w:p w14:paraId="6D82C8F1" w14:textId="77777777" w:rsidR="00030CC5" w:rsidRPr="002C3702" w:rsidRDefault="00030CC5" w:rsidP="006E7D62">
            <w:pPr>
              <w:pStyle w:val="TableText0"/>
              <w:rPr>
                <w:rFonts w:cs="Arial"/>
                <w:szCs w:val="20"/>
              </w:rPr>
            </w:pPr>
            <w:r w:rsidRPr="002C3702">
              <w:rPr>
                <w:szCs w:val="20"/>
              </w:rPr>
              <w:t>ABEMACICLIB</w:t>
            </w:r>
          </w:p>
        </w:tc>
      </w:tr>
      <w:tr w:rsidR="00030CC5" w:rsidRPr="002C3702" w14:paraId="48C688F8" w14:textId="77777777" w:rsidTr="008A4194">
        <w:trPr>
          <w:cantSplit/>
          <w:trHeight w:val="20"/>
        </w:trPr>
        <w:tc>
          <w:tcPr>
            <w:tcW w:w="2156" w:type="dxa"/>
            <w:tcBorders>
              <w:top w:val="single" w:sz="6" w:space="0" w:color="auto"/>
              <w:left w:val="single" w:sz="6" w:space="0" w:color="auto"/>
              <w:bottom w:val="single" w:sz="6" w:space="0" w:color="auto"/>
              <w:right w:val="single" w:sz="6" w:space="0" w:color="auto"/>
            </w:tcBorders>
            <w:shd w:val="clear" w:color="auto" w:fill="auto"/>
          </w:tcPr>
          <w:p w14:paraId="055BE93F" w14:textId="77777777" w:rsidR="00030CC5" w:rsidRPr="002C3702" w:rsidRDefault="00030CC5" w:rsidP="006E7D62">
            <w:pPr>
              <w:keepLines/>
              <w:rPr>
                <w:rFonts w:ascii="Arial Narrow" w:hAnsi="Arial Narrow"/>
                <w:color w:val="0066FF"/>
                <w:sz w:val="20"/>
                <w:szCs w:val="20"/>
              </w:rPr>
            </w:pPr>
            <w:r w:rsidRPr="002C3702">
              <w:rPr>
                <w:rStyle w:val="normaltextrun"/>
                <w:rFonts w:ascii="Arial Narrow" w:hAnsi="Arial Narrow" w:cs="Segoe UI"/>
                <w:sz w:val="20"/>
                <w:szCs w:val="20"/>
              </w:rPr>
              <w:t>abemaciclib 150 mg tablet, 56</w:t>
            </w:r>
            <w:r w:rsidRPr="002C3702">
              <w:rPr>
                <w:rStyle w:val="eop"/>
                <w:rFonts w:ascii="Arial Narrow" w:hAnsi="Arial Narrow" w:cs="Segoe UI"/>
                <w:sz w:val="20"/>
                <w:szCs w:val="20"/>
              </w:rPr>
              <w: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0FCC96" w14:textId="77777777" w:rsidR="00030CC5" w:rsidRPr="002C3702" w:rsidRDefault="00030CC5" w:rsidP="006E7D62">
            <w:pPr>
              <w:pStyle w:val="paragraph"/>
              <w:spacing w:before="0" w:beforeAutospacing="0" w:after="0" w:afterAutospacing="0"/>
              <w:textAlignment w:val="baseline"/>
              <w:rPr>
                <w:rFonts w:ascii="Segoe UI" w:hAnsi="Segoe UI" w:cs="Segoe UI"/>
                <w:sz w:val="20"/>
                <w:szCs w:val="20"/>
              </w:rPr>
            </w:pPr>
            <w:r w:rsidRPr="002C3702">
              <w:rPr>
                <w:rStyle w:val="normaltextrun"/>
                <w:rFonts w:ascii="Arial Narrow" w:hAnsi="Arial Narrow" w:cs="Segoe UI"/>
                <w:sz w:val="20"/>
                <w:szCs w:val="20"/>
              </w:rPr>
              <w:t>$4249.98</w:t>
            </w:r>
            <w:r w:rsidRPr="002C3702">
              <w:rPr>
                <w:rStyle w:val="normaltextrun"/>
                <w:rFonts w:ascii="Arial" w:hAnsi="Arial" w:cs="Arial"/>
                <w:sz w:val="20"/>
                <w:szCs w:val="20"/>
              </w:rPr>
              <w:t> </w:t>
            </w:r>
            <w:r w:rsidRPr="002C3702">
              <w:rPr>
                <w:rStyle w:val="normaltextrun"/>
                <w:rFonts w:ascii="Arial Narrow" w:hAnsi="Arial Narrow" w:cs="Segoe UI"/>
                <w:sz w:val="20"/>
                <w:szCs w:val="20"/>
              </w:rPr>
              <w:t>published price</w:t>
            </w:r>
            <w:r w:rsidRPr="002C3702">
              <w:rPr>
                <w:rStyle w:val="eop"/>
                <w:rFonts w:ascii="Arial Narrow" w:hAnsi="Arial Narrow" w:cs="Segoe UI"/>
                <w:sz w:val="20"/>
                <w:szCs w:val="20"/>
              </w:rPr>
              <w:t> </w:t>
            </w:r>
          </w:p>
          <w:p w14:paraId="232860E6" w14:textId="5B1B76A0" w:rsidR="00030CC5" w:rsidRPr="002C3702" w:rsidRDefault="00030CC5" w:rsidP="006E7D62">
            <w:pPr>
              <w:pStyle w:val="TableText0"/>
              <w:rPr>
                <w:szCs w:val="20"/>
              </w:rPr>
            </w:pPr>
            <w:r w:rsidRPr="002C3702">
              <w:rPr>
                <w:rStyle w:val="normaltextrun"/>
                <w:rFonts w:cs="Segoe UI"/>
                <w:szCs w:val="20"/>
              </w:rPr>
              <w:t>$</w:t>
            </w:r>
            <w:r w:rsidR="008129BD">
              <w:rPr>
                <w:rStyle w:val="normaltextrun"/>
                <w:rFonts w:cs="Segoe UI"/>
                <w:szCs w:val="20"/>
              </w:rPr>
              <w:t xml:space="preserve"> </w:t>
            </w:r>
            <w:r w:rsidR="008129BD" w:rsidRPr="008129BD">
              <w:rPr>
                <w:rStyle w:val="normaltextrun"/>
                <w:rFonts w:cs="Segoe UI"/>
                <w:color w:val="000000"/>
                <w:spacing w:val="49"/>
                <w:szCs w:val="20"/>
                <w:shd w:val="solid" w:color="000000" w:fill="000000"/>
                <w:fitText w:val="320" w:id="-1032093432"/>
                <w14:textFill>
                  <w14:solidFill>
                    <w14:srgbClr w14:val="000000">
                      <w14:alpha w14:val="100000"/>
                    </w14:srgbClr>
                  </w14:solidFill>
                </w14:textFill>
              </w:rPr>
              <w:t>|||</w:t>
            </w:r>
            <w:r w:rsidR="008129BD" w:rsidRPr="008129BD">
              <w:rPr>
                <w:rStyle w:val="normaltextrun"/>
                <w:rFonts w:cs="Segoe UI"/>
                <w:color w:val="000000"/>
                <w:spacing w:val="3"/>
                <w:szCs w:val="20"/>
                <w:shd w:val="solid" w:color="000000" w:fill="000000"/>
                <w:fitText w:val="320" w:id="-1032093432"/>
                <w14:textFill>
                  <w14:solidFill>
                    <w14:srgbClr w14:val="000000">
                      <w14:alpha w14:val="100000"/>
                    </w14:srgbClr>
                  </w14:solidFill>
                </w14:textFill>
              </w:rPr>
              <w:t>|</w:t>
            </w:r>
            <w:r w:rsidRPr="002C3702">
              <w:rPr>
                <w:rStyle w:val="normaltextrun"/>
                <w:rFonts w:cs="Segoe UI"/>
                <w:szCs w:val="20"/>
              </w:rPr>
              <w:t xml:space="preserve"> effective price</w:t>
            </w:r>
            <w:r w:rsidRPr="002C3702">
              <w:rPr>
                <w:rStyle w:val="normaltextrun"/>
                <w:rFonts w:ascii="Arial" w:hAnsi="Arial" w:cs="Arial"/>
                <w:szCs w:val="20"/>
              </w:rPr>
              <w:t> </w:t>
            </w:r>
            <w:r w:rsidRPr="002C3702">
              <w:rPr>
                <w:rStyle w:val="eop"/>
                <w:rFonts w:cs="Segoe UI"/>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5F1A1931"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1</w:t>
            </w:r>
            <w:r w:rsidRPr="002C3702">
              <w:rPr>
                <w:rStyle w:val="eop"/>
                <w:rFonts w:ascii="Arial Narrow" w:hAnsi="Arial Narrow" w:cs="Segoe UI"/>
                <w:sz w:val="20"/>
                <w:szCs w:val="20"/>
              </w:rPr>
              <w:t> </w:t>
            </w:r>
          </w:p>
        </w:tc>
        <w:tc>
          <w:tcPr>
            <w:tcW w:w="811" w:type="dxa"/>
            <w:tcBorders>
              <w:top w:val="single" w:sz="6" w:space="0" w:color="auto"/>
              <w:left w:val="single" w:sz="6" w:space="0" w:color="auto"/>
              <w:bottom w:val="single" w:sz="6" w:space="0" w:color="auto"/>
              <w:right w:val="single" w:sz="6" w:space="0" w:color="auto"/>
            </w:tcBorders>
            <w:shd w:val="clear" w:color="auto" w:fill="auto"/>
          </w:tcPr>
          <w:p w14:paraId="07454B24"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56</w:t>
            </w:r>
            <w:r w:rsidRPr="002C3702">
              <w:rPr>
                <w:rStyle w:val="eop"/>
                <w:rFonts w:ascii="Arial Narrow" w:hAnsi="Arial Narrow" w:cs="Segoe UI"/>
                <w:sz w:val="20"/>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08604B7E"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5</w:t>
            </w:r>
            <w:r w:rsidRPr="002C3702">
              <w:rPr>
                <w:rStyle w:val="eop"/>
                <w:rFonts w:ascii="Arial Narrow" w:hAnsi="Arial Narrow" w:cs="Segoe UI"/>
                <w:sz w:val="20"/>
                <w:szCs w:val="20"/>
              </w:rPr>
              <w:t> </w:t>
            </w:r>
          </w:p>
        </w:tc>
        <w:tc>
          <w:tcPr>
            <w:tcW w:w="1881" w:type="dxa"/>
            <w:tcBorders>
              <w:top w:val="single" w:sz="6" w:space="0" w:color="auto"/>
              <w:left w:val="single" w:sz="6" w:space="0" w:color="auto"/>
              <w:bottom w:val="single" w:sz="6" w:space="0" w:color="auto"/>
              <w:right w:val="single" w:sz="6" w:space="0" w:color="auto"/>
            </w:tcBorders>
            <w:shd w:val="clear" w:color="auto" w:fill="auto"/>
          </w:tcPr>
          <w:p w14:paraId="713CE914" w14:textId="1C57F27E" w:rsidR="00030CC5" w:rsidRPr="002C3702" w:rsidRDefault="00BE4132" w:rsidP="006E7D62">
            <w:pPr>
              <w:keepLines/>
              <w:jc w:val="center"/>
              <w:rPr>
                <w:rFonts w:ascii="Arial Narrow" w:hAnsi="Arial Narrow"/>
                <w:color w:val="0066FF"/>
                <w:sz w:val="20"/>
                <w:szCs w:val="20"/>
              </w:rPr>
            </w:pPr>
            <w:r w:rsidRPr="002C3702">
              <w:rPr>
                <w:rStyle w:val="normaltextrun"/>
                <w:rFonts w:ascii="Arial Narrow" w:hAnsi="Arial Narrow" w:cs="Segoe UI"/>
                <w:sz w:val="20"/>
                <w:szCs w:val="20"/>
              </w:rPr>
              <w:t>V</w:t>
            </w:r>
            <w:r w:rsidR="00030CC5" w:rsidRPr="002C3702">
              <w:rPr>
                <w:rStyle w:val="normaltextrun"/>
                <w:rFonts w:ascii="Arial Narrow" w:hAnsi="Arial Narrow" w:cs="Segoe UI"/>
                <w:sz w:val="20"/>
                <w:szCs w:val="20"/>
              </w:rPr>
              <w:t>erzenio</w:t>
            </w:r>
          </w:p>
        </w:tc>
      </w:tr>
      <w:tr w:rsidR="00030CC5" w:rsidRPr="002C3702" w14:paraId="18014047" w14:textId="77777777" w:rsidTr="008A4194">
        <w:trPr>
          <w:cantSplit/>
          <w:trHeight w:val="20"/>
        </w:trPr>
        <w:tc>
          <w:tcPr>
            <w:tcW w:w="2156" w:type="dxa"/>
            <w:tcBorders>
              <w:top w:val="single" w:sz="6" w:space="0" w:color="auto"/>
              <w:left w:val="single" w:sz="6" w:space="0" w:color="auto"/>
              <w:bottom w:val="single" w:sz="6" w:space="0" w:color="auto"/>
              <w:right w:val="single" w:sz="6" w:space="0" w:color="auto"/>
            </w:tcBorders>
            <w:shd w:val="clear" w:color="auto" w:fill="auto"/>
          </w:tcPr>
          <w:p w14:paraId="038170BB" w14:textId="77777777" w:rsidR="00030CC5" w:rsidRPr="002C3702" w:rsidRDefault="00030CC5" w:rsidP="006E7D62">
            <w:pPr>
              <w:keepLines/>
              <w:rPr>
                <w:rFonts w:ascii="Arial Narrow" w:hAnsi="Arial Narrow"/>
                <w:color w:val="0066FF"/>
                <w:sz w:val="20"/>
                <w:szCs w:val="20"/>
              </w:rPr>
            </w:pPr>
            <w:r w:rsidRPr="002C3702">
              <w:rPr>
                <w:rStyle w:val="normaltextrun"/>
                <w:rFonts w:ascii="Arial Narrow" w:hAnsi="Arial Narrow" w:cs="Segoe UI"/>
                <w:sz w:val="20"/>
                <w:szCs w:val="20"/>
              </w:rPr>
              <w:t>abemaciclib 100 mg tablet, 56</w:t>
            </w:r>
            <w:r w:rsidRPr="002C3702">
              <w:rPr>
                <w:rStyle w:val="eop"/>
                <w:rFonts w:ascii="Arial Narrow" w:hAnsi="Arial Narrow" w:cs="Segoe UI"/>
                <w:sz w:val="20"/>
                <w:szCs w:val="20"/>
              </w:rPr>
              <w: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CE7939" w14:textId="77777777" w:rsidR="00030CC5" w:rsidRPr="002C3702" w:rsidRDefault="00030CC5" w:rsidP="006E7D62">
            <w:pPr>
              <w:pStyle w:val="paragraph"/>
              <w:spacing w:before="0" w:beforeAutospacing="0" w:after="0" w:afterAutospacing="0"/>
              <w:textAlignment w:val="baseline"/>
              <w:rPr>
                <w:rFonts w:ascii="Segoe UI" w:hAnsi="Segoe UI" w:cs="Segoe UI"/>
                <w:sz w:val="20"/>
                <w:szCs w:val="20"/>
              </w:rPr>
            </w:pPr>
            <w:r w:rsidRPr="002C3702">
              <w:rPr>
                <w:rStyle w:val="normaltextrun"/>
                <w:rFonts w:ascii="Arial Narrow" w:hAnsi="Arial Narrow" w:cs="Segoe UI"/>
                <w:sz w:val="20"/>
                <w:szCs w:val="20"/>
              </w:rPr>
              <w:t>$4249.98</w:t>
            </w:r>
            <w:r w:rsidRPr="002C3702">
              <w:rPr>
                <w:rStyle w:val="normaltextrun"/>
                <w:rFonts w:ascii="Arial" w:hAnsi="Arial" w:cs="Arial"/>
                <w:sz w:val="20"/>
                <w:szCs w:val="20"/>
              </w:rPr>
              <w:t> </w:t>
            </w:r>
            <w:r w:rsidRPr="002C3702">
              <w:rPr>
                <w:rStyle w:val="normaltextrun"/>
                <w:rFonts w:ascii="Arial Narrow" w:hAnsi="Arial Narrow" w:cs="Segoe UI"/>
                <w:sz w:val="20"/>
                <w:szCs w:val="20"/>
              </w:rPr>
              <w:t>published price</w:t>
            </w:r>
            <w:r w:rsidRPr="002C3702">
              <w:rPr>
                <w:rStyle w:val="eop"/>
                <w:rFonts w:ascii="Arial Narrow" w:hAnsi="Arial Narrow" w:cs="Segoe UI"/>
                <w:sz w:val="20"/>
                <w:szCs w:val="20"/>
              </w:rPr>
              <w:t> </w:t>
            </w:r>
          </w:p>
          <w:p w14:paraId="670D3787" w14:textId="0FA27CD0" w:rsidR="00030CC5" w:rsidRPr="002C3702" w:rsidRDefault="00030CC5" w:rsidP="006E7D62">
            <w:pPr>
              <w:pStyle w:val="TableText0"/>
              <w:rPr>
                <w:szCs w:val="20"/>
              </w:rPr>
            </w:pPr>
            <w:r w:rsidRPr="002C3702">
              <w:rPr>
                <w:rStyle w:val="normaltextrun"/>
                <w:rFonts w:cs="Segoe UI"/>
                <w:szCs w:val="20"/>
              </w:rPr>
              <w:t>$</w:t>
            </w:r>
            <w:r w:rsidR="008129BD">
              <w:rPr>
                <w:rStyle w:val="normaltextrun"/>
                <w:rFonts w:cs="Segoe UI"/>
                <w:szCs w:val="20"/>
              </w:rPr>
              <w:t xml:space="preserve"> </w:t>
            </w:r>
            <w:r w:rsidR="008129BD" w:rsidRPr="008129BD">
              <w:rPr>
                <w:rStyle w:val="normaltextrun"/>
                <w:rFonts w:cs="Segoe UI"/>
                <w:color w:val="000000"/>
                <w:spacing w:val="49"/>
                <w:szCs w:val="20"/>
                <w:shd w:val="solid" w:color="000000" w:fill="000000"/>
                <w:fitText w:val="320" w:id="-1032093431"/>
                <w14:textFill>
                  <w14:solidFill>
                    <w14:srgbClr w14:val="000000">
                      <w14:alpha w14:val="100000"/>
                    </w14:srgbClr>
                  </w14:solidFill>
                </w14:textFill>
              </w:rPr>
              <w:t>|||</w:t>
            </w:r>
            <w:r w:rsidR="008129BD" w:rsidRPr="008129BD">
              <w:rPr>
                <w:rStyle w:val="normaltextrun"/>
                <w:rFonts w:cs="Segoe UI"/>
                <w:color w:val="000000"/>
                <w:spacing w:val="3"/>
                <w:szCs w:val="20"/>
                <w:shd w:val="solid" w:color="000000" w:fill="000000"/>
                <w:fitText w:val="320" w:id="-1032093431"/>
                <w14:textFill>
                  <w14:solidFill>
                    <w14:srgbClr w14:val="000000">
                      <w14:alpha w14:val="100000"/>
                    </w14:srgbClr>
                  </w14:solidFill>
                </w14:textFill>
              </w:rPr>
              <w:t>|</w:t>
            </w:r>
            <w:r w:rsidRPr="002C3702">
              <w:rPr>
                <w:rStyle w:val="normaltextrun"/>
                <w:rFonts w:cs="Segoe UI"/>
                <w:szCs w:val="20"/>
              </w:rPr>
              <w:t xml:space="preserve"> effective price</w:t>
            </w:r>
            <w:r w:rsidRPr="002C3702">
              <w:rPr>
                <w:rStyle w:val="normaltextrun"/>
                <w:rFonts w:ascii="Arial" w:hAnsi="Arial" w:cs="Arial"/>
                <w:szCs w:val="20"/>
              </w:rPr>
              <w:t> </w:t>
            </w:r>
            <w:r w:rsidRPr="002C3702">
              <w:rPr>
                <w:rStyle w:val="eop"/>
                <w:rFonts w:cs="Segoe UI"/>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01181C40"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1</w:t>
            </w:r>
            <w:r w:rsidRPr="002C3702">
              <w:rPr>
                <w:rStyle w:val="eop"/>
                <w:rFonts w:ascii="Arial Narrow" w:hAnsi="Arial Narrow" w:cs="Segoe UI"/>
                <w:sz w:val="20"/>
                <w:szCs w:val="20"/>
              </w:rPr>
              <w:t> </w:t>
            </w:r>
          </w:p>
        </w:tc>
        <w:tc>
          <w:tcPr>
            <w:tcW w:w="811" w:type="dxa"/>
            <w:tcBorders>
              <w:top w:val="single" w:sz="6" w:space="0" w:color="auto"/>
              <w:left w:val="single" w:sz="6" w:space="0" w:color="auto"/>
              <w:bottom w:val="single" w:sz="6" w:space="0" w:color="auto"/>
              <w:right w:val="single" w:sz="6" w:space="0" w:color="auto"/>
            </w:tcBorders>
            <w:shd w:val="clear" w:color="auto" w:fill="auto"/>
          </w:tcPr>
          <w:p w14:paraId="15006D70"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56</w:t>
            </w:r>
            <w:r w:rsidRPr="002C3702">
              <w:rPr>
                <w:rStyle w:val="eop"/>
                <w:rFonts w:ascii="Arial Narrow" w:hAnsi="Arial Narrow" w:cs="Segoe UI"/>
                <w:sz w:val="20"/>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4C731F47" w14:textId="77777777" w:rsidR="00030CC5" w:rsidRPr="002C3702" w:rsidRDefault="00030CC5" w:rsidP="006E7D62">
            <w:pPr>
              <w:keepLines/>
              <w:jc w:val="center"/>
              <w:rPr>
                <w:rFonts w:ascii="Arial Narrow" w:hAnsi="Arial Narrow"/>
                <w:sz w:val="20"/>
                <w:szCs w:val="20"/>
              </w:rPr>
            </w:pPr>
            <w:r w:rsidRPr="002C3702">
              <w:rPr>
                <w:rStyle w:val="normaltextrun"/>
                <w:rFonts w:ascii="Arial Narrow" w:hAnsi="Arial Narrow" w:cs="Segoe UI"/>
                <w:sz w:val="20"/>
                <w:szCs w:val="20"/>
              </w:rPr>
              <w:t>5</w:t>
            </w:r>
            <w:r w:rsidRPr="002C3702">
              <w:rPr>
                <w:rStyle w:val="eop"/>
                <w:rFonts w:ascii="Arial Narrow" w:hAnsi="Arial Narrow" w:cs="Segoe UI"/>
                <w:sz w:val="20"/>
                <w:szCs w:val="20"/>
              </w:rPr>
              <w:t> </w:t>
            </w:r>
          </w:p>
        </w:tc>
        <w:tc>
          <w:tcPr>
            <w:tcW w:w="1881" w:type="dxa"/>
            <w:tcBorders>
              <w:top w:val="single" w:sz="6" w:space="0" w:color="auto"/>
              <w:left w:val="single" w:sz="6" w:space="0" w:color="auto"/>
              <w:bottom w:val="single" w:sz="6" w:space="0" w:color="auto"/>
              <w:right w:val="single" w:sz="6" w:space="0" w:color="auto"/>
            </w:tcBorders>
            <w:shd w:val="clear" w:color="auto" w:fill="auto"/>
          </w:tcPr>
          <w:p w14:paraId="7783D7F8" w14:textId="63FF996D" w:rsidR="00030CC5" w:rsidRPr="002C3702" w:rsidRDefault="00BE4132" w:rsidP="006E7D62">
            <w:pPr>
              <w:keepLines/>
              <w:jc w:val="center"/>
              <w:rPr>
                <w:rFonts w:ascii="Arial Narrow" w:hAnsi="Arial Narrow"/>
                <w:color w:val="0066FF"/>
                <w:sz w:val="20"/>
                <w:szCs w:val="20"/>
              </w:rPr>
            </w:pPr>
            <w:r w:rsidRPr="002C3702">
              <w:rPr>
                <w:rStyle w:val="normaltextrun"/>
                <w:rFonts w:ascii="Arial Narrow" w:hAnsi="Arial Narrow" w:cs="Segoe UI"/>
                <w:sz w:val="20"/>
                <w:szCs w:val="20"/>
              </w:rPr>
              <w:t>V</w:t>
            </w:r>
            <w:r w:rsidR="00030CC5" w:rsidRPr="002C3702">
              <w:rPr>
                <w:rStyle w:val="normaltextrun"/>
                <w:rFonts w:ascii="Arial Narrow" w:hAnsi="Arial Narrow" w:cs="Segoe UI"/>
                <w:sz w:val="20"/>
                <w:szCs w:val="20"/>
              </w:rPr>
              <w:t>erzenio</w:t>
            </w:r>
          </w:p>
        </w:tc>
      </w:tr>
      <w:tr w:rsidR="00030CC5" w:rsidRPr="002C3702" w14:paraId="53DD4EB3" w14:textId="77777777" w:rsidTr="008A4194">
        <w:trPr>
          <w:cantSplit/>
          <w:trHeight w:val="20"/>
        </w:trPr>
        <w:tc>
          <w:tcPr>
            <w:tcW w:w="2156" w:type="dxa"/>
            <w:tcBorders>
              <w:top w:val="single" w:sz="6" w:space="0" w:color="auto"/>
              <w:left w:val="single" w:sz="6" w:space="0" w:color="auto"/>
              <w:bottom w:val="single" w:sz="6" w:space="0" w:color="auto"/>
              <w:right w:val="single" w:sz="6" w:space="0" w:color="auto"/>
            </w:tcBorders>
            <w:shd w:val="clear" w:color="auto" w:fill="auto"/>
          </w:tcPr>
          <w:p w14:paraId="030BAEF3" w14:textId="77777777" w:rsidR="00030CC5" w:rsidRPr="002C3702" w:rsidRDefault="00030CC5" w:rsidP="006E7D62">
            <w:pPr>
              <w:keepNext/>
              <w:tabs>
                <w:tab w:val="left" w:pos="1077"/>
              </w:tabs>
              <w:rPr>
                <w:rFonts w:ascii="Arial Narrow" w:hAnsi="Arial Narrow"/>
                <w:color w:val="0066FF"/>
                <w:sz w:val="20"/>
                <w:szCs w:val="20"/>
              </w:rPr>
            </w:pPr>
            <w:r w:rsidRPr="002C3702">
              <w:rPr>
                <w:rStyle w:val="normaltextrun"/>
                <w:rFonts w:ascii="Arial Narrow" w:hAnsi="Arial Narrow" w:cs="Segoe UI"/>
                <w:sz w:val="20"/>
                <w:szCs w:val="20"/>
              </w:rPr>
              <w:t>abemaciclib 50 mg tablet, 56</w:t>
            </w:r>
            <w:r w:rsidRPr="002C3702">
              <w:rPr>
                <w:rStyle w:val="eop"/>
                <w:rFonts w:ascii="Arial Narrow" w:hAnsi="Arial Narrow" w:cs="Segoe UI"/>
                <w:sz w:val="20"/>
                <w:szCs w:val="20"/>
              </w:rPr>
              <w: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435ADE" w14:textId="77777777" w:rsidR="00030CC5" w:rsidRPr="002C3702" w:rsidRDefault="00030CC5" w:rsidP="006E7D62">
            <w:pPr>
              <w:pStyle w:val="paragraph"/>
              <w:spacing w:before="0" w:beforeAutospacing="0" w:after="0" w:afterAutospacing="0"/>
              <w:textAlignment w:val="baseline"/>
              <w:rPr>
                <w:rFonts w:ascii="Segoe UI" w:hAnsi="Segoe UI" w:cs="Segoe UI"/>
                <w:sz w:val="20"/>
                <w:szCs w:val="20"/>
              </w:rPr>
            </w:pPr>
            <w:r w:rsidRPr="002C3702">
              <w:rPr>
                <w:rStyle w:val="normaltextrun"/>
                <w:rFonts w:ascii="Arial Narrow" w:hAnsi="Arial Narrow" w:cs="Segoe UI"/>
                <w:sz w:val="20"/>
                <w:szCs w:val="20"/>
              </w:rPr>
              <w:t>$4249.98</w:t>
            </w:r>
            <w:r w:rsidRPr="002C3702">
              <w:rPr>
                <w:rStyle w:val="normaltextrun"/>
                <w:rFonts w:ascii="Arial" w:hAnsi="Arial" w:cs="Arial"/>
                <w:sz w:val="20"/>
                <w:szCs w:val="20"/>
              </w:rPr>
              <w:t> </w:t>
            </w:r>
            <w:r w:rsidRPr="002C3702">
              <w:rPr>
                <w:rStyle w:val="normaltextrun"/>
                <w:rFonts w:ascii="Arial Narrow" w:hAnsi="Arial Narrow" w:cs="Segoe UI"/>
                <w:sz w:val="20"/>
                <w:szCs w:val="20"/>
              </w:rPr>
              <w:t>published price</w:t>
            </w:r>
            <w:r w:rsidRPr="002C3702">
              <w:rPr>
                <w:rStyle w:val="eop"/>
                <w:rFonts w:ascii="Arial Narrow" w:hAnsi="Arial Narrow" w:cs="Segoe UI"/>
                <w:sz w:val="20"/>
                <w:szCs w:val="20"/>
              </w:rPr>
              <w:t> </w:t>
            </w:r>
          </w:p>
          <w:p w14:paraId="1D01F881" w14:textId="5B330E11" w:rsidR="00030CC5" w:rsidRPr="002C3702" w:rsidRDefault="00030CC5" w:rsidP="006E7D62">
            <w:pPr>
              <w:keepNext/>
              <w:jc w:val="left"/>
              <w:rPr>
                <w:rFonts w:ascii="Arial Narrow" w:hAnsi="Arial Narrow"/>
                <w:sz w:val="20"/>
                <w:szCs w:val="20"/>
              </w:rPr>
            </w:pPr>
            <w:r w:rsidRPr="002C3702">
              <w:rPr>
                <w:rStyle w:val="normaltextrun"/>
                <w:rFonts w:ascii="Arial Narrow" w:hAnsi="Arial Narrow" w:cs="Segoe UI"/>
                <w:sz w:val="20"/>
                <w:szCs w:val="20"/>
              </w:rPr>
              <w:t>$</w:t>
            </w:r>
            <w:r w:rsidR="008129BD">
              <w:rPr>
                <w:rStyle w:val="normaltextrun"/>
                <w:rFonts w:ascii="Arial Narrow" w:hAnsi="Arial Narrow" w:cs="Segoe UI"/>
                <w:sz w:val="20"/>
                <w:szCs w:val="20"/>
              </w:rPr>
              <w:t xml:space="preserve"> </w:t>
            </w:r>
            <w:r w:rsidR="008129BD" w:rsidRPr="008129BD">
              <w:rPr>
                <w:rStyle w:val="normaltextrun"/>
                <w:rFonts w:ascii="Arial Narrow" w:hAnsi="Arial Narrow" w:cs="Segoe UI"/>
                <w:color w:val="000000"/>
                <w:spacing w:val="49"/>
                <w:sz w:val="20"/>
                <w:szCs w:val="20"/>
                <w:shd w:val="solid" w:color="000000" w:fill="000000"/>
                <w:fitText w:val="320" w:id="-1032093430"/>
                <w14:textFill>
                  <w14:solidFill>
                    <w14:srgbClr w14:val="000000">
                      <w14:alpha w14:val="100000"/>
                    </w14:srgbClr>
                  </w14:solidFill>
                </w14:textFill>
              </w:rPr>
              <w:t>|||</w:t>
            </w:r>
            <w:r w:rsidR="008129BD" w:rsidRPr="008129BD">
              <w:rPr>
                <w:rStyle w:val="normaltextrun"/>
                <w:rFonts w:ascii="Arial Narrow" w:hAnsi="Arial Narrow" w:cs="Segoe UI"/>
                <w:color w:val="000000"/>
                <w:spacing w:val="3"/>
                <w:sz w:val="20"/>
                <w:szCs w:val="20"/>
                <w:shd w:val="solid" w:color="000000" w:fill="000000"/>
                <w:fitText w:val="320" w:id="-1032093430"/>
                <w14:textFill>
                  <w14:solidFill>
                    <w14:srgbClr w14:val="000000">
                      <w14:alpha w14:val="100000"/>
                    </w14:srgbClr>
                  </w14:solidFill>
                </w14:textFill>
              </w:rPr>
              <w:t>|</w:t>
            </w:r>
            <w:r w:rsidRPr="002C3702">
              <w:rPr>
                <w:rStyle w:val="normaltextrun"/>
                <w:rFonts w:ascii="Arial Narrow" w:hAnsi="Arial Narrow" w:cs="Segoe UI"/>
                <w:sz w:val="20"/>
                <w:szCs w:val="20"/>
              </w:rPr>
              <w:t xml:space="preserve"> effective price</w:t>
            </w:r>
            <w:r w:rsidRPr="002C3702">
              <w:rPr>
                <w:rStyle w:val="normaltextrun"/>
                <w:rFonts w:ascii="Arial" w:hAnsi="Arial"/>
                <w:sz w:val="20"/>
                <w:szCs w:val="20"/>
              </w:rPr>
              <w:t> </w:t>
            </w:r>
            <w:r w:rsidRPr="002C3702">
              <w:rPr>
                <w:rStyle w:val="eop"/>
                <w:rFonts w:ascii="Arial Narrow" w:hAnsi="Arial Narrow" w:cs="Segoe UI"/>
                <w:sz w:val="20"/>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6FA72F06" w14:textId="77777777" w:rsidR="00030CC5" w:rsidRPr="002C3702" w:rsidRDefault="00030CC5" w:rsidP="006E7D62">
            <w:pPr>
              <w:keepNext/>
              <w:jc w:val="center"/>
              <w:rPr>
                <w:rFonts w:ascii="Arial Narrow" w:hAnsi="Arial Narrow"/>
                <w:sz w:val="20"/>
                <w:szCs w:val="20"/>
              </w:rPr>
            </w:pPr>
            <w:r w:rsidRPr="002C3702">
              <w:rPr>
                <w:rStyle w:val="normaltextrun"/>
                <w:rFonts w:ascii="Arial Narrow" w:hAnsi="Arial Narrow" w:cs="Segoe UI"/>
                <w:sz w:val="20"/>
                <w:szCs w:val="20"/>
              </w:rPr>
              <w:t>1</w:t>
            </w:r>
            <w:r w:rsidRPr="002C3702">
              <w:rPr>
                <w:rStyle w:val="eop"/>
                <w:rFonts w:ascii="Arial Narrow" w:hAnsi="Arial Narrow" w:cs="Segoe UI"/>
                <w:sz w:val="20"/>
                <w:szCs w:val="20"/>
              </w:rPr>
              <w:t> </w:t>
            </w:r>
          </w:p>
        </w:tc>
        <w:tc>
          <w:tcPr>
            <w:tcW w:w="811" w:type="dxa"/>
            <w:tcBorders>
              <w:top w:val="single" w:sz="6" w:space="0" w:color="auto"/>
              <w:left w:val="single" w:sz="6" w:space="0" w:color="auto"/>
              <w:bottom w:val="single" w:sz="6" w:space="0" w:color="auto"/>
              <w:right w:val="single" w:sz="6" w:space="0" w:color="auto"/>
            </w:tcBorders>
            <w:shd w:val="clear" w:color="auto" w:fill="auto"/>
          </w:tcPr>
          <w:p w14:paraId="7BC3E1ED" w14:textId="77777777" w:rsidR="00030CC5" w:rsidRPr="002C3702" w:rsidRDefault="00030CC5" w:rsidP="006E7D62">
            <w:pPr>
              <w:keepNext/>
              <w:jc w:val="center"/>
              <w:rPr>
                <w:rFonts w:ascii="Arial Narrow" w:hAnsi="Arial Narrow"/>
                <w:sz w:val="20"/>
                <w:szCs w:val="20"/>
              </w:rPr>
            </w:pPr>
            <w:r w:rsidRPr="002C3702">
              <w:rPr>
                <w:rStyle w:val="normaltextrun"/>
                <w:rFonts w:ascii="Arial Narrow" w:hAnsi="Arial Narrow" w:cs="Segoe UI"/>
                <w:sz w:val="20"/>
                <w:szCs w:val="20"/>
              </w:rPr>
              <w:t>56</w:t>
            </w:r>
            <w:r w:rsidRPr="002C3702">
              <w:rPr>
                <w:rStyle w:val="eop"/>
                <w:rFonts w:ascii="Arial Narrow" w:hAnsi="Arial Narrow" w:cs="Segoe UI"/>
                <w:sz w:val="20"/>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tcPr>
          <w:p w14:paraId="24BF3EE7" w14:textId="77777777" w:rsidR="00030CC5" w:rsidRPr="002C3702" w:rsidRDefault="00030CC5" w:rsidP="006E7D62">
            <w:pPr>
              <w:keepNext/>
              <w:jc w:val="center"/>
              <w:rPr>
                <w:rFonts w:ascii="Arial Narrow" w:hAnsi="Arial Narrow"/>
                <w:sz w:val="20"/>
                <w:szCs w:val="20"/>
              </w:rPr>
            </w:pPr>
            <w:r w:rsidRPr="002C3702">
              <w:rPr>
                <w:rStyle w:val="normaltextrun"/>
                <w:rFonts w:ascii="Arial Narrow" w:hAnsi="Arial Narrow" w:cs="Segoe UI"/>
                <w:sz w:val="20"/>
                <w:szCs w:val="20"/>
              </w:rPr>
              <w:t>5</w:t>
            </w:r>
            <w:r w:rsidRPr="002C3702">
              <w:rPr>
                <w:rStyle w:val="eop"/>
                <w:rFonts w:ascii="Arial Narrow" w:hAnsi="Arial Narrow" w:cs="Segoe UI"/>
                <w:sz w:val="20"/>
                <w:szCs w:val="20"/>
              </w:rPr>
              <w:t> </w:t>
            </w:r>
          </w:p>
        </w:tc>
        <w:tc>
          <w:tcPr>
            <w:tcW w:w="1881" w:type="dxa"/>
            <w:tcBorders>
              <w:top w:val="single" w:sz="6" w:space="0" w:color="auto"/>
              <w:left w:val="single" w:sz="6" w:space="0" w:color="auto"/>
              <w:bottom w:val="single" w:sz="6" w:space="0" w:color="auto"/>
              <w:right w:val="single" w:sz="6" w:space="0" w:color="auto"/>
            </w:tcBorders>
            <w:shd w:val="clear" w:color="auto" w:fill="auto"/>
          </w:tcPr>
          <w:p w14:paraId="57DCFCDB" w14:textId="2BF364B8" w:rsidR="00030CC5" w:rsidRPr="002C3702" w:rsidRDefault="00BE4132" w:rsidP="006E7D62">
            <w:pPr>
              <w:keepNext/>
              <w:jc w:val="center"/>
              <w:rPr>
                <w:rFonts w:ascii="Arial Narrow" w:hAnsi="Arial Narrow"/>
                <w:sz w:val="20"/>
                <w:szCs w:val="20"/>
              </w:rPr>
            </w:pPr>
            <w:r w:rsidRPr="002C3702">
              <w:rPr>
                <w:rStyle w:val="normaltextrun"/>
                <w:rFonts w:ascii="Arial Narrow" w:hAnsi="Arial Narrow" w:cs="Segoe UI"/>
                <w:sz w:val="20"/>
                <w:szCs w:val="20"/>
              </w:rPr>
              <w:t>V</w:t>
            </w:r>
            <w:r w:rsidR="00030CC5" w:rsidRPr="002C3702">
              <w:rPr>
                <w:rStyle w:val="normaltextrun"/>
                <w:rFonts w:ascii="Arial Narrow" w:hAnsi="Arial Narrow" w:cs="Segoe UI"/>
                <w:sz w:val="20"/>
                <w:szCs w:val="20"/>
              </w:rPr>
              <w:t>erzenio</w:t>
            </w:r>
          </w:p>
        </w:tc>
      </w:tr>
      <w:bookmarkEnd w:id="13"/>
      <w:tr w:rsidR="00BF7D06" w:rsidRPr="002C3702" w14:paraId="24E164D2"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17D6C21C"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Indication:</w:t>
            </w:r>
            <w:r w:rsidRPr="002C3702">
              <w:rPr>
                <w:rFonts w:ascii="Arial Narrow" w:hAnsi="Arial Narrow"/>
                <w:sz w:val="20"/>
                <w:szCs w:val="20"/>
              </w:rPr>
              <w:t xml:space="preserve"> Early breast cancer </w:t>
            </w:r>
          </w:p>
        </w:tc>
      </w:tr>
      <w:tr w:rsidR="00BF7D06" w:rsidRPr="002C3702" w14:paraId="023ABEAB"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75E58C0D"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Clinical criteria:</w:t>
            </w:r>
          </w:p>
        </w:tc>
      </w:tr>
      <w:tr w:rsidR="00BF7D06" w:rsidRPr="002C3702" w14:paraId="0AEEFB6E"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22B167FC" w14:textId="77777777" w:rsidR="00BF7D06" w:rsidRPr="002C3702" w:rsidRDefault="00BF7D06" w:rsidP="008406DA">
            <w:pPr>
              <w:keepNext/>
              <w:autoSpaceDE w:val="0"/>
              <w:autoSpaceDN w:val="0"/>
              <w:adjustRightInd w:val="0"/>
              <w:spacing w:line="228" w:lineRule="auto"/>
              <w:rPr>
                <w:rFonts w:ascii="Arial Narrow" w:hAnsi="Arial Narrow"/>
                <w:b/>
                <w:bCs/>
                <w:sz w:val="20"/>
                <w:szCs w:val="20"/>
              </w:rPr>
            </w:pPr>
            <w:r w:rsidRPr="002C3702">
              <w:rPr>
                <w:rFonts w:ascii="Arial Narrow" w:hAnsi="Arial Narrow" w:cs="Arial Narrow"/>
                <w:iCs/>
                <w:sz w:val="20"/>
                <w:szCs w:val="20"/>
              </w:rPr>
              <w:t xml:space="preserve">The treatment must be adjuvant to surgical resection </w:t>
            </w:r>
          </w:p>
        </w:tc>
      </w:tr>
      <w:tr w:rsidR="00BF7D06" w:rsidRPr="002C3702" w14:paraId="136D22D2"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0D305D04" w14:textId="77777777" w:rsidR="00BF7D06" w:rsidRPr="002C3702" w:rsidRDefault="00BF7D06" w:rsidP="008406DA">
            <w:pPr>
              <w:keepNext/>
              <w:autoSpaceDE w:val="0"/>
              <w:autoSpaceDN w:val="0"/>
              <w:adjustRightInd w:val="0"/>
              <w:spacing w:line="228" w:lineRule="auto"/>
              <w:rPr>
                <w:rFonts w:ascii="Arial Narrow" w:hAnsi="Arial Narrow" w:cs="Arial Narrow"/>
                <w:iCs/>
                <w:sz w:val="20"/>
                <w:szCs w:val="20"/>
              </w:rPr>
            </w:pPr>
            <w:r w:rsidRPr="002C3702">
              <w:rPr>
                <w:rFonts w:ascii="Arial Narrow" w:hAnsi="Arial Narrow"/>
                <w:b/>
                <w:bCs/>
                <w:sz w:val="20"/>
                <w:szCs w:val="20"/>
              </w:rPr>
              <w:t>AND</w:t>
            </w:r>
          </w:p>
        </w:tc>
      </w:tr>
      <w:tr w:rsidR="00BF7D06" w:rsidRPr="002C3702" w14:paraId="398C9FF0"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5CDD86E3" w14:textId="77777777" w:rsidR="00BF7D06" w:rsidRPr="002C3702" w:rsidRDefault="00BF7D06" w:rsidP="008406DA">
            <w:pPr>
              <w:keepNext/>
              <w:autoSpaceDE w:val="0"/>
              <w:autoSpaceDN w:val="0"/>
              <w:adjustRightInd w:val="0"/>
              <w:spacing w:line="228" w:lineRule="auto"/>
              <w:rPr>
                <w:rFonts w:ascii="Arial Narrow" w:hAnsi="Arial Narrow" w:cs="Arial Narrow"/>
                <w:iCs/>
                <w:sz w:val="20"/>
                <w:szCs w:val="20"/>
              </w:rPr>
            </w:pPr>
            <w:r w:rsidRPr="002C3702">
              <w:rPr>
                <w:rFonts w:ascii="Arial Narrow" w:hAnsi="Arial Narrow"/>
                <w:b/>
                <w:bCs/>
                <w:sz w:val="20"/>
                <w:szCs w:val="20"/>
              </w:rPr>
              <w:t xml:space="preserve">Clinical criteria: </w:t>
            </w:r>
          </w:p>
        </w:tc>
      </w:tr>
      <w:tr w:rsidR="00BF7D06" w:rsidRPr="002C3702" w14:paraId="5906AB78"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62E07C1F" w14:textId="77777777" w:rsidR="00BF7D06" w:rsidRPr="002C3702" w:rsidRDefault="00BF7D06" w:rsidP="008406DA">
            <w:pPr>
              <w:keepNext/>
              <w:autoSpaceDE w:val="0"/>
              <w:autoSpaceDN w:val="0"/>
              <w:adjustRightInd w:val="0"/>
              <w:spacing w:line="228" w:lineRule="auto"/>
              <w:rPr>
                <w:rFonts w:ascii="Arial Narrow" w:hAnsi="Arial Narrow" w:cs="Arial Narrow"/>
                <w:iCs/>
                <w:sz w:val="20"/>
                <w:szCs w:val="20"/>
              </w:rPr>
            </w:pPr>
            <w:r w:rsidRPr="002C3702">
              <w:rPr>
                <w:rFonts w:ascii="Arial Narrow" w:hAnsi="Arial Narrow"/>
                <w:sz w:val="20"/>
                <w:szCs w:val="20"/>
              </w:rPr>
              <w:t xml:space="preserve">The condition must not have been treated with endocrine therapy for more than 6 months prior to commencing this drug </w:t>
            </w:r>
          </w:p>
        </w:tc>
      </w:tr>
      <w:tr w:rsidR="00BF7D06" w:rsidRPr="002C3702" w14:paraId="71E2A70D"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6FECFE3F"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AND</w:t>
            </w:r>
          </w:p>
        </w:tc>
      </w:tr>
      <w:tr w:rsidR="00BF7D06" w:rsidRPr="002C3702" w14:paraId="0051A448" w14:textId="77777777" w:rsidTr="008A4194">
        <w:tblPrEx>
          <w:tblCellMar>
            <w:top w:w="15" w:type="dxa"/>
            <w:left w:w="15" w:type="dxa"/>
            <w:bottom w:w="15" w:type="dxa"/>
            <w:right w:w="15" w:type="dxa"/>
          </w:tblCellMar>
          <w:tblLook w:val="04A0" w:firstRow="1" w:lastRow="0" w:firstColumn="1" w:lastColumn="0" w:noHBand="0" w:noVBand="1"/>
        </w:tblPrEx>
        <w:trPr>
          <w:trHeight w:val="160"/>
        </w:trPr>
        <w:tc>
          <w:tcPr>
            <w:tcW w:w="9067" w:type="dxa"/>
            <w:gridSpan w:val="6"/>
            <w:shd w:val="clear" w:color="auto" w:fill="auto"/>
            <w:vAlign w:val="center"/>
            <w:hideMark/>
          </w:tcPr>
          <w:p w14:paraId="1F2F9AC8"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 xml:space="preserve">Clinical criteria: </w:t>
            </w:r>
          </w:p>
        </w:tc>
      </w:tr>
      <w:tr w:rsidR="00BF7D06" w:rsidRPr="002C3702" w14:paraId="4F94BA9B"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5718056B"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The condition must be human epidermal growth factor receptor 2 (HER2) negative</w:t>
            </w:r>
          </w:p>
        </w:tc>
      </w:tr>
      <w:tr w:rsidR="00BF7D06" w:rsidRPr="002C3702" w14:paraId="6082F9E2"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17C7A148" w14:textId="77777777" w:rsidR="00BF7D06" w:rsidRPr="002C3702" w:rsidRDefault="00BF7D06" w:rsidP="008406DA">
            <w:pPr>
              <w:keepNext/>
              <w:spacing w:line="228" w:lineRule="auto"/>
              <w:rPr>
                <w:rFonts w:ascii="Arial Narrow" w:hAnsi="Arial Narrow" w:cs="Arial Narrow"/>
                <w:iCs/>
                <w:sz w:val="20"/>
                <w:szCs w:val="20"/>
              </w:rPr>
            </w:pPr>
            <w:r w:rsidRPr="002C3702">
              <w:rPr>
                <w:rFonts w:ascii="Arial Narrow" w:hAnsi="Arial Narrow"/>
                <w:b/>
                <w:bCs/>
                <w:sz w:val="20"/>
                <w:szCs w:val="20"/>
              </w:rPr>
              <w:t>AND</w:t>
            </w:r>
          </w:p>
        </w:tc>
      </w:tr>
      <w:tr w:rsidR="00BF7D06" w:rsidRPr="002C3702" w14:paraId="29D2CD2A"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1BB92BD2" w14:textId="77777777" w:rsidR="00BF7D06" w:rsidRPr="002C3702" w:rsidRDefault="00BF7D06" w:rsidP="008406DA">
            <w:pPr>
              <w:keepNext/>
              <w:spacing w:line="228" w:lineRule="auto"/>
              <w:rPr>
                <w:rFonts w:ascii="Arial Narrow" w:hAnsi="Arial Narrow" w:cs="Arial Narrow"/>
                <w:iCs/>
                <w:sz w:val="20"/>
                <w:szCs w:val="20"/>
              </w:rPr>
            </w:pPr>
            <w:r w:rsidRPr="002C3702">
              <w:rPr>
                <w:rFonts w:ascii="Arial Narrow" w:hAnsi="Arial Narrow"/>
                <w:b/>
                <w:bCs/>
                <w:sz w:val="20"/>
                <w:szCs w:val="20"/>
              </w:rPr>
              <w:t xml:space="preserve">Clinical criteria: </w:t>
            </w:r>
          </w:p>
        </w:tc>
      </w:tr>
      <w:tr w:rsidR="00BF7D06" w:rsidRPr="002C3702" w14:paraId="3111B144"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17158EBD" w14:textId="77777777" w:rsidR="00BF7D06" w:rsidRPr="002C3702" w:rsidRDefault="00BF7D06" w:rsidP="008406DA">
            <w:pPr>
              <w:keepNext/>
              <w:spacing w:line="228" w:lineRule="auto"/>
              <w:rPr>
                <w:rFonts w:ascii="Arial Narrow" w:hAnsi="Arial Narrow" w:cs="Arial Narrow"/>
                <w:iCs/>
                <w:sz w:val="20"/>
                <w:szCs w:val="20"/>
              </w:rPr>
            </w:pPr>
            <w:r w:rsidRPr="002C3702">
              <w:rPr>
                <w:rFonts w:ascii="Arial Narrow" w:hAnsi="Arial Narrow" w:cs="Arial Narrow"/>
                <w:iCs/>
                <w:sz w:val="20"/>
                <w:szCs w:val="20"/>
              </w:rPr>
              <w:t>The condition must be hormone receptor positive</w:t>
            </w:r>
          </w:p>
        </w:tc>
      </w:tr>
      <w:tr w:rsidR="00BF7D06" w:rsidRPr="002C3702" w14:paraId="039BA086"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0ECA57EC"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AND</w:t>
            </w:r>
          </w:p>
        </w:tc>
      </w:tr>
      <w:tr w:rsidR="00BF7D06" w:rsidRPr="002C3702" w14:paraId="70941A54"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0469F978"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Clinical criteria:</w:t>
            </w:r>
          </w:p>
        </w:tc>
      </w:tr>
      <w:tr w:rsidR="00BF7D06" w:rsidRPr="002C3702" w14:paraId="5C726338"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7CC2E905" w14:textId="77777777" w:rsidR="00BF7D06" w:rsidRPr="002C3702" w:rsidRDefault="00BF7D06" w:rsidP="008406DA">
            <w:pPr>
              <w:keepNext/>
              <w:spacing w:line="228" w:lineRule="auto"/>
              <w:rPr>
                <w:rFonts w:ascii="Arial Narrow" w:hAnsi="Arial Narrow"/>
                <w:sz w:val="20"/>
                <w:szCs w:val="20"/>
                <w:highlight w:val="lightGray"/>
              </w:rPr>
            </w:pPr>
            <w:r w:rsidRPr="002C3702">
              <w:rPr>
                <w:rFonts w:ascii="Arial Narrow" w:hAnsi="Arial Narrow"/>
                <w:sz w:val="20"/>
                <w:szCs w:val="20"/>
              </w:rPr>
              <w:t>The condition must be at high risk of recurrence at treatment initiation with this drug, with high risk being any of: (a) cancer cells in at least 4 positive axillary lymph nodes, (b) cancer cells in 1 to 3 positive axillary lymph nodes plus at least one of: (i) tumour size of at least 5 cm in size, (ii) grade 3 tumour histology (on the Nottingham grading system)</w:t>
            </w:r>
          </w:p>
        </w:tc>
      </w:tr>
      <w:tr w:rsidR="00BF7D06" w:rsidRPr="002C3702" w14:paraId="015E814C"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2B5545AB"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AND</w:t>
            </w:r>
          </w:p>
        </w:tc>
      </w:tr>
      <w:tr w:rsidR="00BF7D06" w:rsidRPr="002C3702" w14:paraId="1FB5EA21"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hideMark/>
          </w:tcPr>
          <w:p w14:paraId="219301B9"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Clinical criteria:</w:t>
            </w:r>
          </w:p>
        </w:tc>
      </w:tr>
      <w:tr w:rsidR="00BF7D06" w:rsidRPr="002C3702" w14:paraId="5CD97115"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20E3C3C0"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 xml:space="preserve">The treatment must not be a PBS-subsidised benefit beyond whichever comes first: (i) a total of 2.00 years of active treatment (this includes any non-PBS subsidised supply if applicable), (ii) disease recurrence/progression </w:t>
            </w:r>
          </w:p>
        </w:tc>
      </w:tr>
      <w:tr w:rsidR="00BF7D06" w:rsidRPr="002C3702" w14:paraId="0D91BD82"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1CD40A09"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b/>
                <w:bCs/>
                <w:sz w:val="20"/>
                <w:szCs w:val="20"/>
              </w:rPr>
              <w:t>Treatment criteria:</w:t>
            </w:r>
          </w:p>
        </w:tc>
      </w:tr>
      <w:tr w:rsidR="00BF7D06" w:rsidRPr="002C3702" w14:paraId="02EA404E"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shd w:val="clear" w:color="auto" w:fill="auto"/>
            <w:vAlign w:val="center"/>
          </w:tcPr>
          <w:p w14:paraId="2B1FED95"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Patient must be undergoing concurrent treatment with endocrine therapy where this drug is being prescribed as a PBS-benefit</w:t>
            </w:r>
          </w:p>
        </w:tc>
      </w:tr>
      <w:tr w:rsidR="00BF7D06" w:rsidRPr="002C3702" w14:paraId="65129379"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B19546"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 xml:space="preserve">Prescribing Instructions: </w:t>
            </w:r>
          </w:p>
          <w:p w14:paraId="0AB88D54"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 xml:space="preserve">Retain all pathology imaging and investigative test results in the patient’s medical records. </w:t>
            </w:r>
          </w:p>
        </w:tc>
      </w:tr>
      <w:tr w:rsidR="00BF7D06" w:rsidRPr="002C3702" w14:paraId="5217EC40"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4B07F7F"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No increase in the maximum quantity or number of units may be authorised.</w:t>
            </w:r>
          </w:p>
        </w:tc>
      </w:tr>
      <w:tr w:rsidR="00BF7D06" w:rsidRPr="002C3702" w14:paraId="781E873E"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CF272B"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No increase in the maximum number of repeats may be authorised.</w:t>
            </w:r>
          </w:p>
        </w:tc>
      </w:tr>
      <w:tr w:rsidR="00BF7D06" w:rsidRPr="002C3702" w14:paraId="50DE34FA"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3741A5"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Special Pricing Arrangements apply.</w:t>
            </w:r>
          </w:p>
        </w:tc>
      </w:tr>
      <w:tr w:rsidR="00BF7D06" w:rsidRPr="002C3702" w14:paraId="4E29FAF0" w14:textId="77777777" w:rsidTr="008A4194">
        <w:tblPrEx>
          <w:tblCellMar>
            <w:top w:w="15" w:type="dxa"/>
            <w:left w:w="15" w:type="dxa"/>
            <w:bottom w:w="15" w:type="dxa"/>
            <w:right w:w="15" w:type="dxa"/>
          </w:tblCellMar>
          <w:tblLook w:val="04A0" w:firstRow="1" w:lastRow="0" w:firstColumn="1" w:lastColumn="0" w:noHBand="0" w:noVBand="1"/>
        </w:tblPrEx>
        <w:trPr>
          <w:trHeight w:val="54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A33315"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 xml:space="preserve">Administrative advice: </w:t>
            </w:r>
          </w:p>
          <w:p w14:paraId="4AEBABC8"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r w:rsidRPr="002C3702">
              <w:rPr>
                <w:rFonts w:ascii="Arial Narrow" w:hAnsi="Arial Narrow"/>
                <w:b/>
                <w:bCs/>
                <w:sz w:val="20"/>
                <w:szCs w:val="20"/>
              </w:rPr>
              <w:t>.</w:t>
            </w:r>
          </w:p>
        </w:tc>
      </w:tr>
      <w:tr w:rsidR="00BF7D06" w:rsidRPr="002C3702" w14:paraId="6B4690DF" w14:textId="77777777" w:rsidTr="008A4194">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8C9684" w14:textId="77777777" w:rsidR="00BF7D06" w:rsidRPr="002C3702" w:rsidRDefault="00BF7D06" w:rsidP="008406DA">
            <w:pPr>
              <w:keepNext/>
              <w:spacing w:line="228" w:lineRule="auto"/>
              <w:rPr>
                <w:rFonts w:ascii="Arial Narrow" w:hAnsi="Arial Narrow"/>
                <w:b/>
                <w:bCs/>
                <w:sz w:val="20"/>
                <w:szCs w:val="20"/>
              </w:rPr>
            </w:pPr>
            <w:r w:rsidRPr="002C3702">
              <w:rPr>
                <w:rFonts w:ascii="Arial Narrow" w:hAnsi="Arial Narrow"/>
                <w:b/>
                <w:bCs/>
                <w:sz w:val="20"/>
                <w:szCs w:val="20"/>
              </w:rPr>
              <w:t>Administrative advice:</w:t>
            </w:r>
          </w:p>
          <w:p w14:paraId="1B770AD1"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 xml:space="preserve">The Nottingham grading system is the histologic grading system developed by Elston and Ellis as a modification of the </w:t>
            </w:r>
            <w:proofErr w:type="spellStart"/>
            <w:r w:rsidRPr="002C3702">
              <w:rPr>
                <w:rFonts w:ascii="Arial Narrow" w:hAnsi="Arial Narrow"/>
                <w:sz w:val="20"/>
                <w:szCs w:val="20"/>
              </w:rPr>
              <w:t>Scarff</w:t>
            </w:r>
            <w:proofErr w:type="spellEnd"/>
            <w:r w:rsidRPr="002C3702">
              <w:rPr>
                <w:rFonts w:ascii="Arial Narrow" w:hAnsi="Arial Narrow"/>
                <w:sz w:val="20"/>
                <w:szCs w:val="20"/>
              </w:rPr>
              <w:t>-Bloom-Richardson grading system. See the following literature publication for details:</w:t>
            </w:r>
          </w:p>
          <w:p w14:paraId="40E6A4A1" w14:textId="77777777" w:rsidR="00BF7D06" w:rsidRPr="002C3702" w:rsidRDefault="00BF7D06" w:rsidP="008406DA">
            <w:pPr>
              <w:keepNext/>
              <w:spacing w:line="228" w:lineRule="auto"/>
              <w:rPr>
                <w:rFonts w:ascii="Arial Narrow" w:hAnsi="Arial Narrow"/>
                <w:sz w:val="20"/>
                <w:szCs w:val="20"/>
              </w:rPr>
            </w:pPr>
            <w:r w:rsidRPr="002C3702">
              <w:rPr>
                <w:rFonts w:ascii="Arial Narrow" w:hAnsi="Arial Narrow"/>
                <w:sz w:val="20"/>
                <w:szCs w:val="20"/>
              </w:rPr>
              <w:t xml:space="preserve">Elston, CW, Ellis, IO. Pathological prognostic factors in breast cancer. The value of histological grade in breast cancer: experience from a large study with long-term follow-up. </w:t>
            </w:r>
            <w:r w:rsidRPr="002C3702">
              <w:rPr>
                <w:rFonts w:ascii="Arial Narrow" w:hAnsi="Arial Narrow"/>
                <w:i/>
                <w:iCs/>
                <w:sz w:val="20"/>
                <w:szCs w:val="20"/>
              </w:rPr>
              <w:t>Histopathology.</w:t>
            </w:r>
            <w:r w:rsidRPr="002C3702">
              <w:rPr>
                <w:rFonts w:ascii="Arial Narrow" w:hAnsi="Arial Narrow"/>
                <w:sz w:val="20"/>
                <w:szCs w:val="20"/>
              </w:rPr>
              <w:t xml:space="preserve"> 1991 Nov;19(5):403-10.</w:t>
            </w:r>
          </w:p>
        </w:tc>
      </w:tr>
    </w:tbl>
    <w:p w14:paraId="1B13AD25" w14:textId="2E5BBBFC" w:rsidR="00030CC5" w:rsidRPr="002C3702" w:rsidRDefault="00030CC5" w:rsidP="00030CC5">
      <w:pPr>
        <w:pStyle w:val="paragraph"/>
        <w:spacing w:before="0" w:beforeAutospacing="0" w:after="0" w:afterAutospacing="0"/>
        <w:jc w:val="both"/>
        <w:textAlignment w:val="baseline"/>
        <w:rPr>
          <w:rStyle w:val="eop"/>
          <w:rFonts w:ascii="Arial Narrow" w:hAnsi="Arial Narrow" w:cs="Segoe UI"/>
          <w:sz w:val="18"/>
          <w:szCs w:val="18"/>
        </w:rPr>
      </w:pPr>
      <w:r w:rsidRPr="002C3702">
        <w:rPr>
          <w:rStyle w:val="normaltextrun"/>
          <w:rFonts w:ascii="Arial Narrow" w:hAnsi="Arial Narrow" w:cs="Segoe UI"/>
          <w:sz w:val="18"/>
          <w:szCs w:val="18"/>
        </w:rPr>
        <w:t>Source: Table 14, p7 of the submission.</w:t>
      </w:r>
      <w:r w:rsidRPr="002C3702">
        <w:rPr>
          <w:rStyle w:val="eop"/>
          <w:rFonts w:ascii="Arial Narrow" w:hAnsi="Arial Narrow" w:cs="Segoe UI"/>
          <w:sz w:val="18"/>
          <w:szCs w:val="18"/>
        </w:rPr>
        <w:t> </w:t>
      </w:r>
    </w:p>
    <w:p w14:paraId="5CE62447" w14:textId="77777777" w:rsidR="00030CC5" w:rsidRPr="002C3702" w:rsidRDefault="00030CC5" w:rsidP="00030CC5">
      <w:pPr>
        <w:pStyle w:val="TableFigureFooter"/>
        <w:rPr>
          <w:rFonts w:ascii="Segoe UI" w:hAnsi="Segoe UI" w:cs="Segoe UI"/>
          <w:szCs w:val="18"/>
        </w:rPr>
      </w:pPr>
      <w:r w:rsidRPr="002C3702">
        <w:rPr>
          <w:rStyle w:val="eop"/>
          <w:rFonts w:cs="Segoe UI"/>
          <w:szCs w:val="18"/>
        </w:rPr>
        <w:t xml:space="preserve">cm = centimetre, HER2- = </w:t>
      </w:r>
      <w:r w:rsidRPr="002C3702">
        <w:rPr>
          <w:rFonts w:cs="Segoe UI"/>
        </w:rPr>
        <w:t>human epidermal growth factor receptor 2 negative</w:t>
      </w:r>
      <w:r w:rsidRPr="002C3702">
        <w:t>, max =maximum, mg = milligram, no. = number, PBS = Pharmaceutical Benefits Scheme, qty = quantity, rpts = repeats.</w:t>
      </w:r>
    </w:p>
    <w:p w14:paraId="4C583270" w14:textId="7B268A6E" w:rsidR="00030CC5" w:rsidRPr="002C3702" w:rsidRDefault="00030CC5" w:rsidP="00030CC5">
      <w:pPr>
        <w:pStyle w:val="ExecSumBodyText"/>
        <w:numPr>
          <w:ilvl w:val="1"/>
          <w:numId w:val="1"/>
        </w:numPr>
      </w:pPr>
      <w:r w:rsidRPr="002C3702">
        <w:rPr>
          <w:rStyle w:val="normaltextrun"/>
          <w:color w:val="000000"/>
          <w:shd w:val="clear" w:color="auto" w:fill="FFFFFF"/>
        </w:rPr>
        <w:lastRenderedPageBreak/>
        <w:t xml:space="preserve">The proposed effective </w:t>
      </w:r>
      <w:r w:rsidR="00E93317" w:rsidRPr="002C3702">
        <w:rPr>
          <w:rStyle w:val="normaltextrun"/>
          <w:color w:val="000000"/>
          <w:shd w:val="clear" w:color="auto" w:fill="FFFFFF"/>
        </w:rPr>
        <w:t>dispensed price for maximum quantity (</w:t>
      </w:r>
      <w:r w:rsidR="008A4194" w:rsidRPr="002C3702">
        <w:rPr>
          <w:rStyle w:val="normaltextrun"/>
          <w:color w:val="000000"/>
          <w:shd w:val="clear" w:color="auto" w:fill="FFFFFF"/>
        </w:rPr>
        <w:t>DPMQ</w:t>
      </w:r>
      <w:r w:rsidR="00E93317" w:rsidRPr="002C3702">
        <w:rPr>
          <w:rStyle w:val="normaltextrun"/>
          <w:color w:val="000000"/>
          <w:shd w:val="clear" w:color="auto" w:fill="FFFFFF"/>
        </w:rPr>
        <w:t>)</w:t>
      </w:r>
      <w:r w:rsidRPr="002C3702">
        <w:rPr>
          <w:rStyle w:val="normaltextrun"/>
          <w:color w:val="000000"/>
          <w:shd w:val="clear" w:color="auto" w:fill="FFFFFF"/>
        </w:rPr>
        <w:t xml:space="preserve"> is $</w:t>
      </w:r>
      <w:r w:rsidR="008129BD">
        <w:rPr>
          <w:rStyle w:val="normaltextrun"/>
          <w:color w:val="000000"/>
          <w:shd w:val="clear" w:color="auto" w:fill="FFFFFF"/>
        </w:rPr>
        <w:t xml:space="preserve"> </w:t>
      </w:r>
      <w:r w:rsidR="008129BD" w:rsidRPr="002C05D4">
        <w:rPr>
          <w:rStyle w:val="normaltextrun"/>
          <w:color w:val="000000"/>
          <w:w w:val="60"/>
          <w:shd w:val="solid" w:color="000000" w:fill="000000"/>
          <w:fitText w:val="470" w:id="-1032093429"/>
          <w14:textFill>
            <w14:solidFill>
              <w14:srgbClr w14:val="000000">
                <w14:alpha w14:val="100000"/>
              </w14:srgbClr>
            </w14:solidFill>
          </w14:textFill>
        </w:rPr>
        <w:t>|||  ||</w:t>
      </w:r>
      <w:r w:rsidR="008129BD" w:rsidRPr="002C05D4">
        <w:rPr>
          <w:rStyle w:val="normaltextrun"/>
          <w:color w:val="000000"/>
          <w:spacing w:val="6"/>
          <w:w w:val="60"/>
          <w:shd w:val="solid" w:color="000000" w:fill="000000"/>
          <w:fitText w:val="470" w:id="-1032093429"/>
          <w14:textFill>
            <w14:solidFill>
              <w14:srgbClr w14:val="000000">
                <w14:alpha w14:val="100000"/>
              </w14:srgbClr>
            </w14:solidFill>
          </w14:textFill>
        </w:rPr>
        <w:t>|</w:t>
      </w:r>
      <w:r w:rsidRPr="002C3702">
        <w:rPr>
          <w:rStyle w:val="normaltextrun"/>
          <w:color w:val="000000"/>
          <w:shd w:val="clear" w:color="auto" w:fill="FFFFFF"/>
        </w:rPr>
        <w:t xml:space="preserve"> lower than proposed in the March 2023 submission (</w:t>
      </w:r>
      <w:r w:rsidR="00CF6630">
        <w:rPr>
          <w:rStyle w:val="normaltextrun"/>
          <w:color w:val="000000"/>
          <w:shd w:val="clear" w:color="auto" w:fill="FFFFFF"/>
        </w:rPr>
        <w:t xml:space="preserve"> </w:t>
      </w:r>
      <w:r w:rsidR="00CF6630" w:rsidRPr="00676505">
        <w:rPr>
          <w:rStyle w:val="normaltextrun"/>
          <w:color w:val="000000"/>
          <w:w w:val="15"/>
          <w:shd w:val="solid" w:color="000000" w:fill="000000"/>
          <w:fitText w:val="-20" w:id="-1026295295"/>
          <w14:textFill>
            <w14:solidFill>
              <w14:srgbClr w14:val="000000">
                <w14:alpha w14:val="100000"/>
              </w14:srgbClr>
            </w14:solidFill>
          </w14:textFill>
        </w:rPr>
        <w:t xml:space="preserve">|  </w:t>
      </w:r>
      <w:r w:rsidR="00CF6630" w:rsidRPr="00676505">
        <w:rPr>
          <w:rStyle w:val="normaltextrun"/>
          <w:color w:val="000000"/>
          <w:spacing w:val="-69"/>
          <w:w w:val="15"/>
          <w:shd w:val="solid" w:color="000000" w:fill="000000"/>
          <w:fitText w:val="-20" w:id="-1026295295"/>
          <w14:textFill>
            <w14:solidFill>
              <w14:srgbClr w14:val="000000">
                <w14:alpha w14:val="100000"/>
              </w14:srgbClr>
            </w14:solidFill>
          </w14:textFill>
        </w:rPr>
        <w:t>|</w:t>
      </w:r>
      <w:r w:rsidRPr="002C3702">
        <w:rPr>
          <w:rStyle w:val="normaltextrun"/>
          <w:color w:val="000000"/>
          <w:shd w:val="clear" w:color="auto" w:fill="FFFFFF"/>
        </w:rPr>
        <w:t>% reduction).</w:t>
      </w:r>
    </w:p>
    <w:p w14:paraId="6E93CD20" w14:textId="0C7410A4" w:rsidR="00030CC5" w:rsidRPr="002C3702" w:rsidRDefault="00030CC5" w:rsidP="00030CC5">
      <w:pPr>
        <w:pStyle w:val="3-BodyText"/>
        <w:rPr>
          <w:color w:val="000000" w:themeColor="text1"/>
        </w:rPr>
      </w:pPr>
      <w:r w:rsidRPr="002C3702">
        <w:rPr>
          <w:rStyle w:val="normaltextrun"/>
          <w:rFonts w:cs="Calibri"/>
          <w:color w:val="000000"/>
          <w:shd w:val="clear" w:color="auto" w:fill="FFFFFF"/>
        </w:rPr>
        <w:t xml:space="preserve">The proposed published price matches </w:t>
      </w:r>
      <w:r w:rsidR="00FB5930" w:rsidRPr="002C3702">
        <w:rPr>
          <w:rStyle w:val="normaltextrun"/>
          <w:rFonts w:cs="Calibri"/>
          <w:color w:val="000000"/>
          <w:shd w:val="clear" w:color="auto" w:fill="FFFFFF"/>
        </w:rPr>
        <w:t>the published price of</w:t>
      </w:r>
      <w:r w:rsidRPr="002C3702">
        <w:rPr>
          <w:rStyle w:val="normaltextrun"/>
          <w:rFonts w:cs="Calibri"/>
          <w:color w:val="000000"/>
          <w:shd w:val="clear" w:color="auto" w:fill="FFFFFF"/>
        </w:rPr>
        <w:t xml:space="preserve"> </w:t>
      </w:r>
      <w:r w:rsidRPr="002C3702">
        <w:t>AB</w:t>
      </w:r>
      <w:r w:rsidRPr="002C3702">
        <w:rPr>
          <w:rStyle w:val="normaltextrun"/>
          <w:rFonts w:cs="Calibri"/>
          <w:color w:val="000000"/>
          <w:shd w:val="clear" w:color="auto" w:fill="FFFFFF"/>
        </w:rPr>
        <w:t>E for use in locally advanced or metastatic HER2- breast cancer</w:t>
      </w:r>
      <w:r w:rsidR="00FB5930" w:rsidRPr="002C3702">
        <w:rPr>
          <w:rStyle w:val="normaltextrun"/>
          <w:rFonts w:cs="Calibri"/>
          <w:color w:val="000000"/>
          <w:shd w:val="clear" w:color="auto" w:fill="FFFFFF"/>
        </w:rPr>
        <w:t xml:space="preserve"> in combination with </w:t>
      </w:r>
      <w:r w:rsidR="00B746B9" w:rsidRPr="002C3702">
        <w:rPr>
          <w:rStyle w:val="normaltextrun"/>
          <w:rFonts w:cs="Calibri"/>
          <w:color w:val="000000"/>
          <w:shd w:val="clear" w:color="auto" w:fill="FFFFFF"/>
        </w:rPr>
        <w:t xml:space="preserve">an </w:t>
      </w:r>
      <w:r w:rsidR="00FB5930" w:rsidRPr="002C3702">
        <w:rPr>
          <w:rStyle w:val="normaltextrun"/>
          <w:rFonts w:cs="Calibri"/>
          <w:color w:val="000000" w:themeColor="text1"/>
        </w:rPr>
        <w:t xml:space="preserve">aromatase inhibitor or </w:t>
      </w:r>
      <w:r w:rsidR="00FB5930" w:rsidRPr="002C3702">
        <w:rPr>
          <w:rStyle w:val="normaltextrun"/>
          <w:rFonts w:cs="Calibri"/>
          <w:color w:val="000000"/>
          <w:shd w:val="clear" w:color="auto" w:fill="FFFFFF"/>
        </w:rPr>
        <w:t>fulvestrant</w:t>
      </w:r>
      <w:r w:rsidRPr="002C3702">
        <w:rPr>
          <w:rStyle w:val="normaltextrun"/>
          <w:rFonts w:cs="Calibri"/>
          <w:color w:val="000000"/>
          <w:shd w:val="clear" w:color="auto" w:fill="FFFFFF"/>
        </w:rPr>
        <w:t xml:space="preserve">. </w:t>
      </w:r>
      <w:r w:rsidR="008A4194" w:rsidRPr="002C3702">
        <w:rPr>
          <w:color w:val="000000" w:themeColor="text1"/>
        </w:rPr>
        <w:t>T</w:t>
      </w:r>
      <w:r w:rsidR="066D66F8" w:rsidRPr="002C3702">
        <w:rPr>
          <w:color w:val="000000" w:themeColor="text1"/>
        </w:rPr>
        <w:t xml:space="preserve">he proposed </w:t>
      </w:r>
      <w:r w:rsidR="00E37DFF" w:rsidRPr="002C3702">
        <w:rPr>
          <w:color w:val="000000" w:themeColor="text1"/>
        </w:rPr>
        <w:t xml:space="preserve">effective </w:t>
      </w:r>
      <w:r w:rsidR="00D6437F" w:rsidRPr="002C3702">
        <w:rPr>
          <w:color w:val="000000" w:themeColor="text1"/>
        </w:rPr>
        <w:t xml:space="preserve">AEMP </w:t>
      </w:r>
      <w:r w:rsidR="066D66F8" w:rsidRPr="002C3702">
        <w:rPr>
          <w:color w:val="000000" w:themeColor="text1"/>
        </w:rPr>
        <w:t>f</w:t>
      </w:r>
      <w:r w:rsidR="00E37DFF" w:rsidRPr="002C3702">
        <w:rPr>
          <w:color w:val="000000" w:themeColor="text1"/>
        </w:rPr>
        <w:t>or</w:t>
      </w:r>
      <w:r w:rsidR="066D66F8" w:rsidRPr="002C3702">
        <w:rPr>
          <w:color w:val="000000" w:themeColor="text1"/>
        </w:rPr>
        <w:t xml:space="preserve"> ABE </w:t>
      </w:r>
      <w:r w:rsidR="00E37DFF" w:rsidRPr="002C3702">
        <w:rPr>
          <w:color w:val="000000" w:themeColor="text1"/>
        </w:rPr>
        <w:t>in</w:t>
      </w:r>
      <w:r w:rsidR="066D66F8" w:rsidRPr="002C3702">
        <w:rPr>
          <w:color w:val="000000" w:themeColor="text1"/>
        </w:rPr>
        <w:t xml:space="preserve"> EBC is $</w:t>
      </w:r>
      <w:r w:rsidR="008129BD">
        <w:rPr>
          <w:color w:val="000000" w:themeColor="text1"/>
        </w:rPr>
        <w:t xml:space="preserve"> </w:t>
      </w:r>
      <w:r w:rsidR="008129BD" w:rsidRPr="00676505">
        <w:rPr>
          <w:color w:val="000000" w:themeColor="text1"/>
          <w:w w:val="15"/>
          <w:shd w:val="solid" w:color="000000" w:fill="000000"/>
          <w:fitText w:val="-20" w:id="-1032093428"/>
          <w14:textFill>
            <w14:solidFill>
              <w14:schemeClr w14:val="tx1">
                <w14:alpha w14:val="100000"/>
              </w14:schemeClr>
            </w14:solidFill>
          </w14:textFill>
        </w:rPr>
        <w:t xml:space="preserve">|  </w:t>
      </w:r>
      <w:r w:rsidR="008129BD" w:rsidRPr="00676505">
        <w:rPr>
          <w:color w:val="000000" w:themeColor="text1"/>
          <w:spacing w:val="-69"/>
          <w:w w:val="15"/>
          <w:shd w:val="solid" w:color="000000" w:fill="000000"/>
          <w:fitText w:val="-20" w:id="-1032093428"/>
          <w14:textFill>
            <w14:solidFill>
              <w14:schemeClr w14:val="tx1">
                <w14:alpha w14:val="100000"/>
              </w14:schemeClr>
            </w14:solidFill>
          </w14:textFill>
        </w:rPr>
        <w:t>|</w:t>
      </w:r>
      <w:r w:rsidR="066D66F8" w:rsidRPr="002C3702">
        <w:rPr>
          <w:color w:val="000000" w:themeColor="text1"/>
        </w:rPr>
        <w:t xml:space="preserve"> (</w:t>
      </w:r>
      <w:r w:rsidR="00CF6630">
        <w:rPr>
          <w:color w:val="000000" w:themeColor="text1"/>
        </w:rPr>
        <w:t xml:space="preserve"> </w:t>
      </w:r>
      <w:r w:rsidR="00CF6630" w:rsidRPr="00676505">
        <w:rPr>
          <w:color w:val="000000" w:themeColor="text1"/>
          <w:w w:val="15"/>
          <w:shd w:val="solid" w:color="000000" w:fill="000000"/>
          <w:fitText w:val="-20" w:id="-1026295294"/>
          <w14:textFill>
            <w14:solidFill>
              <w14:schemeClr w14:val="tx1">
                <w14:alpha w14:val="100000"/>
              </w14:schemeClr>
            </w14:solidFill>
          </w14:textFill>
        </w:rPr>
        <w:t xml:space="preserve">|  </w:t>
      </w:r>
      <w:r w:rsidR="00CF6630" w:rsidRPr="00676505">
        <w:rPr>
          <w:color w:val="000000" w:themeColor="text1"/>
          <w:spacing w:val="-69"/>
          <w:w w:val="15"/>
          <w:shd w:val="solid" w:color="000000" w:fill="000000"/>
          <w:fitText w:val="-20" w:id="-1026295294"/>
          <w14:textFill>
            <w14:solidFill>
              <w14:schemeClr w14:val="tx1">
                <w14:alpha w14:val="100000"/>
              </w14:schemeClr>
            </w14:solidFill>
          </w14:textFill>
        </w:rPr>
        <w:t>|</w:t>
      </w:r>
      <w:r w:rsidR="066D66F8" w:rsidRPr="002C3702">
        <w:rPr>
          <w:color w:val="000000" w:themeColor="text1"/>
        </w:rPr>
        <w:t xml:space="preserve">%) lower than the existing </w:t>
      </w:r>
      <w:r w:rsidR="00D82B7E" w:rsidRPr="002C3702">
        <w:rPr>
          <w:color w:val="000000" w:themeColor="text1"/>
        </w:rPr>
        <w:t xml:space="preserve">effective price </w:t>
      </w:r>
      <w:r w:rsidR="066D66F8" w:rsidRPr="002C3702">
        <w:rPr>
          <w:color w:val="000000" w:themeColor="text1"/>
        </w:rPr>
        <w:t>of ABE for locally advanced or metastatic HER2- breast cancer with the same dosages and quantities available.</w:t>
      </w:r>
    </w:p>
    <w:p w14:paraId="79ACFB74" w14:textId="37126173" w:rsidR="00957901" w:rsidRPr="002C3702" w:rsidRDefault="00030CC5" w:rsidP="00465A16">
      <w:pPr>
        <w:pStyle w:val="3-BodyText"/>
        <w:rPr>
          <w:rStyle w:val="normaltextrun"/>
          <w:rFonts w:cs="Calibri"/>
          <w:color w:val="000000" w:themeColor="text1"/>
        </w:rPr>
      </w:pPr>
      <w:r w:rsidRPr="002C3702">
        <w:rPr>
          <w:rStyle w:val="normaltextrun"/>
          <w:rFonts w:cs="Calibri"/>
          <w:color w:val="000000" w:themeColor="text1"/>
        </w:rPr>
        <w:t>The</w:t>
      </w:r>
      <w:r w:rsidR="00957901" w:rsidRPr="002C3702">
        <w:rPr>
          <w:rStyle w:val="normaltextrun"/>
          <w:rFonts w:cs="Calibri"/>
          <w:color w:val="000000" w:themeColor="text1"/>
        </w:rPr>
        <w:t xml:space="preserve"> </w:t>
      </w:r>
      <w:r w:rsidR="004C162F">
        <w:rPr>
          <w:rStyle w:val="normaltextrun"/>
          <w:rFonts w:cs="Calibri"/>
          <w:color w:val="000000" w:themeColor="text1"/>
        </w:rPr>
        <w:t>Economic Sub-Committee (</w:t>
      </w:r>
      <w:r w:rsidR="00957901" w:rsidRPr="002C3702">
        <w:rPr>
          <w:rStyle w:val="normaltextrun"/>
          <w:rFonts w:cs="Calibri"/>
          <w:iCs/>
          <w:color w:val="000000" w:themeColor="text1"/>
        </w:rPr>
        <w:t>ESC</w:t>
      </w:r>
      <w:r w:rsidR="004C162F">
        <w:rPr>
          <w:rStyle w:val="normaltextrun"/>
          <w:rFonts w:cs="Calibri"/>
          <w:iCs/>
          <w:color w:val="000000" w:themeColor="text1"/>
        </w:rPr>
        <w:t>)</w:t>
      </w:r>
      <w:r w:rsidR="00957901" w:rsidRPr="002C3702">
        <w:rPr>
          <w:rStyle w:val="normaltextrun"/>
          <w:rFonts w:cs="Calibri"/>
          <w:iCs/>
          <w:color w:val="000000" w:themeColor="text1"/>
        </w:rPr>
        <w:t xml:space="preserve"> noted that the</w:t>
      </w:r>
      <w:r w:rsidRPr="002C3702">
        <w:rPr>
          <w:rStyle w:val="normaltextrun"/>
          <w:rFonts w:cs="Calibri"/>
          <w:color w:val="000000" w:themeColor="text1"/>
        </w:rPr>
        <w:t xml:space="preserve"> </w:t>
      </w:r>
      <w:r w:rsidR="00957901" w:rsidRPr="002C3702">
        <w:rPr>
          <w:rStyle w:val="normaltextrun"/>
          <w:rFonts w:cs="Calibri"/>
          <w:iCs/>
          <w:color w:val="000000" w:themeColor="text1"/>
        </w:rPr>
        <w:t>primary change to the proposed restriction was the</w:t>
      </w:r>
      <w:r w:rsidR="00957901" w:rsidRPr="002C3702">
        <w:rPr>
          <w:rStyle w:val="normaltextrun"/>
          <w:rFonts w:cs="Calibri"/>
          <w:color w:val="000000" w:themeColor="text1"/>
        </w:rPr>
        <w:t xml:space="preserve"> </w:t>
      </w:r>
      <w:r w:rsidRPr="002C3702">
        <w:rPr>
          <w:rStyle w:val="normaltextrun"/>
          <w:rFonts w:cs="Calibri"/>
          <w:color w:val="000000" w:themeColor="text1"/>
        </w:rPr>
        <w:t>addition of a requirement for patients to have been treated with ET for no longer than 6 months prior to the initiation of ABE</w:t>
      </w:r>
      <w:r w:rsidR="00957901" w:rsidRPr="002C3702">
        <w:rPr>
          <w:rStyle w:val="normaltextrun"/>
          <w:rFonts w:cs="Calibri"/>
          <w:color w:val="000000" w:themeColor="text1"/>
        </w:rPr>
        <w:t xml:space="preserve">. </w:t>
      </w:r>
      <w:r w:rsidR="00957901" w:rsidRPr="002C3702">
        <w:rPr>
          <w:rStyle w:val="normaltextrun"/>
          <w:rFonts w:cs="Calibri"/>
          <w:iCs/>
          <w:color w:val="000000" w:themeColor="text1"/>
        </w:rPr>
        <w:t>The submission stated it was included to</w:t>
      </w:r>
      <w:r w:rsidRPr="002C3702">
        <w:rPr>
          <w:rStyle w:val="normaltextrun"/>
          <w:rFonts w:cs="Calibri"/>
          <w:color w:val="000000" w:themeColor="text1"/>
        </w:rPr>
        <w:t xml:space="preserve"> minimise the risk of use of ABE in a population for which the cost-effectiveness has not been determined. </w:t>
      </w:r>
      <w:r w:rsidR="009026E4" w:rsidRPr="002C3702">
        <w:rPr>
          <w:rStyle w:val="normaltextrun"/>
          <w:rFonts w:cs="Calibri"/>
          <w:color w:val="000000" w:themeColor="text1"/>
        </w:rPr>
        <w:t xml:space="preserve">The monarchE trial eligibility criteria allowed patients to have received ET for up to 12 weeks prior to randomisation. The patient also must have been randomised within 16 months from the time of definitive breast cancer surgery. </w:t>
      </w:r>
    </w:p>
    <w:p w14:paraId="73CC1D24" w14:textId="07058431" w:rsidR="00030CC5" w:rsidRPr="002C3702" w:rsidRDefault="00774414" w:rsidP="34472AF0">
      <w:pPr>
        <w:pStyle w:val="3-BodyText"/>
        <w:rPr>
          <w:rStyle w:val="normaltextrun"/>
        </w:rPr>
      </w:pPr>
      <w:r w:rsidRPr="002C3702">
        <w:rPr>
          <w:rStyle w:val="normaltextrun"/>
          <w:rFonts w:cs="Calibri"/>
          <w:color w:val="000000" w:themeColor="text1"/>
        </w:rPr>
        <w:t>Further, t</w:t>
      </w:r>
      <w:r w:rsidR="762E503B" w:rsidRPr="002C3702">
        <w:rPr>
          <w:rStyle w:val="normaltextrun"/>
          <w:rFonts w:cs="Calibri"/>
          <w:color w:val="000000" w:themeColor="text1"/>
        </w:rPr>
        <w:t xml:space="preserve">he current </w:t>
      </w:r>
      <w:r w:rsidR="6D80DC09" w:rsidRPr="002C3702">
        <w:rPr>
          <w:rStyle w:val="normaltextrun"/>
          <w:rFonts w:cs="Calibri"/>
          <w:color w:val="000000" w:themeColor="text1"/>
        </w:rPr>
        <w:t>submission</w:t>
      </w:r>
      <w:r w:rsidR="762E503B" w:rsidRPr="002C3702">
        <w:rPr>
          <w:rStyle w:val="normaltextrun"/>
          <w:rFonts w:cs="Calibri"/>
          <w:color w:val="000000" w:themeColor="text1"/>
        </w:rPr>
        <w:t xml:space="preserve"> stated that the addition of the Nottingham tumour grading system will avoid ambiguity. The use of the Nottingham tumour grading system is consistent with the monarchE trial. </w:t>
      </w:r>
    </w:p>
    <w:p w14:paraId="2C2AE50A" w14:textId="4D344838" w:rsidR="0098073E" w:rsidRPr="002C3702" w:rsidRDefault="0098073E" w:rsidP="00030CC5">
      <w:pPr>
        <w:pStyle w:val="3-BodyText"/>
        <w:rPr>
          <w:rStyle w:val="normaltextrun"/>
        </w:rPr>
      </w:pPr>
      <w:r w:rsidRPr="002C3702">
        <w:rPr>
          <w:rStyle w:val="normaltextrun"/>
          <w:rFonts w:cs="Calibri"/>
          <w:color w:val="000000" w:themeColor="text1"/>
        </w:rPr>
        <w:t xml:space="preserve">The current submission </w:t>
      </w:r>
      <w:r w:rsidR="00774414" w:rsidRPr="002C3702">
        <w:rPr>
          <w:rStyle w:val="normaltextrun"/>
          <w:rFonts w:cs="Calibri"/>
          <w:color w:val="000000" w:themeColor="text1"/>
        </w:rPr>
        <w:t xml:space="preserve">also </w:t>
      </w:r>
      <w:r w:rsidRPr="002C3702">
        <w:rPr>
          <w:rStyle w:val="normaltextrun"/>
          <w:rFonts w:cs="Calibri"/>
          <w:color w:val="000000" w:themeColor="text1"/>
        </w:rPr>
        <w:t xml:space="preserve">clarified in the requested listing </w:t>
      </w:r>
      <w:r w:rsidRPr="002C3702">
        <w:rPr>
          <w:rStyle w:val="normaltextrun"/>
        </w:rPr>
        <w:t>that concurrent treatment with ET must be prescribed as a PBS-benefit.</w:t>
      </w:r>
    </w:p>
    <w:p w14:paraId="69C366C8" w14:textId="3CA4004C" w:rsidR="00D51822" w:rsidRPr="002C3702" w:rsidRDefault="00D51822" w:rsidP="00D51822">
      <w:pPr>
        <w:widowControl w:val="0"/>
        <w:numPr>
          <w:ilvl w:val="1"/>
          <w:numId w:val="1"/>
        </w:numPr>
        <w:spacing w:after="120"/>
        <w:rPr>
          <w:rStyle w:val="normaltextrun"/>
          <w:rFonts w:asciiTheme="minorHAnsi" w:hAnsiTheme="minorHAnsi"/>
          <w:snapToGrid w:val="0"/>
        </w:rPr>
      </w:pPr>
      <w:r w:rsidRPr="002C3702">
        <w:rPr>
          <w:rFonts w:asciiTheme="minorHAnsi" w:hAnsiTheme="minorHAnsi"/>
          <w:snapToGrid w:val="0"/>
        </w:rPr>
        <w:t>The PBAC considered that the proposed restriction was appropriate, however noted that it should include a criterion that prevented use</w:t>
      </w:r>
      <w:r w:rsidR="00E6020F" w:rsidRPr="002C3702">
        <w:rPr>
          <w:rFonts w:asciiTheme="minorHAnsi" w:hAnsiTheme="minorHAnsi"/>
          <w:snapToGrid w:val="0"/>
        </w:rPr>
        <w:t xml:space="preserve"> with other PBS-subsidised therapies for this condition.</w:t>
      </w:r>
    </w:p>
    <w:p w14:paraId="7886F399" w14:textId="72A392BD" w:rsidR="00030CC5" w:rsidRPr="002C3702" w:rsidRDefault="00030CC5" w:rsidP="00030CC5">
      <w:pPr>
        <w:pStyle w:val="3-BodyText"/>
        <w:rPr>
          <w:color w:val="000000" w:themeColor="text1"/>
        </w:rPr>
      </w:pPr>
      <w:r w:rsidRPr="002C3702">
        <w:t xml:space="preserve">The implementation of the requested PBS listing for ABE may lead to partial replacement of treatment with CDK4/6 inhibitors in combination with fulvestrant in later stages of disease, potentially leading to a reduction in future treatment options. </w:t>
      </w:r>
      <w:r w:rsidRPr="002C3702">
        <w:rPr>
          <w:color w:val="000000" w:themeColor="text1"/>
        </w:rPr>
        <w:t>Currently, ABE is PBS listed in combination with</w:t>
      </w:r>
      <w:r w:rsidR="00B746B9" w:rsidRPr="002C3702">
        <w:rPr>
          <w:rStyle w:val="normaltextrun"/>
          <w:rFonts w:cs="Calibri"/>
          <w:color w:val="000000"/>
          <w:shd w:val="clear" w:color="auto" w:fill="FFFFFF"/>
        </w:rPr>
        <w:t xml:space="preserve"> an aromatase inhibitor or</w:t>
      </w:r>
      <w:r w:rsidRPr="002C3702">
        <w:rPr>
          <w:color w:val="000000" w:themeColor="text1"/>
        </w:rPr>
        <w:t xml:space="preserve"> fulvestrant for the treatment of locally advanced, metastatic breast cancer and is restricted to patients who have not previously received a CDK4/6 inhibitor. The PBAC</w:t>
      </w:r>
      <w:r w:rsidR="00D51822" w:rsidRPr="002C3702">
        <w:rPr>
          <w:color w:val="000000" w:themeColor="text1"/>
        </w:rPr>
        <w:t xml:space="preserve"> recalled it had</w:t>
      </w:r>
      <w:r w:rsidRPr="002C3702">
        <w:rPr>
          <w:color w:val="000000" w:themeColor="text1"/>
        </w:rPr>
        <w:t xml:space="preserve"> </w:t>
      </w:r>
      <w:r w:rsidR="00D82B7E" w:rsidRPr="002C3702">
        <w:rPr>
          <w:color w:val="000000" w:themeColor="text1"/>
        </w:rPr>
        <w:t xml:space="preserve">previously </w:t>
      </w:r>
      <w:r w:rsidRPr="002C3702">
        <w:rPr>
          <w:color w:val="000000" w:themeColor="text1"/>
        </w:rPr>
        <w:t>recommended flow on changes to all CDK4/6 inhibitors currently PBS listed in the advanced/metastatic treatment setting to exclude sequential use (i.e. use in EBC and then use in advanced/metastatic breast cancer</w:t>
      </w:r>
      <w:r w:rsidRPr="002C3702" w:rsidDel="00856FB1">
        <w:rPr>
          <w:color w:val="000000" w:themeColor="text1"/>
        </w:rPr>
        <w:t xml:space="preserve">) </w:t>
      </w:r>
      <w:r w:rsidRPr="002C3702">
        <w:rPr>
          <w:color w:val="000000" w:themeColor="text1"/>
        </w:rPr>
        <w:t xml:space="preserve">as there </w:t>
      </w:r>
      <w:r w:rsidR="009552C1" w:rsidRPr="002C3702">
        <w:rPr>
          <w:color w:val="000000" w:themeColor="text1"/>
        </w:rPr>
        <w:t>was</w:t>
      </w:r>
      <w:r w:rsidRPr="002C3702">
        <w:rPr>
          <w:color w:val="000000" w:themeColor="text1"/>
        </w:rPr>
        <w:t xml:space="preserve"> no safety or efficacy data for repeated use of CDK4/6 inhibitors (</w:t>
      </w:r>
      <w:r w:rsidR="00263145" w:rsidRPr="002C3702">
        <w:rPr>
          <w:color w:val="000000" w:themeColor="text1"/>
        </w:rPr>
        <w:t>para</w:t>
      </w:r>
      <w:r w:rsidRPr="002C3702">
        <w:rPr>
          <w:color w:val="000000" w:themeColor="text1"/>
        </w:rPr>
        <w:t xml:space="preserve"> 7.5, </w:t>
      </w:r>
      <w:r w:rsidR="00B3218C" w:rsidRPr="002C3702">
        <w:rPr>
          <w:color w:val="000000" w:themeColor="text1"/>
        </w:rPr>
        <w:t>a</w:t>
      </w:r>
      <w:r w:rsidRPr="002C3702">
        <w:rPr>
          <w:color w:val="000000" w:themeColor="text1"/>
        </w:rPr>
        <w:t xml:space="preserve">bemaciclib, </w:t>
      </w:r>
      <w:r w:rsidR="004C162F">
        <w:rPr>
          <w:color w:val="000000" w:themeColor="text1"/>
        </w:rPr>
        <w:t>Public Summary Document (</w:t>
      </w:r>
      <w:r w:rsidRPr="002C3702">
        <w:rPr>
          <w:color w:val="000000" w:themeColor="text1"/>
        </w:rPr>
        <w:t>PSD</w:t>
      </w:r>
      <w:r w:rsidR="004C162F">
        <w:rPr>
          <w:color w:val="000000" w:themeColor="text1"/>
        </w:rPr>
        <w:t>)</w:t>
      </w:r>
      <w:r w:rsidRPr="002C3702">
        <w:rPr>
          <w:color w:val="000000" w:themeColor="text1"/>
        </w:rPr>
        <w:t>, March 2023 PBAC meeting)</w:t>
      </w:r>
      <w:r w:rsidR="009552C1" w:rsidRPr="002C3702">
        <w:rPr>
          <w:color w:val="000000" w:themeColor="text1"/>
        </w:rPr>
        <w:t>. The PBAC advised</w:t>
      </w:r>
      <w:r w:rsidR="00D51822" w:rsidRPr="002C3702">
        <w:rPr>
          <w:color w:val="000000" w:themeColor="text1"/>
        </w:rPr>
        <w:t xml:space="preserve"> that </w:t>
      </w:r>
      <w:r w:rsidR="0054161D" w:rsidRPr="002C3702">
        <w:rPr>
          <w:color w:val="000000" w:themeColor="text1"/>
        </w:rPr>
        <w:t>flow on changes to all CD</w:t>
      </w:r>
      <w:r w:rsidR="0058653F" w:rsidRPr="002C3702">
        <w:rPr>
          <w:color w:val="000000" w:themeColor="text1"/>
        </w:rPr>
        <w:t>K</w:t>
      </w:r>
      <w:r w:rsidR="0054161D" w:rsidRPr="002C3702">
        <w:rPr>
          <w:color w:val="000000" w:themeColor="text1"/>
        </w:rPr>
        <w:t xml:space="preserve">4/6 inhibitors to exclude sequential use </w:t>
      </w:r>
      <w:r w:rsidR="00D51822" w:rsidRPr="002C3702">
        <w:rPr>
          <w:color w:val="000000" w:themeColor="text1"/>
        </w:rPr>
        <w:t>remained appropriate</w:t>
      </w:r>
      <w:r w:rsidRPr="002C3702">
        <w:rPr>
          <w:color w:val="000000" w:themeColor="text1"/>
        </w:rPr>
        <w:t>.</w:t>
      </w:r>
      <w:r w:rsidR="00D51822" w:rsidRPr="002C3702">
        <w:rPr>
          <w:color w:val="000000" w:themeColor="text1"/>
        </w:rPr>
        <w:t xml:space="preserve"> </w:t>
      </w:r>
    </w:p>
    <w:p w14:paraId="2AECB028" w14:textId="667DC7ED" w:rsidR="00465A16" w:rsidRPr="002C3702" w:rsidRDefault="00465A16" w:rsidP="00465A16">
      <w:pPr>
        <w:pStyle w:val="3-BodyText"/>
        <w:rPr>
          <w:color w:val="000000" w:themeColor="text1"/>
        </w:rPr>
      </w:pPr>
      <w:r w:rsidRPr="002C3702">
        <w:rPr>
          <w:color w:val="000000" w:themeColor="text1"/>
        </w:rPr>
        <w:t xml:space="preserve">As in the March 2023 resubmission, the submission requested that ‘new item codes for each dose form are included, with restriction criteria that are separate and independent of the existing ABE items (11868P, 11871T, 11876C).’ </w:t>
      </w:r>
      <w:r w:rsidR="009C18FF" w:rsidRPr="002C3702">
        <w:rPr>
          <w:color w:val="000000" w:themeColor="text1"/>
        </w:rPr>
        <w:t>C</w:t>
      </w:r>
      <w:r w:rsidRPr="002C3702">
        <w:rPr>
          <w:color w:val="000000" w:themeColor="text1"/>
        </w:rPr>
        <w:t>reating new PBS item codes for the early stage breast cancer indication</w:t>
      </w:r>
      <w:r w:rsidR="009C18FF" w:rsidRPr="002C3702">
        <w:rPr>
          <w:color w:val="000000" w:themeColor="text1"/>
        </w:rPr>
        <w:t xml:space="preserve">, would enable the Department </w:t>
      </w:r>
      <w:r w:rsidR="009C18FF" w:rsidRPr="002C3702">
        <w:rPr>
          <w:color w:val="000000" w:themeColor="text1"/>
        </w:rPr>
        <w:lastRenderedPageBreak/>
        <w:t xml:space="preserve">to </w:t>
      </w:r>
      <w:proofErr w:type="gramStart"/>
      <w:r w:rsidR="009C18FF" w:rsidRPr="002C3702">
        <w:rPr>
          <w:color w:val="000000" w:themeColor="text1"/>
        </w:rPr>
        <w:t>more easily distinguish between expenditure</w:t>
      </w:r>
      <w:proofErr w:type="gramEnd"/>
      <w:r w:rsidR="009C18FF" w:rsidRPr="002C3702">
        <w:rPr>
          <w:color w:val="000000" w:themeColor="text1"/>
        </w:rPr>
        <w:t xml:space="preserve"> on advanced/metastatic breast cancer versus early stage breast cancer.</w:t>
      </w:r>
    </w:p>
    <w:p w14:paraId="66483C12" w14:textId="77777777" w:rsidR="004A015A" w:rsidRPr="002C3702" w:rsidRDefault="004A015A" w:rsidP="004A015A">
      <w:pPr>
        <w:pStyle w:val="3-BodyText"/>
        <w:numPr>
          <w:ilvl w:val="0"/>
          <w:numId w:val="0"/>
        </w:numPr>
        <w:ind w:left="720"/>
        <w:rPr>
          <w:i/>
          <w:iCs/>
        </w:rPr>
      </w:pPr>
      <w:bookmarkStart w:id="14" w:name="_Hlk149547421"/>
      <w:bookmarkStart w:id="15" w:name="_Toc145422836"/>
      <w:r w:rsidRPr="002C3702">
        <w:rPr>
          <w:i/>
          <w:iCs/>
        </w:rPr>
        <w:t>For more detail on PBAC’s view, see section 7 PBAC outcome.</w:t>
      </w:r>
    </w:p>
    <w:bookmarkEnd w:id="14"/>
    <w:p w14:paraId="6C3C28CB" w14:textId="62BE355E" w:rsidR="00030CC5" w:rsidRPr="002C3702" w:rsidDel="00195452" w:rsidRDefault="00030CC5" w:rsidP="00030CC5">
      <w:pPr>
        <w:pStyle w:val="2-SectionHeading"/>
      </w:pPr>
      <w:r w:rsidRPr="002C3702" w:rsidDel="00195452">
        <w:t>Population and disease</w:t>
      </w:r>
      <w:bookmarkEnd w:id="15"/>
    </w:p>
    <w:p w14:paraId="5AF5E975" w14:textId="0BC7D83B" w:rsidR="00030CC5" w:rsidRPr="002C3702" w:rsidRDefault="00030CC5" w:rsidP="00030CC5">
      <w:pPr>
        <w:pStyle w:val="3-BodyText"/>
      </w:pPr>
      <w:r w:rsidRPr="002C3702">
        <w:t xml:space="preserve">The proposed population of the current </w:t>
      </w:r>
      <w:r w:rsidR="508803C3" w:rsidRPr="002C3702">
        <w:t>submission</w:t>
      </w:r>
      <w:r w:rsidRPr="002C3702">
        <w:t xml:space="preserve"> was adult patients with HR+, HER2-, lymph node positive, invasive, resected, EBC and high risk of recurrence. This has not changed from the March 2023 resubmission. </w:t>
      </w:r>
    </w:p>
    <w:p w14:paraId="270A1522" w14:textId="7231D29A" w:rsidR="00030CC5" w:rsidRPr="002C3702" w:rsidRDefault="00030CC5" w:rsidP="00030CC5">
      <w:pPr>
        <w:pStyle w:val="3-BodyText"/>
      </w:pPr>
      <w:r w:rsidRPr="002C3702">
        <w:t xml:space="preserve">EBC was defined </w:t>
      </w:r>
      <w:r w:rsidR="0084A5AA" w:rsidRPr="002C3702">
        <w:t>in the current submission</w:t>
      </w:r>
      <w:r w:rsidRPr="002C3702">
        <w:t xml:space="preserve"> as stages 1-3 breast cancer (early or locally advanced), which has not spread beyond the breast tissue or nearby lymph nodes. This definition of EBC is unchanged from the March 2023 resubmission. However, </w:t>
      </w:r>
      <w:r w:rsidR="00E773C3" w:rsidRPr="002C3702">
        <w:t xml:space="preserve">the </w:t>
      </w:r>
      <w:r w:rsidRPr="002C3702">
        <w:t>Cancer Australia definition of EBC is stage I to IIB (early) whereas stages IIB (advanced) to IIIC are considered as advanced breast cancer</w:t>
      </w:r>
      <w:r w:rsidR="00620B6F" w:rsidRPr="002C3702">
        <w:rPr>
          <w:rStyle w:val="FootnoteReference"/>
        </w:rPr>
        <w:footnoteReference w:id="2"/>
      </w:r>
      <w:r w:rsidR="00620B6F" w:rsidRPr="002C3702">
        <w:t>.</w:t>
      </w:r>
    </w:p>
    <w:p w14:paraId="48D974D8" w14:textId="228C49FE" w:rsidR="00030CC5" w:rsidRPr="002C3702" w:rsidRDefault="00030CC5" w:rsidP="00030CC5">
      <w:pPr>
        <w:pStyle w:val="3-BodyText"/>
      </w:pPr>
      <w:r w:rsidRPr="002C3702">
        <w:t>HR+, HER2- breast cancer is the most common form of breast cancer, accounting for 70% of all cases</w:t>
      </w:r>
      <w:r w:rsidR="000E20F7" w:rsidRPr="002C3702">
        <w:rPr>
          <w:rStyle w:val="FootnoteReference"/>
        </w:rPr>
        <w:footnoteReference w:id="3"/>
      </w:r>
      <w:r w:rsidRPr="002C3702">
        <w:t>. Approximately 30% of patients who have early-stage breast cancer will experience a recurrence</w:t>
      </w:r>
      <w:r w:rsidR="00C53E47" w:rsidRPr="002C3702">
        <w:rPr>
          <w:rStyle w:val="FootnoteReference"/>
        </w:rPr>
        <w:footnoteReference w:id="4"/>
      </w:r>
      <w:r w:rsidRPr="002C3702">
        <w:t>.</w:t>
      </w:r>
    </w:p>
    <w:p w14:paraId="596464D9" w14:textId="481C2A91" w:rsidR="00030CC5" w:rsidRPr="002C3702" w:rsidDel="00195452" w:rsidRDefault="00030CC5" w:rsidP="00030CC5">
      <w:pPr>
        <w:pStyle w:val="3-BodyText"/>
      </w:pPr>
      <w:r w:rsidRPr="002C3702">
        <w:t>ABE is a cyclin D-dependent kinase 4 and 6 (CDK4/6) inhibitor, preventing the phosphorylation of growth suppressor retinoblastoma.</w:t>
      </w:r>
    </w:p>
    <w:p w14:paraId="7B7DC5A0" w14:textId="5C9775D5" w:rsidR="00030CC5" w:rsidRPr="002C3702" w:rsidRDefault="00030CC5" w:rsidP="00030CC5">
      <w:pPr>
        <w:pStyle w:val="3-BodyText"/>
      </w:pPr>
      <w:r w:rsidRPr="002C3702">
        <w:t xml:space="preserve">ABE in combination with ET has been proposed to replace ET alone in the treatment of patients with </w:t>
      </w:r>
      <w:r w:rsidR="00E773C3" w:rsidRPr="002C3702">
        <w:t xml:space="preserve">invasive, </w:t>
      </w:r>
      <w:r w:rsidRPr="002C3702">
        <w:t xml:space="preserve">resected HR+, HER2-, lymph node positive EBC at high risk of recurrence. Treatment consists of twice daily 150mg doses of ABE administered orally </w:t>
      </w:r>
      <w:r w:rsidR="007B004D" w:rsidRPr="002C3702">
        <w:t>for up to</w:t>
      </w:r>
      <w:r w:rsidRPr="002C3702">
        <w:t xml:space="preserve"> two years, in combination with an orally administered ET of physician’s choice taken for at least five years continuously</w:t>
      </w:r>
      <w:r w:rsidR="007B004D" w:rsidRPr="002C3702">
        <w:t>, if deeming medically appropriate</w:t>
      </w:r>
      <w:r w:rsidRPr="002C3702">
        <w:t>.</w:t>
      </w:r>
    </w:p>
    <w:p w14:paraId="03A3975E" w14:textId="77777777" w:rsidR="004A015A" w:rsidRPr="002C3702" w:rsidRDefault="004A015A" w:rsidP="004A015A">
      <w:pPr>
        <w:pStyle w:val="3-BodyText"/>
        <w:numPr>
          <w:ilvl w:val="0"/>
          <w:numId w:val="0"/>
        </w:numPr>
        <w:ind w:left="720"/>
        <w:rPr>
          <w:i/>
          <w:iCs/>
        </w:rPr>
      </w:pPr>
      <w:bookmarkStart w:id="16" w:name="_Toc145422837"/>
      <w:r w:rsidRPr="002C3702">
        <w:rPr>
          <w:i/>
          <w:iCs/>
        </w:rPr>
        <w:t>For more detail on PBAC’s view, see section 7 PBAC outcome.</w:t>
      </w:r>
    </w:p>
    <w:p w14:paraId="23138170" w14:textId="77777777" w:rsidR="00030CC5" w:rsidRPr="002C3702" w:rsidRDefault="00030CC5" w:rsidP="00030CC5">
      <w:pPr>
        <w:pStyle w:val="2-SectionHeading"/>
      </w:pPr>
      <w:r w:rsidRPr="002C3702">
        <w:t>Comparator</w:t>
      </w:r>
      <w:bookmarkEnd w:id="16"/>
    </w:p>
    <w:p w14:paraId="3E597855" w14:textId="4D0ACFCE" w:rsidR="00030CC5" w:rsidRPr="002C3702" w:rsidRDefault="00030CC5" w:rsidP="00030CC5">
      <w:pPr>
        <w:pStyle w:val="3-BodyText"/>
      </w:pPr>
      <w:r w:rsidRPr="002C3702">
        <w:t xml:space="preserve">ET alone is the nominated comparator, represented in the current </w:t>
      </w:r>
      <w:r w:rsidR="39676884" w:rsidRPr="002C3702">
        <w:t>submission</w:t>
      </w:r>
      <w:r w:rsidRPr="002C3702">
        <w:t xml:space="preserve"> as the standard of care (SoC). PBS-listed ET treatment options for the adjuvant treatment of patients with HR+ breast cancer include aromatase inhibitors (letrozole, anastrozole or exemestane) or selective oestrogen receptor modulators (</w:t>
      </w:r>
      <w:r w:rsidRPr="002C3702">
        <w:rPr>
          <w:color w:val="000000"/>
        </w:rPr>
        <w:t>tamoxifen</w:t>
      </w:r>
      <w:r w:rsidRPr="002C3702">
        <w:t xml:space="preserve">). This has not changed from the March 2023 resubmission. </w:t>
      </w:r>
      <w:r w:rsidR="00465631" w:rsidRPr="002C3702">
        <w:rPr>
          <w:snapToGrid/>
        </w:rPr>
        <w:t xml:space="preserve">The PBAC previously considered single </w:t>
      </w:r>
      <w:r w:rsidR="00465631" w:rsidRPr="002C3702">
        <w:rPr>
          <w:snapToGrid/>
        </w:rPr>
        <w:lastRenderedPageBreak/>
        <w:t>agent ET alone as the appropriate comparator</w:t>
      </w:r>
      <w:r w:rsidR="00465631" w:rsidRPr="002C3702">
        <w:t xml:space="preserve"> (</w:t>
      </w:r>
      <w:r w:rsidR="00263145" w:rsidRPr="002C3702">
        <w:t>para</w:t>
      </w:r>
      <w:r w:rsidR="00465631" w:rsidRPr="002C3702">
        <w:t xml:space="preserve"> 7.6, </w:t>
      </w:r>
      <w:r w:rsidR="00B3218C" w:rsidRPr="002C3702">
        <w:t>a</w:t>
      </w:r>
      <w:r w:rsidR="00465631" w:rsidRPr="002C3702">
        <w:t xml:space="preserve">bemaciclib PSD, March 2023 PBAC meeting). </w:t>
      </w:r>
      <w:r w:rsidR="00A47346" w:rsidRPr="002C3702">
        <w:t xml:space="preserve">The evaluation considered </w:t>
      </w:r>
      <w:r w:rsidRPr="002C3702">
        <w:t xml:space="preserve">ET alone </w:t>
      </w:r>
      <w:r w:rsidR="00465631" w:rsidRPr="002C3702">
        <w:t>remains an</w:t>
      </w:r>
      <w:r w:rsidRPr="002C3702">
        <w:t xml:space="preserve"> appropriate comparator for ABE based on the current clinical management of EBC in Australia.</w:t>
      </w:r>
    </w:p>
    <w:p w14:paraId="6CD704F1" w14:textId="77777777" w:rsidR="004A015A" w:rsidRPr="002C3702" w:rsidRDefault="004A015A" w:rsidP="004A015A">
      <w:pPr>
        <w:pStyle w:val="3-BodyText"/>
        <w:numPr>
          <w:ilvl w:val="0"/>
          <w:numId w:val="0"/>
        </w:numPr>
        <w:ind w:left="720"/>
        <w:rPr>
          <w:i/>
          <w:iCs/>
        </w:rPr>
      </w:pPr>
      <w:bookmarkStart w:id="17" w:name="_Toc145422838"/>
      <w:bookmarkStart w:id="18" w:name="_Toc22897640"/>
      <w:r w:rsidRPr="002C3702">
        <w:rPr>
          <w:i/>
          <w:iCs/>
        </w:rPr>
        <w:t>For more detail on PBAC’s view, see section 7 PBAC outcome.</w:t>
      </w:r>
    </w:p>
    <w:p w14:paraId="096A3C22" w14:textId="5AC64BE2" w:rsidR="00030CC5" w:rsidRPr="002C3702" w:rsidRDefault="00030CC5" w:rsidP="00030CC5">
      <w:pPr>
        <w:pStyle w:val="2-SectionHeading"/>
      </w:pPr>
      <w:r w:rsidRPr="002C3702">
        <w:t>Consideration of the evidence</w:t>
      </w:r>
      <w:bookmarkEnd w:id="17"/>
    </w:p>
    <w:p w14:paraId="1BEF1E83" w14:textId="77777777" w:rsidR="00BE2FDD" w:rsidRPr="002C3702" w:rsidRDefault="00BE2FDD" w:rsidP="00AB3A5C">
      <w:pPr>
        <w:pStyle w:val="4-SubsectionHeading"/>
      </w:pPr>
      <w:bookmarkStart w:id="19" w:name="_Hlk76375935"/>
      <w:r w:rsidRPr="002C3702">
        <w:t>Sponsor hearing</w:t>
      </w:r>
    </w:p>
    <w:p w14:paraId="66452CA3" w14:textId="6EC216F0" w:rsidR="00EE7226" w:rsidRPr="002C3702" w:rsidRDefault="00BE2FDD" w:rsidP="00E02D8F">
      <w:pPr>
        <w:widowControl w:val="0"/>
        <w:numPr>
          <w:ilvl w:val="1"/>
          <w:numId w:val="1"/>
        </w:numPr>
        <w:spacing w:after="120"/>
        <w:rPr>
          <w:rFonts w:asciiTheme="minorHAnsi" w:hAnsiTheme="minorHAnsi"/>
          <w:bCs/>
          <w:snapToGrid w:val="0"/>
        </w:rPr>
      </w:pPr>
      <w:bookmarkStart w:id="20" w:name="_Hlk76382586"/>
      <w:r w:rsidRPr="002C3702">
        <w:rPr>
          <w:rFonts w:asciiTheme="minorHAnsi" w:hAnsiTheme="minorHAnsi"/>
          <w:bCs/>
          <w:snapToGrid w:val="0"/>
        </w:rPr>
        <w:t>The sponsor requested a hearing for this item</w:t>
      </w:r>
      <w:r w:rsidR="002C3702">
        <w:rPr>
          <w:rFonts w:asciiTheme="minorHAnsi" w:hAnsiTheme="minorHAnsi"/>
          <w:bCs/>
          <w:snapToGrid w:val="0"/>
        </w:rPr>
        <w:t xml:space="preserve">. </w:t>
      </w:r>
      <w:r w:rsidRPr="002C3702">
        <w:rPr>
          <w:rFonts w:asciiTheme="minorHAnsi" w:hAnsiTheme="minorHAnsi"/>
          <w:bCs/>
          <w:snapToGrid w:val="0"/>
        </w:rPr>
        <w:t>The clinician</w:t>
      </w:r>
      <w:r w:rsidR="00936202" w:rsidRPr="002C3702">
        <w:rPr>
          <w:rFonts w:asciiTheme="minorHAnsi" w:hAnsiTheme="minorHAnsi"/>
          <w:bCs/>
          <w:snapToGrid w:val="0"/>
        </w:rPr>
        <w:t xml:space="preserve"> </w:t>
      </w:r>
      <w:r w:rsidR="002E3A23" w:rsidRPr="002C3702">
        <w:rPr>
          <w:rFonts w:asciiTheme="minorHAnsi" w:hAnsiTheme="minorHAnsi"/>
          <w:bCs/>
          <w:snapToGrid w:val="0"/>
        </w:rPr>
        <w:t>noted that longer follow-up data from the monarchE trial were available</w:t>
      </w:r>
      <w:r w:rsidR="00936202" w:rsidRPr="002C3702">
        <w:rPr>
          <w:rStyle w:val="FootnoteReference"/>
          <w:rFonts w:asciiTheme="minorHAnsi" w:hAnsiTheme="minorHAnsi"/>
          <w:bCs/>
          <w:snapToGrid w:val="0"/>
        </w:rPr>
        <w:footnoteReference w:id="5"/>
      </w:r>
      <w:r w:rsidR="00A212C8" w:rsidRPr="002C3702">
        <w:rPr>
          <w:rFonts w:asciiTheme="minorHAnsi" w:hAnsiTheme="minorHAnsi"/>
          <w:bCs/>
          <w:snapToGrid w:val="0"/>
        </w:rPr>
        <w:t>.</w:t>
      </w:r>
      <w:r w:rsidR="002E3A23" w:rsidRPr="002C3702">
        <w:rPr>
          <w:rFonts w:asciiTheme="minorHAnsi" w:hAnsiTheme="minorHAnsi"/>
          <w:bCs/>
          <w:snapToGrid w:val="0"/>
        </w:rPr>
        <w:t xml:space="preserve"> </w:t>
      </w:r>
      <w:r w:rsidR="00EE7226" w:rsidRPr="002C3702">
        <w:t xml:space="preserve">The clinician stated that </w:t>
      </w:r>
      <w:r w:rsidR="002E3A23" w:rsidRPr="002C3702">
        <w:t>improvement in</w:t>
      </w:r>
      <w:r w:rsidR="00EE7226" w:rsidRPr="002C3702">
        <w:t xml:space="preserve"> </w:t>
      </w:r>
      <w:r w:rsidR="002E3A23" w:rsidRPr="002C3702">
        <w:t>invasive disease free survival (</w:t>
      </w:r>
      <w:r w:rsidR="00EE7226" w:rsidRPr="002C3702">
        <w:t>IDFS</w:t>
      </w:r>
      <w:r w:rsidR="002E3A23" w:rsidRPr="002C3702">
        <w:t>)</w:t>
      </w:r>
      <w:r w:rsidR="00EE7226" w:rsidRPr="002C3702">
        <w:t xml:space="preserve"> and distant relapse free survival (DRFS) </w:t>
      </w:r>
      <w:r w:rsidR="00137C47" w:rsidRPr="002C3702">
        <w:t>is sustained up to 5 years of follow-up</w:t>
      </w:r>
      <w:r w:rsidR="00EE7226" w:rsidRPr="002C3702">
        <w:t xml:space="preserve"> and argued that the benefit from </w:t>
      </w:r>
      <w:r w:rsidR="00FC2212" w:rsidRPr="002C3702">
        <w:t>ABE</w:t>
      </w:r>
      <w:r w:rsidR="00EE7226" w:rsidRPr="002C3702">
        <w:t xml:space="preserve"> </w:t>
      </w:r>
      <w:r w:rsidR="00137C47" w:rsidRPr="002C3702">
        <w:t>is maintained over</w:t>
      </w:r>
      <w:r w:rsidR="00EE7226" w:rsidRPr="002C3702">
        <w:t xml:space="preserve"> time. The clinician acknowledged that</w:t>
      </w:r>
      <w:r w:rsidR="00D22043" w:rsidRPr="002C3702">
        <w:t xml:space="preserve"> while fewer deaths were reported in the abemaciclib + ET arm (8.6%) compared </w:t>
      </w:r>
      <w:r w:rsidR="00162B27" w:rsidRPr="002C3702">
        <w:t xml:space="preserve">to </w:t>
      </w:r>
      <w:r w:rsidR="00D22043" w:rsidRPr="002C3702">
        <w:t>ET alone (10.3%), the difference in overall survival (OS) was not statistically significant (HR=0.903; 95% CI: 0.749</w:t>
      </w:r>
      <w:r w:rsidR="00253E33" w:rsidRPr="002C3702">
        <w:rPr>
          <w:rFonts w:cs="Calibri"/>
        </w:rPr>
        <w:t>−</w:t>
      </w:r>
      <w:r w:rsidR="00D22043" w:rsidRPr="002C3702">
        <w:t xml:space="preserve">1.088; p=0.284). </w:t>
      </w:r>
      <w:r w:rsidR="00D22043" w:rsidRPr="002C3702">
        <w:rPr>
          <w:rFonts w:asciiTheme="minorHAnsi" w:hAnsiTheme="minorHAnsi"/>
          <w:bCs/>
          <w:snapToGrid w:val="0"/>
        </w:rPr>
        <w:t xml:space="preserve">The clinician also </w:t>
      </w:r>
      <w:r w:rsidR="00EE7226" w:rsidRPr="002C3702">
        <w:t xml:space="preserve">noted that </w:t>
      </w:r>
      <w:r w:rsidR="00123839" w:rsidRPr="002C3702">
        <w:t xml:space="preserve">it was unclear what proportion of </w:t>
      </w:r>
      <w:r w:rsidR="00EE7226" w:rsidRPr="002C3702">
        <w:t xml:space="preserve">patients who develop metastatic disease </w:t>
      </w:r>
      <w:r w:rsidR="00D22043" w:rsidRPr="002C3702">
        <w:t xml:space="preserve">will </w:t>
      </w:r>
      <w:r w:rsidR="00123839" w:rsidRPr="002C3702">
        <w:t>receive</w:t>
      </w:r>
      <w:r w:rsidR="00EE7226" w:rsidRPr="002C3702">
        <w:t xml:space="preserve"> </w:t>
      </w:r>
      <w:r w:rsidR="00123839" w:rsidRPr="002C3702">
        <w:t xml:space="preserve">a </w:t>
      </w:r>
      <w:r w:rsidR="00EE7226" w:rsidRPr="002C3702">
        <w:t xml:space="preserve">CDK4/6 inhibitor as part of their first line metastatic treatment and </w:t>
      </w:r>
      <w:r w:rsidR="00123839" w:rsidRPr="002C3702">
        <w:t>that</w:t>
      </w:r>
      <w:r w:rsidR="00EE7226" w:rsidRPr="002C3702">
        <w:t xml:space="preserve"> it may be several years before a difference between arms in OS is </w:t>
      </w:r>
      <w:r w:rsidR="00123839" w:rsidRPr="002C3702">
        <w:t>observed</w:t>
      </w:r>
      <w:r w:rsidR="00EE7226" w:rsidRPr="002C3702">
        <w:t>.</w:t>
      </w:r>
      <w:r w:rsidR="00A212C8" w:rsidRPr="002C3702">
        <w:t xml:space="preserve"> </w:t>
      </w:r>
      <w:r w:rsidR="00E02D8F" w:rsidRPr="002C3702">
        <w:t xml:space="preserve">The clinician considered that based on </w:t>
      </w:r>
      <w:r w:rsidR="00A212C8" w:rsidRPr="002C3702">
        <w:t xml:space="preserve">patients entering the Australian Patient Familiarisation program (mean </w:t>
      </w:r>
      <w:r w:rsidR="00E02D8F" w:rsidRPr="002C3702">
        <w:t>age =</w:t>
      </w:r>
      <w:r w:rsidR="00A212C8" w:rsidRPr="002C3702">
        <w:t xml:space="preserve"> </w:t>
      </w:r>
      <w:r w:rsidR="008129BD">
        <w:t xml:space="preserve"> </w:t>
      </w:r>
      <w:r w:rsidR="008129BD" w:rsidRPr="00676505">
        <w:rPr>
          <w:color w:val="000000"/>
          <w:w w:val="15"/>
          <w:shd w:val="solid" w:color="000000" w:fill="000000"/>
          <w:fitText w:val="-20" w:id="-1032093427"/>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27"/>
          <w14:textFill>
            <w14:solidFill>
              <w14:srgbClr w14:val="000000">
                <w14:alpha w14:val="100000"/>
              </w14:srgbClr>
            </w14:solidFill>
          </w14:textFill>
        </w:rPr>
        <w:t>|</w:t>
      </w:r>
      <w:r w:rsidR="00A212C8" w:rsidRPr="002C3702">
        <w:t xml:space="preserve"> years) and the KARMA registry (mean </w:t>
      </w:r>
      <w:r w:rsidR="00E02D8F" w:rsidRPr="002C3702">
        <w:t>age =</w:t>
      </w:r>
      <w:r w:rsidR="00A212C8" w:rsidRPr="002C3702">
        <w:t xml:space="preserve"> 54 years)</w:t>
      </w:r>
      <w:r w:rsidR="00A212C8" w:rsidRPr="002C3702">
        <w:rPr>
          <w:rStyle w:val="FootnoteReference"/>
        </w:rPr>
        <w:footnoteReference w:id="6"/>
      </w:r>
      <w:r w:rsidR="00E02D8F" w:rsidRPr="002C3702">
        <w:t xml:space="preserve">, that the age of patients in the monarchE trial (mean age = </w:t>
      </w:r>
      <w:r w:rsidR="005442F1" w:rsidRPr="002C3702">
        <w:t>5</w:t>
      </w:r>
      <w:r w:rsidR="005442F1">
        <w:t>2</w:t>
      </w:r>
      <w:r w:rsidR="005442F1" w:rsidRPr="002C3702">
        <w:t xml:space="preserve"> </w:t>
      </w:r>
      <w:r w:rsidR="00E02D8F" w:rsidRPr="002C3702">
        <w:t>years) were representative of Australian patients with high risk HR+ breast cancer.</w:t>
      </w:r>
      <w:r w:rsidR="00E02D8F" w:rsidRPr="002C3702">
        <w:rPr>
          <w:rFonts w:asciiTheme="minorHAnsi" w:hAnsiTheme="minorHAnsi"/>
          <w:bCs/>
          <w:snapToGrid w:val="0"/>
        </w:rPr>
        <w:t xml:space="preserve"> </w:t>
      </w:r>
      <w:r w:rsidR="00EE7226" w:rsidRPr="002C3702">
        <w:t xml:space="preserve">With respect to </w:t>
      </w:r>
      <w:r w:rsidR="00C145C1" w:rsidRPr="002C3702">
        <w:t>adverse events</w:t>
      </w:r>
      <w:r w:rsidR="00EE7226" w:rsidRPr="002C3702">
        <w:t xml:space="preserve">, the clinician </w:t>
      </w:r>
      <w:r w:rsidR="00F7783F" w:rsidRPr="002C3702">
        <w:t xml:space="preserve">stated that </w:t>
      </w:r>
      <w:r w:rsidR="005C28FB" w:rsidRPr="002C3702">
        <w:t xml:space="preserve">in </w:t>
      </w:r>
      <w:r w:rsidR="009534EE" w:rsidRPr="002C3702">
        <w:t>their</w:t>
      </w:r>
      <w:r w:rsidR="005C28FB" w:rsidRPr="002C3702">
        <w:t xml:space="preserve"> experience </w:t>
      </w:r>
      <w:r w:rsidR="00F7783F" w:rsidRPr="002C3702">
        <w:t>side effects and dose adjustments tend to occur early, and the current clinical infrastructure have well developed processe</w:t>
      </w:r>
      <w:r w:rsidR="00C145C1" w:rsidRPr="002C3702">
        <w:t>s</w:t>
      </w:r>
      <w:r w:rsidR="00F7783F" w:rsidRPr="002C3702">
        <w:t xml:space="preserve"> to support patient</w:t>
      </w:r>
      <w:r w:rsidR="00C145C1" w:rsidRPr="002C3702">
        <w:t>s</w:t>
      </w:r>
      <w:r w:rsidR="00F7783F" w:rsidRPr="002C3702">
        <w:t xml:space="preserve"> manage the toxicity related to abemaciclib and assist patients to maintain adherence for 2 years. The clinician also noted that</w:t>
      </w:r>
      <w:r w:rsidR="007F39C3" w:rsidRPr="002C3702">
        <w:t xml:space="preserve"> the cut off for entry in the monarchE trial</w:t>
      </w:r>
      <w:r w:rsidR="00A212C8" w:rsidRPr="002C3702">
        <w:t xml:space="preserve"> </w:t>
      </w:r>
      <w:r w:rsidR="007F39C3" w:rsidRPr="002C3702">
        <w:t xml:space="preserve">was </w:t>
      </w:r>
      <w:r w:rsidR="00A212C8" w:rsidRPr="002C3702">
        <w:t>12 weeks after the commencement of E</w:t>
      </w:r>
      <w:r w:rsidR="007F39C3" w:rsidRPr="002C3702">
        <w:t>T</w:t>
      </w:r>
      <w:r w:rsidR="00F7783F" w:rsidRPr="002C3702">
        <w:t xml:space="preserve">, </w:t>
      </w:r>
      <w:r w:rsidR="00A212C8" w:rsidRPr="002C3702">
        <w:t>however stated that a wider time frame would assist clinicians in identifying patients who may benefit, but may take longer to recover from their previous therapy.</w:t>
      </w:r>
      <w:r w:rsidR="00A212C8" w:rsidRPr="002C3702">
        <w:rPr>
          <w:rFonts w:asciiTheme="minorHAnsi" w:hAnsiTheme="minorHAnsi"/>
          <w:bCs/>
          <w:snapToGrid w:val="0"/>
        </w:rPr>
        <w:t xml:space="preserve"> </w:t>
      </w:r>
      <w:r w:rsidR="00EE7226" w:rsidRPr="002C3702">
        <w:t>The PBAC considered that the hearing</w:t>
      </w:r>
      <w:r w:rsidR="00C962B8" w:rsidRPr="002C3702">
        <w:t>, provided as a letter with a question and answer format,</w:t>
      </w:r>
      <w:r w:rsidR="00EE7226" w:rsidRPr="002C3702">
        <w:t xml:space="preserve"> was informative as it provided a </w:t>
      </w:r>
      <w:r w:rsidR="00A212C8" w:rsidRPr="002C3702">
        <w:t xml:space="preserve">clear </w:t>
      </w:r>
      <w:r w:rsidR="00EE7226" w:rsidRPr="002C3702">
        <w:t>clinical perspective o</w:t>
      </w:r>
      <w:r w:rsidR="00A212C8" w:rsidRPr="002C3702">
        <w:t>f</w:t>
      </w:r>
      <w:r w:rsidR="00EE7226" w:rsidRPr="002C3702">
        <w:t xml:space="preserve"> the meaningfulness of the results reported in </w:t>
      </w:r>
      <w:r w:rsidR="00A212C8" w:rsidRPr="002C3702">
        <w:t xml:space="preserve">the </w:t>
      </w:r>
      <w:r w:rsidR="00EE7226" w:rsidRPr="002C3702">
        <w:t>monarchE</w:t>
      </w:r>
      <w:r w:rsidR="00A212C8" w:rsidRPr="002C3702">
        <w:t xml:space="preserve"> trial. </w:t>
      </w:r>
    </w:p>
    <w:bookmarkEnd w:id="20"/>
    <w:p w14:paraId="72188CFA" w14:textId="77777777" w:rsidR="00BE2FDD" w:rsidRPr="002C3702" w:rsidRDefault="00BE2FDD" w:rsidP="00AB3A5C">
      <w:pPr>
        <w:pStyle w:val="4-SubsectionHeading"/>
      </w:pPr>
      <w:r w:rsidRPr="002C3702">
        <w:t>Consumer comments</w:t>
      </w:r>
    </w:p>
    <w:bookmarkEnd w:id="19"/>
    <w:p w14:paraId="5F23175A" w14:textId="64B7807A" w:rsidR="00445F05" w:rsidRPr="002C3702" w:rsidRDefault="00445F05" w:rsidP="00AB1A65">
      <w:pPr>
        <w:widowControl w:val="0"/>
        <w:numPr>
          <w:ilvl w:val="1"/>
          <w:numId w:val="1"/>
        </w:numPr>
        <w:spacing w:after="120"/>
        <w:rPr>
          <w:rFonts w:asciiTheme="minorHAnsi" w:hAnsiTheme="minorHAnsi"/>
          <w:bCs/>
          <w:snapToGrid w:val="0"/>
        </w:rPr>
      </w:pPr>
      <w:r w:rsidRPr="002C3702">
        <w:rPr>
          <w:rFonts w:asciiTheme="minorHAnsi" w:hAnsiTheme="minorHAnsi"/>
          <w:bCs/>
          <w:snapToGrid w:val="0"/>
        </w:rPr>
        <w:t xml:space="preserve">The PBAC noted and welcomed the input from </w:t>
      </w:r>
      <w:r w:rsidR="00AB1A65" w:rsidRPr="002C3702">
        <w:rPr>
          <w:rFonts w:asciiTheme="minorHAnsi" w:hAnsiTheme="minorHAnsi"/>
          <w:bCs/>
          <w:snapToGrid w:val="0"/>
        </w:rPr>
        <w:t>1</w:t>
      </w:r>
      <w:r w:rsidRPr="002C3702">
        <w:rPr>
          <w:rFonts w:asciiTheme="minorHAnsi" w:hAnsiTheme="minorHAnsi"/>
          <w:bCs/>
          <w:snapToGrid w:val="0"/>
        </w:rPr>
        <w:t xml:space="preserve"> individual and </w:t>
      </w:r>
      <w:r w:rsidR="00AB1A65" w:rsidRPr="002C3702">
        <w:rPr>
          <w:rFonts w:asciiTheme="minorHAnsi" w:hAnsiTheme="minorHAnsi"/>
          <w:bCs/>
          <w:snapToGrid w:val="0"/>
        </w:rPr>
        <w:t xml:space="preserve">4 </w:t>
      </w:r>
      <w:r w:rsidRPr="002C3702">
        <w:rPr>
          <w:rFonts w:asciiTheme="minorHAnsi" w:hAnsiTheme="minorHAnsi"/>
          <w:bCs/>
          <w:snapToGrid w:val="0"/>
        </w:rPr>
        <w:t>organisation</w:t>
      </w:r>
      <w:r w:rsidR="00AB1A65" w:rsidRPr="002C3702">
        <w:rPr>
          <w:rFonts w:asciiTheme="minorHAnsi" w:hAnsiTheme="minorHAnsi"/>
          <w:bCs/>
          <w:snapToGrid w:val="0"/>
        </w:rPr>
        <w:t>s</w:t>
      </w:r>
      <w:r w:rsidRPr="002C3702">
        <w:rPr>
          <w:rFonts w:asciiTheme="minorHAnsi" w:hAnsiTheme="minorHAnsi"/>
          <w:bCs/>
          <w:snapToGrid w:val="0"/>
        </w:rPr>
        <w:t xml:space="preserve"> via the Consumer Comments facility on the PBS website</w:t>
      </w:r>
      <w:r w:rsidR="002C3702">
        <w:rPr>
          <w:rFonts w:asciiTheme="minorHAnsi" w:hAnsiTheme="minorHAnsi"/>
          <w:bCs/>
          <w:snapToGrid w:val="0"/>
        </w:rPr>
        <w:t xml:space="preserve">. </w:t>
      </w:r>
    </w:p>
    <w:p w14:paraId="5CCB1EA7" w14:textId="6DDA84E5" w:rsidR="00AB1A65" w:rsidRPr="002C3702" w:rsidRDefault="00BA7CF6" w:rsidP="00AB1A65">
      <w:pPr>
        <w:widowControl w:val="0"/>
        <w:numPr>
          <w:ilvl w:val="1"/>
          <w:numId w:val="1"/>
        </w:numPr>
        <w:spacing w:after="120"/>
        <w:rPr>
          <w:rFonts w:asciiTheme="minorHAnsi" w:hAnsiTheme="minorHAnsi"/>
          <w:bCs/>
          <w:snapToGrid w:val="0"/>
        </w:rPr>
      </w:pPr>
      <w:r w:rsidRPr="002C3702">
        <w:rPr>
          <w:rFonts w:asciiTheme="minorHAnsi" w:hAnsiTheme="minorHAnsi"/>
          <w:bCs/>
          <w:snapToGrid w:val="0"/>
        </w:rPr>
        <w:lastRenderedPageBreak/>
        <w:t>The</w:t>
      </w:r>
      <w:r w:rsidR="00AB1A65" w:rsidRPr="002C3702">
        <w:rPr>
          <w:rFonts w:asciiTheme="minorHAnsi" w:hAnsiTheme="minorHAnsi"/>
          <w:bCs/>
          <w:snapToGrid w:val="0"/>
        </w:rPr>
        <w:t xml:space="preserve"> individual </w:t>
      </w:r>
      <w:r w:rsidR="008E1389" w:rsidRPr="002C3702">
        <w:rPr>
          <w:rFonts w:asciiTheme="minorHAnsi" w:hAnsiTheme="minorHAnsi"/>
          <w:bCs/>
          <w:snapToGrid w:val="0"/>
        </w:rPr>
        <w:t xml:space="preserve">stated they would </w:t>
      </w:r>
      <w:r w:rsidR="00C60567" w:rsidRPr="002C3702">
        <w:rPr>
          <w:rFonts w:asciiTheme="minorHAnsi" w:hAnsiTheme="minorHAnsi"/>
          <w:bCs/>
          <w:snapToGrid w:val="0"/>
        </w:rPr>
        <w:t>like access to abemaciclib</w:t>
      </w:r>
      <w:r w:rsidR="00AB12CB" w:rsidRPr="002C3702">
        <w:rPr>
          <w:rFonts w:asciiTheme="minorHAnsi" w:hAnsiTheme="minorHAnsi"/>
          <w:bCs/>
          <w:snapToGrid w:val="0"/>
        </w:rPr>
        <w:t xml:space="preserve"> </w:t>
      </w:r>
      <w:r w:rsidR="008E1389" w:rsidRPr="002C3702">
        <w:rPr>
          <w:rFonts w:asciiTheme="minorHAnsi" w:hAnsiTheme="minorHAnsi"/>
          <w:bCs/>
          <w:snapToGrid w:val="0"/>
        </w:rPr>
        <w:t xml:space="preserve">and </w:t>
      </w:r>
      <w:r w:rsidR="00AB12CB" w:rsidRPr="002C3702">
        <w:rPr>
          <w:rFonts w:asciiTheme="minorHAnsi" w:hAnsiTheme="minorHAnsi"/>
          <w:bCs/>
          <w:snapToGrid w:val="0"/>
        </w:rPr>
        <w:t xml:space="preserve">noted the </w:t>
      </w:r>
      <w:r w:rsidR="00AB12CB" w:rsidRPr="002C3702">
        <w:t xml:space="preserve">improvement in IDFS and DRFS </w:t>
      </w:r>
      <w:r w:rsidR="008E1389" w:rsidRPr="002C3702">
        <w:t>reported</w:t>
      </w:r>
      <w:r w:rsidR="00AB12CB" w:rsidRPr="002C3702">
        <w:t xml:space="preserve"> for abemaciclib patients compared with </w:t>
      </w:r>
      <w:r w:rsidR="002D3790">
        <w:t>ET</w:t>
      </w:r>
      <w:r w:rsidR="002D3790" w:rsidRPr="002C3702">
        <w:t xml:space="preserve"> </w:t>
      </w:r>
      <w:r w:rsidR="008E1389" w:rsidRPr="002C3702">
        <w:t xml:space="preserve">alone </w:t>
      </w:r>
      <w:r w:rsidR="00AB12CB" w:rsidRPr="002C3702">
        <w:t>in the monarchE tria</w:t>
      </w:r>
      <w:r w:rsidR="008E1389" w:rsidRPr="002C3702">
        <w:t>l</w:t>
      </w:r>
      <w:r w:rsidR="00AB12CB" w:rsidRPr="002C3702">
        <w:t xml:space="preserve">. The individual considered </w:t>
      </w:r>
      <w:r w:rsidR="008E1389" w:rsidRPr="002C3702">
        <w:rPr>
          <w:rFonts w:asciiTheme="minorHAnsi" w:hAnsiTheme="minorHAnsi"/>
          <w:snapToGrid w:val="0"/>
        </w:rPr>
        <w:t>abemaciclib</w:t>
      </w:r>
      <w:r w:rsidR="00AB12CB" w:rsidRPr="002C3702">
        <w:rPr>
          <w:rFonts w:asciiTheme="minorHAnsi" w:hAnsiTheme="minorHAnsi"/>
          <w:snapToGrid w:val="0"/>
        </w:rPr>
        <w:t xml:space="preserve"> would likely reduce their risk of disease recurrence and</w:t>
      </w:r>
      <w:r w:rsidR="00FC27D9" w:rsidRPr="002C3702">
        <w:rPr>
          <w:rFonts w:asciiTheme="minorHAnsi" w:hAnsiTheme="minorHAnsi"/>
          <w:snapToGrid w:val="0"/>
        </w:rPr>
        <w:t xml:space="preserve"> a</w:t>
      </w:r>
      <w:r w:rsidR="00AB12CB" w:rsidRPr="002C3702">
        <w:rPr>
          <w:rFonts w:asciiTheme="minorHAnsi" w:hAnsiTheme="minorHAnsi"/>
          <w:snapToGrid w:val="0"/>
        </w:rPr>
        <w:t xml:space="preserve"> terminal diagnosis. </w:t>
      </w:r>
      <w:r w:rsidR="00114542" w:rsidRPr="002C3702">
        <w:rPr>
          <w:rFonts w:asciiTheme="minorHAnsi" w:hAnsiTheme="minorHAnsi"/>
          <w:snapToGrid w:val="0"/>
        </w:rPr>
        <w:t>However, t</w:t>
      </w:r>
      <w:r w:rsidR="008E1389" w:rsidRPr="002C3702">
        <w:rPr>
          <w:rFonts w:asciiTheme="minorHAnsi" w:hAnsiTheme="minorHAnsi"/>
          <w:snapToGrid w:val="0"/>
        </w:rPr>
        <w:t xml:space="preserve">he individual considered the current cost of abemaciclib </w:t>
      </w:r>
      <w:r w:rsidR="00114542" w:rsidRPr="002C3702">
        <w:rPr>
          <w:rFonts w:asciiTheme="minorHAnsi" w:hAnsiTheme="minorHAnsi"/>
          <w:snapToGrid w:val="0"/>
        </w:rPr>
        <w:t>(</w:t>
      </w:r>
      <w:r w:rsidR="00FE760C" w:rsidRPr="002C3702">
        <w:rPr>
          <w:rFonts w:asciiTheme="minorHAnsi" w:hAnsiTheme="minorHAnsi"/>
          <w:snapToGrid w:val="0"/>
        </w:rPr>
        <w:t xml:space="preserve">calculated as </w:t>
      </w:r>
      <w:r w:rsidR="00114542" w:rsidRPr="002C3702">
        <w:rPr>
          <w:rFonts w:asciiTheme="minorHAnsi" w:hAnsiTheme="minorHAnsi"/>
          <w:snapToGrid w:val="0"/>
        </w:rPr>
        <w:t xml:space="preserve">$4,500 per 28 day script) </w:t>
      </w:r>
      <w:r w:rsidR="00AF6D8D" w:rsidRPr="002C3702">
        <w:rPr>
          <w:rFonts w:asciiTheme="minorHAnsi" w:hAnsiTheme="minorHAnsi"/>
          <w:snapToGrid w:val="0"/>
        </w:rPr>
        <w:t xml:space="preserve">was </w:t>
      </w:r>
      <w:r w:rsidR="00114542" w:rsidRPr="002C3702">
        <w:rPr>
          <w:rFonts w:asciiTheme="minorHAnsi" w:hAnsiTheme="minorHAnsi"/>
          <w:snapToGrid w:val="0"/>
        </w:rPr>
        <w:t>a significant barrier to treatment.</w:t>
      </w:r>
    </w:p>
    <w:p w14:paraId="6A55D09F" w14:textId="2A49D634" w:rsidR="00C60567" w:rsidRPr="002C3702" w:rsidRDefault="00C60567" w:rsidP="008D2FED">
      <w:pPr>
        <w:widowControl w:val="0"/>
        <w:numPr>
          <w:ilvl w:val="1"/>
          <w:numId w:val="1"/>
        </w:numPr>
        <w:spacing w:after="120"/>
        <w:rPr>
          <w:rFonts w:asciiTheme="minorHAnsi" w:hAnsiTheme="minorHAnsi"/>
          <w:bCs/>
          <w:snapToGrid w:val="0"/>
        </w:rPr>
      </w:pPr>
      <w:r w:rsidRPr="002C3702">
        <w:rPr>
          <w:rFonts w:asciiTheme="minorHAnsi" w:hAnsiTheme="minorHAnsi"/>
          <w:bCs/>
          <w:snapToGrid w:val="0"/>
        </w:rPr>
        <w:t xml:space="preserve">The PBAC noted the advice received from </w:t>
      </w:r>
      <w:r w:rsidR="00AF6D8D" w:rsidRPr="002C3702">
        <w:rPr>
          <w:rFonts w:asciiTheme="minorHAnsi" w:hAnsiTheme="minorHAnsi"/>
          <w:bCs/>
          <w:snapToGrid w:val="0"/>
        </w:rPr>
        <w:t>4</w:t>
      </w:r>
      <w:r w:rsidRPr="002C3702">
        <w:rPr>
          <w:rFonts w:asciiTheme="minorHAnsi" w:hAnsiTheme="minorHAnsi"/>
          <w:bCs/>
          <w:snapToGrid w:val="0"/>
        </w:rPr>
        <w:t xml:space="preserve"> organisations (Medical Oncology Group of Australia [MOGA], MOGA Breast Cancer </w:t>
      </w:r>
      <w:r w:rsidR="00AF6D8D" w:rsidRPr="002C3702">
        <w:rPr>
          <w:rFonts w:asciiTheme="minorHAnsi" w:hAnsiTheme="minorHAnsi"/>
          <w:bCs/>
          <w:snapToGrid w:val="0"/>
        </w:rPr>
        <w:t xml:space="preserve">Special Interest </w:t>
      </w:r>
      <w:r w:rsidRPr="002C3702">
        <w:rPr>
          <w:rFonts w:asciiTheme="minorHAnsi" w:hAnsiTheme="minorHAnsi"/>
          <w:bCs/>
          <w:snapToGrid w:val="0"/>
        </w:rPr>
        <w:t xml:space="preserve">Group, Pink Hope, Breast Cancer Network Australia [BCNA]) supporting the PBS listing of abemaciclib for the treatment of HR+, HER2- lymph node positive, invasive resected </w:t>
      </w:r>
      <w:r w:rsidR="003F20BC" w:rsidRPr="002C3702">
        <w:rPr>
          <w:rFonts w:asciiTheme="minorHAnsi" w:hAnsiTheme="minorHAnsi"/>
          <w:bCs/>
          <w:snapToGrid w:val="0"/>
        </w:rPr>
        <w:t>early breast cancer</w:t>
      </w:r>
      <w:r w:rsidRPr="002C3702">
        <w:rPr>
          <w:rFonts w:asciiTheme="minorHAnsi" w:hAnsiTheme="minorHAnsi"/>
          <w:bCs/>
          <w:snapToGrid w:val="0"/>
        </w:rPr>
        <w:t xml:space="preserve">. The organisations outlined the clinical benefits associated with </w:t>
      </w:r>
      <w:r w:rsidR="00165427" w:rsidRPr="002C3702">
        <w:rPr>
          <w:rFonts w:asciiTheme="minorHAnsi" w:hAnsiTheme="minorHAnsi"/>
          <w:bCs/>
          <w:snapToGrid w:val="0"/>
        </w:rPr>
        <w:t xml:space="preserve">the treatment of </w:t>
      </w:r>
      <w:r w:rsidRPr="002C3702">
        <w:rPr>
          <w:rFonts w:asciiTheme="minorHAnsi" w:hAnsiTheme="minorHAnsi"/>
          <w:bCs/>
          <w:snapToGrid w:val="0"/>
        </w:rPr>
        <w:t xml:space="preserve">abemaciclib </w:t>
      </w:r>
      <w:r w:rsidR="008D2FED" w:rsidRPr="002C3702">
        <w:rPr>
          <w:rFonts w:asciiTheme="minorHAnsi" w:hAnsiTheme="minorHAnsi"/>
          <w:bCs/>
          <w:snapToGrid w:val="0"/>
        </w:rPr>
        <w:t xml:space="preserve">based on the monarchE trial </w:t>
      </w:r>
      <w:r w:rsidRPr="002C3702">
        <w:rPr>
          <w:rFonts w:asciiTheme="minorHAnsi" w:hAnsiTheme="minorHAnsi"/>
          <w:bCs/>
          <w:snapToGrid w:val="0"/>
        </w:rPr>
        <w:t>and emphasised</w:t>
      </w:r>
      <w:r w:rsidR="008D2FED" w:rsidRPr="002C3702">
        <w:rPr>
          <w:rFonts w:asciiTheme="minorHAnsi" w:hAnsiTheme="minorHAnsi"/>
          <w:bCs/>
          <w:snapToGrid w:val="0"/>
        </w:rPr>
        <w:t xml:space="preserve"> the need for additional therapy options for patients with HER2-/HR+ breast cancer.</w:t>
      </w:r>
      <w:r w:rsidRPr="002C3702">
        <w:rPr>
          <w:rFonts w:asciiTheme="minorHAnsi" w:hAnsiTheme="minorHAnsi"/>
          <w:bCs/>
          <w:snapToGrid w:val="0"/>
        </w:rPr>
        <w:t xml:space="preserve"> </w:t>
      </w:r>
      <w:r w:rsidR="00FC27D9" w:rsidRPr="002C3702">
        <w:rPr>
          <w:rFonts w:asciiTheme="minorHAnsi" w:hAnsiTheme="minorHAnsi"/>
          <w:bCs/>
          <w:snapToGrid w:val="0"/>
        </w:rPr>
        <w:t xml:space="preserve">The organisations also emphasised </w:t>
      </w:r>
      <w:r w:rsidRPr="002C3702">
        <w:rPr>
          <w:rFonts w:asciiTheme="minorHAnsi" w:hAnsiTheme="minorHAnsi"/>
          <w:bCs/>
          <w:snapToGrid w:val="0"/>
        </w:rPr>
        <w:t xml:space="preserve">the psycho-social benefits associated with reducing the fear of </w:t>
      </w:r>
      <w:r w:rsidR="00FC27D9" w:rsidRPr="002C3702">
        <w:rPr>
          <w:rFonts w:asciiTheme="minorHAnsi" w:hAnsiTheme="minorHAnsi"/>
          <w:bCs/>
          <w:snapToGrid w:val="0"/>
        </w:rPr>
        <w:t xml:space="preserve">disease </w:t>
      </w:r>
      <w:r w:rsidRPr="002C3702">
        <w:rPr>
          <w:rFonts w:asciiTheme="minorHAnsi" w:hAnsiTheme="minorHAnsi"/>
          <w:bCs/>
          <w:snapToGrid w:val="0"/>
        </w:rPr>
        <w:t>recurrence</w:t>
      </w:r>
      <w:r w:rsidR="00FC27D9" w:rsidRPr="002C3702">
        <w:rPr>
          <w:rFonts w:asciiTheme="minorHAnsi" w:hAnsiTheme="minorHAnsi"/>
          <w:bCs/>
          <w:snapToGrid w:val="0"/>
        </w:rPr>
        <w:t xml:space="preserve"> and the likely associated improvements to overall wellbeing and quality of life</w:t>
      </w:r>
      <w:r w:rsidRPr="002C3702">
        <w:rPr>
          <w:rFonts w:asciiTheme="minorHAnsi" w:hAnsiTheme="minorHAnsi"/>
          <w:bCs/>
          <w:snapToGrid w:val="0"/>
        </w:rPr>
        <w:t xml:space="preserve">. </w:t>
      </w:r>
    </w:p>
    <w:p w14:paraId="793147CA" w14:textId="107E5688" w:rsidR="00C60567" w:rsidRPr="002C3702" w:rsidRDefault="00C60567" w:rsidP="00C60567">
      <w:pPr>
        <w:widowControl w:val="0"/>
        <w:numPr>
          <w:ilvl w:val="1"/>
          <w:numId w:val="1"/>
        </w:numPr>
        <w:spacing w:after="120"/>
        <w:rPr>
          <w:rFonts w:asciiTheme="minorHAnsi" w:hAnsiTheme="minorHAnsi"/>
          <w:bCs/>
          <w:snapToGrid w:val="0"/>
        </w:rPr>
      </w:pPr>
      <w:r w:rsidRPr="002C3702">
        <w:rPr>
          <w:rFonts w:asciiTheme="minorHAnsi" w:hAnsiTheme="minorHAnsi"/>
          <w:bCs/>
          <w:snapToGrid w:val="0"/>
        </w:rPr>
        <w:t xml:space="preserve">The Medical Oncology Group of Australia (MOGA) also expressed its strong support for the </w:t>
      </w:r>
      <w:r w:rsidRPr="002C3702">
        <w:t>use of abemaciclib in early breast cancer at high risk of recurrence</w:t>
      </w:r>
      <w:r w:rsidRPr="002C3702">
        <w:rPr>
          <w:rFonts w:asciiTheme="minorHAnsi" w:hAnsiTheme="minorHAnsi"/>
          <w:bCs/>
          <w:snapToGrid w:val="0"/>
        </w:rPr>
        <w:t>, categorising it as one of the therapies of ‘highest priority for PBS listing’ on the basis of the monarchE trial. The PBAC noted that the MOGA presented a European Society for Medical Oncology Magnitude of Clinical Benefit Scale (ESMO-MCBS) for abemaciclib</w:t>
      </w:r>
      <w:r w:rsidRPr="002C3702">
        <w:t xml:space="preserve"> the highest grade ‘A’, categorising it as a treatment with substantial benefit in the curative setting.</w:t>
      </w:r>
      <w:r w:rsidRPr="002C3702">
        <w:rPr>
          <w:rStyle w:val="FootnoteReference"/>
          <w:rFonts w:eastAsiaTheme="majorEastAsia"/>
        </w:rPr>
        <w:footnoteReference w:id="7"/>
      </w:r>
      <w:r w:rsidRPr="002C3702">
        <w:t xml:space="preserve"> </w:t>
      </w:r>
    </w:p>
    <w:p w14:paraId="3DBFFB55" w14:textId="4E45077D" w:rsidR="00C60567" w:rsidRPr="002C3702" w:rsidRDefault="00C60567" w:rsidP="00A551BF">
      <w:pPr>
        <w:widowControl w:val="0"/>
        <w:numPr>
          <w:ilvl w:val="1"/>
          <w:numId w:val="1"/>
        </w:numPr>
        <w:spacing w:after="120"/>
        <w:rPr>
          <w:rFonts w:asciiTheme="minorHAnsi" w:hAnsiTheme="minorHAnsi"/>
          <w:bCs/>
          <w:snapToGrid w:val="0"/>
        </w:rPr>
      </w:pPr>
      <w:r w:rsidRPr="002C3702">
        <w:rPr>
          <w:rFonts w:asciiTheme="minorHAnsi" w:hAnsiTheme="minorHAnsi"/>
          <w:bCs/>
          <w:snapToGrid w:val="0"/>
        </w:rPr>
        <w:t>The MOGA Breast</w:t>
      </w:r>
      <w:r w:rsidR="00085A36" w:rsidRPr="002C3702">
        <w:rPr>
          <w:rFonts w:asciiTheme="minorHAnsi" w:hAnsiTheme="minorHAnsi"/>
          <w:bCs/>
          <w:snapToGrid w:val="0"/>
        </w:rPr>
        <w:t xml:space="preserve"> Cancer</w:t>
      </w:r>
      <w:r w:rsidRPr="002C3702">
        <w:rPr>
          <w:rFonts w:asciiTheme="minorHAnsi" w:hAnsiTheme="minorHAnsi"/>
          <w:bCs/>
          <w:snapToGrid w:val="0"/>
        </w:rPr>
        <w:t xml:space="preserve"> </w:t>
      </w:r>
      <w:r w:rsidR="00FC27D9" w:rsidRPr="002C3702">
        <w:rPr>
          <w:rFonts w:asciiTheme="minorHAnsi" w:hAnsiTheme="minorHAnsi"/>
          <w:bCs/>
          <w:snapToGrid w:val="0"/>
        </w:rPr>
        <w:t>Special Interest</w:t>
      </w:r>
      <w:r w:rsidRPr="002C3702">
        <w:rPr>
          <w:rFonts w:asciiTheme="minorHAnsi" w:hAnsiTheme="minorHAnsi"/>
          <w:bCs/>
          <w:snapToGrid w:val="0"/>
        </w:rPr>
        <w:t xml:space="preserve"> Group emphasised the clinical need for reducing the risk of recurrence for patients diagnosed with early breast cancer </w:t>
      </w:r>
      <w:r w:rsidR="006304B2" w:rsidRPr="002C3702">
        <w:rPr>
          <w:rFonts w:asciiTheme="minorHAnsi" w:hAnsiTheme="minorHAnsi"/>
          <w:bCs/>
          <w:snapToGrid w:val="0"/>
        </w:rPr>
        <w:t>at high risk of recurrence. The Special Interest Group</w:t>
      </w:r>
      <w:r w:rsidRPr="002C3702">
        <w:rPr>
          <w:rFonts w:asciiTheme="minorHAnsi" w:hAnsiTheme="minorHAnsi"/>
          <w:bCs/>
          <w:snapToGrid w:val="0"/>
        </w:rPr>
        <w:t xml:space="preserve"> expressed support for access to CDK4/6 inhibitor therapy for these patients</w:t>
      </w:r>
      <w:r w:rsidR="006304B2" w:rsidRPr="002C3702">
        <w:rPr>
          <w:rFonts w:asciiTheme="minorHAnsi" w:hAnsiTheme="minorHAnsi"/>
          <w:bCs/>
          <w:snapToGrid w:val="0"/>
        </w:rPr>
        <w:t xml:space="preserve">, noting </w:t>
      </w:r>
      <w:r w:rsidR="008361A1" w:rsidRPr="002C3702">
        <w:rPr>
          <w:rFonts w:asciiTheme="minorHAnsi" w:hAnsiTheme="minorHAnsi"/>
          <w:bCs/>
          <w:snapToGrid w:val="0"/>
        </w:rPr>
        <w:t xml:space="preserve">clinical trial </w:t>
      </w:r>
      <w:r w:rsidR="006304B2" w:rsidRPr="002C3702">
        <w:rPr>
          <w:rFonts w:asciiTheme="minorHAnsi" w:hAnsiTheme="minorHAnsi"/>
          <w:bCs/>
          <w:snapToGrid w:val="0"/>
        </w:rPr>
        <w:t>results from NATALEE</w:t>
      </w:r>
      <w:r w:rsidR="008361A1" w:rsidRPr="002C3702">
        <w:rPr>
          <w:rFonts w:asciiTheme="minorHAnsi" w:hAnsiTheme="minorHAnsi"/>
          <w:bCs/>
          <w:snapToGrid w:val="0"/>
        </w:rPr>
        <w:t>,</w:t>
      </w:r>
      <w:r w:rsidR="006304B2" w:rsidRPr="002C3702">
        <w:rPr>
          <w:rFonts w:asciiTheme="minorHAnsi" w:hAnsiTheme="minorHAnsi"/>
          <w:bCs/>
          <w:snapToGrid w:val="0"/>
        </w:rPr>
        <w:t xml:space="preserve"> </w:t>
      </w:r>
      <w:r w:rsidR="001436CD" w:rsidRPr="002C3702">
        <w:rPr>
          <w:rFonts w:asciiTheme="minorHAnsi" w:hAnsiTheme="minorHAnsi"/>
          <w:bCs/>
          <w:snapToGrid w:val="0"/>
        </w:rPr>
        <w:t xml:space="preserve">also </w:t>
      </w:r>
      <w:r w:rsidR="008361A1" w:rsidRPr="002C3702">
        <w:rPr>
          <w:rFonts w:asciiTheme="minorHAnsi" w:hAnsiTheme="minorHAnsi"/>
          <w:bCs/>
          <w:snapToGrid w:val="0"/>
        </w:rPr>
        <w:t>demonstra</w:t>
      </w:r>
      <w:r w:rsidR="009A5074" w:rsidRPr="002C3702">
        <w:rPr>
          <w:rFonts w:asciiTheme="minorHAnsi" w:hAnsiTheme="minorHAnsi"/>
          <w:bCs/>
          <w:snapToGrid w:val="0"/>
        </w:rPr>
        <w:t>ting</w:t>
      </w:r>
      <w:r w:rsidR="008361A1" w:rsidRPr="002C3702">
        <w:rPr>
          <w:rFonts w:asciiTheme="minorHAnsi" w:hAnsiTheme="minorHAnsi"/>
          <w:bCs/>
          <w:snapToGrid w:val="0"/>
        </w:rPr>
        <w:t xml:space="preserve"> a clinical improvement to IDFS for </w:t>
      </w:r>
      <w:r w:rsidR="009A5074" w:rsidRPr="002C3702">
        <w:rPr>
          <w:rFonts w:asciiTheme="minorHAnsi" w:hAnsiTheme="minorHAnsi"/>
          <w:bCs/>
          <w:snapToGrid w:val="0"/>
        </w:rPr>
        <w:t xml:space="preserve">EBC patients treated with </w:t>
      </w:r>
      <w:r w:rsidR="008361A1" w:rsidRPr="002C3702">
        <w:rPr>
          <w:rFonts w:asciiTheme="minorHAnsi" w:hAnsiTheme="minorHAnsi"/>
          <w:bCs/>
          <w:snapToGrid w:val="0"/>
        </w:rPr>
        <w:t xml:space="preserve">ribociclib in </w:t>
      </w:r>
      <w:r w:rsidR="009A5074" w:rsidRPr="002C3702">
        <w:rPr>
          <w:rFonts w:asciiTheme="minorHAnsi" w:hAnsiTheme="minorHAnsi"/>
          <w:bCs/>
          <w:snapToGrid w:val="0"/>
        </w:rPr>
        <w:t>combination</w:t>
      </w:r>
      <w:r w:rsidR="008361A1" w:rsidRPr="002C3702">
        <w:rPr>
          <w:rFonts w:asciiTheme="minorHAnsi" w:hAnsiTheme="minorHAnsi"/>
          <w:bCs/>
          <w:snapToGrid w:val="0"/>
        </w:rPr>
        <w:t xml:space="preserve"> with ET versus ET alone.</w:t>
      </w:r>
    </w:p>
    <w:p w14:paraId="4B91A35E" w14:textId="5DA44C5B" w:rsidR="00030CC5" w:rsidRPr="002C3702" w:rsidRDefault="00030CC5" w:rsidP="00030CC5">
      <w:pPr>
        <w:pStyle w:val="4-SubsectionHeading"/>
      </w:pPr>
      <w:bookmarkStart w:id="21" w:name="_Toc145422839"/>
      <w:r w:rsidRPr="002C3702">
        <w:t>Clinical trial</w:t>
      </w:r>
      <w:bookmarkEnd w:id="18"/>
      <w:bookmarkEnd w:id="21"/>
    </w:p>
    <w:p w14:paraId="2D351DC6" w14:textId="6993B1F2" w:rsidR="00030CC5" w:rsidRPr="002C3702" w:rsidRDefault="00030CC5" w:rsidP="00030CC5">
      <w:pPr>
        <w:pStyle w:val="3-BodyText"/>
        <w:rPr>
          <w:rFonts w:eastAsiaTheme="minorEastAsia" w:cs="Calibri"/>
          <w:color w:val="000000"/>
          <w:lang w:eastAsia="en-US"/>
        </w:rPr>
      </w:pPr>
      <w:r w:rsidRPr="002C3702">
        <w:t xml:space="preserve">The current </w:t>
      </w:r>
      <w:r w:rsidR="008B6198" w:rsidRPr="002C3702">
        <w:t>submission</w:t>
      </w:r>
      <w:r w:rsidRPr="002C3702">
        <w:t xml:space="preserve"> was based on one head-to-head trial comparing ABE + ET to ET alone (n=5,637): </w:t>
      </w:r>
      <w:r w:rsidR="00A640D5" w:rsidRPr="002C3702">
        <w:t xml:space="preserve">the </w:t>
      </w:r>
      <w:r w:rsidRPr="002C3702">
        <w:t>monarchE</w:t>
      </w:r>
      <w:r w:rsidR="00A640D5" w:rsidRPr="002C3702">
        <w:t xml:space="preserve"> trial</w:t>
      </w:r>
      <w:r w:rsidRPr="002C3702">
        <w:t>. Cohort 1 of the monarchE trial included patients at high risk of recurrence (defined as ≥ 4 axillary lymph nodes (ALNs); or 1-3 ALNs and tumo</w:t>
      </w:r>
      <w:r w:rsidR="006C4089" w:rsidRPr="002C3702">
        <w:t>u</w:t>
      </w:r>
      <w:r w:rsidRPr="002C3702">
        <w:t xml:space="preserve">r ≥ 5 cm or grade 3 disease) which accounted for 91% of the </w:t>
      </w:r>
      <w:r w:rsidR="005B6AE4" w:rsidRPr="002C3702">
        <w:t>intention to treat (</w:t>
      </w:r>
      <w:r w:rsidRPr="002C3702">
        <w:t>ITT</w:t>
      </w:r>
      <w:r w:rsidR="005B6AE4" w:rsidRPr="002C3702">
        <w:t>)</w:t>
      </w:r>
      <w:r w:rsidRPr="002C3702">
        <w:t xml:space="preserve"> population in </w:t>
      </w:r>
      <w:r w:rsidR="00A640D5" w:rsidRPr="002C3702">
        <w:t xml:space="preserve">the </w:t>
      </w:r>
      <w:r w:rsidRPr="002C3702">
        <w:t xml:space="preserve">monarchE trial. </w:t>
      </w:r>
      <w:r w:rsidR="005B576B" w:rsidRPr="002C3702">
        <w:t xml:space="preserve">Cohort 1 reflects the proposed PBS population. </w:t>
      </w:r>
      <w:r w:rsidRPr="002C3702">
        <w:t xml:space="preserve">The current </w:t>
      </w:r>
      <w:r w:rsidR="22DDC574" w:rsidRPr="002C3702">
        <w:t>submission</w:t>
      </w:r>
      <w:r w:rsidRPr="002C3702">
        <w:t xml:space="preserve"> presented results from the monarchE trial at </w:t>
      </w:r>
      <w:r w:rsidR="00A640D5" w:rsidRPr="002C3702">
        <w:t xml:space="preserve">the </w:t>
      </w:r>
      <w:r w:rsidR="00A640D5" w:rsidRPr="002C3702">
        <w:lastRenderedPageBreak/>
        <w:t xml:space="preserve">additional </w:t>
      </w:r>
      <w:r w:rsidRPr="002C3702">
        <w:rPr>
          <w:rFonts w:eastAsiaTheme="minorEastAsia"/>
        </w:rPr>
        <w:t>follow-up 2 data cut-off (AFU2 DCO) (July 2022) with a median follow up of 42 months.</w:t>
      </w:r>
      <w:r w:rsidRPr="002C3702">
        <w:rPr>
          <w:rFonts w:eastAsiaTheme="minorEastAsia" w:cs="Calibri"/>
          <w:color w:val="000000" w:themeColor="text1"/>
          <w:sz w:val="23"/>
          <w:szCs w:val="23"/>
          <w:lang w:eastAsia="en-US"/>
        </w:rPr>
        <w:t xml:space="preserve"> </w:t>
      </w:r>
      <w:r w:rsidRPr="002C3702">
        <w:t xml:space="preserve">This has not changed from the March 2023 resubmission. </w:t>
      </w:r>
    </w:p>
    <w:p w14:paraId="69C3F97D" w14:textId="59860F94" w:rsidR="00030CC5" w:rsidRPr="002C3702" w:rsidRDefault="00030CC5" w:rsidP="00030CC5">
      <w:pPr>
        <w:pStyle w:val="3-BodyText"/>
      </w:pPr>
      <w:r w:rsidRPr="002C3702">
        <w:rPr>
          <w:snapToGrid/>
        </w:rPr>
        <w:t xml:space="preserve">Details of the trial presented in the current </w:t>
      </w:r>
      <w:r w:rsidR="3E49BEFF" w:rsidRPr="002C3702">
        <w:rPr>
          <w:snapToGrid/>
        </w:rPr>
        <w:t>submission</w:t>
      </w:r>
      <w:r w:rsidRPr="002C3702">
        <w:rPr>
          <w:snapToGrid/>
        </w:rPr>
        <w:t xml:space="preserve"> are provided in </w:t>
      </w:r>
      <w:r w:rsidRPr="002C3702">
        <w:rPr>
          <w:snapToGrid/>
          <w:color w:val="2B579A"/>
          <w:shd w:val="clear" w:color="auto" w:fill="E6E6E6"/>
        </w:rPr>
        <w:fldChar w:fldCharType="begin"/>
      </w:r>
      <w:r w:rsidRPr="002C3702">
        <w:rPr>
          <w:snapToGrid/>
        </w:rPr>
        <w:instrText xml:space="preserve"> REF _Ref104803956 \h </w:instrText>
      </w:r>
      <w:r w:rsidRPr="002C3702">
        <w:rPr>
          <w:snapToGrid/>
          <w:color w:val="2B579A"/>
          <w:shd w:val="clear" w:color="auto" w:fill="E6E6E6"/>
        </w:rPr>
      </w:r>
      <w:r w:rsidRPr="002C3702">
        <w:rPr>
          <w:snapToGrid/>
          <w:color w:val="2B579A"/>
          <w:shd w:val="clear" w:color="auto" w:fill="E6E6E6"/>
        </w:rPr>
        <w:fldChar w:fldCharType="separate"/>
      </w:r>
      <w:r w:rsidR="00676505" w:rsidRPr="002C3702">
        <w:t xml:space="preserve">Table </w:t>
      </w:r>
      <w:r w:rsidR="00676505">
        <w:rPr>
          <w:noProof/>
        </w:rPr>
        <w:t>3</w:t>
      </w:r>
      <w:r w:rsidRPr="002C3702">
        <w:rPr>
          <w:snapToGrid/>
          <w:color w:val="2B579A"/>
          <w:shd w:val="clear" w:color="auto" w:fill="E6E6E6"/>
        </w:rPr>
        <w:fldChar w:fldCharType="end"/>
      </w:r>
      <w:r w:rsidRPr="002C3702">
        <w:rPr>
          <w:snapToGrid/>
        </w:rPr>
        <w:t>.</w:t>
      </w:r>
    </w:p>
    <w:p w14:paraId="1E4711F8" w14:textId="4220AD9E" w:rsidR="00030CC5" w:rsidRPr="002C3702" w:rsidRDefault="00030CC5" w:rsidP="00030CC5">
      <w:pPr>
        <w:pStyle w:val="TableFigureHeading"/>
        <w:rPr>
          <w:rStyle w:val="CommentReference"/>
          <w:b/>
        </w:rPr>
      </w:pPr>
      <w:bookmarkStart w:id="22" w:name="_Ref104803956"/>
      <w:r w:rsidRPr="002C3702">
        <w:t xml:space="preserve">Table </w:t>
      </w:r>
      <w:r w:rsidRPr="002C3702">
        <w:fldChar w:fldCharType="begin"/>
      </w:r>
      <w:r w:rsidRPr="002C3702">
        <w:instrText>SEQ Table \* ARABIC</w:instrText>
      </w:r>
      <w:r w:rsidRPr="002C3702">
        <w:fldChar w:fldCharType="separate"/>
      </w:r>
      <w:r w:rsidR="00676505">
        <w:rPr>
          <w:noProof/>
        </w:rPr>
        <w:t>3</w:t>
      </w:r>
      <w:r w:rsidRPr="002C3702">
        <w:fldChar w:fldCharType="end"/>
      </w:r>
      <w:bookmarkEnd w:id="22"/>
      <w:r w:rsidRPr="002C3702">
        <w:rPr>
          <w:b w:val="0"/>
          <w:bCs w:val="0"/>
        </w:rPr>
        <w:t>:</w:t>
      </w:r>
      <w:r w:rsidRPr="002C3702">
        <w:rPr>
          <w:rStyle w:val="CommentReference"/>
          <w:b/>
          <w:bCs w:val="0"/>
        </w:rPr>
        <w:t xml:space="preserve"> Trials and associated reports presented in the submission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4861"/>
        <w:gridCol w:w="2355"/>
        <w:gridCol w:w="26"/>
      </w:tblGrid>
      <w:tr w:rsidR="00030CC5" w:rsidRPr="002C3702" w14:paraId="002A13F5" w14:textId="77777777" w:rsidTr="00BB24C5">
        <w:trPr>
          <w:gridAfter w:val="1"/>
          <w:wAfter w:w="26" w:type="dxa"/>
          <w:cantSplit/>
          <w:trHeight w:val="300"/>
          <w:tblHeader/>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91D9A" w14:textId="77777777" w:rsidR="00030CC5" w:rsidRPr="002C3702" w:rsidRDefault="00030CC5" w:rsidP="009337DA">
            <w:pPr>
              <w:widowControl w:val="0"/>
              <w:jc w:val="center"/>
              <w:textAlignment w:val="baseline"/>
              <w:rPr>
                <w:rFonts w:ascii="Times New Roman" w:hAnsi="Times New Roman" w:cs="Times New Roman"/>
                <w:sz w:val="20"/>
                <w:szCs w:val="20"/>
              </w:rPr>
            </w:pPr>
            <w:r w:rsidRPr="002C3702">
              <w:rPr>
                <w:rFonts w:ascii="Arial Narrow" w:hAnsi="Arial Narrow" w:cs="Times New Roman"/>
                <w:b/>
                <w:sz w:val="20"/>
                <w:szCs w:val="20"/>
              </w:rPr>
              <w:t>Trial ID </w:t>
            </w:r>
            <w:r w:rsidRPr="002C3702">
              <w:rPr>
                <w:rFonts w:ascii="Arial Narrow" w:hAnsi="Arial Narrow" w:cs="Times New Roman"/>
                <w:sz w:val="20"/>
                <w:szCs w:val="20"/>
              </w:rPr>
              <w:t> </w:t>
            </w: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173DD"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b/>
                <w:sz w:val="20"/>
                <w:szCs w:val="20"/>
              </w:rPr>
              <w:t>Protocol title/ Publication title </w:t>
            </w:r>
            <w:r w:rsidRPr="002C3702">
              <w:rPr>
                <w:rFonts w:ascii="Arial Narrow" w:hAnsi="Arial Narrow" w:cs="Times New Roman"/>
                <w:sz w:val="20"/>
                <w:szCs w:val="20"/>
              </w:rPr>
              <w:t>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B3BC"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b/>
                <w:sz w:val="20"/>
                <w:szCs w:val="20"/>
              </w:rPr>
              <w:t>Publication citation </w:t>
            </w:r>
            <w:r w:rsidRPr="002C3702">
              <w:rPr>
                <w:rFonts w:ascii="Arial Narrow" w:hAnsi="Arial Narrow" w:cs="Times New Roman"/>
                <w:sz w:val="20"/>
                <w:szCs w:val="20"/>
              </w:rPr>
              <w:t> </w:t>
            </w:r>
          </w:p>
        </w:tc>
      </w:tr>
      <w:tr w:rsidR="00030CC5" w:rsidRPr="002C3702" w14:paraId="607B2376" w14:textId="77777777" w:rsidTr="006E7D62">
        <w:trPr>
          <w:trHeight w:val="300"/>
        </w:trPr>
        <w:tc>
          <w:tcPr>
            <w:tcW w:w="17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94C5D9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monarchE /   </w:t>
            </w:r>
          </w:p>
          <w:p w14:paraId="31B05868"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I3Y-MC-JPBL  </w:t>
            </w:r>
          </w:p>
          <w:p w14:paraId="553C661F"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(NCT03155997)  </w:t>
            </w:r>
          </w:p>
          <w:p w14:paraId="09269306"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(JPRN0JapicCTI-173668)  </w:t>
            </w:r>
          </w:p>
          <w:p w14:paraId="27E305E7"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EUCTR2016-004362-26-DE)  </w:t>
            </w:r>
          </w:p>
          <w:p w14:paraId="4B6635A6" w14:textId="77777777" w:rsidR="00030CC5" w:rsidRPr="002C3702" w:rsidRDefault="00030CC5" w:rsidP="009337DA">
            <w:pPr>
              <w:widowControl w:val="0"/>
              <w:jc w:val="center"/>
              <w:textAlignment w:val="baseline"/>
              <w:rPr>
                <w:rFonts w:ascii="Times New Roman" w:hAnsi="Times New Roman" w:cs="Times New Roman"/>
                <w:sz w:val="20"/>
                <w:szCs w:val="20"/>
              </w:rPr>
            </w:pPr>
            <w:r w:rsidRPr="002C3702">
              <w:rPr>
                <w:rFonts w:ascii="Arial Narrow" w:hAnsi="Arial Narrow" w:cs="Times New Roman"/>
                <w:sz w:val="20"/>
                <w:szCs w:val="20"/>
              </w:rPr>
              <w:t>CTRI/2017/10/010017)  </w:t>
            </w: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2B250D21"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b/>
                <w:color w:val="000000"/>
                <w:sz w:val="20"/>
                <w:szCs w:val="20"/>
              </w:rPr>
              <w:t>Clinical Study Report</w:t>
            </w:r>
            <w:r w:rsidRPr="002C3702">
              <w:rPr>
                <w:rFonts w:ascii="Arial Narrow" w:hAnsi="Arial Narrow" w:cs="Times New Roman"/>
                <w:color w:val="000000"/>
                <w:sz w:val="20"/>
                <w:szCs w:val="20"/>
              </w:rPr>
              <w:t>  </w:t>
            </w:r>
          </w:p>
          <w:p w14:paraId="47756D13" w14:textId="6EC8C4EC"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A Randomized, Open-Label, Phase 3 Study of Abemaciclib combined with standard adjuvant endocrine therapy versus standard adjuvant endocrine therapy alone in patients with high risk, node positive, early stage, hormone receptor positive, human epidermal receptor 2 negative,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7EE653A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CSR approval date: 30-Nov-2020;  </w:t>
            </w:r>
          </w:p>
          <w:p w14:paraId="65253BFC"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CSR approval date: 28-Jun-2021  </w:t>
            </w:r>
          </w:p>
        </w:tc>
      </w:tr>
      <w:tr w:rsidR="00030CC5" w:rsidRPr="002C3702" w14:paraId="662B3E0B"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0C5BCD"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482AC3E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Protocol I3Y-MC-JPCF. Amendment (e)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2BAB5010"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Approval date: 18-Sept-2020  </w:t>
            </w:r>
          </w:p>
        </w:tc>
      </w:tr>
      <w:tr w:rsidR="00030CC5" w:rsidRPr="002C3702" w14:paraId="5176D366"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F809BC"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7D9A2DB0" w14:textId="27379490"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Statistical Analysis Plan I3Y-MC-JPC, version 5</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ED7A237"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Approval date: 05-Jun-2020  </w:t>
            </w:r>
          </w:p>
        </w:tc>
      </w:tr>
      <w:tr w:rsidR="00030CC5" w:rsidRPr="002C3702" w14:paraId="4DE5A955"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98CB7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3EC28526"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Statistical Analysis Plan I3Y-MC-JPC, PRO version 2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477AD261"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Approval date: 06-May-2020  </w:t>
            </w:r>
          </w:p>
        </w:tc>
      </w:tr>
      <w:tr w:rsidR="00030CC5" w:rsidRPr="002C3702" w14:paraId="62927772"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9DF066"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0C1C870C"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Statistical Analysis Plan I3Y-MC-JPC, Addendum for OS Analyses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3D7592E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Approval date: 15-Dec-2020  </w:t>
            </w:r>
          </w:p>
        </w:tc>
      </w:tr>
      <w:tr w:rsidR="00030CC5" w:rsidRPr="002C3702" w14:paraId="53BADF04"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FD391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hideMark/>
          </w:tcPr>
          <w:p w14:paraId="3883F7AE" w14:textId="1A4B117C" w:rsidR="00030CC5" w:rsidRPr="002C3702" w:rsidRDefault="00030CC5" w:rsidP="009337DA">
            <w:pPr>
              <w:widowControl w:val="0"/>
              <w:textAlignment w:val="baseline"/>
              <w:rPr>
                <w:rFonts w:ascii="Times New Roman" w:hAnsi="Times New Roman" w:cs="Times New Roman"/>
                <w:sz w:val="20"/>
                <w:szCs w:val="20"/>
              </w:rPr>
            </w:pPr>
            <w:r w:rsidRPr="002C3702">
              <w:rPr>
                <w:rFonts w:ascii="Arial Narrow" w:hAnsi="Arial Narrow" w:cs="Times New Roman"/>
                <w:sz w:val="20"/>
                <w:szCs w:val="20"/>
              </w:rPr>
              <w:t>Cohort 1 additional tables. Additional analyses of Cohort 1</w:t>
            </w:r>
            <w:r w:rsidR="002C3702">
              <w:rPr>
                <w:rFonts w:ascii="Arial Narrow" w:hAnsi="Arial Narrow" w:cs="Times New Roman"/>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hideMark/>
          </w:tcPr>
          <w:p w14:paraId="39C19D43"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Approval date: April 2021  </w:t>
            </w:r>
          </w:p>
        </w:tc>
      </w:tr>
      <w:tr w:rsidR="00030CC5" w:rsidRPr="002C3702" w14:paraId="595E7283"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0A87D3"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hideMark/>
          </w:tcPr>
          <w:p w14:paraId="06098EA9" w14:textId="77777777" w:rsidR="00030CC5" w:rsidRPr="002C3702" w:rsidRDefault="00030CC5" w:rsidP="009337DA">
            <w:pPr>
              <w:widowControl w:val="0"/>
              <w:textAlignment w:val="baseline"/>
              <w:rPr>
                <w:rFonts w:ascii="Times New Roman" w:hAnsi="Times New Roman" w:cs="Times New Roman"/>
                <w:sz w:val="20"/>
                <w:szCs w:val="20"/>
              </w:rPr>
            </w:pPr>
            <w:r w:rsidRPr="002C3702">
              <w:rPr>
                <w:rFonts w:ascii="Arial Narrow" w:hAnsi="Arial Narrow" w:cs="Times New Roman"/>
                <w:sz w:val="20"/>
                <w:szCs w:val="20"/>
              </w:rPr>
              <w:t xml:space="preserve">Statistical tables </w:t>
            </w:r>
            <w:r w:rsidRPr="002C3702">
              <w:rPr>
                <w:rFonts w:ascii="Arial Narrow" w:hAnsi="Arial Narrow" w:cs="Times New Roman"/>
                <w:color w:val="000000"/>
                <w:sz w:val="20"/>
                <w:szCs w:val="20"/>
              </w:rPr>
              <w:t xml:space="preserve">– confidential </w:t>
            </w:r>
            <w:r w:rsidRPr="002C3702">
              <w:rPr>
                <w:rFonts w:ascii="Arial Narrow" w:hAnsi="Arial Narrow" w:cs="Times New Roman"/>
                <w:sz w:val="20"/>
                <w:szCs w:val="20"/>
              </w:rPr>
              <w:t>Statistical tables and figures for key outcomes for ITT and Cohort 1 (CSR not yet available)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hideMark/>
          </w:tcPr>
          <w:p w14:paraId="37B2972D"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Approval date: July 2022  </w:t>
            </w:r>
          </w:p>
        </w:tc>
      </w:tr>
      <w:tr w:rsidR="00030CC5" w:rsidRPr="002C3702" w14:paraId="656B7E6F"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5BEB4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3C5DB48C"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b/>
                <w:color w:val="000000"/>
                <w:sz w:val="20"/>
                <w:szCs w:val="20"/>
              </w:rPr>
              <w:t>Publications</w:t>
            </w:r>
            <w:r w:rsidRPr="002C3702">
              <w:rPr>
                <w:rFonts w:ascii="Arial Narrow" w:hAnsi="Arial Narrow" w:cs="Times New Roman"/>
                <w:color w:val="000000"/>
                <w:sz w:val="20"/>
                <w:szCs w:val="20"/>
              </w:rPr>
              <w:t>  </w:t>
            </w:r>
          </w:p>
          <w:p w14:paraId="71E429B6" w14:textId="4CEA8C3A"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Rastogi, P., Toi, M. et al. MonarchE: a randomized, open-label, phase 3 study of ABE combined with standard adjuvant endocrine therapy versus standard adjuvant endocrine therapy alone in patients with high risk, node positive, early stage, HR+, HER2-breast cancer</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59211690" w14:textId="5D12602A"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color w:val="000000"/>
                <w:sz w:val="20"/>
                <w:szCs w:val="20"/>
              </w:rPr>
              <w:t>Cancer Research</w:t>
            </w:r>
            <w:r w:rsidRPr="002C3702">
              <w:rPr>
                <w:rFonts w:ascii="Arial Narrow" w:hAnsi="Arial Narrow" w:cs="Times New Roman"/>
                <w:color w:val="000000"/>
                <w:sz w:val="20"/>
                <w:szCs w:val="20"/>
              </w:rPr>
              <w:t xml:space="preserve"> 2018; 78 (4)</w:t>
            </w:r>
            <w:r w:rsidR="002C3702">
              <w:rPr>
                <w:rFonts w:ascii="Arial Narrow" w:hAnsi="Arial Narrow" w:cs="Times New Roman"/>
                <w:color w:val="000000"/>
                <w:sz w:val="20"/>
                <w:szCs w:val="20"/>
              </w:rPr>
              <w:t xml:space="preserve">. </w:t>
            </w:r>
          </w:p>
        </w:tc>
      </w:tr>
      <w:tr w:rsidR="00030CC5" w:rsidRPr="002C3702" w14:paraId="37389193"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DE4648"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553B2FD1" w14:textId="250015F5"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Johnston, S., Harbeck, N. et al. 2MO ABE in high-risk early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5AA641D6" w14:textId="0F5724A9"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color w:val="000000"/>
                <w:sz w:val="20"/>
                <w:szCs w:val="20"/>
              </w:rPr>
              <w:t>Annals of Oncology</w:t>
            </w:r>
            <w:r w:rsidRPr="002C3702">
              <w:rPr>
                <w:rFonts w:ascii="Arial Narrow" w:hAnsi="Arial Narrow" w:cs="Times New Roman"/>
                <w:color w:val="000000"/>
                <w:sz w:val="20"/>
                <w:szCs w:val="20"/>
              </w:rPr>
              <w:t xml:space="preserve"> 2020; 31:S1242</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S1243</w:t>
            </w:r>
            <w:r w:rsidR="002C3702">
              <w:rPr>
                <w:rFonts w:ascii="Arial Narrow" w:hAnsi="Arial Narrow" w:cs="Times New Roman"/>
                <w:color w:val="000000"/>
                <w:sz w:val="20"/>
                <w:szCs w:val="20"/>
              </w:rPr>
              <w:t xml:space="preserve">. </w:t>
            </w:r>
          </w:p>
        </w:tc>
      </w:tr>
      <w:tr w:rsidR="00030CC5" w:rsidRPr="002C3702" w14:paraId="64F4B79F"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357E49"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6F3A6DBD" w14:textId="1D2613E8"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Johnston, S. R. D., Harbeck, N. et al. ABE Combined with Endocrine Therapy for the Adjuvant Treatment of HR+, HER2-, Node-Positive, High-Risk, Early Breast Cancer (monarchE)</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2F90E6D8"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color w:val="000000"/>
                <w:sz w:val="20"/>
                <w:szCs w:val="20"/>
              </w:rPr>
              <w:t xml:space="preserve">Journal of clinical oncology </w:t>
            </w:r>
            <w:r w:rsidRPr="002C3702">
              <w:rPr>
                <w:rFonts w:ascii="Arial Narrow" w:hAnsi="Arial Narrow" w:cs="Times New Roman"/>
                <w:color w:val="000000"/>
                <w:sz w:val="20"/>
                <w:szCs w:val="20"/>
              </w:rPr>
              <w:t>2020  </w:t>
            </w:r>
          </w:p>
        </w:tc>
      </w:tr>
      <w:tr w:rsidR="00030CC5" w:rsidRPr="002C3702" w14:paraId="4E2F19DF"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352FB9"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62748154" w14:textId="58D65AB6"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Johnston, S. R. D., Harbeck, N. et al. ABE in high-risk early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2A926B67"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color w:val="000000"/>
                <w:sz w:val="20"/>
                <w:szCs w:val="20"/>
              </w:rPr>
              <w:t>Annals of Oncology</w:t>
            </w:r>
            <w:r w:rsidRPr="002C3702">
              <w:rPr>
                <w:rFonts w:ascii="Arial Narrow" w:hAnsi="Arial Narrow" w:cs="Times New Roman"/>
                <w:color w:val="000000"/>
                <w:sz w:val="20"/>
                <w:szCs w:val="20"/>
              </w:rPr>
              <w:t xml:space="preserve"> 2020; 31:S1143</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S1144  </w:t>
            </w:r>
          </w:p>
        </w:tc>
      </w:tr>
      <w:tr w:rsidR="00030CC5" w:rsidRPr="002C3702" w14:paraId="4EA54185"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00567C"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280277B0" w14:textId="3262D122"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Jiang, Z., Nakayama, T. et al. LBA 1 Baseline characteristics of patients from Asia enrolled in monarchE, evaluating ABE in high-risk early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01B66DF7" w14:textId="13FDD71A"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color w:val="000000"/>
                <w:sz w:val="20"/>
                <w:szCs w:val="20"/>
              </w:rPr>
              <w:t>Annals of oncology</w:t>
            </w:r>
            <w:r w:rsidRPr="002C3702">
              <w:rPr>
                <w:rFonts w:ascii="Arial Narrow" w:hAnsi="Arial Narrow" w:cs="Times New Roman"/>
                <w:color w:val="000000"/>
                <w:sz w:val="20"/>
                <w:szCs w:val="20"/>
              </w:rPr>
              <w:t xml:space="preserve"> 2020; 31:S1241</w:t>
            </w:r>
            <w:r w:rsidR="002C3702">
              <w:rPr>
                <w:rFonts w:ascii="Arial Narrow" w:hAnsi="Arial Narrow" w:cs="Times New Roman"/>
                <w:color w:val="000000"/>
                <w:sz w:val="20"/>
                <w:szCs w:val="20"/>
              </w:rPr>
              <w:t xml:space="preserve">. </w:t>
            </w:r>
          </w:p>
        </w:tc>
      </w:tr>
      <w:tr w:rsidR="00030CC5" w:rsidRPr="002C3702" w14:paraId="1CFC3515"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CF6C4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1479ABEC"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Harbeck N., Rastogi P., et al. Adjuvant abemaciclib combined with endocrine therapy for high-risk early breast cancer: updated efficacy and Ki-67 analysis from the monarchE study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AC54531"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 xml:space="preserve">2021 </w:t>
            </w:r>
            <w:r w:rsidRPr="002C3702">
              <w:rPr>
                <w:rFonts w:ascii="Arial Narrow" w:hAnsi="Arial Narrow" w:cs="Times New Roman"/>
                <w:i/>
                <w:color w:val="000000"/>
                <w:sz w:val="20"/>
                <w:szCs w:val="20"/>
              </w:rPr>
              <w:t>(in press)</w:t>
            </w:r>
            <w:r w:rsidRPr="002C3702">
              <w:rPr>
                <w:rFonts w:ascii="Arial Narrow" w:hAnsi="Arial Narrow" w:cs="Times New Roman"/>
                <w:color w:val="000000"/>
                <w:sz w:val="20"/>
                <w:szCs w:val="20"/>
              </w:rPr>
              <w:t>  </w:t>
            </w:r>
          </w:p>
        </w:tc>
      </w:tr>
      <w:tr w:rsidR="00030CC5" w:rsidRPr="002C3702" w14:paraId="1FDE6CCD"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8D16A9"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49AB156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Harbeck N., Rastogi P., et al. Adjuvant abemaciclib combined with endocrine therapy for high-risk early breast cancer: updated efficacy and Ki-67 analysis from the monarchE study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4361F41A"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2021</w:t>
            </w:r>
            <w:r w:rsidRPr="002C3702">
              <w:rPr>
                <w:rFonts w:ascii="Arial Narrow" w:hAnsi="Arial Narrow" w:cs="Times New Roman"/>
                <w:i/>
                <w:color w:val="000000"/>
                <w:sz w:val="20"/>
                <w:szCs w:val="20"/>
              </w:rPr>
              <w:t xml:space="preserve"> (in press – supplementary data)</w:t>
            </w:r>
            <w:r w:rsidRPr="002C3702">
              <w:rPr>
                <w:rFonts w:ascii="Arial Narrow" w:hAnsi="Arial Narrow" w:cs="Times New Roman"/>
                <w:color w:val="000000"/>
                <w:sz w:val="20"/>
                <w:szCs w:val="20"/>
              </w:rPr>
              <w:t>  </w:t>
            </w:r>
          </w:p>
        </w:tc>
      </w:tr>
      <w:tr w:rsidR="00030CC5" w:rsidRPr="002C3702" w14:paraId="4E409428"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00C8C5"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4022EE4E"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Harbeck N., Rastogi P., et al. Letter to the Editor for "Adjuvant Abemaciclib Combined With Endocrine Therapy for High-Risk Early Breast Cancer: Updated Efficacy and Ki-67 Analysis From the monarchE Study"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71CFDC8"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2021</w:t>
            </w:r>
            <w:r w:rsidRPr="002C3702">
              <w:rPr>
                <w:rFonts w:ascii="Arial Narrow" w:hAnsi="Arial Narrow" w:cs="Times New Roman"/>
                <w:i/>
                <w:color w:val="000000"/>
                <w:sz w:val="20"/>
                <w:szCs w:val="20"/>
              </w:rPr>
              <w:t xml:space="preserve"> (in press)</w:t>
            </w:r>
            <w:r w:rsidRPr="002C3702">
              <w:rPr>
                <w:rFonts w:ascii="Arial Narrow" w:hAnsi="Arial Narrow" w:cs="Times New Roman"/>
                <w:color w:val="000000"/>
                <w:sz w:val="20"/>
                <w:szCs w:val="20"/>
              </w:rPr>
              <w:t>  </w:t>
            </w:r>
          </w:p>
        </w:tc>
      </w:tr>
      <w:tr w:rsidR="00030CC5" w:rsidRPr="002C3702" w14:paraId="0E23CDA9"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80ACB5"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496E5DFE" w14:textId="0C31BA71"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M. Martin, R. Hegg, S. B. Kim, M. Schenker, D. Grecea, J. A. Garcia-Saenz, et al. Abemaciclib combined with adjuvant endocrine therapy in patients with high-risk early breast cancer who received neoadjuvant chemotherapy (NAC)</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2A18A2A1"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Journal of clinical oncology</w:t>
            </w:r>
            <w:r w:rsidRPr="002C3702">
              <w:rPr>
                <w:rFonts w:ascii="Arial Narrow" w:hAnsi="Arial Narrow" w:cs="Times New Roman"/>
                <w:color w:val="000000"/>
                <w:sz w:val="20"/>
                <w:szCs w:val="20"/>
              </w:rPr>
              <w:t xml:space="preserve"> 2021 Vol. 39 Issue 15 SUPPL  </w:t>
            </w:r>
          </w:p>
        </w:tc>
      </w:tr>
      <w:tr w:rsidR="00030CC5" w:rsidRPr="002C3702" w14:paraId="5C97936F"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9597B3"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1BE9768F" w14:textId="6ACA4B2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 xml:space="preserve">S. Zhimin, Q. Zhang, C. G. Song, Q. Ouyang, Z. Liu, Q. Liu, et al. Efficacy and safety analysis of Chinese patients in monarchE: </w:t>
            </w:r>
            <w:r w:rsidRPr="002C3702">
              <w:rPr>
                <w:rFonts w:ascii="Arial Narrow" w:hAnsi="Arial Narrow" w:cs="Times New Roman"/>
                <w:color w:val="000000"/>
                <w:sz w:val="20"/>
                <w:szCs w:val="20"/>
              </w:rPr>
              <w:lastRenderedPageBreak/>
              <w:t>abemaciclib combined with adjuvant endocrine therapy for high risk HR+, HER2-early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66761F31" w14:textId="6DB209A8"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lastRenderedPageBreak/>
              <w:t>Journal of clinical oncology</w:t>
            </w:r>
            <w:r w:rsidRPr="002C3702">
              <w:rPr>
                <w:rFonts w:ascii="Arial Narrow" w:hAnsi="Arial Narrow" w:cs="Times New Roman"/>
                <w:color w:val="000000"/>
                <w:sz w:val="20"/>
                <w:szCs w:val="20"/>
              </w:rPr>
              <w:t xml:space="preserve"> 2021 Vol. 39 Issue 15 SUPPL</w:t>
            </w:r>
            <w:r w:rsidR="002C3702">
              <w:rPr>
                <w:rFonts w:ascii="Arial Narrow" w:hAnsi="Arial Narrow" w:cs="Times New Roman"/>
                <w:color w:val="000000"/>
                <w:sz w:val="20"/>
                <w:szCs w:val="20"/>
              </w:rPr>
              <w:t xml:space="preserve">. </w:t>
            </w:r>
          </w:p>
        </w:tc>
      </w:tr>
      <w:tr w:rsidR="00030CC5" w:rsidRPr="002C3702" w14:paraId="12A24940"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FFF419"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1F4436B4" w14:textId="622960D9"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Y. S. Yap, S. B. Kim, J. W. Y. Chiu, E. Lim, R. Broom, Z. Liu, et al. 48P Abemaciclib combined with adjuvant endocrine therapy in patients from Asia with high-risk early breast cancer: monarchE</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6F36625" w14:textId="6875578C"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Annals of oncology</w:t>
            </w:r>
            <w:r w:rsidRPr="002C3702">
              <w:rPr>
                <w:rFonts w:ascii="Arial Narrow" w:hAnsi="Arial Narrow" w:cs="Times New Roman"/>
                <w:color w:val="000000"/>
                <w:sz w:val="20"/>
                <w:szCs w:val="20"/>
              </w:rPr>
              <w:t xml:space="preserve"> 2021 Vol. 32 Pages S41</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S42</w:t>
            </w:r>
            <w:r w:rsidR="002C3702">
              <w:rPr>
                <w:rFonts w:ascii="Arial Narrow" w:hAnsi="Arial Narrow" w:cs="Times New Roman"/>
                <w:color w:val="000000"/>
                <w:sz w:val="20"/>
                <w:szCs w:val="20"/>
              </w:rPr>
              <w:t xml:space="preserve">. </w:t>
            </w:r>
          </w:p>
        </w:tc>
      </w:tr>
      <w:tr w:rsidR="00030CC5" w:rsidRPr="002C3702" w14:paraId="79DE6E78"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E0CB60"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28E72BBF" w14:textId="78AC7338"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 Tolaney, I. Blancas, Y. Im, P. Rastogi, J. Brown, A. Shahir, et al. Patients’ quality of life and side effect perceptions in monarchE, a study of abemaciclib plus endocrine therapy in adjuvant treatment of HR+, HER2-, node-positive, high-risk, early breast cancer</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4785FA41" w14:textId="0ACD11A0"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Breast</w:t>
            </w:r>
            <w:r w:rsidRPr="002C3702">
              <w:rPr>
                <w:rFonts w:ascii="Arial Narrow" w:hAnsi="Arial Narrow" w:cs="Times New Roman"/>
                <w:color w:val="000000"/>
                <w:sz w:val="20"/>
                <w:szCs w:val="20"/>
              </w:rPr>
              <w:t xml:space="preserve"> (Edinburgh, Scotland) 2021 Vol. 56 Pages S20</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S21</w:t>
            </w:r>
            <w:r w:rsidR="002C3702">
              <w:rPr>
                <w:rFonts w:ascii="Arial Narrow" w:hAnsi="Arial Narrow" w:cs="Times New Roman"/>
                <w:color w:val="000000"/>
                <w:sz w:val="20"/>
                <w:szCs w:val="20"/>
              </w:rPr>
              <w:t xml:space="preserve">. </w:t>
            </w:r>
          </w:p>
        </w:tc>
      </w:tr>
      <w:tr w:rsidR="00030CC5" w:rsidRPr="002C3702" w14:paraId="0E34DA05"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40F025"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0749B3B5" w14:textId="7829D85A"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M. Toi, F. Boyle, Y. H. Im, M. Reinisch, D. Molthrop, Z. Jiang, et al. 59MO Adjuvant abemaciclib combined with endocrine therapy (ET): efficacy results in monarchE Cohort 1</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317FC853" w14:textId="785DDB7E"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Annals of oncology</w:t>
            </w:r>
            <w:r w:rsidRPr="002C3702">
              <w:rPr>
                <w:rFonts w:ascii="Arial Narrow" w:hAnsi="Arial Narrow" w:cs="Times New Roman"/>
                <w:color w:val="000000"/>
                <w:sz w:val="20"/>
                <w:szCs w:val="20"/>
              </w:rPr>
              <w:t xml:space="preserve"> 2022 Vol. 33 Page S149</w:t>
            </w:r>
            <w:r w:rsidR="002C3702">
              <w:rPr>
                <w:rFonts w:ascii="Arial Narrow" w:hAnsi="Arial Narrow" w:cs="Times New Roman"/>
                <w:color w:val="000000"/>
                <w:sz w:val="20"/>
                <w:szCs w:val="20"/>
              </w:rPr>
              <w:t xml:space="preserve">. </w:t>
            </w:r>
          </w:p>
        </w:tc>
      </w:tr>
      <w:tr w:rsidR="00030CC5" w:rsidRPr="002C3702" w14:paraId="4C9DDAFC"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9C9855"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3E8CB64B" w14:textId="43BA7911"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 Paluch-Shimon, P. Neven, J. Huober, I. Cicin, Z. Jiang, M. P. Goetz, et al. 63P Efficacy and safety results by menopausal status in monarchE: adjuvant abemaciclib combined with endocrine therapy in patients with HR+, HER2- high-risk early breast cancer</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373A24AD" w14:textId="63C36A99"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Annals of oncology</w:t>
            </w:r>
            <w:r w:rsidRPr="002C3702">
              <w:rPr>
                <w:rFonts w:ascii="Arial Narrow" w:hAnsi="Arial Narrow" w:cs="Times New Roman"/>
                <w:color w:val="000000"/>
                <w:sz w:val="20"/>
                <w:szCs w:val="20"/>
              </w:rPr>
              <w:t xml:space="preserve"> 2022 Vol. 33 Page S151</w:t>
            </w:r>
            <w:r w:rsidR="002C3702">
              <w:rPr>
                <w:rFonts w:ascii="Arial Narrow" w:hAnsi="Arial Narrow" w:cs="Times New Roman"/>
                <w:color w:val="000000"/>
                <w:sz w:val="20"/>
                <w:szCs w:val="20"/>
              </w:rPr>
              <w:t xml:space="preserve">. </w:t>
            </w:r>
          </w:p>
        </w:tc>
      </w:tr>
      <w:tr w:rsidR="00030CC5" w:rsidRPr="002C3702" w14:paraId="78B405DC"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E6E31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5AA2D89F" w14:textId="5ADD5F39"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S. Paluch-Shimon, H. Lueck, J. Beith, E. Tokunaga, J. R. Contreras, R. O. de Sant'Ana, et al. Adjuvant endocrine therapy combined with abemaciclib in monarchE patients with high-risk early breast cancer: disease characteristics and endocrine therapy choice by menopausal status</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345D41DA" w14:textId="799B0045"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Annals of oncology</w:t>
            </w:r>
            <w:r w:rsidRPr="002C3702">
              <w:rPr>
                <w:rFonts w:ascii="Arial Narrow" w:hAnsi="Arial Narrow" w:cs="Times New Roman"/>
                <w:color w:val="000000"/>
                <w:sz w:val="20"/>
                <w:szCs w:val="20"/>
              </w:rPr>
              <w:t xml:space="preserve"> 2021 Vol. 32 Pages S427</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S428</w:t>
            </w:r>
            <w:r w:rsidR="002C3702">
              <w:rPr>
                <w:rFonts w:ascii="Arial Narrow" w:hAnsi="Arial Narrow" w:cs="Times New Roman"/>
                <w:color w:val="000000"/>
                <w:sz w:val="20"/>
                <w:szCs w:val="20"/>
              </w:rPr>
              <w:t xml:space="preserve">. </w:t>
            </w:r>
          </w:p>
        </w:tc>
      </w:tr>
      <w:tr w:rsidR="00030CC5" w:rsidRPr="002C3702" w14:paraId="63063815"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51B592"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32AF6434" w14:textId="4A664CDA"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 O'Shaughnessy, S. Johnston, N. Harbeck, M. Toi, Y. Im, M. Reinisch, et al. Primary outcome analysis of invasive disease-free survival for monarchE: abemaciclib plus adjuvant endocrine therapy for high-risk early breast cancer</w:t>
            </w:r>
            <w:r w:rsidR="002C3702">
              <w:rPr>
                <w:rFonts w:ascii="Arial Narrow" w:hAnsi="Arial Narrow" w:cs="Times New Roman"/>
                <w:color w:val="000000"/>
                <w:sz w:val="20"/>
                <w:szCs w:val="20"/>
              </w:rPr>
              <w:t xml:space="preserve">.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0DA3E148" w14:textId="519F35B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Tumori 2021 Vol. 107 Issue 2 SUPPL Pages 11</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12</w:t>
            </w:r>
            <w:r w:rsidR="002C3702">
              <w:rPr>
                <w:rFonts w:ascii="Arial Narrow" w:hAnsi="Arial Narrow" w:cs="Times New Roman"/>
                <w:color w:val="000000"/>
                <w:sz w:val="20"/>
                <w:szCs w:val="20"/>
              </w:rPr>
              <w:t xml:space="preserve">. </w:t>
            </w:r>
          </w:p>
        </w:tc>
      </w:tr>
      <w:tr w:rsidR="00030CC5" w:rsidRPr="002C3702" w14:paraId="6DE4CBF2"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A26EED"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72861FC9" w14:textId="63DC843F"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J. A. O'Shaughnessy, S. Johnston, N. Harbeck, M. Toi, Y. H. Im, M. Reinisch, et al. Primary outcome analysis of invasive disease-free survival for monarchE: abemaciclib combined with adjuvant endocrine therapy for high risk early breast cancer</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E7E49E0"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Cancer Research</w:t>
            </w:r>
            <w:r w:rsidRPr="002C3702">
              <w:rPr>
                <w:rFonts w:ascii="Arial Narrow" w:hAnsi="Arial Narrow" w:cs="Times New Roman"/>
                <w:color w:val="000000"/>
                <w:sz w:val="20"/>
                <w:szCs w:val="20"/>
              </w:rPr>
              <w:t xml:space="preserve"> 2021 Vol. 81 Issue 4 SUPPL  </w:t>
            </w:r>
          </w:p>
        </w:tc>
      </w:tr>
      <w:tr w:rsidR="00030CC5" w:rsidRPr="002C3702" w14:paraId="13BB11BC"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70FE3E"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72D69020" w14:textId="1DCA4BC4"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M. Martin, R. Hegg, S. B. Kim, M. Schenker, D. Grecea, J. A. Garcia-Saenz, et al. Treatment With Adjuvant Abemaciclib Plus Endocrine Therapy in Patients With High-risk Early Breast Cancer Who Received Neoadjuvant Chemotherapy: a Prespecified Analysis of the monarchE Randomized Clinical Trial</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2C64025A" w14:textId="74C960BD"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JAMA oncology</w:t>
            </w:r>
            <w:r w:rsidRPr="002C3702">
              <w:rPr>
                <w:rFonts w:ascii="Arial Narrow" w:hAnsi="Arial Narrow" w:cs="Times New Roman"/>
                <w:color w:val="000000"/>
                <w:sz w:val="20"/>
                <w:szCs w:val="20"/>
              </w:rPr>
              <w:t xml:space="preserve"> 2022</w:t>
            </w:r>
            <w:r w:rsidR="002C3702">
              <w:rPr>
                <w:rFonts w:ascii="Arial Narrow" w:hAnsi="Arial Narrow" w:cs="Times New Roman"/>
                <w:color w:val="000000"/>
                <w:sz w:val="20"/>
                <w:szCs w:val="20"/>
              </w:rPr>
              <w:t xml:space="preserve">. </w:t>
            </w:r>
          </w:p>
        </w:tc>
      </w:tr>
      <w:tr w:rsidR="00030CC5" w:rsidRPr="002C3702" w14:paraId="17616374"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A42760"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56874BB1" w14:textId="6C9117E3"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N. Harbeck, P. Rastogi, M. Martin, S. M. Tolaney, Z. M. Shao, P. A. Fasching, et al. Adjuvant abemaciclib combined with endocrine therapy for high-risk early breast cancer: updated efficacy and Ki-67 analysis from the monarchE study</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F6F9986" w14:textId="154E4898"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Annals of oncology</w:t>
            </w:r>
            <w:r w:rsidRPr="002C3702">
              <w:rPr>
                <w:rFonts w:ascii="Arial Narrow" w:hAnsi="Arial Narrow" w:cs="Times New Roman"/>
                <w:color w:val="000000"/>
                <w:sz w:val="20"/>
                <w:szCs w:val="20"/>
              </w:rPr>
              <w:t xml:space="preserve"> 2021 Vol. 32 Issue 12 Pages 1571</w:t>
            </w:r>
            <w:r w:rsidRPr="002C3702">
              <w:rPr>
                <w:rFonts w:ascii="Cambria Math" w:hAnsi="Cambria Math" w:cs="Times New Roman"/>
                <w:color w:val="000000"/>
                <w:sz w:val="20"/>
                <w:szCs w:val="20"/>
              </w:rPr>
              <w:t>‐</w:t>
            </w:r>
            <w:r w:rsidRPr="002C3702">
              <w:rPr>
                <w:rFonts w:ascii="Arial Narrow" w:hAnsi="Arial Narrow" w:cs="Times New Roman"/>
                <w:color w:val="000000"/>
                <w:sz w:val="20"/>
                <w:szCs w:val="20"/>
              </w:rPr>
              <w:t>1581</w:t>
            </w:r>
            <w:r w:rsidR="002C3702">
              <w:rPr>
                <w:rFonts w:ascii="Arial Narrow" w:hAnsi="Arial Narrow" w:cs="Times New Roman"/>
                <w:color w:val="000000"/>
                <w:sz w:val="20"/>
                <w:szCs w:val="20"/>
              </w:rPr>
              <w:t xml:space="preserve">. </w:t>
            </w:r>
          </w:p>
        </w:tc>
      </w:tr>
      <w:tr w:rsidR="00030CC5" w:rsidRPr="002C3702" w14:paraId="09131F5A"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310E58"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0AFFF819" w14:textId="77439CB2"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N. Harbeck, S. Johnston, P. Fasching, M. Martin, M. Toi, P. Rastogi, et al. High Ki-67 as a biomarker for identifying patients with high risk early breast cancer treated in monarchE</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18DD9E6B" w14:textId="77DF62AE"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Cancer Research</w:t>
            </w:r>
            <w:r w:rsidRPr="002C3702">
              <w:rPr>
                <w:rFonts w:ascii="Arial Narrow" w:hAnsi="Arial Narrow" w:cs="Times New Roman"/>
                <w:color w:val="000000"/>
                <w:sz w:val="20"/>
                <w:szCs w:val="20"/>
              </w:rPr>
              <w:t xml:space="preserve"> 2021 Vol. 81 Issue 4 SUPPL</w:t>
            </w:r>
            <w:r w:rsidR="002C3702">
              <w:rPr>
                <w:rFonts w:ascii="Arial Narrow" w:hAnsi="Arial Narrow" w:cs="Times New Roman"/>
                <w:color w:val="000000"/>
                <w:sz w:val="20"/>
                <w:szCs w:val="20"/>
              </w:rPr>
              <w:t xml:space="preserve">. </w:t>
            </w:r>
          </w:p>
        </w:tc>
      </w:tr>
      <w:tr w:rsidR="00030CC5" w:rsidRPr="002C3702" w14:paraId="0243819A" w14:textId="77777777" w:rsidTr="006E7D6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A6872D"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95B3D7"/>
            <w:hideMark/>
          </w:tcPr>
          <w:p w14:paraId="389CAE21" w14:textId="4FD99D8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color w:val="000000"/>
                <w:sz w:val="20"/>
                <w:szCs w:val="20"/>
              </w:rPr>
              <w:t>P. Fasching, N. Harbeck, S. Johnston, M. Martin, M. Toi, P. Rastogi, et al. High Ki-67 as a biomarker for identifying patients with high-risk early breast cancer treated in monarchE</w:t>
            </w:r>
            <w:r w:rsidR="002C3702">
              <w:rPr>
                <w:rFonts w:ascii="Arial Narrow" w:hAnsi="Arial Narrow" w:cs="Times New Roman"/>
                <w:color w:val="000000"/>
                <w:sz w:val="20"/>
                <w:szCs w:val="20"/>
              </w:rPr>
              <w:t xml:space="preserve">. </w:t>
            </w:r>
            <w:r w:rsidRPr="002C3702">
              <w:rPr>
                <w:rFonts w:ascii="Arial Narrow" w:hAnsi="Arial Narrow" w:cs="Times New Roman"/>
                <w:color w:val="000000"/>
                <w:sz w:val="20"/>
                <w:szCs w:val="20"/>
              </w:rPr>
              <w:t> </w:t>
            </w:r>
          </w:p>
        </w:tc>
        <w:tc>
          <w:tcPr>
            <w:tcW w:w="2370" w:type="dxa"/>
            <w:gridSpan w:val="2"/>
            <w:tcBorders>
              <w:top w:val="single" w:sz="6" w:space="0" w:color="auto"/>
              <w:left w:val="single" w:sz="6" w:space="0" w:color="auto"/>
              <w:bottom w:val="single" w:sz="6" w:space="0" w:color="auto"/>
              <w:right w:val="single" w:sz="6" w:space="0" w:color="auto"/>
            </w:tcBorders>
            <w:shd w:val="clear" w:color="auto" w:fill="95B3D7"/>
            <w:vAlign w:val="center"/>
            <w:hideMark/>
          </w:tcPr>
          <w:p w14:paraId="6DD0E73A" w14:textId="6A7D28AB"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color w:val="000000"/>
                <w:sz w:val="20"/>
                <w:szCs w:val="20"/>
              </w:rPr>
              <w:t>Oncology research and treatment</w:t>
            </w:r>
            <w:r w:rsidRPr="002C3702">
              <w:rPr>
                <w:rFonts w:ascii="Arial Narrow" w:hAnsi="Arial Narrow" w:cs="Times New Roman"/>
                <w:color w:val="000000"/>
                <w:sz w:val="20"/>
                <w:szCs w:val="20"/>
              </w:rPr>
              <w:t xml:space="preserve"> 2021 Vol. 44 Issue SUPPL 2 Page 244</w:t>
            </w:r>
            <w:r w:rsidR="002C3702">
              <w:rPr>
                <w:rFonts w:ascii="Arial Narrow" w:hAnsi="Arial Narrow" w:cs="Times New Roman"/>
                <w:color w:val="000000"/>
                <w:sz w:val="20"/>
                <w:szCs w:val="20"/>
              </w:rPr>
              <w:t xml:space="preserve">. </w:t>
            </w:r>
          </w:p>
        </w:tc>
      </w:tr>
      <w:tr w:rsidR="00030CC5" w:rsidRPr="002C3702" w14:paraId="1F6E3CD0" w14:textId="77777777" w:rsidTr="006E7D62">
        <w:trPr>
          <w:gridAfter w:val="1"/>
          <w:wAfter w:w="26"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CFA937"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239B8CA2"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Johnston SRD, Toi M, O'Shaughnessy J, Rastogi P, et al.: </w:t>
            </w:r>
          </w:p>
          <w:p w14:paraId="216EF1C1" w14:textId="5E8E2626"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sz w:val="20"/>
                <w:szCs w:val="20"/>
              </w:rPr>
              <w:t>Abemaciclib plus endocrine therapy for hormone receptor-positive, HER2-negative, node-positive, high-risk early breast cancer (monarchE): results from a preplanned interim analysis of a randomised, open-label, phase 3 trial</w:t>
            </w:r>
            <w:r w:rsidR="002C3702">
              <w:rPr>
                <w:rFonts w:ascii="Arial Narrow" w:hAnsi="Arial Narrow" w:cs="Times New Roman"/>
                <w:sz w:val="20"/>
                <w:szCs w:val="20"/>
              </w:rPr>
              <w:t xml:space="preserve">.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D36DB" w14:textId="77777777" w:rsidR="00030CC5" w:rsidRPr="002C3702" w:rsidRDefault="00030CC5" w:rsidP="009337DA">
            <w:pPr>
              <w:widowControl w:val="0"/>
              <w:jc w:val="left"/>
              <w:textAlignment w:val="baseline"/>
              <w:rPr>
                <w:rFonts w:ascii="Times New Roman" w:hAnsi="Times New Roman" w:cs="Times New Roman"/>
                <w:sz w:val="20"/>
                <w:szCs w:val="20"/>
              </w:rPr>
            </w:pPr>
            <w:r w:rsidRPr="002C3702">
              <w:rPr>
                <w:rFonts w:ascii="Arial Narrow" w:hAnsi="Arial Narrow" w:cs="Times New Roman"/>
                <w:i/>
                <w:iCs/>
                <w:sz w:val="20"/>
                <w:szCs w:val="20"/>
              </w:rPr>
              <w:t>Lancet Oncol.</w:t>
            </w:r>
            <w:r w:rsidRPr="002C3702">
              <w:rPr>
                <w:rFonts w:ascii="Arial Narrow" w:hAnsi="Arial Narrow" w:cs="Times New Roman"/>
                <w:sz w:val="20"/>
                <w:szCs w:val="20"/>
              </w:rPr>
              <w:t xml:space="preserve"> 2023 Jan;24(1):77-90. </w:t>
            </w:r>
          </w:p>
        </w:tc>
      </w:tr>
      <w:tr w:rsidR="00030CC5" w:rsidRPr="002C3702" w14:paraId="3F18EEFB" w14:textId="77777777" w:rsidTr="006E7D62">
        <w:trPr>
          <w:gridAfter w:val="1"/>
          <w:wAfter w:w="26"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1FB574" w14:textId="77777777" w:rsidR="00030CC5" w:rsidRPr="002C3702" w:rsidRDefault="00030CC5" w:rsidP="009337DA">
            <w:pPr>
              <w:widowControl w:val="0"/>
              <w:jc w:val="left"/>
              <w:rPr>
                <w:rFonts w:ascii="Times New Roman" w:hAnsi="Times New Roman" w:cs="Times New Roman"/>
                <w:sz w:val="20"/>
                <w:szCs w:val="20"/>
              </w:rPr>
            </w:pP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5280FE54" w14:textId="77777777" w:rsidR="00030CC5" w:rsidRPr="002C3702" w:rsidRDefault="00030CC5" w:rsidP="009337DA">
            <w:pPr>
              <w:widowControl w:val="0"/>
              <w:jc w:val="left"/>
              <w:textAlignment w:val="baseline"/>
              <w:rPr>
                <w:rFonts w:ascii="Times New Roman" w:hAnsi="Times New Roman" w:cs="Times New Roman"/>
                <w:iCs/>
                <w:sz w:val="20"/>
                <w:szCs w:val="20"/>
              </w:rPr>
            </w:pPr>
            <w:proofErr w:type="spellStart"/>
            <w:r w:rsidRPr="002C3702">
              <w:rPr>
                <w:rFonts w:ascii="Arial Narrow" w:hAnsi="Arial Narrow" w:cs="Times New Roman"/>
                <w:iCs/>
                <w:sz w:val="20"/>
                <w:szCs w:val="20"/>
              </w:rPr>
              <w:t>Meirson</w:t>
            </w:r>
            <w:proofErr w:type="spellEnd"/>
            <w:r w:rsidRPr="002C3702">
              <w:rPr>
                <w:rFonts w:ascii="Arial Narrow" w:hAnsi="Arial Narrow" w:cs="Times New Roman"/>
                <w:iCs/>
                <w:sz w:val="20"/>
                <w:szCs w:val="20"/>
              </w:rPr>
              <w:t xml:space="preserve"> T, Goldstein DA, </w:t>
            </w:r>
            <w:proofErr w:type="spellStart"/>
            <w:r w:rsidRPr="002C3702">
              <w:rPr>
                <w:rFonts w:ascii="Arial Narrow" w:hAnsi="Arial Narrow" w:cs="Times New Roman"/>
                <w:iCs/>
                <w:sz w:val="20"/>
                <w:szCs w:val="20"/>
              </w:rPr>
              <w:t>Gyawali</w:t>
            </w:r>
            <w:proofErr w:type="spellEnd"/>
            <w:r w:rsidRPr="002C3702">
              <w:rPr>
                <w:rFonts w:ascii="Arial Narrow" w:hAnsi="Arial Narrow" w:cs="Times New Roman"/>
                <w:iCs/>
                <w:sz w:val="20"/>
                <w:szCs w:val="20"/>
              </w:rPr>
              <w:t xml:space="preserve"> B, </w:t>
            </w:r>
            <w:proofErr w:type="spellStart"/>
            <w:r w:rsidRPr="002C3702">
              <w:rPr>
                <w:rFonts w:ascii="Arial Narrow" w:hAnsi="Arial Narrow" w:cs="Times New Roman"/>
                <w:iCs/>
                <w:sz w:val="20"/>
                <w:szCs w:val="20"/>
              </w:rPr>
              <w:t>Tannock</w:t>
            </w:r>
            <w:proofErr w:type="spellEnd"/>
            <w:r w:rsidRPr="002C3702">
              <w:rPr>
                <w:rFonts w:ascii="Arial Narrow" w:hAnsi="Arial Narrow" w:cs="Times New Roman"/>
                <w:iCs/>
                <w:sz w:val="20"/>
                <w:szCs w:val="20"/>
              </w:rPr>
              <w:t xml:space="preserve"> IF. Review of the monarchE trial suggests no evidence to support use of adjuvant </w:t>
            </w:r>
            <w:r w:rsidRPr="002C3702">
              <w:rPr>
                <w:rFonts w:ascii="Arial Narrow" w:hAnsi="Arial Narrow" w:cs="Times New Roman"/>
                <w:iCs/>
                <w:sz w:val="20"/>
                <w:szCs w:val="20"/>
              </w:rPr>
              <w:lastRenderedPageBreak/>
              <w:t>abemaciclib in women with breast cancer. </w:t>
            </w:r>
          </w:p>
        </w:tc>
        <w:tc>
          <w:tcPr>
            <w:tcW w:w="2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9B887" w14:textId="77777777" w:rsidR="00030CC5" w:rsidRPr="002C3702" w:rsidRDefault="00030CC5" w:rsidP="009337DA">
            <w:pPr>
              <w:widowControl w:val="0"/>
              <w:jc w:val="left"/>
              <w:textAlignment w:val="baseline"/>
              <w:rPr>
                <w:rFonts w:ascii="Times New Roman" w:hAnsi="Times New Roman" w:cs="Times New Roman"/>
                <w:iCs/>
                <w:sz w:val="20"/>
                <w:szCs w:val="20"/>
              </w:rPr>
            </w:pPr>
            <w:r w:rsidRPr="002C3702">
              <w:rPr>
                <w:rFonts w:ascii="Arial Narrow" w:hAnsi="Arial Narrow" w:cs="Times New Roman"/>
                <w:i/>
                <w:sz w:val="20"/>
                <w:szCs w:val="20"/>
              </w:rPr>
              <w:lastRenderedPageBreak/>
              <w:t>Lancet Oncol.</w:t>
            </w:r>
            <w:r w:rsidRPr="002C3702">
              <w:rPr>
                <w:rFonts w:ascii="Arial Narrow" w:hAnsi="Arial Narrow" w:cs="Times New Roman"/>
                <w:iCs/>
                <w:sz w:val="20"/>
                <w:szCs w:val="20"/>
              </w:rPr>
              <w:t xml:space="preserve"> 2023 Jun;24(6):589-593. </w:t>
            </w:r>
          </w:p>
        </w:tc>
      </w:tr>
    </w:tbl>
    <w:p w14:paraId="3A94E827" w14:textId="6CC73D98" w:rsidR="00030CC5" w:rsidRPr="002C3702" w:rsidRDefault="00030CC5" w:rsidP="00030CC5">
      <w:pPr>
        <w:pStyle w:val="FooterTableFigure"/>
        <w:rPr>
          <w:rFonts w:eastAsia="Arial Narrow"/>
        </w:rPr>
      </w:pPr>
      <w:r w:rsidRPr="002C3702">
        <w:rPr>
          <w:rFonts w:cs="Segoe UI"/>
        </w:rPr>
        <w:t xml:space="preserve">Source: </w:t>
      </w:r>
      <w:r w:rsidRPr="002C3702">
        <w:rPr>
          <w:rFonts w:eastAsia="Arial Narrow"/>
        </w:rPr>
        <w:t xml:space="preserve">Table 2-5, pp60-61 of </w:t>
      </w:r>
      <w:r w:rsidR="004E6E39" w:rsidRPr="002C3702">
        <w:rPr>
          <w:rFonts w:eastAsia="Arial Narrow"/>
        </w:rPr>
        <w:t xml:space="preserve">the </w:t>
      </w:r>
      <w:r w:rsidR="003F37A9" w:rsidRPr="002C3702">
        <w:rPr>
          <w:rFonts w:eastAsia="Arial Narrow"/>
        </w:rPr>
        <w:t>March 2023 resubmission</w:t>
      </w:r>
      <w:r w:rsidRPr="002C3702">
        <w:rPr>
          <w:rFonts w:eastAsia="Arial Narrow"/>
        </w:rPr>
        <w:t xml:space="preserve">, and Table 21, p30 of the current </w:t>
      </w:r>
      <w:r w:rsidR="6C50962E" w:rsidRPr="002C3702">
        <w:rPr>
          <w:rFonts w:eastAsia="Arial Narrow"/>
        </w:rPr>
        <w:t>submission</w:t>
      </w:r>
      <w:r w:rsidRPr="002C3702">
        <w:rPr>
          <w:rFonts w:eastAsia="Arial Narrow"/>
        </w:rPr>
        <w:t xml:space="preserve"> and updated during the evaluation.</w:t>
      </w:r>
    </w:p>
    <w:p w14:paraId="7D9AF941" w14:textId="756E3B2C" w:rsidR="00030CC5" w:rsidRPr="002C3702" w:rsidRDefault="00030CC5" w:rsidP="00030CC5">
      <w:pPr>
        <w:pStyle w:val="FooterTableFigure"/>
        <w:rPr>
          <w:rFonts w:cs="Segoe UI"/>
          <w:color w:val="000000"/>
          <w:szCs w:val="18"/>
        </w:rPr>
      </w:pPr>
      <w:r w:rsidRPr="002C3702">
        <w:rPr>
          <w:rFonts w:cs="Segoe UI"/>
          <w:szCs w:val="18"/>
        </w:rPr>
        <w:t xml:space="preserve">ABE = </w:t>
      </w:r>
      <w:r w:rsidR="00B51A29" w:rsidRPr="002C3702">
        <w:rPr>
          <w:rFonts w:cs="Times New Roman"/>
          <w:color w:val="000000"/>
          <w:sz w:val="19"/>
          <w:szCs w:val="19"/>
        </w:rPr>
        <w:t>a</w:t>
      </w:r>
      <w:r w:rsidRPr="002C3702">
        <w:rPr>
          <w:rFonts w:cs="Times New Roman"/>
          <w:color w:val="000000"/>
          <w:sz w:val="19"/>
          <w:szCs w:val="19"/>
        </w:rPr>
        <w:t xml:space="preserve">bemaciclib, </w:t>
      </w:r>
      <w:r w:rsidRPr="002C3702">
        <w:rPr>
          <w:rFonts w:cs="Segoe UI"/>
          <w:szCs w:val="18"/>
        </w:rPr>
        <w:t xml:space="preserve">CSR = clinical study report, Dec = December, ET= endocrine therapy, </w:t>
      </w:r>
      <w:r w:rsidRPr="002C3702">
        <w:rPr>
          <w:rFonts w:cs="Segoe UI"/>
          <w:color w:val="000000"/>
          <w:szCs w:val="18"/>
        </w:rPr>
        <w:t>HER2 = human epidermal growth factor receptor 2, HR = hormone receptor, ITT= intention-to-treat, JAMA= Journal American Medical Association, Jun = June, NAC = neoadjuvant chemotherapy, Nov = November, Sept = September, SUPP = supplementary, Vol.= volume.</w:t>
      </w:r>
    </w:p>
    <w:p w14:paraId="3D5931B1" w14:textId="0E5A6D94" w:rsidR="00030CC5" w:rsidRPr="002C3702" w:rsidRDefault="00030CC5" w:rsidP="00030CC5">
      <w:pPr>
        <w:pStyle w:val="FooterTableFigure"/>
        <w:rPr>
          <w:rFonts w:cs="Segoe UI"/>
          <w:iCs/>
          <w:szCs w:val="18"/>
        </w:rPr>
      </w:pPr>
      <w:r w:rsidRPr="002C3702">
        <w:rPr>
          <w:rFonts w:cs="Segoe UI"/>
          <w:iCs/>
          <w:color w:val="000000"/>
          <w:szCs w:val="18"/>
          <w:shd w:val="clear" w:color="auto" w:fill="8EAADB"/>
        </w:rPr>
        <w:t>Blue shading</w:t>
      </w:r>
      <w:r w:rsidRPr="002C3702">
        <w:rPr>
          <w:rFonts w:cs="Segoe UI"/>
          <w:iCs/>
          <w:szCs w:val="18"/>
        </w:rPr>
        <w:t xml:space="preserve"> indicates data previously seen by the PBAC</w:t>
      </w:r>
      <w:r w:rsidR="002C3702">
        <w:rPr>
          <w:rFonts w:cs="Segoe UI"/>
          <w:iCs/>
          <w:szCs w:val="18"/>
        </w:rPr>
        <w:t xml:space="preserve">. </w:t>
      </w:r>
    </w:p>
    <w:p w14:paraId="21D42F8A" w14:textId="7F38C756" w:rsidR="00030CC5" w:rsidRPr="002C3702" w:rsidRDefault="00030CC5" w:rsidP="00030CC5">
      <w:pPr>
        <w:pStyle w:val="FooterTableFigure"/>
        <w:rPr>
          <w:rFonts w:cs="Segoe UI"/>
          <w:iCs/>
        </w:rPr>
      </w:pPr>
      <w:r w:rsidRPr="002C3702">
        <w:rPr>
          <w:rFonts w:cs="Segoe UI"/>
          <w:iCs/>
        </w:rPr>
        <w:t xml:space="preserve">Publication identified during the evaluation and was not included in the current </w:t>
      </w:r>
      <w:r w:rsidR="14BD747F" w:rsidRPr="002C3702">
        <w:rPr>
          <w:rFonts w:cs="Segoe UI"/>
          <w:iCs/>
        </w:rPr>
        <w:t>submission</w:t>
      </w:r>
      <w:r w:rsidR="002C3702">
        <w:rPr>
          <w:rFonts w:cs="Segoe UI"/>
          <w:iCs/>
        </w:rPr>
        <w:t xml:space="preserve">. </w:t>
      </w:r>
    </w:p>
    <w:p w14:paraId="6FDF6CAE" w14:textId="60F6AFD4" w:rsidR="001009D1" w:rsidRPr="002C3702" w:rsidRDefault="001009D1" w:rsidP="001009D1">
      <w:pPr>
        <w:pStyle w:val="3-BodyText"/>
      </w:pPr>
      <w:proofErr w:type="spellStart"/>
      <w:r w:rsidRPr="002C3702">
        <w:t>Meirson</w:t>
      </w:r>
      <w:proofErr w:type="spellEnd"/>
      <w:r w:rsidRPr="002C3702">
        <w:t xml:space="preserve"> et al. (2023)</w:t>
      </w:r>
      <w:r w:rsidRPr="002C3702">
        <w:rPr>
          <w:rStyle w:val="FootnoteReference"/>
        </w:rPr>
        <w:footnoteReference w:id="8"/>
      </w:r>
      <w:r w:rsidRPr="002C3702">
        <w:t xml:space="preserve"> was identified during the evaluation and presented a re-analysis of the monarchE trial primary outcome, IDFS, and OS. Analyses were adjusted to account for uneven study discontinuation between the treatment arms using the reverse Kaplan-Meier</w:t>
      </w:r>
      <w:r w:rsidR="006D3A3B" w:rsidRPr="002C3702">
        <w:t xml:space="preserve"> (KM)</w:t>
      </w:r>
      <w:r w:rsidRPr="002C3702">
        <w:t xml:space="preserve"> method where censoring is considered the event of interest. The results of this analysis showed a smaller treatment difference in IDFS between the study groups (compared to monarchE, July 2022, ITT analysis) and potentially </w:t>
      </w:r>
      <w:r w:rsidR="00B96425" w:rsidRPr="002C3702">
        <w:rPr>
          <w:color w:val="000000" w:themeColor="text1"/>
        </w:rPr>
        <w:t xml:space="preserve">less favourable </w:t>
      </w:r>
      <w:r w:rsidRPr="002C3702">
        <w:t>OS for ABE + ET compared to ET alone.</w:t>
      </w:r>
    </w:p>
    <w:p w14:paraId="3568CEA4" w14:textId="7829EE9D" w:rsidR="00030CC5" w:rsidRPr="002C3702" w:rsidRDefault="00030CC5" w:rsidP="00030CC5">
      <w:pPr>
        <w:pStyle w:val="3-BodyText"/>
        <w:rPr>
          <w:color w:val="0066FF"/>
        </w:rPr>
      </w:pPr>
      <w:r w:rsidRPr="002C3702">
        <w:t xml:space="preserve">The key features of the direct randomised trial are summarised in </w:t>
      </w:r>
      <w:r w:rsidRPr="002C3702">
        <w:rPr>
          <w:color w:val="2B579A"/>
          <w:shd w:val="clear" w:color="auto" w:fill="E6E6E6"/>
        </w:rPr>
        <w:fldChar w:fldCharType="begin"/>
      </w:r>
      <w:r w:rsidRPr="002C3702">
        <w:instrText xml:space="preserve"> REF _Ref104804098 \h  \* MERGEFORMAT </w:instrText>
      </w:r>
      <w:r w:rsidRPr="002C3702">
        <w:rPr>
          <w:color w:val="2B579A"/>
          <w:shd w:val="clear" w:color="auto" w:fill="E6E6E6"/>
        </w:rPr>
      </w:r>
      <w:r w:rsidRPr="002C3702">
        <w:rPr>
          <w:color w:val="2B579A"/>
          <w:shd w:val="clear" w:color="auto" w:fill="E6E6E6"/>
        </w:rPr>
        <w:fldChar w:fldCharType="separate"/>
      </w:r>
      <w:r w:rsidR="00676505" w:rsidRPr="00676505">
        <w:t>Table 4</w:t>
      </w:r>
      <w:r w:rsidRPr="002C3702">
        <w:rPr>
          <w:color w:val="2B579A"/>
          <w:shd w:val="clear" w:color="auto" w:fill="E6E6E6"/>
        </w:rPr>
        <w:fldChar w:fldCharType="end"/>
      </w:r>
      <w:r w:rsidRPr="002C3702">
        <w:t>.</w:t>
      </w:r>
    </w:p>
    <w:p w14:paraId="10CC43CC" w14:textId="25DEC9E2" w:rsidR="00030CC5" w:rsidRPr="002C3702" w:rsidRDefault="00030CC5" w:rsidP="00030CC5">
      <w:pPr>
        <w:pStyle w:val="TableFigureHeading"/>
        <w:rPr>
          <w:rFonts w:ascii="Segoe UI" w:hAnsi="Segoe UI" w:cs="Segoe UI"/>
          <w:sz w:val="18"/>
          <w:szCs w:val="18"/>
        </w:rPr>
      </w:pPr>
      <w:bookmarkStart w:id="23" w:name="_Ref104804098"/>
      <w:r w:rsidRPr="002C3702">
        <w:rPr>
          <w:rStyle w:val="CommentReference"/>
          <w:b/>
          <w:bCs w:val="0"/>
        </w:rPr>
        <w:t>Table</w:t>
      </w:r>
      <w:r w:rsidRPr="002C3702">
        <w:rPr>
          <w:rStyle w:val="CommentReference"/>
        </w:rPr>
        <w:t xml:space="preserve"> </w:t>
      </w:r>
      <w:r w:rsidRPr="002C3702">
        <w:rPr>
          <w:rStyle w:val="CommentReference"/>
          <w:b/>
        </w:rPr>
        <w:fldChar w:fldCharType="begin"/>
      </w:r>
      <w:r w:rsidRPr="002C3702">
        <w:rPr>
          <w:rStyle w:val="CommentReference"/>
          <w:b/>
        </w:rPr>
        <w:instrText xml:space="preserve"> SEQ Table \* ARABIC </w:instrText>
      </w:r>
      <w:r w:rsidRPr="002C3702">
        <w:rPr>
          <w:rStyle w:val="CommentReference"/>
          <w:b/>
        </w:rPr>
        <w:fldChar w:fldCharType="separate"/>
      </w:r>
      <w:r w:rsidR="00676505">
        <w:rPr>
          <w:rStyle w:val="CommentReference"/>
          <w:b/>
          <w:noProof/>
        </w:rPr>
        <w:t>4</w:t>
      </w:r>
      <w:r w:rsidRPr="002C3702">
        <w:rPr>
          <w:rStyle w:val="CommentReference"/>
          <w:b/>
        </w:rPr>
        <w:fldChar w:fldCharType="end"/>
      </w:r>
      <w:bookmarkEnd w:id="23"/>
      <w:r w:rsidRPr="002C3702">
        <w:rPr>
          <w:rStyle w:val="CommentReference"/>
          <w:b/>
        </w:rPr>
        <w:t>: Key features of the included evidence</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1"/>
        <w:gridCol w:w="791"/>
        <w:gridCol w:w="850"/>
        <w:gridCol w:w="851"/>
        <w:gridCol w:w="2551"/>
        <w:gridCol w:w="992"/>
        <w:gridCol w:w="2215"/>
      </w:tblGrid>
      <w:tr w:rsidR="00DD66B6" w:rsidRPr="002C3702" w14:paraId="3666EFC8" w14:textId="77777777" w:rsidTr="00F85637">
        <w:trPr>
          <w:trHeight w:val="300"/>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190E6" w14:textId="77777777" w:rsidR="00030CC5" w:rsidRPr="002C3702" w:rsidRDefault="00030CC5" w:rsidP="0057191A">
            <w:pPr>
              <w:pStyle w:val="TableFigureHeading"/>
              <w:widowControl w:val="0"/>
              <w:rPr>
                <w:rFonts w:ascii="Times New Roman" w:hAnsi="Times New Roman"/>
              </w:rPr>
            </w:pPr>
            <w:r w:rsidRPr="002C3702">
              <w:t>Trial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08C56" w14:textId="04B967D9" w:rsidR="00030CC5" w:rsidRPr="002C3702" w:rsidRDefault="00030CC5" w:rsidP="0057191A">
            <w:pPr>
              <w:pStyle w:val="TableFigureHeading"/>
              <w:widowControl w:val="0"/>
              <w:jc w:val="center"/>
              <w:rPr>
                <w:rFonts w:ascii="Times New Roman" w:hAnsi="Times New Roman"/>
              </w:rPr>
            </w:pPr>
            <w:r w:rsidRPr="002C3702">
              <w:t>N</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84B5B4" w14:textId="57D1A70E" w:rsidR="00030CC5" w:rsidRPr="002C3702" w:rsidRDefault="00030CC5" w:rsidP="0057191A">
            <w:pPr>
              <w:pStyle w:val="TableFigureHeading"/>
              <w:widowControl w:val="0"/>
              <w:jc w:val="center"/>
              <w:rPr>
                <w:rFonts w:ascii="Times New Roman" w:hAnsi="Times New Roman"/>
              </w:rPr>
            </w:pPr>
            <w:r w:rsidRPr="002C3702">
              <w:t>Design/ duration</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B9AE6" w14:textId="210298E8" w:rsidR="00030CC5" w:rsidRPr="002C3702" w:rsidRDefault="00030CC5" w:rsidP="0057191A">
            <w:pPr>
              <w:pStyle w:val="TableFigureHeading"/>
              <w:widowControl w:val="0"/>
              <w:jc w:val="center"/>
              <w:rPr>
                <w:rFonts w:ascii="Times New Roman" w:hAnsi="Times New Roman"/>
              </w:rPr>
            </w:pPr>
            <w:r w:rsidRPr="002C3702">
              <w:t>Risk of bias</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24198" w14:textId="7BB0C76E" w:rsidR="00030CC5" w:rsidRPr="002C3702" w:rsidRDefault="00030CC5" w:rsidP="0057191A">
            <w:pPr>
              <w:pStyle w:val="TableFigureHeading"/>
              <w:widowControl w:val="0"/>
              <w:jc w:val="center"/>
              <w:rPr>
                <w:rFonts w:ascii="Times New Roman" w:hAnsi="Times New Roman"/>
              </w:rPr>
            </w:pPr>
            <w:r w:rsidRPr="002C3702">
              <w:t>Patient population</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B4E77" w14:textId="47DFCE48" w:rsidR="00030CC5" w:rsidRPr="002C3702" w:rsidRDefault="00030CC5" w:rsidP="0057191A">
            <w:pPr>
              <w:pStyle w:val="TableFigureHeading"/>
              <w:widowControl w:val="0"/>
              <w:jc w:val="center"/>
              <w:rPr>
                <w:rFonts w:ascii="Times New Roman" w:hAnsi="Times New Roman"/>
              </w:rPr>
            </w:pPr>
            <w:r w:rsidRPr="002C3702">
              <w:t>Outcomes</w:t>
            </w:r>
          </w:p>
        </w:tc>
        <w:tc>
          <w:tcPr>
            <w:tcW w:w="2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E1ACD" w14:textId="6CC3F7FD" w:rsidR="00030CC5" w:rsidRPr="002C3702" w:rsidRDefault="00030CC5" w:rsidP="0057191A">
            <w:pPr>
              <w:pStyle w:val="TableFigureHeading"/>
              <w:widowControl w:val="0"/>
              <w:jc w:val="center"/>
              <w:rPr>
                <w:rFonts w:ascii="Times New Roman" w:hAnsi="Times New Roman"/>
                <w:vertAlign w:val="superscript"/>
              </w:rPr>
            </w:pPr>
            <w:r w:rsidRPr="002C3702">
              <w:t>Use in modelled evaluation </w:t>
            </w:r>
            <w:r w:rsidR="001E1E03" w:rsidRPr="002C3702">
              <w:rPr>
                <w:vertAlign w:val="superscript"/>
              </w:rPr>
              <w:t>d</w:t>
            </w:r>
          </w:p>
        </w:tc>
      </w:tr>
      <w:tr w:rsidR="00030CC5" w:rsidRPr="002C3702" w14:paraId="5B38A9A5" w14:textId="77777777" w:rsidTr="00F85637">
        <w:trPr>
          <w:trHeight w:val="300"/>
        </w:trPr>
        <w:tc>
          <w:tcPr>
            <w:tcW w:w="9011"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609A62C" w14:textId="77777777" w:rsidR="00030CC5" w:rsidRPr="002C3702" w:rsidRDefault="00030CC5" w:rsidP="0057191A">
            <w:pPr>
              <w:keepNext/>
              <w:widowControl w:val="0"/>
              <w:jc w:val="left"/>
              <w:textAlignment w:val="baseline"/>
              <w:rPr>
                <w:rFonts w:ascii="Times New Roman" w:hAnsi="Times New Roman" w:cs="Times New Roman"/>
                <w:b/>
                <w:bCs/>
              </w:rPr>
            </w:pPr>
            <w:r w:rsidRPr="002C3702">
              <w:rPr>
                <w:rFonts w:ascii="Arial Narrow" w:hAnsi="Arial Narrow" w:cs="Times New Roman"/>
                <w:b/>
                <w:bCs/>
                <w:sz w:val="20"/>
                <w:szCs w:val="20"/>
              </w:rPr>
              <w:t>ABE+ET versus ET alone</w:t>
            </w:r>
          </w:p>
        </w:tc>
      </w:tr>
      <w:tr w:rsidR="00247008" w:rsidRPr="002C3702" w14:paraId="192A064D" w14:textId="77777777" w:rsidTr="00F85637">
        <w:trPr>
          <w:trHeight w:val="300"/>
        </w:trPr>
        <w:tc>
          <w:tcPr>
            <w:tcW w:w="761" w:type="dxa"/>
            <w:vMerge w:val="restart"/>
            <w:tcBorders>
              <w:top w:val="single" w:sz="6" w:space="0" w:color="auto"/>
              <w:left w:val="single" w:sz="6" w:space="0" w:color="auto"/>
              <w:right w:val="single" w:sz="4" w:space="0" w:color="auto"/>
            </w:tcBorders>
            <w:shd w:val="clear" w:color="auto" w:fill="95B3D7" w:themeFill="accent1" w:themeFillTint="99"/>
            <w:vAlign w:val="center"/>
            <w:hideMark/>
          </w:tcPr>
          <w:p w14:paraId="27D0F99B"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monarchE</w:t>
            </w:r>
          </w:p>
        </w:tc>
        <w:tc>
          <w:tcPr>
            <w:tcW w:w="79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70480E9"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ITT: 5637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2D216B4" w14:textId="4B770189" w:rsidR="004716D8" w:rsidRPr="002C3702" w:rsidRDefault="004716D8" w:rsidP="0057191A">
            <w:pPr>
              <w:keepNext/>
              <w:widowControl w:val="0"/>
              <w:shd w:val="clear" w:color="auto" w:fill="95B3D7"/>
              <w:jc w:val="center"/>
              <w:textAlignment w:val="baseline"/>
              <w:rPr>
                <w:rFonts w:ascii="Times New Roman" w:hAnsi="Times New Roman" w:cs="Times New Roman"/>
              </w:rPr>
            </w:pPr>
            <w:r w:rsidRPr="002C3702">
              <w:rPr>
                <w:rFonts w:ascii="Arial Narrow" w:hAnsi="Arial Narrow" w:cs="Times New Roman"/>
                <w:sz w:val="20"/>
                <w:szCs w:val="20"/>
              </w:rPr>
              <w:t>R, OL</w:t>
            </w:r>
          </w:p>
          <w:p w14:paraId="70BDC9BC" w14:textId="2F82B46B"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shd w:val="clear" w:color="auto" w:fill="95B3D7" w:themeFill="accent1" w:themeFillTint="99"/>
              </w:rPr>
              <w:t>42 mths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1230A" w14:textId="252BCEEE" w:rsidR="004716D8" w:rsidRPr="002C3702" w:rsidRDefault="004716D8" w:rsidP="0057191A">
            <w:pPr>
              <w:keepNext/>
              <w:widowControl w:val="0"/>
              <w:jc w:val="center"/>
              <w:textAlignment w:val="baseline"/>
              <w:rPr>
                <w:rFonts w:ascii="Arial Narrow" w:hAnsi="Arial Narrow" w:cs="Times New Roman"/>
                <w:sz w:val="20"/>
                <w:szCs w:val="20"/>
              </w:rPr>
            </w:pPr>
            <w:r w:rsidRPr="002C3702">
              <w:rPr>
                <w:rFonts w:ascii="Arial Narrow" w:hAnsi="Arial Narrow" w:cs="Times New Roman"/>
                <w:sz w:val="20"/>
                <w:szCs w:val="20"/>
              </w:rPr>
              <w:t>Low</w:t>
            </w:r>
            <w:r w:rsidR="009A17D6" w:rsidRPr="002C3702">
              <w:rPr>
                <w:rFonts w:ascii="Arial Narrow" w:hAnsi="Arial Narrow" w:cs="Times New Roman"/>
                <w:sz w:val="20"/>
                <w:szCs w:val="20"/>
              </w:rPr>
              <w:t xml:space="preserve">/some </w:t>
            </w:r>
            <w:proofErr w:type="spellStart"/>
            <w:r w:rsidR="009A17D6" w:rsidRPr="002C3702">
              <w:rPr>
                <w:rFonts w:ascii="Arial Narrow" w:hAnsi="Arial Narrow" w:cs="Times New Roman"/>
                <w:sz w:val="20"/>
                <w:szCs w:val="20"/>
              </w:rPr>
              <w:t>concerns</w:t>
            </w:r>
            <w:r w:rsidRPr="002C3702">
              <w:rPr>
                <w:rFonts w:ascii="Arial Narrow" w:hAnsi="Arial Narrow" w:cs="Times New Roman"/>
                <w:sz w:val="20"/>
                <w:szCs w:val="20"/>
                <w:vertAlign w:val="superscript"/>
              </w:rPr>
              <w:t>a</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CDA0648"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HR+, HER2- resected EBC, ALN+ with high risk of recurrence</w:t>
            </w:r>
          </w:p>
          <w:p w14:paraId="432FD538"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b/>
                <w:bCs/>
                <w:sz w:val="20"/>
                <w:szCs w:val="20"/>
              </w:rPr>
              <w:t>ITT</w:t>
            </w:r>
            <w:r w:rsidRPr="002C3702">
              <w:rPr>
                <w:rFonts w:ascii="Arial Narrow" w:hAnsi="Arial Narrow" w:cs="Times New Roman"/>
                <w:sz w:val="20"/>
                <w:szCs w:val="20"/>
              </w:rPr>
              <w:t>: both cohort 1 and cohort 2</w:t>
            </w: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D138FC0"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IDFS, DRFS, OS, HR-QoL and safety</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127E7A64" w14:textId="57A4924B"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Not used</w:t>
            </w:r>
          </w:p>
        </w:tc>
      </w:tr>
      <w:tr w:rsidR="00247008" w:rsidRPr="002C3702" w14:paraId="43CB957F" w14:textId="77777777" w:rsidTr="00F85637">
        <w:trPr>
          <w:trHeight w:val="300"/>
        </w:trPr>
        <w:tc>
          <w:tcPr>
            <w:tcW w:w="761" w:type="dxa"/>
            <w:vMerge/>
            <w:tcBorders>
              <w:right w:val="single" w:sz="4" w:space="0" w:color="auto"/>
            </w:tcBorders>
            <w:vAlign w:val="center"/>
            <w:hideMark/>
          </w:tcPr>
          <w:p w14:paraId="7C4085BF" w14:textId="77777777" w:rsidR="004716D8" w:rsidRPr="002C3702" w:rsidRDefault="004716D8" w:rsidP="0057191A">
            <w:pPr>
              <w:keepNext/>
              <w:widowControl w:val="0"/>
              <w:jc w:val="center"/>
              <w:textAlignment w:val="baseline"/>
              <w:rPr>
                <w:rFonts w:ascii="Times New Roman" w:hAnsi="Times New Roman" w:cs="Times New Roman"/>
              </w:rPr>
            </w:pPr>
          </w:p>
        </w:tc>
        <w:tc>
          <w:tcPr>
            <w:tcW w:w="79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257DF0E" w14:textId="1467339D"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Cohort 1: 5120</w:t>
            </w:r>
          </w:p>
        </w:tc>
        <w:tc>
          <w:tcPr>
            <w:tcW w:w="850" w:type="dxa"/>
            <w:vMerge/>
            <w:tcBorders>
              <w:left w:val="single" w:sz="4" w:space="0" w:color="auto"/>
              <w:right w:val="single" w:sz="4" w:space="0" w:color="auto"/>
            </w:tcBorders>
            <w:vAlign w:val="center"/>
            <w:hideMark/>
          </w:tcPr>
          <w:p w14:paraId="101500DE" w14:textId="278545FF" w:rsidR="004716D8" w:rsidRPr="002C3702" w:rsidRDefault="004716D8" w:rsidP="0057191A">
            <w:pPr>
              <w:keepNext/>
              <w:widowControl w:val="0"/>
              <w:jc w:val="center"/>
              <w:textAlignment w:val="baseline"/>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CF03E4" w14:textId="77777777" w:rsidR="004716D8" w:rsidRPr="002C3702" w:rsidRDefault="004716D8" w:rsidP="0057191A">
            <w:pPr>
              <w:keepNext/>
              <w:widowControl w:val="0"/>
              <w:jc w:val="center"/>
              <w:textAlignment w:val="baseline"/>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0D500FD"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b/>
                <w:bCs/>
                <w:sz w:val="20"/>
                <w:szCs w:val="20"/>
              </w:rPr>
              <w:t>Cohort 1</w:t>
            </w:r>
            <w:r w:rsidRPr="002C3702">
              <w:rPr>
                <w:rFonts w:ascii="Arial Narrow" w:hAnsi="Arial Narrow" w:cs="Times New Roman"/>
                <w:sz w:val="20"/>
                <w:szCs w:val="20"/>
              </w:rPr>
              <w:t>: high risk of recurrence: ≥4 ALNs; or 1-3 ALNs and tumour ≥5cm or grade ≥3 disease</w:t>
            </w: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693EED5"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IDFS, DRFS, OS</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643E4435" w14:textId="7E11B5C6" w:rsidR="004716D8" w:rsidRPr="002C3702" w:rsidRDefault="004C4D65" w:rsidP="0057191A">
            <w:pPr>
              <w:keepNext/>
              <w:widowControl w:val="0"/>
              <w:jc w:val="center"/>
              <w:textAlignment w:val="baseline"/>
              <w:rPr>
                <w:rFonts w:ascii="Times New Roman" w:hAnsi="Times New Roman" w:cs="Times New Roman"/>
              </w:rPr>
            </w:pPr>
            <w:proofErr w:type="spellStart"/>
            <w:r w:rsidRPr="002C3702">
              <w:rPr>
                <w:rFonts w:ascii="Arial Narrow" w:hAnsi="Arial Narrow" w:cs="Times New Roman"/>
                <w:sz w:val="20"/>
                <w:szCs w:val="20"/>
              </w:rPr>
              <w:t>IDFS</w:t>
            </w:r>
            <w:r w:rsidR="003A1F6A" w:rsidRPr="002C3702">
              <w:rPr>
                <w:rFonts w:ascii="Arial Narrow" w:hAnsi="Arial Narrow" w:cs="Times New Roman"/>
                <w:sz w:val="20"/>
                <w:szCs w:val="20"/>
                <w:vertAlign w:val="superscript"/>
              </w:rPr>
              <w:t>b</w:t>
            </w:r>
            <w:proofErr w:type="spellEnd"/>
            <w:r w:rsidRPr="002C3702">
              <w:rPr>
                <w:rFonts w:ascii="Arial Narrow" w:hAnsi="Arial Narrow" w:cs="Times New Roman"/>
                <w:sz w:val="20"/>
                <w:szCs w:val="20"/>
              </w:rPr>
              <w:t>,</w:t>
            </w:r>
            <w:r w:rsidR="00EF0D6D" w:rsidRPr="002C3702">
              <w:rPr>
                <w:rFonts w:ascii="Arial Narrow" w:hAnsi="Arial Narrow" w:cs="Times New Roman"/>
                <w:sz w:val="20"/>
                <w:szCs w:val="20"/>
              </w:rPr>
              <w:t xml:space="preserve"> </w:t>
            </w:r>
            <w:proofErr w:type="spellStart"/>
            <w:r w:rsidRPr="002C3702">
              <w:rPr>
                <w:rFonts w:ascii="Arial Narrow" w:hAnsi="Arial Narrow" w:cs="Times New Roman"/>
                <w:sz w:val="20"/>
                <w:szCs w:val="20"/>
              </w:rPr>
              <w:t>DRFS</w:t>
            </w:r>
            <w:r w:rsidR="003A1F6A" w:rsidRPr="002C3702">
              <w:rPr>
                <w:rFonts w:ascii="Arial Narrow" w:hAnsi="Arial Narrow" w:cs="Times New Roman"/>
                <w:sz w:val="20"/>
                <w:szCs w:val="20"/>
                <w:vertAlign w:val="superscript"/>
              </w:rPr>
              <w:t>b</w:t>
            </w:r>
            <w:proofErr w:type="spellEnd"/>
            <w:r w:rsidRPr="002C3702">
              <w:rPr>
                <w:rFonts w:ascii="Arial Narrow" w:hAnsi="Arial Narrow" w:cs="Times New Roman"/>
                <w:sz w:val="20"/>
                <w:szCs w:val="20"/>
              </w:rPr>
              <w:t>, OS without distant recurrence</w:t>
            </w:r>
            <w:r w:rsidR="00A20DC2" w:rsidRPr="002C3702">
              <w:rPr>
                <w:rFonts w:ascii="Arial Narrow" w:hAnsi="Arial Narrow" w:cs="Times New Roman"/>
                <w:sz w:val="20"/>
                <w:szCs w:val="20"/>
              </w:rPr>
              <w:t xml:space="preserve"> </w:t>
            </w:r>
            <w:proofErr w:type="spellStart"/>
            <w:r w:rsidR="003A1F6A" w:rsidRPr="002C3702">
              <w:rPr>
                <w:rFonts w:ascii="Arial Narrow" w:hAnsi="Arial Narrow" w:cs="Times New Roman"/>
                <w:sz w:val="20"/>
                <w:szCs w:val="20"/>
                <w:vertAlign w:val="superscript"/>
              </w:rPr>
              <w:t>b,c</w:t>
            </w:r>
            <w:proofErr w:type="spellEnd"/>
            <w:r w:rsidR="0066267B" w:rsidRPr="002C3702">
              <w:rPr>
                <w:rFonts w:ascii="Arial Narrow" w:hAnsi="Arial Narrow" w:cs="Times New Roman"/>
                <w:sz w:val="20"/>
                <w:szCs w:val="20"/>
              </w:rPr>
              <w:t xml:space="preserve">, </w:t>
            </w:r>
            <w:r w:rsidR="004716D8" w:rsidRPr="002C3702">
              <w:rPr>
                <w:rFonts w:ascii="Arial Narrow" w:hAnsi="Arial Narrow" w:cs="Times New Roman"/>
                <w:sz w:val="20"/>
                <w:szCs w:val="20"/>
              </w:rPr>
              <w:t>HR-</w:t>
            </w:r>
            <w:proofErr w:type="spellStart"/>
            <w:r w:rsidR="004716D8" w:rsidRPr="002C3702">
              <w:rPr>
                <w:rFonts w:ascii="Arial Narrow" w:hAnsi="Arial Narrow" w:cs="Times New Roman"/>
                <w:sz w:val="20"/>
                <w:szCs w:val="20"/>
              </w:rPr>
              <w:t>QoL</w:t>
            </w:r>
            <w:r w:rsidR="003A1F6A" w:rsidRPr="002C3702">
              <w:rPr>
                <w:rFonts w:ascii="Arial Narrow" w:hAnsi="Arial Narrow" w:cs="Times New Roman"/>
                <w:sz w:val="20"/>
                <w:szCs w:val="20"/>
                <w:vertAlign w:val="superscript"/>
              </w:rPr>
              <w:t>b</w:t>
            </w:r>
            <w:proofErr w:type="spellEnd"/>
            <w:r w:rsidR="0066267B" w:rsidRPr="002C3702">
              <w:rPr>
                <w:rFonts w:ascii="Arial Narrow" w:hAnsi="Arial Narrow" w:cs="Times New Roman"/>
                <w:sz w:val="20"/>
                <w:szCs w:val="20"/>
              </w:rPr>
              <w:t>,</w:t>
            </w:r>
            <w:r w:rsidR="004716D8" w:rsidRPr="002C3702">
              <w:rPr>
                <w:rFonts w:ascii="Arial Narrow" w:hAnsi="Arial Narrow" w:cs="Times New Roman"/>
                <w:sz w:val="20"/>
                <w:szCs w:val="20"/>
              </w:rPr>
              <w:t xml:space="preserve"> and </w:t>
            </w:r>
            <w:proofErr w:type="spellStart"/>
            <w:r w:rsidR="004716D8" w:rsidRPr="002C3702">
              <w:rPr>
                <w:rFonts w:ascii="Arial Narrow" w:hAnsi="Arial Narrow" w:cs="Times New Roman"/>
                <w:sz w:val="20"/>
                <w:szCs w:val="20"/>
              </w:rPr>
              <w:t>safety</w:t>
            </w:r>
            <w:r w:rsidR="003A1F6A" w:rsidRPr="002C3702">
              <w:rPr>
                <w:rFonts w:ascii="Arial Narrow" w:hAnsi="Arial Narrow" w:cs="Times New Roman"/>
                <w:sz w:val="20"/>
                <w:szCs w:val="20"/>
                <w:vertAlign w:val="superscript"/>
              </w:rPr>
              <w:t>b</w:t>
            </w:r>
            <w:proofErr w:type="spellEnd"/>
          </w:p>
        </w:tc>
      </w:tr>
      <w:tr w:rsidR="00247008" w:rsidRPr="002C3702" w14:paraId="501A5811" w14:textId="77777777" w:rsidTr="00F85637">
        <w:trPr>
          <w:trHeight w:val="300"/>
        </w:trPr>
        <w:tc>
          <w:tcPr>
            <w:tcW w:w="761" w:type="dxa"/>
            <w:vMerge/>
            <w:vAlign w:val="center"/>
            <w:hideMark/>
          </w:tcPr>
          <w:p w14:paraId="743306B8" w14:textId="77777777" w:rsidR="004716D8" w:rsidRPr="002C3702" w:rsidRDefault="004716D8" w:rsidP="0057191A">
            <w:pPr>
              <w:keepNext/>
              <w:widowControl w:val="0"/>
              <w:jc w:val="center"/>
              <w:textAlignment w:val="baseline"/>
              <w:rPr>
                <w:rFonts w:ascii="Times New Roman" w:hAnsi="Times New Roman" w:cs="Times New Roman"/>
              </w:rPr>
            </w:pPr>
          </w:p>
        </w:tc>
        <w:tc>
          <w:tcPr>
            <w:tcW w:w="791" w:type="dxa"/>
            <w:tcBorders>
              <w:top w:val="single" w:sz="4" w:space="0" w:color="auto"/>
              <w:left w:val="single" w:sz="6" w:space="0" w:color="auto"/>
              <w:bottom w:val="single" w:sz="6" w:space="0" w:color="auto"/>
              <w:right w:val="single" w:sz="6" w:space="0" w:color="auto"/>
            </w:tcBorders>
            <w:shd w:val="clear" w:color="auto" w:fill="95B3D7" w:themeFill="accent1" w:themeFillTint="99"/>
            <w:vAlign w:val="center"/>
            <w:hideMark/>
          </w:tcPr>
          <w:p w14:paraId="6495BC06"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sz w:val="20"/>
                <w:szCs w:val="20"/>
              </w:rPr>
              <w:t>Cohort 2: 517</w:t>
            </w:r>
          </w:p>
        </w:tc>
        <w:tc>
          <w:tcPr>
            <w:tcW w:w="850" w:type="dxa"/>
            <w:vMerge/>
            <w:tcBorders>
              <w:right w:val="single" w:sz="4" w:space="0" w:color="auto"/>
            </w:tcBorders>
            <w:vAlign w:val="center"/>
            <w:hideMark/>
          </w:tcPr>
          <w:p w14:paraId="5F5B23B2" w14:textId="77777777" w:rsidR="004716D8" w:rsidRPr="002C3702" w:rsidRDefault="004716D8" w:rsidP="0057191A">
            <w:pPr>
              <w:keepNext/>
              <w:widowControl w:val="0"/>
              <w:jc w:val="center"/>
              <w:textAlignment w:val="baseline"/>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75449F" w14:textId="77777777" w:rsidR="004716D8" w:rsidRPr="002C3702" w:rsidRDefault="004716D8" w:rsidP="0057191A">
            <w:pPr>
              <w:keepNext/>
              <w:widowControl w:val="0"/>
              <w:jc w:val="center"/>
              <w:textAlignment w:val="baseline"/>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BD66340" w14:textId="77777777" w:rsidR="004716D8" w:rsidRPr="002C3702" w:rsidRDefault="004716D8" w:rsidP="0057191A">
            <w:pPr>
              <w:keepNext/>
              <w:widowControl w:val="0"/>
              <w:jc w:val="center"/>
              <w:textAlignment w:val="baseline"/>
              <w:rPr>
                <w:rFonts w:ascii="Times New Roman" w:hAnsi="Times New Roman" w:cs="Times New Roman"/>
              </w:rPr>
            </w:pPr>
            <w:r w:rsidRPr="002C3702">
              <w:rPr>
                <w:rFonts w:ascii="Arial Narrow" w:hAnsi="Arial Narrow" w:cs="Times New Roman"/>
                <w:b/>
                <w:bCs/>
                <w:sz w:val="20"/>
                <w:szCs w:val="20"/>
              </w:rPr>
              <w:t>Cohort 2</w:t>
            </w:r>
            <w:r w:rsidRPr="002C3702">
              <w:rPr>
                <w:rFonts w:ascii="Arial Narrow" w:hAnsi="Arial Narrow" w:cs="Times New Roman"/>
                <w:sz w:val="20"/>
                <w:szCs w:val="20"/>
              </w:rPr>
              <w:t>: 1-3 ALNs and high Ki-67 index (≥20%), not meeting eligibility for cohort 1 due to tumour &lt;5cm and grade &lt;3 disease</w:t>
            </w: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AAA5FC7" w14:textId="77777777" w:rsidR="004716D8" w:rsidRPr="002C3702" w:rsidRDefault="004716D8" w:rsidP="0057191A">
            <w:pPr>
              <w:keepNext/>
              <w:widowControl w:val="0"/>
              <w:jc w:val="center"/>
              <w:textAlignment w:val="baseline"/>
              <w:rPr>
                <w:rFonts w:ascii="Arial Narrow" w:hAnsi="Arial Narrow" w:cs="Times New Roman"/>
                <w:sz w:val="20"/>
                <w:szCs w:val="20"/>
              </w:rPr>
            </w:pPr>
            <w:r w:rsidRPr="002C3702">
              <w:rPr>
                <w:rFonts w:ascii="Arial Narrow" w:hAnsi="Arial Narrow" w:cs="Times New Roman"/>
                <w:sz w:val="20"/>
                <w:szCs w:val="20"/>
              </w:rPr>
              <w:t>IDFS, DRFS, OS</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4528FA62" w14:textId="2E59885F" w:rsidR="004716D8" w:rsidRPr="002C3702" w:rsidRDefault="004716D8" w:rsidP="0057191A">
            <w:pPr>
              <w:keepNext/>
              <w:widowControl w:val="0"/>
              <w:jc w:val="center"/>
              <w:textAlignment w:val="baseline"/>
              <w:rPr>
                <w:rFonts w:ascii="Arial Narrow" w:hAnsi="Arial Narrow" w:cs="Times New Roman"/>
                <w:sz w:val="20"/>
                <w:szCs w:val="20"/>
              </w:rPr>
            </w:pPr>
            <w:r w:rsidRPr="002C3702">
              <w:rPr>
                <w:rFonts w:ascii="Arial Narrow" w:hAnsi="Arial Narrow" w:cs="Times New Roman"/>
                <w:sz w:val="20"/>
                <w:szCs w:val="20"/>
              </w:rPr>
              <w:t>Not used</w:t>
            </w:r>
          </w:p>
        </w:tc>
      </w:tr>
    </w:tbl>
    <w:p w14:paraId="1DB1758B" w14:textId="08776CFC" w:rsidR="00030CC5" w:rsidRPr="002C3702" w:rsidRDefault="00030CC5" w:rsidP="006D750F">
      <w:pPr>
        <w:pStyle w:val="FooterTableFigure"/>
        <w:rPr>
          <w:rFonts w:ascii="Segoe UI" w:hAnsi="Segoe UI"/>
        </w:rPr>
      </w:pPr>
      <w:r w:rsidRPr="002C3702">
        <w:t xml:space="preserve">Source: Figure 2-3, p64, </w:t>
      </w:r>
      <w:r w:rsidR="00F162B3" w:rsidRPr="002C3702">
        <w:t>T</w:t>
      </w:r>
      <w:r w:rsidRPr="002C3702">
        <w:t xml:space="preserve">able 2-6, p64, </w:t>
      </w:r>
      <w:r w:rsidR="00F162B3" w:rsidRPr="002C3702">
        <w:t>T</w:t>
      </w:r>
      <w:r w:rsidRPr="002C3702">
        <w:t xml:space="preserve">able 2-7, p65 and </w:t>
      </w:r>
      <w:r w:rsidR="00F162B3" w:rsidRPr="002C3702">
        <w:t>T</w:t>
      </w:r>
      <w:r w:rsidRPr="002C3702">
        <w:t xml:space="preserve">able 2-22, p83 of </w:t>
      </w:r>
      <w:r w:rsidR="004E6E39" w:rsidRPr="002C3702">
        <w:t xml:space="preserve">the </w:t>
      </w:r>
      <w:r w:rsidR="0036592B" w:rsidRPr="002C3702">
        <w:t>March 2023 resubmission</w:t>
      </w:r>
      <w:r w:rsidRPr="002C3702">
        <w:t>. </w:t>
      </w:r>
    </w:p>
    <w:p w14:paraId="3BF72884" w14:textId="1A407E1F" w:rsidR="00030CC5" w:rsidRPr="002C3702" w:rsidRDefault="00030CC5" w:rsidP="006D750F">
      <w:pPr>
        <w:pStyle w:val="FooterTableFigure"/>
        <w:rPr>
          <w:rFonts w:ascii="Segoe UI" w:hAnsi="Segoe UI"/>
        </w:rPr>
      </w:pPr>
      <w:r w:rsidRPr="002C3702">
        <w:t>ABE</w:t>
      </w:r>
      <w:r w:rsidR="008B534E" w:rsidRPr="002C3702">
        <w:t xml:space="preserve"> </w:t>
      </w:r>
      <w:r w:rsidRPr="002C3702">
        <w:t>= abemaciclib, ALN = axillary lymph node, DRFS = distant relapse free survival, EBC = early breast cancer, ET= endocrine therapy, HER2- = human epidermal growth factor receptor 2 negative, HR+ = hormone receptor positive, HR-QoL = health-related quality of life, IDFS = invasive disease-free survival, ITT= intention-to-treat, mths, months, OL = open label, OS = overall survival, R = randomised. </w:t>
      </w:r>
    </w:p>
    <w:p w14:paraId="13DA33B0" w14:textId="0B56050D" w:rsidR="00030CC5" w:rsidRPr="002C3702" w:rsidRDefault="00030CC5" w:rsidP="006D750F">
      <w:pPr>
        <w:pStyle w:val="FooterTableFigure"/>
        <w:rPr>
          <w:iCs/>
        </w:rPr>
      </w:pPr>
      <w:r w:rsidRPr="002C3702">
        <w:rPr>
          <w:iCs/>
          <w:sz w:val="14"/>
          <w:szCs w:val="14"/>
          <w:vertAlign w:val="superscript"/>
        </w:rPr>
        <w:t>a</w:t>
      </w:r>
      <w:r w:rsidRPr="002C3702">
        <w:rPr>
          <w:iCs/>
        </w:rPr>
        <w:t xml:space="preserve"> </w:t>
      </w:r>
      <w:r w:rsidR="00B02E16" w:rsidRPr="002C3702">
        <w:rPr>
          <w:iCs/>
        </w:rPr>
        <w:t>The evaluation considered that i</w:t>
      </w:r>
      <w:r w:rsidRPr="002C3702">
        <w:rPr>
          <w:iCs/>
        </w:rPr>
        <w:t>nformative censoring may have put the analysis at risk of attrition bias, consequently meaning an overall assessment of low/some concerns.</w:t>
      </w:r>
      <w:r w:rsidRPr="002C3702" w:rsidDel="00525BA3">
        <w:rPr>
          <w:iCs/>
        </w:rPr>
        <w:t xml:space="preserve"> </w:t>
      </w:r>
    </w:p>
    <w:p w14:paraId="59B7DC6B" w14:textId="7207B6EB" w:rsidR="00A857E3" w:rsidRPr="002C3702" w:rsidRDefault="00A857E3" w:rsidP="006D750F">
      <w:pPr>
        <w:pStyle w:val="FooterTableFigure"/>
      </w:pPr>
      <w:r w:rsidRPr="002C3702">
        <w:rPr>
          <w:iCs/>
          <w:vertAlign w:val="superscript"/>
        </w:rPr>
        <w:t>b</w:t>
      </w:r>
      <w:r w:rsidRPr="002C3702">
        <w:rPr>
          <w:iCs/>
        </w:rPr>
        <w:t xml:space="preserve"> </w:t>
      </w:r>
      <w:r w:rsidRPr="002C3702">
        <w:t xml:space="preserve">The economic model used the trial data on IDFS, DRFS, and OS without distant recurrence </w:t>
      </w:r>
      <w:r w:rsidR="007E2C59" w:rsidRPr="002C3702">
        <w:t>from</w:t>
      </w:r>
      <w:r w:rsidRPr="002C3702">
        <w:t xml:space="preserve"> the most recent </w:t>
      </w:r>
      <w:r w:rsidR="007E2C59" w:rsidRPr="002C3702">
        <w:t xml:space="preserve">July 2022 </w:t>
      </w:r>
      <w:r w:rsidRPr="002C3702">
        <w:t>data cutoff (median follow-up: 42 month)</w:t>
      </w:r>
      <w:r w:rsidR="006A1B62" w:rsidRPr="002C3702">
        <w:t xml:space="preserve"> from Cohort 1</w:t>
      </w:r>
    </w:p>
    <w:p w14:paraId="7D8FDA2C" w14:textId="40064EAB" w:rsidR="00A857E3" w:rsidRPr="002C3702" w:rsidRDefault="00A857E3" w:rsidP="006D750F">
      <w:pPr>
        <w:pStyle w:val="FooterTableFigure"/>
      </w:pPr>
      <w:r w:rsidRPr="002C3702">
        <w:rPr>
          <w:vertAlign w:val="superscript"/>
        </w:rPr>
        <w:t xml:space="preserve">c </w:t>
      </w:r>
      <w:r w:rsidRPr="002C3702">
        <w:t>OS without distant recurrence was not a pre-specified outcome.</w:t>
      </w:r>
    </w:p>
    <w:p w14:paraId="7DEFAA08" w14:textId="250F133E" w:rsidR="006D750F" w:rsidRPr="002C3702" w:rsidRDefault="001E1E03" w:rsidP="006D750F">
      <w:pPr>
        <w:pStyle w:val="FooterTableFigure"/>
      </w:pPr>
      <w:r w:rsidRPr="002C3702">
        <w:rPr>
          <w:vertAlign w:val="superscript"/>
        </w:rPr>
        <w:t xml:space="preserve">d </w:t>
      </w:r>
      <w:r w:rsidRPr="002C3702">
        <w:t xml:space="preserve">Data previously seen by the PBAC but were </w:t>
      </w:r>
      <w:r w:rsidR="006D750F" w:rsidRPr="002C3702">
        <w:t xml:space="preserve">not </w:t>
      </w:r>
      <w:r w:rsidR="00F8026E" w:rsidRPr="002C3702">
        <w:t xml:space="preserve">used in modelled </w:t>
      </w:r>
      <w:r w:rsidR="008F2E5A" w:rsidRPr="002C3702">
        <w:t>evaluation</w:t>
      </w:r>
      <w:r w:rsidR="00F8026E" w:rsidRPr="002C3702">
        <w:t xml:space="preserve"> in the March 2023 resubmission.</w:t>
      </w:r>
    </w:p>
    <w:p w14:paraId="34FD9159" w14:textId="1CA96207" w:rsidR="00030CC5" w:rsidRPr="002C3702" w:rsidRDefault="006D750F" w:rsidP="006D750F">
      <w:pPr>
        <w:pStyle w:val="FooterTableFigure"/>
        <w:rPr>
          <w:iCs/>
        </w:rPr>
      </w:pPr>
      <w:r w:rsidRPr="002C3702">
        <w:rPr>
          <w:iCs/>
          <w:shd w:val="clear" w:color="auto" w:fill="8DB3E2"/>
        </w:rPr>
        <w:t>Bl</w:t>
      </w:r>
      <w:r w:rsidR="00030CC5" w:rsidRPr="002C3702">
        <w:rPr>
          <w:iCs/>
          <w:shd w:val="clear" w:color="auto" w:fill="8DB3E2"/>
        </w:rPr>
        <w:t>ue shading</w:t>
      </w:r>
      <w:r w:rsidR="00030CC5" w:rsidRPr="002C3702">
        <w:rPr>
          <w:iCs/>
        </w:rPr>
        <w:t xml:space="preserve"> indicates data previously seen by the PBAC. </w:t>
      </w:r>
    </w:p>
    <w:p w14:paraId="5A51F6C0" w14:textId="39FD45A4" w:rsidR="00030CC5" w:rsidRPr="002C3702" w:rsidRDefault="00030CC5" w:rsidP="00030CC5">
      <w:pPr>
        <w:pStyle w:val="3-BodyText"/>
      </w:pPr>
      <w:r w:rsidRPr="002C3702">
        <w:t xml:space="preserve">The </w:t>
      </w:r>
      <w:r w:rsidR="004E5E8A" w:rsidRPr="002C3702">
        <w:t xml:space="preserve">evaluation considered that the </w:t>
      </w:r>
      <w:r w:rsidRPr="002C3702">
        <w:t>potential impact of monarchE trial attrition bias and informative censoring</w:t>
      </w:r>
      <w:r w:rsidR="004E5E8A" w:rsidRPr="002C3702">
        <w:t xml:space="preserve"> likely</w:t>
      </w:r>
      <w:r w:rsidRPr="002C3702">
        <w:rPr>
          <w:rFonts w:eastAsia="Calibri"/>
        </w:rPr>
        <w:t xml:space="preserve"> favours ABE + ET and overestimates the magnitude </w:t>
      </w:r>
      <w:r w:rsidRPr="002C3702">
        <w:rPr>
          <w:rFonts w:eastAsia="Calibri"/>
        </w:rPr>
        <w:lastRenderedPageBreak/>
        <w:t>of the effect</w:t>
      </w:r>
      <w:r w:rsidR="003449B3" w:rsidRPr="002C3702">
        <w:rPr>
          <w:rStyle w:val="FootnoteReference"/>
        </w:rPr>
        <w:footnoteReference w:id="9"/>
      </w:r>
      <w:r w:rsidRPr="002C3702">
        <w:rPr>
          <w:rFonts w:eastAsia="Calibri"/>
        </w:rPr>
        <w:t xml:space="preserve">. The risk of bias for monarchE trial </w:t>
      </w:r>
      <w:r w:rsidR="004E5E8A" w:rsidRPr="002C3702">
        <w:rPr>
          <w:rFonts w:eastAsia="Calibri"/>
        </w:rPr>
        <w:t>was</w:t>
      </w:r>
      <w:r w:rsidRPr="002C3702">
        <w:rPr>
          <w:rFonts w:eastAsia="Calibri"/>
        </w:rPr>
        <w:t xml:space="preserve"> therefore </w:t>
      </w:r>
      <w:r w:rsidR="003449B3" w:rsidRPr="002C3702">
        <w:rPr>
          <w:rFonts w:eastAsia="Calibri"/>
        </w:rPr>
        <w:t>change</w:t>
      </w:r>
      <w:r w:rsidR="004E5E8A" w:rsidRPr="002C3702">
        <w:rPr>
          <w:rFonts w:eastAsia="Calibri"/>
        </w:rPr>
        <w:t>d</w:t>
      </w:r>
      <w:r w:rsidR="003449B3" w:rsidRPr="002C3702">
        <w:rPr>
          <w:rFonts w:eastAsia="Calibri"/>
        </w:rPr>
        <w:t xml:space="preserve"> </w:t>
      </w:r>
      <w:r w:rsidRPr="002C3702">
        <w:rPr>
          <w:rFonts w:eastAsia="Calibri"/>
        </w:rPr>
        <w:t xml:space="preserve">from low to low/some concerns. </w:t>
      </w:r>
    </w:p>
    <w:p w14:paraId="3CBA3997" w14:textId="77777777" w:rsidR="00030CC5" w:rsidRPr="002C3702" w:rsidRDefault="00030CC5" w:rsidP="00030CC5">
      <w:pPr>
        <w:pStyle w:val="4-SubsectionHeading"/>
      </w:pPr>
      <w:bookmarkStart w:id="24" w:name="_Toc22897641"/>
      <w:bookmarkStart w:id="25" w:name="_Toc145422840"/>
      <w:r w:rsidRPr="002C3702">
        <w:t>Comparative effectiveness</w:t>
      </w:r>
      <w:bookmarkEnd w:id="24"/>
      <w:bookmarkEnd w:id="25"/>
    </w:p>
    <w:p w14:paraId="4F402175" w14:textId="3D885D02" w:rsidR="00030CC5" w:rsidRPr="002C3702" w:rsidRDefault="00030CC5" w:rsidP="00030CC5">
      <w:pPr>
        <w:pStyle w:val="3-BodyText"/>
        <w:rPr>
          <w:iCs/>
        </w:rPr>
      </w:pPr>
      <w:r w:rsidRPr="002C3702">
        <w:rPr>
          <w:iCs/>
        </w:rPr>
        <w:t xml:space="preserve">No updated clinical evidence </w:t>
      </w:r>
      <w:r w:rsidR="004F574B" w:rsidRPr="002C3702">
        <w:rPr>
          <w:iCs/>
        </w:rPr>
        <w:t>was</w:t>
      </w:r>
      <w:r w:rsidRPr="002C3702">
        <w:rPr>
          <w:iCs/>
        </w:rPr>
        <w:t xml:space="preserve"> presented in the current </w:t>
      </w:r>
      <w:r w:rsidR="496A06E8" w:rsidRPr="002C3702">
        <w:rPr>
          <w:iCs/>
        </w:rPr>
        <w:t>submission</w:t>
      </w:r>
      <w:r w:rsidRPr="002C3702">
        <w:rPr>
          <w:iCs/>
        </w:rPr>
        <w:t>.</w:t>
      </w:r>
    </w:p>
    <w:p w14:paraId="3364EAD9" w14:textId="4F0D169A" w:rsidR="0081689F" w:rsidRPr="002C3702" w:rsidRDefault="0081689F" w:rsidP="0081689F">
      <w:pPr>
        <w:pStyle w:val="3-BodyText"/>
        <w:rPr>
          <w:iCs/>
        </w:rPr>
      </w:pPr>
      <w:r w:rsidRPr="002C3702">
        <w:t xml:space="preserve">The Pre-Sub Committee Response (PSCR) provided additional follow-up data from monarchE interim analysis 3 (OS interim analysis 3 [OS IA3], July 2023) for the ITT population and Cohort 1. The data include an additional 12 months of follow-up data (median = 54 months). </w:t>
      </w:r>
    </w:p>
    <w:p w14:paraId="7701FE31" w14:textId="358AE85C" w:rsidR="000C4A9D" w:rsidRPr="002C3702" w:rsidRDefault="00280EA4" w:rsidP="000C4A9D">
      <w:pPr>
        <w:pStyle w:val="3-BodyText"/>
      </w:pPr>
      <w:r w:rsidRPr="002C3702">
        <w:rPr>
          <w:rFonts w:ascii="Calibri" w:hAnsi="Calibri"/>
          <w:snapToGrid/>
        </w:rPr>
        <w:fldChar w:fldCharType="begin"/>
      </w:r>
      <w:r w:rsidR="00030CC5" w:rsidRPr="002C3702">
        <w:instrText xml:space="preserve"> REF _Ref142830783 \h </w:instrText>
      </w:r>
      <w:r w:rsidRPr="002C3702">
        <w:rPr>
          <w:rFonts w:ascii="Calibri" w:hAnsi="Calibri"/>
          <w:snapToGrid/>
        </w:rPr>
      </w:r>
      <w:r w:rsidRPr="002C3702">
        <w:rPr>
          <w:rFonts w:ascii="Calibri" w:hAnsi="Calibri"/>
          <w:snapToGrid/>
        </w:rPr>
        <w:fldChar w:fldCharType="separate"/>
      </w:r>
      <w:r w:rsidR="00676505" w:rsidRPr="002C3702">
        <w:t xml:space="preserve">Table </w:t>
      </w:r>
      <w:r w:rsidR="00676505">
        <w:rPr>
          <w:noProof/>
        </w:rPr>
        <w:t>5</w:t>
      </w:r>
      <w:r w:rsidRPr="002C3702">
        <w:fldChar w:fldCharType="end"/>
      </w:r>
      <w:r w:rsidR="00030CC5" w:rsidRPr="002C3702">
        <w:t xml:space="preserve"> summarises the results of the primary outcome of IDFS and secondary outcomes of distant relapse-free survival (DRFS) and OS outcomes </w:t>
      </w:r>
      <w:r w:rsidR="00030CC5" w:rsidRPr="002C3702">
        <w:rPr>
          <w:rStyle w:val="3-BodyTextChar"/>
        </w:rPr>
        <w:t>from</w:t>
      </w:r>
      <w:r w:rsidR="00030CC5" w:rsidRPr="002C3702">
        <w:t xml:space="preserve"> the </w:t>
      </w:r>
      <w:proofErr w:type="spellStart"/>
      <w:r w:rsidR="00030CC5" w:rsidRPr="002C3702">
        <w:t>monarchE</w:t>
      </w:r>
      <w:proofErr w:type="spellEnd"/>
      <w:r w:rsidR="00030CC5" w:rsidRPr="002C3702">
        <w:t xml:space="preserve"> trial ITT population alongside the subgroups Cohort 1 and Cohort 2</w:t>
      </w:r>
      <w:r w:rsidR="00334BE0" w:rsidRPr="002C3702">
        <w:t xml:space="preserve"> (AFU2 only)</w:t>
      </w:r>
      <w:r w:rsidR="00030CC5" w:rsidRPr="002C3702">
        <w:t xml:space="preserve">. </w:t>
      </w:r>
      <w:r w:rsidR="00030CC5" w:rsidRPr="002C3702">
        <w:fldChar w:fldCharType="begin"/>
      </w:r>
      <w:r w:rsidR="00030CC5" w:rsidRPr="002C3702">
        <w:instrText xml:space="preserve"> REF _Ref142840709 \h  \* MERGEFORMAT </w:instrText>
      </w:r>
      <w:r w:rsidR="00030CC5" w:rsidRPr="002C3702">
        <w:fldChar w:fldCharType="separate"/>
      </w:r>
      <w:r w:rsidR="00676505" w:rsidRPr="002C3702">
        <w:t xml:space="preserve">Figure </w:t>
      </w:r>
      <w:r w:rsidR="00676505">
        <w:t>1</w:t>
      </w:r>
      <w:r w:rsidR="00030CC5" w:rsidRPr="002C3702">
        <w:fldChar w:fldCharType="end"/>
      </w:r>
      <w:r w:rsidR="00030CC5" w:rsidRPr="002C3702">
        <w:t xml:space="preserve">, </w:t>
      </w:r>
      <w:r w:rsidR="00030CC5" w:rsidRPr="002C3702">
        <w:fldChar w:fldCharType="begin"/>
      </w:r>
      <w:r w:rsidR="00030CC5" w:rsidRPr="002C3702">
        <w:instrText xml:space="preserve"> REF _Ref142841061 \h  \* MERGEFORMAT </w:instrText>
      </w:r>
      <w:r w:rsidR="00030CC5" w:rsidRPr="002C3702">
        <w:fldChar w:fldCharType="separate"/>
      </w:r>
      <w:r w:rsidR="00676505" w:rsidRPr="002C3702">
        <w:t xml:space="preserve">Figure </w:t>
      </w:r>
      <w:r w:rsidR="00676505">
        <w:t>2</w:t>
      </w:r>
      <w:r w:rsidR="00030CC5" w:rsidRPr="002C3702">
        <w:fldChar w:fldCharType="end"/>
      </w:r>
      <w:r w:rsidR="00030CC5" w:rsidRPr="002C3702">
        <w:t xml:space="preserve">, and </w:t>
      </w:r>
      <w:r w:rsidR="00030CC5" w:rsidRPr="002C3702">
        <w:fldChar w:fldCharType="begin"/>
      </w:r>
      <w:r w:rsidR="00030CC5" w:rsidRPr="002C3702">
        <w:instrText xml:space="preserve"> REF _Ref142841271 \h  \* MERGEFORMAT </w:instrText>
      </w:r>
      <w:r w:rsidR="00030CC5" w:rsidRPr="002C3702">
        <w:fldChar w:fldCharType="separate"/>
      </w:r>
      <w:r w:rsidR="00676505" w:rsidRPr="002C3702">
        <w:t xml:space="preserve">Figure </w:t>
      </w:r>
      <w:r w:rsidR="00676505">
        <w:t>3</w:t>
      </w:r>
      <w:r w:rsidR="00030CC5" w:rsidRPr="002C3702">
        <w:fldChar w:fldCharType="end"/>
      </w:r>
      <w:r w:rsidR="00030CC5" w:rsidRPr="002C3702">
        <w:t xml:space="preserve"> present the Kaplan-Meier curves for IDFS, DRFS, and OS for the ITT population, respectively. </w:t>
      </w:r>
      <w:r w:rsidR="00030CC5" w:rsidRPr="002C3702">
        <w:fldChar w:fldCharType="begin"/>
      </w:r>
      <w:r w:rsidR="00030CC5" w:rsidRPr="002C3702">
        <w:instrText xml:space="preserve"> REF _Ref142841293 \h  \* MERGEFORMAT </w:instrText>
      </w:r>
      <w:r w:rsidR="00030CC5" w:rsidRPr="002C3702">
        <w:fldChar w:fldCharType="separate"/>
      </w:r>
      <w:r w:rsidR="00676505" w:rsidRPr="002C3702">
        <w:t xml:space="preserve">Figure </w:t>
      </w:r>
      <w:r w:rsidR="00676505">
        <w:t>4</w:t>
      </w:r>
      <w:r w:rsidR="00030CC5" w:rsidRPr="002C3702">
        <w:fldChar w:fldCharType="end"/>
      </w:r>
      <w:r w:rsidR="00030CC5" w:rsidRPr="002C3702">
        <w:t xml:space="preserve">, </w:t>
      </w:r>
      <w:r w:rsidR="00030CC5" w:rsidRPr="002C3702">
        <w:fldChar w:fldCharType="begin"/>
      </w:r>
      <w:r w:rsidR="00030CC5" w:rsidRPr="002C3702">
        <w:instrText xml:space="preserve"> REF _Ref142841308 \h  \* MERGEFORMAT </w:instrText>
      </w:r>
      <w:r w:rsidR="00030CC5" w:rsidRPr="002C3702">
        <w:fldChar w:fldCharType="separate"/>
      </w:r>
      <w:r w:rsidR="00676505" w:rsidRPr="002C3702">
        <w:t xml:space="preserve">Figure </w:t>
      </w:r>
      <w:r w:rsidR="00676505">
        <w:t>5</w:t>
      </w:r>
      <w:r w:rsidR="00030CC5" w:rsidRPr="002C3702">
        <w:fldChar w:fldCharType="end"/>
      </w:r>
      <w:r w:rsidR="00030CC5" w:rsidRPr="002C3702">
        <w:t xml:space="preserve">, and </w:t>
      </w:r>
      <w:r w:rsidR="00030CC5" w:rsidRPr="002C3702">
        <w:fldChar w:fldCharType="begin"/>
      </w:r>
      <w:r w:rsidR="00030CC5" w:rsidRPr="002C3702">
        <w:instrText xml:space="preserve"> REF _Ref142841319 \h  \* MERGEFORMAT </w:instrText>
      </w:r>
      <w:r w:rsidR="00030CC5" w:rsidRPr="002C3702">
        <w:fldChar w:fldCharType="separate"/>
      </w:r>
      <w:r w:rsidR="00676505" w:rsidRPr="002C3702">
        <w:t xml:space="preserve">Figure </w:t>
      </w:r>
      <w:r w:rsidR="00676505">
        <w:t>6</w:t>
      </w:r>
      <w:r w:rsidR="00030CC5" w:rsidRPr="002C3702">
        <w:fldChar w:fldCharType="end"/>
      </w:r>
      <w:r w:rsidR="00030CC5" w:rsidRPr="002C3702">
        <w:t xml:space="preserve"> present the Kaplan-Meier curves for IDFS, DRFS, and OS for Cohort 1, respectively.</w:t>
      </w:r>
    </w:p>
    <w:p w14:paraId="29FBD268" w14:textId="6A8E371D" w:rsidR="00030CC5" w:rsidRPr="002C3702" w:rsidRDefault="00030CC5" w:rsidP="00622DD5">
      <w:pPr>
        <w:pStyle w:val="TableFigureHeading"/>
        <w:keepLines/>
        <w:rPr>
          <w:rStyle w:val="CommentReference"/>
          <w:b/>
          <w:bCs w:val="0"/>
        </w:rPr>
      </w:pPr>
      <w:bookmarkStart w:id="26" w:name="_Ref142830783"/>
      <w:r w:rsidRPr="002C3702">
        <w:t xml:space="preserve">Table </w:t>
      </w:r>
      <w:r w:rsidRPr="002C3702">
        <w:fldChar w:fldCharType="begin"/>
      </w:r>
      <w:r w:rsidRPr="002C3702">
        <w:instrText>SEQ Table \* ARABIC</w:instrText>
      </w:r>
      <w:r w:rsidRPr="002C3702">
        <w:fldChar w:fldCharType="separate"/>
      </w:r>
      <w:r w:rsidR="00676505">
        <w:rPr>
          <w:noProof/>
        </w:rPr>
        <w:t>5</w:t>
      </w:r>
      <w:r w:rsidRPr="002C3702">
        <w:fldChar w:fldCharType="end"/>
      </w:r>
      <w:bookmarkEnd w:id="26"/>
      <w:r w:rsidRPr="002C3702">
        <w:t>:</w:t>
      </w:r>
      <w:r w:rsidRPr="002C3702">
        <w:rPr>
          <w:b w:val="0"/>
          <w:bCs w:val="0"/>
        </w:rPr>
        <w:t xml:space="preserve"> </w:t>
      </w:r>
      <w:r w:rsidRPr="002C3702">
        <w:rPr>
          <w:rStyle w:val="CommentReference"/>
          <w:b/>
          <w:bCs w:val="0"/>
        </w:rPr>
        <w:t xml:space="preserve">Summary of survival outcomes in monarchE, </w:t>
      </w:r>
      <w:r w:rsidR="002B3FB9" w:rsidRPr="002C3702">
        <w:rPr>
          <w:rStyle w:val="CommentReference"/>
          <w:b/>
          <w:bCs w:val="0"/>
          <w:iCs/>
        </w:rPr>
        <w:t xml:space="preserve">OS </w:t>
      </w:r>
      <w:r w:rsidR="00CC4602" w:rsidRPr="002C3702">
        <w:rPr>
          <w:rStyle w:val="CommentReference"/>
          <w:b/>
          <w:bCs w:val="0"/>
          <w:iCs/>
        </w:rPr>
        <w:t>IA3 (</w:t>
      </w:r>
      <w:r w:rsidR="0081689F" w:rsidRPr="002C3702">
        <w:rPr>
          <w:rStyle w:val="CommentReference"/>
          <w:b/>
          <w:bCs w:val="0"/>
          <w:iCs/>
        </w:rPr>
        <w:t>July</w:t>
      </w:r>
      <w:r w:rsidR="00CC4602" w:rsidRPr="002C3702">
        <w:rPr>
          <w:rStyle w:val="CommentReference"/>
          <w:b/>
          <w:bCs w:val="0"/>
          <w:iCs/>
        </w:rPr>
        <w:t xml:space="preserve"> 2023)</w:t>
      </w:r>
      <w:r w:rsidR="00CC4602" w:rsidRPr="002C3702">
        <w:rPr>
          <w:rStyle w:val="CommentReference"/>
          <w:b/>
          <w:bCs w:val="0"/>
        </w:rPr>
        <w:t xml:space="preserve"> and </w:t>
      </w:r>
      <w:r w:rsidRPr="002C3702">
        <w:rPr>
          <w:rStyle w:val="CommentReference"/>
          <w:b/>
          <w:bCs w:val="0"/>
        </w:rPr>
        <w:t>AFU2 (July 2022)</w:t>
      </w:r>
      <w:r w:rsidR="00A82E1A" w:rsidRPr="002C3702">
        <w:rPr>
          <w:rStyle w:val="CommentReference"/>
          <w:b/>
          <w:bCs w:val="0"/>
        </w:rPr>
        <w:t xml:space="preserve"> </w:t>
      </w:r>
    </w:p>
    <w:tbl>
      <w:tblPr>
        <w:tblpPr w:leftFromText="181" w:rightFromText="181" w:vertAnchor="text" w:tblpY="1"/>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976"/>
        <w:gridCol w:w="1976"/>
        <w:gridCol w:w="1926"/>
      </w:tblGrid>
      <w:tr w:rsidR="00030CC5" w:rsidRPr="002C3702" w14:paraId="4F6FACCE" w14:textId="77777777" w:rsidTr="00622DD5">
        <w:trPr>
          <w:cantSplit/>
          <w:trHeight w:val="300"/>
        </w:trPr>
        <w:tc>
          <w:tcPr>
            <w:tcW w:w="3259" w:type="dxa"/>
            <w:shd w:val="clear" w:color="auto" w:fill="auto"/>
            <w:vAlign w:val="center"/>
            <w:hideMark/>
          </w:tcPr>
          <w:p w14:paraId="3CC3B38D" w14:textId="77777777" w:rsidR="00030CC5" w:rsidRPr="002C3702" w:rsidRDefault="00030CC5" w:rsidP="00622DD5">
            <w:pPr>
              <w:keepNext/>
              <w:keepLines/>
              <w:jc w:val="left"/>
              <w:textAlignment w:val="baseline"/>
              <w:rPr>
                <w:rFonts w:ascii="Arial Narrow" w:hAnsi="Arial Narrow" w:cs="Times New Roman"/>
                <w:b/>
                <w:sz w:val="20"/>
                <w:szCs w:val="20"/>
              </w:rPr>
            </w:pPr>
            <w:r w:rsidRPr="002C3702">
              <w:rPr>
                <w:rFonts w:ascii="Arial Narrow" w:hAnsi="Arial Narrow" w:cs="Times New Roman"/>
                <w:b/>
                <w:bCs/>
                <w:sz w:val="20"/>
                <w:szCs w:val="20"/>
              </w:rPr>
              <w:t> </w:t>
            </w:r>
          </w:p>
        </w:tc>
        <w:tc>
          <w:tcPr>
            <w:tcW w:w="1976" w:type="dxa"/>
            <w:shd w:val="clear" w:color="auto" w:fill="auto"/>
            <w:vAlign w:val="center"/>
            <w:hideMark/>
          </w:tcPr>
          <w:p w14:paraId="3ACC04E9"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Arm A </w:t>
            </w:r>
          </w:p>
          <w:p w14:paraId="3FE52C92"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ABE + ET  </w:t>
            </w:r>
          </w:p>
          <w:p w14:paraId="55EBB348"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n with event/N (%) </w:t>
            </w:r>
          </w:p>
        </w:tc>
        <w:tc>
          <w:tcPr>
            <w:tcW w:w="1976" w:type="dxa"/>
            <w:shd w:val="clear" w:color="auto" w:fill="auto"/>
            <w:vAlign w:val="center"/>
            <w:hideMark/>
          </w:tcPr>
          <w:p w14:paraId="4E49AD9E"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Arm B </w:t>
            </w:r>
          </w:p>
          <w:p w14:paraId="7B9665C7"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ET  </w:t>
            </w:r>
          </w:p>
          <w:p w14:paraId="53CB8C43"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n with event/N (%) </w:t>
            </w:r>
          </w:p>
        </w:tc>
        <w:tc>
          <w:tcPr>
            <w:tcW w:w="1926" w:type="dxa"/>
            <w:shd w:val="clear" w:color="auto" w:fill="auto"/>
            <w:vAlign w:val="center"/>
            <w:hideMark/>
          </w:tcPr>
          <w:p w14:paraId="5DA2F3CB" w14:textId="77777777" w:rsidR="00030CC5" w:rsidRPr="002C3702" w:rsidRDefault="00030CC5" w:rsidP="00622DD5">
            <w:pPr>
              <w:keepNext/>
              <w:keepLines/>
              <w:jc w:val="center"/>
              <w:textAlignment w:val="baseline"/>
              <w:rPr>
                <w:rFonts w:ascii="Arial Narrow" w:hAnsi="Arial Narrow" w:cs="Times New Roman"/>
                <w:b/>
                <w:sz w:val="20"/>
                <w:szCs w:val="20"/>
              </w:rPr>
            </w:pPr>
            <w:r w:rsidRPr="002C3702">
              <w:rPr>
                <w:rFonts w:ascii="Arial Narrow" w:hAnsi="Arial Narrow" w:cs="Times New Roman"/>
                <w:b/>
                <w:bCs/>
                <w:sz w:val="20"/>
                <w:szCs w:val="20"/>
              </w:rPr>
              <w:t>HR (95% CI) </w:t>
            </w:r>
          </w:p>
        </w:tc>
      </w:tr>
      <w:tr w:rsidR="00D3444E" w:rsidRPr="002C3702" w14:paraId="60777071" w14:textId="77777777" w:rsidTr="00622DD5">
        <w:trPr>
          <w:cantSplit/>
          <w:trHeight w:val="63"/>
        </w:trPr>
        <w:tc>
          <w:tcPr>
            <w:tcW w:w="9137" w:type="dxa"/>
            <w:gridSpan w:val="4"/>
            <w:shd w:val="clear" w:color="auto" w:fill="auto"/>
            <w:vAlign w:val="center"/>
          </w:tcPr>
          <w:p w14:paraId="4F17D5F1" w14:textId="5A885B5F" w:rsidR="00D3444E" w:rsidRPr="002C3702" w:rsidRDefault="002B3FB9" w:rsidP="00622DD5">
            <w:pPr>
              <w:keepNext/>
              <w:keepLines/>
              <w:ind w:firstLine="127"/>
              <w:jc w:val="left"/>
              <w:textAlignment w:val="baseline"/>
              <w:rPr>
                <w:rFonts w:ascii="Arial Narrow" w:hAnsi="Arial Narrow" w:cs="Times New Roman"/>
                <w:iCs/>
                <w:sz w:val="20"/>
                <w:szCs w:val="20"/>
              </w:rPr>
            </w:pPr>
            <w:r w:rsidRPr="002C3702">
              <w:rPr>
                <w:rStyle w:val="CommentReference"/>
                <w:iCs/>
              </w:rPr>
              <w:t xml:space="preserve">OS </w:t>
            </w:r>
            <w:r w:rsidR="00CC4602" w:rsidRPr="002C3702">
              <w:rPr>
                <w:rStyle w:val="CommentReference"/>
                <w:iCs/>
              </w:rPr>
              <w:t>IA3 (</w:t>
            </w:r>
            <w:r w:rsidR="0081689F" w:rsidRPr="002C3702">
              <w:rPr>
                <w:rStyle w:val="CommentReference"/>
                <w:iCs/>
              </w:rPr>
              <w:t>July</w:t>
            </w:r>
            <w:r w:rsidR="00CC4602" w:rsidRPr="002C3702">
              <w:rPr>
                <w:rStyle w:val="CommentReference"/>
                <w:iCs/>
              </w:rPr>
              <w:t xml:space="preserve"> 2023)  </w:t>
            </w:r>
          </w:p>
        </w:tc>
      </w:tr>
      <w:tr w:rsidR="00030CC5" w:rsidRPr="002C3702" w14:paraId="1B6489A3" w14:textId="77777777" w:rsidTr="00622DD5">
        <w:trPr>
          <w:cantSplit/>
          <w:trHeight w:val="63"/>
        </w:trPr>
        <w:tc>
          <w:tcPr>
            <w:tcW w:w="9137" w:type="dxa"/>
            <w:gridSpan w:val="4"/>
            <w:shd w:val="clear" w:color="auto" w:fill="auto"/>
            <w:vAlign w:val="center"/>
            <w:hideMark/>
          </w:tcPr>
          <w:p w14:paraId="0A45308F" w14:textId="3F28BF2F" w:rsidR="00030CC5" w:rsidRPr="002C3702" w:rsidRDefault="00030CC5" w:rsidP="00622DD5">
            <w:pPr>
              <w:keepNext/>
              <w:keepLines/>
              <w:ind w:firstLine="127"/>
              <w:jc w:val="left"/>
              <w:textAlignment w:val="baseline"/>
              <w:rPr>
                <w:rFonts w:ascii="Arial Narrow" w:hAnsi="Arial Narrow" w:cs="Times New Roman"/>
                <w:b/>
                <w:iCs/>
                <w:sz w:val="20"/>
                <w:szCs w:val="20"/>
              </w:rPr>
            </w:pPr>
            <w:r w:rsidRPr="002C3702">
              <w:rPr>
                <w:rFonts w:ascii="Arial Narrow" w:hAnsi="Arial Narrow" w:cs="Times New Roman"/>
                <w:b/>
                <w:bCs/>
                <w:iCs/>
                <w:sz w:val="20"/>
                <w:szCs w:val="20"/>
              </w:rPr>
              <w:t>Invasive disease</w:t>
            </w:r>
            <w:r w:rsidR="0013023B" w:rsidRPr="002C3702">
              <w:rPr>
                <w:rFonts w:ascii="Arial Narrow" w:hAnsi="Arial Narrow" w:cs="Times New Roman"/>
                <w:b/>
                <w:bCs/>
                <w:iCs/>
                <w:sz w:val="20"/>
                <w:szCs w:val="20"/>
              </w:rPr>
              <w:t xml:space="preserve"> or death</w:t>
            </w:r>
          </w:p>
        </w:tc>
      </w:tr>
      <w:tr w:rsidR="00030CC5" w:rsidRPr="002C3702" w14:paraId="699375EB" w14:textId="77777777" w:rsidTr="00622DD5">
        <w:trPr>
          <w:cantSplit/>
          <w:trHeight w:val="102"/>
        </w:trPr>
        <w:tc>
          <w:tcPr>
            <w:tcW w:w="3259" w:type="dxa"/>
            <w:shd w:val="clear" w:color="auto" w:fill="auto"/>
            <w:vAlign w:val="center"/>
            <w:hideMark/>
          </w:tcPr>
          <w:p w14:paraId="7B00E1B7" w14:textId="77777777"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ITT population </w:t>
            </w:r>
          </w:p>
        </w:tc>
        <w:tc>
          <w:tcPr>
            <w:tcW w:w="1976" w:type="dxa"/>
            <w:shd w:val="clear" w:color="auto" w:fill="auto"/>
            <w:vAlign w:val="center"/>
          </w:tcPr>
          <w:p w14:paraId="6BE02FD3" w14:textId="4B5EB529" w:rsidR="00030CC5" w:rsidRPr="00D8041A" w:rsidRDefault="001C07A0"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407</w:t>
            </w:r>
            <w:r w:rsidR="00A82E1A" w:rsidRPr="00D8041A">
              <w:rPr>
                <w:rFonts w:ascii="Arial Narrow" w:hAnsi="Arial Narrow" w:cs="Times New Roman"/>
                <w:iCs/>
                <w:sz w:val="20"/>
                <w:szCs w:val="20"/>
              </w:rPr>
              <w:t>/2808 (1</w:t>
            </w:r>
            <w:r w:rsidR="00B92CC6" w:rsidRPr="00D8041A">
              <w:rPr>
                <w:rFonts w:ascii="Arial Narrow" w:hAnsi="Arial Narrow" w:cs="Times New Roman"/>
                <w:iCs/>
                <w:sz w:val="20"/>
                <w:szCs w:val="20"/>
              </w:rPr>
              <w:t>4</w:t>
            </w:r>
            <w:r w:rsidR="00A82E1A" w:rsidRPr="00D8041A">
              <w:rPr>
                <w:rFonts w:ascii="Arial Narrow" w:hAnsi="Arial Narrow" w:cs="Times New Roman"/>
                <w:iCs/>
                <w:sz w:val="20"/>
                <w:szCs w:val="20"/>
              </w:rPr>
              <w:t>.</w:t>
            </w:r>
            <w:r w:rsidR="00B92CC6" w:rsidRPr="00D8041A">
              <w:rPr>
                <w:rFonts w:ascii="Arial Narrow" w:hAnsi="Arial Narrow" w:cs="Times New Roman"/>
                <w:iCs/>
                <w:sz w:val="20"/>
                <w:szCs w:val="20"/>
              </w:rPr>
              <w:t>5</w:t>
            </w:r>
            <w:r w:rsidR="00A82E1A" w:rsidRPr="00D8041A">
              <w:rPr>
                <w:rFonts w:ascii="Arial Narrow" w:hAnsi="Arial Narrow" w:cs="Times New Roman"/>
                <w:iCs/>
                <w:sz w:val="20"/>
                <w:szCs w:val="20"/>
              </w:rPr>
              <w:t>%)</w:t>
            </w:r>
          </w:p>
        </w:tc>
        <w:tc>
          <w:tcPr>
            <w:tcW w:w="1976" w:type="dxa"/>
            <w:shd w:val="clear" w:color="auto" w:fill="auto"/>
            <w:vAlign w:val="center"/>
          </w:tcPr>
          <w:p w14:paraId="1297A5B8" w14:textId="66E5BF49" w:rsidR="00030CC5" w:rsidRPr="00D8041A" w:rsidRDefault="00734476"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585</w:t>
            </w:r>
            <w:r w:rsidR="001317BD" w:rsidRPr="00D8041A">
              <w:rPr>
                <w:rFonts w:ascii="Arial Narrow" w:hAnsi="Arial Narrow" w:cs="Times New Roman"/>
                <w:iCs/>
                <w:sz w:val="20"/>
                <w:szCs w:val="20"/>
              </w:rPr>
              <w:t>/2829</w:t>
            </w:r>
            <w:r w:rsidR="00A82E1A" w:rsidRPr="00D8041A">
              <w:rPr>
                <w:rFonts w:ascii="Arial Narrow" w:hAnsi="Arial Narrow" w:cs="Times New Roman"/>
                <w:iCs/>
                <w:sz w:val="20"/>
                <w:szCs w:val="20"/>
              </w:rPr>
              <w:t xml:space="preserve"> (</w:t>
            </w:r>
            <w:r w:rsidR="00345AE5" w:rsidRPr="00D8041A">
              <w:rPr>
                <w:rFonts w:ascii="Arial Narrow" w:hAnsi="Arial Narrow" w:cs="Times New Roman"/>
                <w:iCs/>
                <w:sz w:val="20"/>
                <w:szCs w:val="20"/>
              </w:rPr>
              <w:t>20.7</w:t>
            </w:r>
            <w:r w:rsidR="00A82E1A" w:rsidRPr="00D8041A">
              <w:rPr>
                <w:rFonts w:ascii="Arial Narrow" w:hAnsi="Arial Narrow" w:cs="Times New Roman"/>
                <w:iCs/>
                <w:sz w:val="20"/>
                <w:szCs w:val="20"/>
              </w:rPr>
              <w:t>%)</w:t>
            </w:r>
          </w:p>
        </w:tc>
        <w:tc>
          <w:tcPr>
            <w:tcW w:w="1926" w:type="dxa"/>
            <w:shd w:val="clear" w:color="auto" w:fill="auto"/>
            <w:vAlign w:val="center"/>
          </w:tcPr>
          <w:p w14:paraId="1E16BE69" w14:textId="5558F896" w:rsidR="00030CC5" w:rsidRPr="002C3702" w:rsidRDefault="00A82E1A" w:rsidP="00622DD5">
            <w:pPr>
              <w:keepNext/>
              <w:keepLines/>
              <w:ind w:firstLine="127"/>
              <w:jc w:val="center"/>
              <w:textAlignment w:val="baseline"/>
              <w:rPr>
                <w:rFonts w:ascii="Arial Narrow" w:hAnsi="Arial Narrow" w:cs="Times New Roman"/>
                <w:b/>
                <w:bCs/>
                <w:iCs/>
                <w:sz w:val="20"/>
                <w:szCs w:val="20"/>
              </w:rPr>
            </w:pPr>
            <w:r w:rsidRPr="002C3702">
              <w:rPr>
                <w:rFonts w:ascii="Arial Narrow" w:hAnsi="Arial Narrow" w:cs="Times New Roman"/>
                <w:b/>
                <w:bCs/>
                <w:iCs/>
                <w:sz w:val="20"/>
                <w:szCs w:val="20"/>
              </w:rPr>
              <w:t>0.68 (0.60, 0.77)</w:t>
            </w:r>
          </w:p>
        </w:tc>
      </w:tr>
      <w:tr w:rsidR="00030CC5" w:rsidRPr="002C3702" w14:paraId="06B8B565" w14:textId="77777777" w:rsidTr="00622DD5">
        <w:trPr>
          <w:cantSplit/>
          <w:trHeight w:val="63"/>
        </w:trPr>
        <w:tc>
          <w:tcPr>
            <w:tcW w:w="3259" w:type="dxa"/>
            <w:shd w:val="clear" w:color="auto" w:fill="auto"/>
            <w:vAlign w:val="center"/>
            <w:hideMark/>
          </w:tcPr>
          <w:p w14:paraId="591FA5EA" w14:textId="77777777"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Cohort 1 </w:t>
            </w:r>
          </w:p>
        </w:tc>
        <w:tc>
          <w:tcPr>
            <w:tcW w:w="1976" w:type="dxa"/>
            <w:shd w:val="clear" w:color="auto" w:fill="auto"/>
            <w:vAlign w:val="center"/>
          </w:tcPr>
          <w:p w14:paraId="2E2CF147" w14:textId="64986AFA" w:rsidR="00030CC5" w:rsidRPr="00D8041A" w:rsidRDefault="00821B48"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3</w:t>
            </w:r>
            <w:r w:rsidR="006D11CA" w:rsidRPr="00D8041A">
              <w:rPr>
                <w:rFonts w:ascii="Arial Narrow" w:hAnsi="Arial Narrow" w:cs="Times New Roman"/>
                <w:iCs/>
                <w:sz w:val="20"/>
                <w:szCs w:val="20"/>
              </w:rPr>
              <w:t>82</w:t>
            </w:r>
            <w:r w:rsidRPr="00D8041A">
              <w:rPr>
                <w:rFonts w:ascii="Arial Narrow" w:hAnsi="Arial Narrow" w:cs="Times New Roman"/>
                <w:iCs/>
                <w:sz w:val="20"/>
                <w:szCs w:val="20"/>
              </w:rPr>
              <w:t>/2555 (1</w:t>
            </w:r>
            <w:r w:rsidR="00B55279" w:rsidRPr="00D8041A">
              <w:rPr>
                <w:rFonts w:ascii="Arial Narrow" w:hAnsi="Arial Narrow" w:cs="Times New Roman"/>
                <w:iCs/>
                <w:sz w:val="20"/>
                <w:szCs w:val="20"/>
              </w:rPr>
              <w:t>5.0</w:t>
            </w:r>
            <w:r w:rsidRPr="00D8041A">
              <w:rPr>
                <w:rFonts w:ascii="Arial Narrow" w:hAnsi="Arial Narrow" w:cs="Times New Roman"/>
                <w:iCs/>
                <w:sz w:val="20"/>
                <w:szCs w:val="20"/>
              </w:rPr>
              <w:t>%)</w:t>
            </w:r>
          </w:p>
        </w:tc>
        <w:tc>
          <w:tcPr>
            <w:tcW w:w="1976" w:type="dxa"/>
            <w:shd w:val="clear" w:color="auto" w:fill="auto"/>
            <w:vAlign w:val="center"/>
          </w:tcPr>
          <w:p w14:paraId="0D310085" w14:textId="1000439E" w:rsidR="00030CC5" w:rsidRPr="00D8041A" w:rsidRDefault="000821FD"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5</w:t>
            </w:r>
            <w:r w:rsidR="006D11CA" w:rsidRPr="00D8041A">
              <w:rPr>
                <w:rFonts w:ascii="Arial Narrow" w:hAnsi="Arial Narrow" w:cs="Times New Roman"/>
                <w:iCs/>
                <w:sz w:val="20"/>
                <w:szCs w:val="20"/>
              </w:rPr>
              <w:t>53</w:t>
            </w:r>
            <w:r w:rsidRPr="00D8041A">
              <w:rPr>
                <w:rFonts w:ascii="Arial Narrow" w:hAnsi="Arial Narrow" w:cs="Times New Roman"/>
                <w:iCs/>
                <w:sz w:val="20"/>
                <w:szCs w:val="20"/>
              </w:rPr>
              <w:t>/2565 (2</w:t>
            </w:r>
            <w:r w:rsidR="00292B36" w:rsidRPr="00D8041A">
              <w:rPr>
                <w:rFonts w:ascii="Arial Narrow" w:hAnsi="Arial Narrow" w:cs="Times New Roman"/>
                <w:iCs/>
                <w:sz w:val="20"/>
                <w:szCs w:val="20"/>
              </w:rPr>
              <w:t>1.6</w:t>
            </w:r>
            <w:r w:rsidRPr="00D8041A">
              <w:rPr>
                <w:rFonts w:ascii="Arial Narrow" w:hAnsi="Arial Narrow" w:cs="Times New Roman"/>
                <w:iCs/>
                <w:sz w:val="20"/>
                <w:szCs w:val="20"/>
              </w:rPr>
              <w:t>%)</w:t>
            </w:r>
          </w:p>
        </w:tc>
        <w:tc>
          <w:tcPr>
            <w:tcW w:w="1926" w:type="dxa"/>
            <w:shd w:val="clear" w:color="auto" w:fill="auto"/>
            <w:vAlign w:val="center"/>
          </w:tcPr>
          <w:p w14:paraId="57EBA8D4" w14:textId="4CBE0C92" w:rsidR="00030CC5" w:rsidRPr="002C3702" w:rsidRDefault="000821FD"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b/>
                <w:bCs/>
                <w:iCs/>
                <w:sz w:val="20"/>
                <w:szCs w:val="20"/>
              </w:rPr>
              <w:t>0.67 (0.59, 0.7</w:t>
            </w:r>
            <w:r w:rsidR="001317BD" w:rsidRPr="002C3702">
              <w:rPr>
                <w:rFonts w:ascii="Arial Narrow" w:hAnsi="Arial Narrow" w:cs="Times New Roman"/>
                <w:b/>
                <w:bCs/>
                <w:iCs/>
                <w:sz w:val="20"/>
                <w:szCs w:val="20"/>
              </w:rPr>
              <w:t>7</w:t>
            </w:r>
            <w:r w:rsidRPr="002C3702">
              <w:rPr>
                <w:rFonts w:ascii="Arial Narrow" w:hAnsi="Arial Narrow" w:cs="Times New Roman"/>
                <w:b/>
                <w:bCs/>
                <w:iCs/>
                <w:sz w:val="20"/>
                <w:szCs w:val="20"/>
              </w:rPr>
              <w:t>)</w:t>
            </w:r>
          </w:p>
        </w:tc>
      </w:tr>
      <w:tr w:rsidR="00030CC5" w:rsidRPr="002C3702" w14:paraId="45C07C9D" w14:textId="77777777" w:rsidTr="00622DD5">
        <w:trPr>
          <w:cantSplit/>
          <w:trHeight w:val="63"/>
        </w:trPr>
        <w:tc>
          <w:tcPr>
            <w:tcW w:w="9137" w:type="dxa"/>
            <w:gridSpan w:val="4"/>
            <w:shd w:val="clear" w:color="auto" w:fill="auto"/>
            <w:vAlign w:val="center"/>
            <w:hideMark/>
          </w:tcPr>
          <w:p w14:paraId="77139823" w14:textId="2A09DA20" w:rsidR="00030CC5" w:rsidRPr="00D8041A" w:rsidRDefault="00030CC5" w:rsidP="00622DD5">
            <w:pPr>
              <w:keepNext/>
              <w:keepLines/>
              <w:ind w:firstLine="127"/>
              <w:jc w:val="left"/>
              <w:textAlignment w:val="baseline"/>
              <w:rPr>
                <w:rFonts w:ascii="Arial Narrow" w:hAnsi="Arial Narrow" w:cs="Times New Roman"/>
                <w:iCs/>
                <w:sz w:val="20"/>
                <w:szCs w:val="20"/>
              </w:rPr>
            </w:pPr>
            <w:r w:rsidRPr="00D8041A">
              <w:rPr>
                <w:rFonts w:ascii="Arial Narrow" w:hAnsi="Arial Narrow" w:cs="Times New Roman"/>
                <w:b/>
                <w:bCs/>
                <w:iCs/>
                <w:sz w:val="20"/>
                <w:szCs w:val="20"/>
              </w:rPr>
              <w:t>Distant relapse</w:t>
            </w:r>
            <w:r w:rsidR="0013023B" w:rsidRPr="00D8041A">
              <w:rPr>
                <w:rFonts w:ascii="Arial Narrow" w:hAnsi="Arial Narrow" w:cs="Times New Roman"/>
                <w:b/>
                <w:bCs/>
                <w:iCs/>
                <w:sz w:val="20"/>
                <w:szCs w:val="20"/>
              </w:rPr>
              <w:t xml:space="preserve"> or death</w:t>
            </w:r>
          </w:p>
        </w:tc>
      </w:tr>
      <w:tr w:rsidR="00794195" w:rsidRPr="002C3702" w14:paraId="3AE3EF4E" w14:textId="77777777" w:rsidTr="00622DD5">
        <w:trPr>
          <w:cantSplit/>
          <w:trHeight w:val="63"/>
        </w:trPr>
        <w:tc>
          <w:tcPr>
            <w:tcW w:w="3259" w:type="dxa"/>
            <w:shd w:val="clear" w:color="auto" w:fill="auto"/>
            <w:vAlign w:val="center"/>
            <w:hideMark/>
          </w:tcPr>
          <w:p w14:paraId="04795D4B" w14:textId="77777777"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ITT population </w:t>
            </w:r>
          </w:p>
        </w:tc>
        <w:tc>
          <w:tcPr>
            <w:tcW w:w="1976" w:type="dxa"/>
            <w:shd w:val="clear" w:color="auto" w:fill="auto"/>
            <w:vAlign w:val="center"/>
          </w:tcPr>
          <w:p w14:paraId="3EFCB9F2" w14:textId="2288F5A8" w:rsidR="00030CC5" w:rsidRPr="00D8041A" w:rsidRDefault="00A871E5"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345</w:t>
            </w:r>
            <w:r w:rsidR="00821B48" w:rsidRPr="00D8041A">
              <w:rPr>
                <w:rFonts w:ascii="Arial Narrow" w:hAnsi="Arial Narrow" w:cs="Times New Roman"/>
                <w:iCs/>
                <w:sz w:val="20"/>
                <w:szCs w:val="20"/>
              </w:rPr>
              <w:t>/2808 (</w:t>
            </w:r>
            <w:r w:rsidR="00CF7223" w:rsidRPr="00D8041A">
              <w:rPr>
                <w:rFonts w:ascii="Arial Narrow" w:hAnsi="Arial Narrow" w:cs="Times New Roman"/>
                <w:iCs/>
                <w:sz w:val="20"/>
                <w:szCs w:val="20"/>
              </w:rPr>
              <w:t>12</w:t>
            </w:r>
            <w:r w:rsidR="00821B48" w:rsidRPr="00D8041A">
              <w:rPr>
                <w:rFonts w:ascii="Arial Narrow" w:hAnsi="Arial Narrow" w:cs="Times New Roman"/>
                <w:iCs/>
                <w:sz w:val="20"/>
                <w:szCs w:val="20"/>
              </w:rPr>
              <w:t>.</w:t>
            </w:r>
            <w:r w:rsidR="00CF7223" w:rsidRPr="00D8041A">
              <w:rPr>
                <w:rFonts w:ascii="Arial Narrow" w:hAnsi="Arial Narrow" w:cs="Times New Roman"/>
                <w:iCs/>
                <w:sz w:val="20"/>
                <w:szCs w:val="20"/>
              </w:rPr>
              <w:t>3</w:t>
            </w:r>
            <w:r w:rsidR="00821B48" w:rsidRPr="00D8041A">
              <w:rPr>
                <w:rFonts w:ascii="Arial Narrow" w:hAnsi="Arial Narrow" w:cs="Times New Roman"/>
                <w:iCs/>
                <w:sz w:val="20"/>
                <w:szCs w:val="20"/>
              </w:rPr>
              <w:t>%)</w:t>
            </w:r>
          </w:p>
        </w:tc>
        <w:tc>
          <w:tcPr>
            <w:tcW w:w="1976" w:type="dxa"/>
            <w:shd w:val="clear" w:color="auto" w:fill="auto"/>
            <w:vAlign w:val="center"/>
          </w:tcPr>
          <w:p w14:paraId="00765F7F" w14:textId="1D861EA6" w:rsidR="00030CC5" w:rsidRPr="00D8041A" w:rsidRDefault="00A871E5"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501</w:t>
            </w:r>
            <w:r w:rsidR="001317BD" w:rsidRPr="00D8041A">
              <w:rPr>
                <w:rFonts w:ascii="Arial Narrow" w:hAnsi="Arial Narrow" w:cs="Times New Roman"/>
                <w:iCs/>
                <w:sz w:val="20"/>
                <w:szCs w:val="20"/>
              </w:rPr>
              <w:t>/2829</w:t>
            </w:r>
            <w:r w:rsidR="00821B48" w:rsidRPr="00D8041A">
              <w:rPr>
                <w:rFonts w:ascii="Arial Narrow" w:hAnsi="Arial Narrow" w:cs="Times New Roman"/>
                <w:iCs/>
                <w:sz w:val="20"/>
                <w:szCs w:val="20"/>
              </w:rPr>
              <w:t xml:space="preserve"> (1</w:t>
            </w:r>
            <w:r w:rsidR="00231FB4" w:rsidRPr="00D8041A">
              <w:rPr>
                <w:rFonts w:ascii="Arial Narrow" w:hAnsi="Arial Narrow" w:cs="Times New Roman"/>
                <w:iCs/>
                <w:sz w:val="20"/>
                <w:szCs w:val="20"/>
              </w:rPr>
              <w:t>7.7</w:t>
            </w:r>
            <w:r w:rsidR="001317BD" w:rsidRPr="00D8041A">
              <w:rPr>
                <w:rFonts w:ascii="Arial Narrow" w:hAnsi="Arial Narrow" w:cs="Times New Roman"/>
                <w:iCs/>
                <w:sz w:val="20"/>
                <w:szCs w:val="20"/>
              </w:rPr>
              <w:t>%</w:t>
            </w:r>
            <w:r w:rsidR="00821B48" w:rsidRPr="00D8041A">
              <w:rPr>
                <w:rFonts w:ascii="Arial Narrow" w:hAnsi="Arial Narrow" w:cs="Times New Roman"/>
                <w:iCs/>
                <w:sz w:val="20"/>
                <w:szCs w:val="20"/>
              </w:rPr>
              <w:t>)</w:t>
            </w:r>
          </w:p>
        </w:tc>
        <w:tc>
          <w:tcPr>
            <w:tcW w:w="1926" w:type="dxa"/>
            <w:shd w:val="clear" w:color="auto" w:fill="auto"/>
            <w:vAlign w:val="center"/>
          </w:tcPr>
          <w:p w14:paraId="4B9554D3" w14:textId="5C2BAA21" w:rsidR="00030CC5" w:rsidRPr="002C3702" w:rsidRDefault="00821B48" w:rsidP="00622DD5">
            <w:pPr>
              <w:keepNext/>
              <w:keepLines/>
              <w:ind w:firstLine="127"/>
              <w:jc w:val="center"/>
              <w:textAlignment w:val="baseline"/>
              <w:rPr>
                <w:rFonts w:ascii="Arial Narrow" w:hAnsi="Arial Narrow" w:cs="Times New Roman"/>
                <w:b/>
                <w:bCs/>
                <w:iCs/>
                <w:sz w:val="20"/>
                <w:szCs w:val="20"/>
              </w:rPr>
            </w:pPr>
            <w:r w:rsidRPr="002C3702">
              <w:rPr>
                <w:rFonts w:ascii="Arial Narrow" w:hAnsi="Arial Narrow" w:cs="Times New Roman"/>
                <w:b/>
                <w:bCs/>
                <w:iCs/>
                <w:sz w:val="20"/>
                <w:szCs w:val="20"/>
              </w:rPr>
              <w:t>0.68 (0.59, 0.7</w:t>
            </w:r>
            <w:r w:rsidR="001317BD" w:rsidRPr="002C3702">
              <w:rPr>
                <w:rFonts w:ascii="Arial Narrow" w:hAnsi="Arial Narrow" w:cs="Times New Roman"/>
                <w:b/>
                <w:bCs/>
                <w:iCs/>
                <w:sz w:val="20"/>
                <w:szCs w:val="20"/>
              </w:rPr>
              <w:t>8</w:t>
            </w:r>
            <w:r w:rsidRPr="002C3702">
              <w:rPr>
                <w:rFonts w:ascii="Arial Narrow" w:hAnsi="Arial Narrow" w:cs="Times New Roman"/>
                <w:b/>
                <w:bCs/>
                <w:iCs/>
                <w:sz w:val="20"/>
                <w:szCs w:val="20"/>
              </w:rPr>
              <w:t>)</w:t>
            </w:r>
          </w:p>
        </w:tc>
      </w:tr>
      <w:tr w:rsidR="00794195" w:rsidRPr="002C3702" w14:paraId="206EF585" w14:textId="77777777" w:rsidTr="00622DD5">
        <w:trPr>
          <w:cantSplit/>
          <w:trHeight w:val="63"/>
        </w:trPr>
        <w:tc>
          <w:tcPr>
            <w:tcW w:w="3259" w:type="dxa"/>
            <w:shd w:val="clear" w:color="auto" w:fill="auto"/>
            <w:vAlign w:val="center"/>
            <w:hideMark/>
          </w:tcPr>
          <w:p w14:paraId="55605635" w14:textId="77777777"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Cohort 1 </w:t>
            </w:r>
          </w:p>
        </w:tc>
        <w:tc>
          <w:tcPr>
            <w:tcW w:w="1976" w:type="dxa"/>
            <w:shd w:val="clear" w:color="auto" w:fill="auto"/>
            <w:vAlign w:val="center"/>
          </w:tcPr>
          <w:p w14:paraId="6BD8050B" w14:textId="4A7B52D3" w:rsidR="00030CC5" w:rsidRPr="00D8041A" w:rsidRDefault="00390EBC"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325</w:t>
            </w:r>
            <w:r w:rsidR="00CC4602" w:rsidRPr="00D8041A">
              <w:rPr>
                <w:rFonts w:ascii="Arial Narrow" w:hAnsi="Arial Narrow" w:cs="Times New Roman"/>
                <w:iCs/>
                <w:sz w:val="20"/>
                <w:szCs w:val="20"/>
              </w:rPr>
              <w:t>/2555 (</w:t>
            </w:r>
            <w:r w:rsidR="000E53E1" w:rsidRPr="00D8041A">
              <w:rPr>
                <w:rFonts w:ascii="Arial Narrow" w:hAnsi="Arial Narrow" w:cs="Times New Roman"/>
                <w:iCs/>
                <w:sz w:val="20"/>
                <w:szCs w:val="20"/>
              </w:rPr>
              <w:t>12.7</w:t>
            </w:r>
            <w:r w:rsidR="00CC4602" w:rsidRPr="00D8041A">
              <w:rPr>
                <w:rFonts w:ascii="Arial Narrow" w:hAnsi="Arial Narrow" w:cs="Times New Roman"/>
                <w:iCs/>
                <w:sz w:val="20"/>
                <w:szCs w:val="20"/>
              </w:rPr>
              <w:t>%)</w:t>
            </w:r>
          </w:p>
        </w:tc>
        <w:tc>
          <w:tcPr>
            <w:tcW w:w="1976" w:type="dxa"/>
            <w:shd w:val="clear" w:color="auto" w:fill="auto"/>
            <w:vAlign w:val="center"/>
          </w:tcPr>
          <w:p w14:paraId="5946765F" w14:textId="47FED2BF" w:rsidR="00030CC5" w:rsidRPr="00D8041A" w:rsidRDefault="00390EBC" w:rsidP="00622DD5">
            <w:pPr>
              <w:keepNext/>
              <w:keepLines/>
              <w:ind w:firstLine="127"/>
              <w:jc w:val="center"/>
              <w:textAlignment w:val="baseline"/>
              <w:rPr>
                <w:rFonts w:ascii="Arial Narrow" w:hAnsi="Arial Narrow" w:cs="Times New Roman"/>
                <w:iCs/>
                <w:sz w:val="20"/>
                <w:szCs w:val="20"/>
              </w:rPr>
            </w:pPr>
            <w:r w:rsidRPr="00D8041A">
              <w:rPr>
                <w:rFonts w:ascii="Arial Narrow" w:hAnsi="Arial Narrow" w:cs="Times New Roman"/>
                <w:iCs/>
                <w:sz w:val="20"/>
                <w:szCs w:val="20"/>
              </w:rPr>
              <w:t>477</w:t>
            </w:r>
            <w:r w:rsidR="00CC4602" w:rsidRPr="00D8041A">
              <w:rPr>
                <w:rFonts w:ascii="Arial Narrow" w:hAnsi="Arial Narrow" w:cs="Times New Roman"/>
                <w:iCs/>
                <w:sz w:val="20"/>
                <w:szCs w:val="20"/>
              </w:rPr>
              <w:t>/2565 (1</w:t>
            </w:r>
            <w:r w:rsidR="009777B8" w:rsidRPr="00D8041A">
              <w:rPr>
                <w:rFonts w:ascii="Arial Narrow" w:hAnsi="Arial Narrow" w:cs="Times New Roman"/>
                <w:iCs/>
                <w:sz w:val="20"/>
                <w:szCs w:val="20"/>
              </w:rPr>
              <w:t>8.6</w:t>
            </w:r>
            <w:r w:rsidR="00CC4602" w:rsidRPr="00D8041A">
              <w:rPr>
                <w:rFonts w:ascii="Arial Narrow" w:hAnsi="Arial Narrow" w:cs="Times New Roman"/>
                <w:iCs/>
                <w:sz w:val="20"/>
                <w:szCs w:val="20"/>
              </w:rPr>
              <w:t>%)</w:t>
            </w:r>
          </w:p>
        </w:tc>
        <w:tc>
          <w:tcPr>
            <w:tcW w:w="1926" w:type="dxa"/>
            <w:shd w:val="clear" w:color="auto" w:fill="auto"/>
            <w:vAlign w:val="center"/>
          </w:tcPr>
          <w:p w14:paraId="252F3E1F" w14:textId="4DE7B2A6" w:rsidR="00030CC5" w:rsidRPr="002C3702" w:rsidRDefault="00CC4602" w:rsidP="00622DD5">
            <w:pPr>
              <w:keepNext/>
              <w:keepLines/>
              <w:ind w:firstLine="127"/>
              <w:jc w:val="center"/>
              <w:textAlignment w:val="baseline"/>
              <w:rPr>
                <w:rFonts w:ascii="Arial Narrow" w:hAnsi="Arial Narrow" w:cs="Times New Roman"/>
                <w:b/>
                <w:bCs/>
                <w:iCs/>
                <w:sz w:val="20"/>
                <w:szCs w:val="20"/>
              </w:rPr>
            </w:pPr>
            <w:r w:rsidRPr="002C3702">
              <w:rPr>
                <w:rFonts w:ascii="Arial Narrow" w:hAnsi="Arial Narrow" w:cs="Times New Roman"/>
                <w:b/>
                <w:bCs/>
                <w:iCs/>
                <w:sz w:val="20"/>
                <w:szCs w:val="20"/>
              </w:rPr>
              <w:t>0.67 (0.58, 0.77)</w:t>
            </w:r>
          </w:p>
        </w:tc>
      </w:tr>
      <w:tr w:rsidR="00030CC5" w:rsidRPr="002C3702" w14:paraId="7AF3B707" w14:textId="77777777" w:rsidTr="00622DD5">
        <w:trPr>
          <w:cantSplit/>
          <w:trHeight w:val="63"/>
        </w:trPr>
        <w:tc>
          <w:tcPr>
            <w:tcW w:w="9137" w:type="dxa"/>
            <w:gridSpan w:val="4"/>
            <w:shd w:val="clear" w:color="auto" w:fill="auto"/>
            <w:vAlign w:val="center"/>
            <w:hideMark/>
          </w:tcPr>
          <w:p w14:paraId="5BCDA304" w14:textId="0FA148A7" w:rsidR="00030CC5" w:rsidRPr="002C3702" w:rsidRDefault="0013023B" w:rsidP="00622DD5">
            <w:pPr>
              <w:keepNext/>
              <w:keepLines/>
              <w:ind w:firstLine="127"/>
              <w:jc w:val="left"/>
              <w:textAlignment w:val="baseline"/>
              <w:rPr>
                <w:rFonts w:ascii="Arial Narrow" w:hAnsi="Arial Narrow" w:cs="Times New Roman"/>
                <w:b/>
                <w:iCs/>
                <w:sz w:val="20"/>
                <w:szCs w:val="20"/>
              </w:rPr>
            </w:pPr>
            <w:r w:rsidRPr="002C3702">
              <w:rPr>
                <w:rFonts w:ascii="Arial Narrow" w:hAnsi="Arial Narrow" w:cs="Times New Roman"/>
                <w:b/>
                <w:bCs/>
                <w:iCs/>
                <w:sz w:val="20"/>
                <w:szCs w:val="20"/>
              </w:rPr>
              <w:t>Death</w:t>
            </w:r>
          </w:p>
        </w:tc>
      </w:tr>
      <w:tr w:rsidR="00030CC5" w:rsidRPr="002C3702" w14:paraId="24068408" w14:textId="77777777" w:rsidTr="00622DD5">
        <w:trPr>
          <w:cantSplit/>
          <w:trHeight w:val="300"/>
        </w:trPr>
        <w:tc>
          <w:tcPr>
            <w:tcW w:w="3259" w:type="dxa"/>
            <w:shd w:val="clear" w:color="auto" w:fill="auto"/>
            <w:vAlign w:val="center"/>
            <w:hideMark/>
          </w:tcPr>
          <w:p w14:paraId="72C17AEE" w14:textId="77777777"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ITT population </w:t>
            </w:r>
          </w:p>
        </w:tc>
        <w:tc>
          <w:tcPr>
            <w:tcW w:w="1976" w:type="dxa"/>
            <w:shd w:val="clear" w:color="auto" w:fill="auto"/>
            <w:vAlign w:val="center"/>
          </w:tcPr>
          <w:p w14:paraId="0395F22D" w14:textId="1D8150D5" w:rsidR="00030CC5" w:rsidRPr="002C3702" w:rsidRDefault="00821B48"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208/2808 (7.4%)</w:t>
            </w:r>
          </w:p>
        </w:tc>
        <w:tc>
          <w:tcPr>
            <w:tcW w:w="1976" w:type="dxa"/>
            <w:shd w:val="clear" w:color="auto" w:fill="auto"/>
            <w:vAlign w:val="center"/>
          </w:tcPr>
          <w:p w14:paraId="2A78699D" w14:textId="592351D2" w:rsidR="00030CC5" w:rsidRPr="002C3702" w:rsidRDefault="00821B48"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234/28</w:t>
            </w:r>
            <w:r w:rsidR="001317BD" w:rsidRPr="002C3702">
              <w:rPr>
                <w:rFonts w:ascii="Arial Narrow" w:hAnsi="Arial Narrow" w:cs="Times New Roman"/>
                <w:iCs/>
                <w:sz w:val="20"/>
                <w:szCs w:val="20"/>
              </w:rPr>
              <w:t xml:space="preserve">29 </w:t>
            </w:r>
            <w:r w:rsidRPr="002C3702">
              <w:rPr>
                <w:rFonts w:ascii="Arial Narrow" w:hAnsi="Arial Narrow" w:cs="Times New Roman"/>
                <w:iCs/>
                <w:sz w:val="20"/>
                <w:szCs w:val="20"/>
              </w:rPr>
              <w:t>(8.3%)</w:t>
            </w:r>
          </w:p>
        </w:tc>
        <w:tc>
          <w:tcPr>
            <w:tcW w:w="1926" w:type="dxa"/>
            <w:shd w:val="clear" w:color="auto" w:fill="auto"/>
            <w:vAlign w:val="center"/>
          </w:tcPr>
          <w:p w14:paraId="6E28886C" w14:textId="61F6FA07" w:rsidR="00030CC5" w:rsidRPr="002C3702" w:rsidRDefault="00821B48"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0.90</w:t>
            </w:r>
            <w:r w:rsidR="00CC4602" w:rsidRPr="002C3702">
              <w:rPr>
                <w:rFonts w:ascii="Arial Narrow" w:hAnsi="Arial Narrow" w:cs="Times New Roman"/>
                <w:iCs/>
                <w:sz w:val="20"/>
                <w:szCs w:val="20"/>
              </w:rPr>
              <w:t xml:space="preserve"> </w:t>
            </w:r>
            <w:r w:rsidRPr="002C3702">
              <w:rPr>
                <w:rFonts w:ascii="Arial Narrow" w:hAnsi="Arial Narrow" w:cs="Times New Roman"/>
                <w:iCs/>
                <w:sz w:val="20"/>
                <w:szCs w:val="20"/>
              </w:rPr>
              <w:t>(0.75, 1.09)</w:t>
            </w:r>
          </w:p>
        </w:tc>
      </w:tr>
      <w:tr w:rsidR="00030CC5" w:rsidRPr="002C3702" w14:paraId="72B46A2D" w14:textId="77777777" w:rsidTr="00622DD5">
        <w:trPr>
          <w:cantSplit/>
          <w:trHeight w:val="63"/>
        </w:trPr>
        <w:tc>
          <w:tcPr>
            <w:tcW w:w="3259" w:type="dxa"/>
            <w:shd w:val="clear" w:color="auto" w:fill="auto"/>
            <w:vAlign w:val="center"/>
            <w:hideMark/>
          </w:tcPr>
          <w:p w14:paraId="2903F6DB" w14:textId="6F01F142" w:rsidR="00030CC5" w:rsidRPr="002C3702" w:rsidRDefault="00030CC5" w:rsidP="00622DD5">
            <w:pPr>
              <w:keepNext/>
              <w:keepLines/>
              <w:ind w:firstLine="127"/>
              <w:jc w:val="left"/>
              <w:textAlignment w:val="baseline"/>
              <w:rPr>
                <w:rFonts w:ascii="Arial Narrow" w:hAnsi="Arial Narrow" w:cs="Times New Roman"/>
                <w:iCs/>
                <w:sz w:val="20"/>
                <w:szCs w:val="20"/>
              </w:rPr>
            </w:pPr>
            <w:r w:rsidRPr="002C3702">
              <w:rPr>
                <w:rFonts w:ascii="Arial Narrow" w:hAnsi="Arial Narrow" w:cs="Times New Roman"/>
                <w:iCs/>
                <w:sz w:val="20"/>
                <w:szCs w:val="20"/>
              </w:rPr>
              <w:t>Cohort 1</w:t>
            </w:r>
            <w:r w:rsidR="6F80841F" w:rsidRPr="002C3702">
              <w:rPr>
                <w:rFonts w:ascii="Arial Narrow" w:hAnsi="Arial Narrow" w:cs="Times New Roman"/>
                <w:iCs/>
                <w:sz w:val="20"/>
                <w:szCs w:val="20"/>
              </w:rPr>
              <w:t> </w:t>
            </w:r>
          </w:p>
        </w:tc>
        <w:tc>
          <w:tcPr>
            <w:tcW w:w="1976" w:type="dxa"/>
            <w:shd w:val="clear" w:color="auto" w:fill="auto"/>
            <w:vAlign w:val="center"/>
          </w:tcPr>
          <w:p w14:paraId="18220222" w14:textId="237BEA46" w:rsidR="00030CC5" w:rsidRPr="002C3702" w:rsidRDefault="00CC4602"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197/2555 (7.7%)</w:t>
            </w:r>
          </w:p>
        </w:tc>
        <w:tc>
          <w:tcPr>
            <w:tcW w:w="1976" w:type="dxa"/>
            <w:shd w:val="clear" w:color="auto" w:fill="auto"/>
            <w:vAlign w:val="center"/>
          </w:tcPr>
          <w:p w14:paraId="6BB88C45" w14:textId="731CA004" w:rsidR="00030CC5" w:rsidRPr="002C3702" w:rsidRDefault="00CC4602"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223/2565 (8.7%)</w:t>
            </w:r>
          </w:p>
        </w:tc>
        <w:tc>
          <w:tcPr>
            <w:tcW w:w="1926" w:type="dxa"/>
            <w:shd w:val="clear" w:color="auto" w:fill="auto"/>
            <w:vAlign w:val="center"/>
          </w:tcPr>
          <w:p w14:paraId="2D56B6ED" w14:textId="1DEA54A5" w:rsidR="00030CC5" w:rsidRPr="002C3702" w:rsidRDefault="00CC4602" w:rsidP="00622DD5">
            <w:pPr>
              <w:keepNext/>
              <w:keepLines/>
              <w:ind w:firstLine="127"/>
              <w:jc w:val="center"/>
              <w:textAlignment w:val="baseline"/>
              <w:rPr>
                <w:rFonts w:ascii="Arial Narrow" w:hAnsi="Arial Narrow" w:cs="Times New Roman"/>
                <w:iCs/>
                <w:sz w:val="20"/>
                <w:szCs w:val="20"/>
              </w:rPr>
            </w:pPr>
            <w:r w:rsidRPr="002C3702">
              <w:rPr>
                <w:rFonts w:ascii="Arial Narrow" w:hAnsi="Arial Narrow" w:cs="Times New Roman"/>
                <w:iCs/>
                <w:sz w:val="20"/>
                <w:szCs w:val="20"/>
              </w:rPr>
              <w:t>0.89 (0.74, 1.08)</w:t>
            </w:r>
          </w:p>
        </w:tc>
      </w:tr>
      <w:tr w:rsidR="0013023B" w:rsidRPr="002C3702" w14:paraId="4B7591B0" w14:textId="77777777" w:rsidTr="00622DD5">
        <w:trPr>
          <w:cantSplit/>
          <w:trHeight w:val="63"/>
        </w:trPr>
        <w:tc>
          <w:tcPr>
            <w:tcW w:w="9137" w:type="dxa"/>
            <w:gridSpan w:val="4"/>
            <w:shd w:val="clear" w:color="auto" w:fill="auto"/>
            <w:vAlign w:val="center"/>
          </w:tcPr>
          <w:p w14:paraId="63839EF2" w14:textId="033F9C56" w:rsidR="0013023B" w:rsidRPr="002C3702" w:rsidRDefault="0013023B" w:rsidP="00622DD5">
            <w:pPr>
              <w:keepNext/>
              <w:keepLines/>
              <w:ind w:firstLine="127"/>
              <w:jc w:val="left"/>
              <w:textAlignment w:val="baseline"/>
              <w:rPr>
                <w:rFonts w:ascii="Arial Narrow" w:hAnsi="Arial Narrow" w:cs="Times New Roman"/>
                <w:b/>
                <w:bCs/>
                <w:sz w:val="20"/>
                <w:szCs w:val="20"/>
              </w:rPr>
            </w:pPr>
            <w:r w:rsidRPr="002C3702">
              <w:rPr>
                <w:rStyle w:val="CommentReference"/>
              </w:rPr>
              <w:t>AFU2 (July 2022)</w:t>
            </w:r>
          </w:p>
        </w:tc>
      </w:tr>
      <w:tr w:rsidR="00A82E1A" w:rsidRPr="002C3702" w14:paraId="0417E62E" w14:textId="77777777" w:rsidTr="00622DD5">
        <w:trPr>
          <w:cantSplit/>
          <w:trHeight w:val="63"/>
        </w:trPr>
        <w:tc>
          <w:tcPr>
            <w:tcW w:w="9137" w:type="dxa"/>
            <w:gridSpan w:val="4"/>
            <w:shd w:val="clear" w:color="auto" w:fill="auto"/>
            <w:vAlign w:val="center"/>
            <w:hideMark/>
          </w:tcPr>
          <w:p w14:paraId="43AAA20F" w14:textId="6080CF49" w:rsidR="00A82E1A" w:rsidRPr="002C3702" w:rsidRDefault="00A82E1A" w:rsidP="00622DD5">
            <w:pPr>
              <w:keepNext/>
              <w:keepLines/>
              <w:ind w:firstLine="127"/>
              <w:jc w:val="left"/>
              <w:textAlignment w:val="baseline"/>
              <w:rPr>
                <w:rFonts w:ascii="Arial Narrow" w:hAnsi="Arial Narrow" w:cs="Times New Roman"/>
                <w:b/>
                <w:sz w:val="20"/>
                <w:szCs w:val="20"/>
              </w:rPr>
            </w:pPr>
            <w:r w:rsidRPr="002C3702">
              <w:rPr>
                <w:rFonts w:ascii="Arial Narrow" w:hAnsi="Arial Narrow" w:cs="Times New Roman"/>
                <w:b/>
                <w:bCs/>
                <w:sz w:val="20"/>
                <w:szCs w:val="20"/>
              </w:rPr>
              <w:t>Invasive disease</w:t>
            </w:r>
            <w:r w:rsidR="0013023B" w:rsidRPr="002C3702">
              <w:rPr>
                <w:rFonts w:ascii="Arial Narrow" w:hAnsi="Arial Narrow" w:cs="Times New Roman"/>
                <w:b/>
                <w:bCs/>
                <w:sz w:val="20"/>
                <w:szCs w:val="20"/>
              </w:rPr>
              <w:t xml:space="preserve"> or death</w:t>
            </w:r>
          </w:p>
        </w:tc>
      </w:tr>
      <w:tr w:rsidR="00A82E1A" w:rsidRPr="002C3702" w14:paraId="6696CBE2" w14:textId="77777777" w:rsidTr="00622DD5">
        <w:trPr>
          <w:cantSplit/>
          <w:trHeight w:val="102"/>
        </w:trPr>
        <w:tc>
          <w:tcPr>
            <w:tcW w:w="3259" w:type="dxa"/>
            <w:shd w:val="clear" w:color="auto" w:fill="auto"/>
            <w:vAlign w:val="center"/>
            <w:hideMark/>
          </w:tcPr>
          <w:p w14:paraId="23E62630"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ITT population </w:t>
            </w:r>
          </w:p>
        </w:tc>
        <w:tc>
          <w:tcPr>
            <w:tcW w:w="1976" w:type="dxa"/>
            <w:shd w:val="clear" w:color="auto" w:fill="95B3D7" w:themeFill="accent1" w:themeFillTint="99"/>
            <w:vAlign w:val="center"/>
            <w:hideMark/>
          </w:tcPr>
          <w:p w14:paraId="4F53D11C" w14:textId="557E658F"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336/2808 (1</w:t>
            </w:r>
            <w:r w:rsidR="00CC4602" w:rsidRPr="002C3702">
              <w:rPr>
                <w:rFonts w:ascii="Arial Narrow" w:hAnsi="Arial Narrow" w:cs="Times New Roman"/>
                <w:sz w:val="20"/>
                <w:szCs w:val="20"/>
              </w:rPr>
              <w:t>2.0</w:t>
            </w:r>
            <w:r w:rsidRPr="002C3702">
              <w:rPr>
                <w:rFonts w:ascii="Arial Narrow" w:hAnsi="Arial Narrow" w:cs="Times New Roman"/>
                <w:sz w:val="20"/>
                <w:szCs w:val="20"/>
              </w:rPr>
              <w:t>%) </w:t>
            </w:r>
          </w:p>
        </w:tc>
        <w:tc>
          <w:tcPr>
            <w:tcW w:w="1976" w:type="dxa"/>
            <w:shd w:val="clear" w:color="auto" w:fill="95B3D7" w:themeFill="accent1" w:themeFillTint="99"/>
            <w:vAlign w:val="center"/>
            <w:hideMark/>
          </w:tcPr>
          <w:p w14:paraId="5D89F88F" w14:textId="6D0AF005"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499/2829 (17.6%) </w:t>
            </w:r>
          </w:p>
        </w:tc>
        <w:tc>
          <w:tcPr>
            <w:tcW w:w="1926" w:type="dxa"/>
            <w:shd w:val="clear" w:color="auto" w:fill="95B3D7" w:themeFill="accent1" w:themeFillTint="99"/>
            <w:vAlign w:val="center"/>
            <w:hideMark/>
          </w:tcPr>
          <w:p w14:paraId="11117A8A"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b/>
                <w:sz w:val="20"/>
                <w:szCs w:val="20"/>
              </w:rPr>
              <w:t>0.66 (0.58, 0.76)</w:t>
            </w:r>
          </w:p>
        </w:tc>
      </w:tr>
      <w:tr w:rsidR="00A82E1A" w:rsidRPr="002C3702" w14:paraId="543B7A1D" w14:textId="77777777" w:rsidTr="00622DD5">
        <w:trPr>
          <w:cantSplit/>
          <w:trHeight w:val="63"/>
        </w:trPr>
        <w:tc>
          <w:tcPr>
            <w:tcW w:w="3259" w:type="dxa"/>
            <w:shd w:val="clear" w:color="auto" w:fill="auto"/>
            <w:vAlign w:val="center"/>
            <w:hideMark/>
          </w:tcPr>
          <w:p w14:paraId="42188F71"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Cohort 1 </w:t>
            </w:r>
          </w:p>
        </w:tc>
        <w:tc>
          <w:tcPr>
            <w:tcW w:w="1976" w:type="dxa"/>
            <w:shd w:val="clear" w:color="auto" w:fill="95B3D7" w:themeFill="accent1" w:themeFillTint="99"/>
            <w:vAlign w:val="center"/>
            <w:hideMark/>
          </w:tcPr>
          <w:p w14:paraId="4343C2EF" w14:textId="57A6DE2F"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317/2555 (12.4%) </w:t>
            </w:r>
          </w:p>
        </w:tc>
        <w:tc>
          <w:tcPr>
            <w:tcW w:w="1976" w:type="dxa"/>
            <w:shd w:val="clear" w:color="auto" w:fill="95B3D7" w:themeFill="accent1" w:themeFillTint="99"/>
            <w:vAlign w:val="center"/>
            <w:hideMark/>
          </w:tcPr>
          <w:p w14:paraId="199A1F59" w14:textId="10B56546"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474/2565 (18.</w:t>
            </w:r>
            <w:r w:rsidR="00CC4602" w:rsidRPr="002C3702">
              <w:rPr>
                <w:rFonts w:ascii="Arial Narrow" w:hAnsi="Arial Narrow" w:cs="Times New Roman"/>
                <w:sz w:val="20"/>
                <w:szCs w:val="20"/>
              </w:rPr>
              <w:t>5</w:t>
            </w:r>
            <w:r w:rsidRPr="002C3702">
              <w:rPr>
                <w:rFonts w:ascii="Arial Narrow" w:hAnsi="Arial Narrow" w:cs="Times New Roman"/>
                <w:sz w:val="20"/>
                <w:szCs w:val="20"/>
              </w:rPr>
              <w:t>%) </w:t>
            </w:r>
          </w:p>
        </w:tc>
        <w:tc>
          <w:tcPr>
            <w:tcW w:w="1926" w:type="dxa"/>
            <w:shd w:val="clear" w:color="auto" w:fill="95B3D7" w:themeFill="accent1" w:themeFillTint="99"/>
            <w:vAlign w:val="center"/>
            <w:hideMark/>
          </w:tcPr>
          <w:p w14:paraId="48B1489D"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b/>
                <w:bCs/>
                <w:sz w:val="20"/>
                <w:szCs w:val="20"/>
              </w:rPr>
              <w:t>0.65 (0.57, 0.75)</w:t>
            </w:r>
            <w:r w:rsidRPr="002C3702">
              <w:rPr>
                <w:rFonts w:ascii="Arial Narrow" w:hAnsi="Arial Narrow" w:cs="Times New Roman"/>
                <w:sz w:val="20"/>
                <w:szCs w:val="20"/>
              </w:rPr>
              <w:t> </w:t>
            </w:r>
          </w:p>
        </w:tc>
      </w:tr>
      <w:tr w:rsidR="00A82E1A" w:rsidRPr="002C3702" w14:paraId="428CAFD0" w14:textId="77777777" w:rsidTr="00622DD5">
        <w:trPr>
          <w:cantSplit/>
          <w:trHeight w:val="63"/>
        </w:trPr>
        <w:tc>
          <w:tcPr>
            <w:tcW w:w="3259" w:type="dxa"/>
            <w:shd w:val="clear" w:color="auto" w:fill="auto"/>
            <w:vAlign w:val="center"/>
            <w:hideMark/>
          </w:tcPr>
          <w:p w14:paraId="08C88487" w14:textId="77777777" w:rsidR="00A82E1A" w:rsidRPr="002C3702" w:rsidRDefault="00A82E1A" w:rsidP="00622DD5">
            <w:pPr>
              <w:keepNext/>
              <w:keepLines/>
              <w:jc w:val="left"/>
              <w:rPr>
                <w:rFonts w:ascii="Arial Narrow" w:hAnsi="Arial Narrow" w:cs="Times New Roman"/>
                <w:sz w:val="20"/>
                <w:szCs w:val="20"/>
              </w:rPr>
            </w:pPr>
            <w:r w:rsidRPr="002C3702">
              <w:rPr>
                <w:rFonts w:ascii="Arial Narrow" w:hAnsi="Arial Narrow" w:cs="Times New Roman"/>
                <w:sz w:val="20"/>
                <w:szCs w:val="20"/>
              </w:rPr>
              <w:t xml:space="preserve">   Cohort 2</w:t>
            </w:r>
            <w:r w:rsidRPr="002C3702">
              <w:rPr>
                <w:rFonts w:ascii="Arial Narrow" w:hAnsi="Arial Narrow" w:cs="Times New Roman"/>
                <w:sz w:val="20"/>
                <w:szCs w:val="20"/>
                <w:vertAlign w:val="superscript"/>
              </w:rPr>
              <w:t>a</w:t>
            </w:r>
          </w:p>
        </w:tc>
        <w:tc>
          <w:tcPr>
            <w:tcW w:w="1976" w:type="dxa"/>
            <w:shd w:val="clear" w:color="auto" w:fill="95B3D7" w:themeFill="accent1" w:themeFillTint="99"/>
            <w:vAlign w:val="center"/>
            <w:hideMark/>
          </w:tcPr>
          <w:p w14:paraId="0F90E84B" w14:textId="19FAF89D"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19/253 (7.5%)</w:t>
            </w:r>
          </w:p>
        </w:tc>
        <w:tc>
          <w:tcPr>
            <w:tcW w:w="1976" w:type="dxa"/>
            <w:shd w:val="clear" w:color="auto" w:fill="95B3D7" w:themeFill="accent1" w:themeFillTint="99"/>
            <w:vAlign w:val="center"/>
            <w:hideMark/>
          </w:tcPr>
          <w:p w14:paraId="452C3008" w14:textId="5AC8F923"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25/264 (9.</w:t>
            </w:r>
            <w:r w:rsidR="00CC4602" w:rsidRPr="002C3702">
              <w:rPr>
                <w:rFonts w:ascii="Arial Narrow" w:hAnsi="Arial Narrow" w:cs="Times New Roman"/>
                <w:sz w:val="20"/>
                <w:szCs w:val="20"/>
              </w:rPr>
              <w:t>5</w:t>
            </w:r>
            <w:r w:rsidRPr="002C3702">
              <w:rPr>
                <w:rFonts w:ascii="Arial Narrow" w:hAnsi="Arial Narrow" w:cs="Times New Roman"/>
                <w:sz w:val="20"/>
                <w:szCs w:val="20"/>
              </w:rPr>
              <w:t>%)</w:t>
            </w:r>
          </w:p>
        </w:tc>
        <w:tc>
          <w:tcPr>
            <w:tcW w:w="1926" w:type="dxa"/>
            <w:shd w:val="clear" w:color="auto" w:fill="95B3D7" w:themeFill="accent1" w:themeFillTint="99"/>
            <w:vAlign w:val="center"/>
            <w:hideMark/>
          </w:tcPr>
          <w:p w14:paraId="4B3B71E1" w14:textId="77777777"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0.77 (0.42, 1.42)</w:t>
            </w:r>
          </w:p>
        </w:tc>
      </w:tr>
      <w:tr w:rsidR="00A82E1A" w:rsidRPr="002C3702" w14:paraId="2EFF75EE" w14:textId="77777777" w:rsidTr="00622DD5">
        <w:trPr>
          <w:cantSplit/>
          <w:trHeight w:val="63"/>
        </w:trPr>
        <w:tc>
          <w:tcPr>
            <w:tcW w:w="9137" w:type="dxa"/>
            <w:gridSpan w:val="4"/>
            <w:shd w:val="clear" w:color="auto" w:fill="auto"/>
            <w:vAlign w:val="center"/>
            <w:hideMark/>
          </w:tcPr>
          <w:p w14:paraId="2A4187B2" w14:textId="4D453381"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b/>
                <w:bCs/>
                <w:sz w:val="20"/>
                <w:szCs w:val="20"/>
              </w:rPr>
              <w:t>Distant relapse</w:t>
            </w:r>
            <w:r w:rsidR="0013023B" w:rsidRPr="002C3702">
              <w:rPr>
                <w:rFonts w:ascii="Arial Narrow" w:hAnsi="Arial Narrow" w:cs="Times New Roman"/>
                <w:b/>
                <w:bCs/>
                <w:sz w:val="20"/>
                <w:szCs w:val="20"/>
              </w:rPr>
              <w:t xml:space="preserve"> or death</w:t>
            </w:r>
          </w:p>
        </w:tc>
      </w:tr>
      <w:tr w:rsidR="00A82E1A" w:rsidRPr="002C3702" w14:paraId="227E37DD" w14:textId="77777777" w:rsidTr="00622DD5">
        <w:trPr>
          <w:cantSplit/>
          <w:trHeight w:val="63"/>
        </w:trPr>
        <w:tc>
          <w:tcPr>
            <w:tcW w:w="3259" w:type="dxa"/>
            <w:shd w:val="clear" w:color="auto" w:fill="auto"/>
            <w:vAlign w:val="center"/>
            <w:hideMark/>
          </w:tcPr>
          <w:p w14:paraId="195C0321"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ITT population </w:t>
            </w:r>
          </w:p>
        </w:tc>
        <w:tc>
          <w:tcPr>
            <w:tcW w:w="1976" w:type="dxa"/>
            <w:shd w:val="clear" w:color="auto" w:fill="95B3D7" w:themeFill="accent1" w:themeFillTint="99"/>
            <w:vAlign w:val="center"/>
            <w:hideMark/>
          </w:tcPr>
          <w:p w14:paraId="79F0D064" w14:textId="72D5C7FB"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281/2808 (10.0%) </w:t>
            </w:r>
          </w:p>
        </w:tc>
        <w:tc>
          <w:tcPr>
            <w:tcW w:w="1976" w:type="dxa"/>
            <w:shd w:val="clear" w:color="auto" w:fill="95B3D7" w:themeFill="accent1" w:themeFillTint="99"/>
            <w:vAlign w:val="center"/>
            <w:hideMark/>
          </w:tcPr>
          <w:p w14:paraId="26779081" w14:textId="08E6585F"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421/2829 (14.</w:t>
            </w:r>
            <w:r w:rsidR="00CC4602" w:rsidRPr="002C3702">
              <w:rPr>
                <w:rFonts w:ascii="Arial Narrow" w:hAnsi="Arial Narrow" w:cs="Times New Roman"/>
                <w:sz w:val="20"/>
                <w:szCs w:val="20"/>
              </w:rPr>
              <w:t>9</w:t>
            </w:r>
            <w:r w:rsidRPr="002C3702">
              <w:rPr>
                <w:rFonts w:ascii="Arial Narrow" w:hAnsi="Arial Narrow" w:cs="Times New Roman"/>
                <w:sz w:val="20"/>
                <w:szCs w:val="20"/>
              </w:rPr>
              <w:t>%) </w:t>
            </w:r>
          </w:p>
        </w:tc>
        <w:tc>
          <w:tcPr>
            <w:tcW w:w="1926" w:type="dxa"/>
            <w:shd w:val="clear" w:color="auto" w:fill="95B3D7" w:themeFill="accent1" w:themeFillTint="99"/>
            <w:vAlign w:val="center"/>
            <w:hideMark/>
          </w:tcPr>
          <w:p w14:paraId="53EF6839"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b/>
                <w:bCs/>
                <w:sz w:val="20"/>
                <w:szCs w:val="20"/>
              </w:rPr>
              <w:t>0.66 (0.57, 0.77)</w:t>
            </w:r>
            <w:r w:rsidRPr="002C3702">
              <w:rPr>
                <w:rFonts w:ascii="Arial Narrow" w:hAnsi="Arial Narrow" w:cs="Times New Roman"/>
                <w:sz w:val="20"/>
                <w:szCs w:val="20"/>
              </w:rPr>
              <w:t> </w:t>
            </w:r>
          </w:p>
        </w:tc>
      </w:tr>
      <w:tr w:rsidR="00A82E1A" w:rsidRPr="002C3702" w14:paraId="7C5B797C" w14:textId="77777777" w:rsidTr="00622DD5">
        <w:trPr>
          <w:cantSplit/>
          <w:trHeight w:val="63"/>
        </w:trPr>
        <w:tc>
          <w:tcPr>
            <w:tcW w:w="3259" w:type="dxa"/>
            <w:shd w:val="clear" w:color="auto" w:fill="auto"/>
            <w:vAlign w:val="center"/>
            <w:hideMark/>
          </w:tcPr>
          <w:p w14:paraId="5F31D500"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Cohort 1 </w:t>
            </w:r>
          </w:p>
        </w:tc>
        <w:tc>
          <w:tcPr>
            <w:tcW w:w="1976" w:type="dxa"/>
            <w:shd w:val="clear" w:color="auto" w:fill="95B3D7" w:themeFill="accent1" w:themeFillTint="99"/>
            <w:vAlign w:val="center"/>
            <w:hideMark/>
          </w:tcPr>
          <w:p w14:paraId="15C5584A" w14:textId="0E9EACC2"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267/2555 (10.</w:t>
            </w:r>
            <w:r w:rsidR="00CC4602" w:rsidRPr="002C3702">
              <w:rPr>
                <w:rFonts w:ascii="Arial Narrow" w:hAnsi="Arial Narrow" w:cs="Times New Roman"/>
                <w:sz w:val="20"/>
                <w:szCs w:val="20"/>
              </w:rPr>
              <w:t>5</w:t>
            </w:r>
            <w:r w:rsidRPr="002C3702">
              <w:rPr>
                <w:rFonts w:ascii="Arial Narrow" w:hAnsi="Arial Narrow" w:cs="Times New Roman"/>
                <w:sz w:val="20"/>
                <w:szCs w:val="20"/>
              </w:rPr>
              <w:t>%) </w:t>
            </w:r>
          </w:p>
        </w:tc>
        <w:tc>
          <w:tcPr>
            <w:tcW w:w="1976" w:type="dxa"/>
            <w:shd w:val="clear" w:color="auto" w:fill="95B3D7" w:themeFill="accent1" w:themeFillTint="99"/>
            <w:vAlign w:val="center"/>
            <w:hideMark/>
          </w:tcPr>
          <w:p w14:paraId="4ED8C8F4" w14:textId="7856561B"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402/2565 (15.7%) </w:t>
            </w:r>
          </w:p>
        </w:tc>
        <w:tc>
          <w:tcPr>
            <w:tcW w:w="1926" w:type="dxa"/>
            <w:shd w:val="clear" w:color="auto" w:fill="95B3D7" w:themeFill="accent1" w:themeFillTint="99"/>
            <w:vAlign w:val="center"/>
            <w:hideMark/>
          </w:tcPr>
          <w:p w14:paraId="6DA209B6"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b/>
                <w:bCs/>
                <w:sz w:val="20"/>
                <w:szCs w:val="20"/>
              </w:rPr>
              <w:t>0.65 (0.56, 0.76)</w:t>
            </w:r>
            <w:r w:rsidRPr="002C3702">
              <w:rPr>
                <w:rFonts w:ascii="Arial Narrow" w:hAnsi="Arial Narrow" w:cs="Times New Roman"/>
                <w:sz w:val="20"/>
                <w:szCs w:val="20"/>
              </w:rPr>
              <w:t> </w:t>
            </w:r>
          </w:p>
        </w:tc>
      </w:tr>
      <w:tr w:rsidR="00A82E1A" w:rsidRPr="002C3702" w14:paraId="77031BC1" w14:textId="77777777" w:rsidTr="00622DD5">
        <w:trPr>
          <w:cantSplit/>
          <w:trHeight w:val="63"/>
        </w:trPr>
        <w:tc>
          <w:tcPr>
            <w:tcW w:w="3259" w:type="dxa"/>
            <w:shd w:val="clear" w:color="auto" w:fill="auto"/>
            <w:vAlign w:val="center"/>
            <w:hideMark/>
          </w:tcPr>
          <w:p w14:paraId="5C507950" w14:textId="77777777" w:rsidR="00A82E1A" w:rsidRPr="002C3702" w:rsidRDefault="00A82E1A" w:rsidP="00622DD5">
            <w:pPr>
              <w:keepNext/>
              <w:keepLines/>
              <w:jc w:val="left"/>
              <w:rPr>
                <w:rFonts w:ascii="Arial Narrow" w:hAnsi="Arial Narrow" w:cs="Times New Roman"/>
                <w:sz w:val="20"/>
                <w:szCs w:val="20"/>
              </w:rPr>
            </w:pPr>
            <w:r w:rsidRPr="002C3702">
              <w:rPr>
                <w:rFonts w:ascii="Arial Narrow" w:hAnsi="Arial Narrow" w:cs="Times New Roman"/>
                <w:sz w:val="20"/>
                <w:szCs w:val="20"/>
              </w:rPr>
              <w:t xml:space="preserve">   Cohort 2</w:t>
            </w:r>
            <w:r w:rsidRPr="002C3702">
              <w:rPr>
                <w:rFonts w:ascii="Arial Narrow" w:hAnsi="Arial Narrow" w:cs="Times New Roman"/>
                <w:sz w:val="20"/>
                <w:szCs w:val="20"/>
                <w:vertAlign w:val="superscript"/>
              </w:rPr>
              <w:t>a</w:t>
            </w:r>
          </w:p>
        </w:tc>
        <w:tc>
          <w:tcPr>
            <w:tcW w:w="1976" w:type="dxa"/>
            <w:shd w:val="clear" w:color="auto" w:fill="95B3D7" w:themeFill="accent1" w:themeFillTint="99"/>
            <w:vAlign w:val="center"/>
            <w:hideMark/>
          </w:tcPr>
          <w:p w14:paraId="164AE83A" w14:textId="23323C87"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14/253 (5.5%)</w:t>
            </w:r>
          </w:p>
        </w:tc>
        <w:tc>
          <w:tcPr>
            <w:tcW w:w="1976" w:type="dxa"/>
            <w:shd w:val="clear" w:color="auto" w:fill="95B3D7" w:themeFill="accent1" w:themeFillTint="99"/>
            <w:vAlign w:val="center"/>
            <w:hideMark/>
          </w:tcPr>
          <w:p w14:paraId="52BBBDB4" w14:textId="5948BE1D"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19/264 (7.2%)</w:t>
            </w:r>
          </w:p>
        </w:tc>
        <w:tc>
          <w:tcPr>
            <w:tcW w:w="1926" w:type="dxa"/>
            <w:shd w:val="clear" w:color="auto" w:fill="95B3D7" w:themeFill="accent1" w:themeFillTint="99"/>
            <w:vAlign w:val="center"/>
            <w:hideMark/>
          </w:tcPr>
          <w:p w14:paraId="07698AEB" w14:textId="77777777"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0.76 (0.38, 1.53)</w:t>
            </w:r>
          </w:p>
        </w:tc>
      </w:tr>
      <w:tr w:rsidR="00A82E1A" w:rsidRPr="002C3702" w14:paraId="13592893" w14:textId="77777777" w:rsidTr="00622DD5">
        <w:trPr>
          <w:cantSplit/>
          <w:trHeight w:val="63"/>
        </w:trPr>
        <w:tc>
          <w:tcPr>
            <w:tcW w:w="9137" w:type="dxa"/>
            <w:gridSpan w:val="4"/>
            <w:shd w:val="clear" w:color="auto" w:fill="auto"/>
            <w:vAlign w:val="center"/>
            <w:hideMark/>
          </w:tcPr>
          <w:p w14:paraId="4D4CB8C4" w14:textId="3C707059" w:rsidR="00A82E1A" w:rsidRPr="002C3702" w:rsidRDefault="00C30E94" w:rsidP="00622DD5">
            <w:pPr>
              <w:keepNext/>
              <w:keepLines/>
              <w:ind w:firstLine="127"/>
              <w:jc w:val="left"/>
              <w:textAlignment w:val="baseline"/>
              <w:rPr>
                <w:rFonts w:ascii="Arial Narrow" w:hAnsi="Arial Narrow" w:cs="Times New Roman"/>
                <w:b/>
                <w:sz w:val="20"/>
                <w:szCs w:val="20"/>
              </w:rPr>
            </w:pPr>
            <w:r w:rsidRPr="002C3702">
              <w:rPr>
                <w:rFonts w:ascii="Arial Narrow" w:hAnsi="Arial Narrow" w:cs="Times New Roman"/>
                <w:b/>
                <w:bCs/>
                <w:sz w:val="20"/>
                <w:szCs w:val="20"/>
              </w:rPr>
              <w:t>De</w:t>
            </w:r>
            <w:r w:rsidR="00D3444E" w:rsidRPr="002C3702">
              <w:rPr>
                <w:rFonts w:ascii="Arial Narrow" w:hAnsi="Arial Narrow" w:cs="Times New Roman"/>
                <w:b/>
                <w:bCs/>
                <w:sz w:val="20"/>
                <w:szCs w:val="20"/>
              </w:rPr>
              <w:t>ath</w:t>
            </w:r>
          </w:p>
        </w:tc>
      </w:tr>
      <w:tr w:rsidR="00A82E1A" w:rsidRPr="002C3702" w14:paraId="5D42A08D" w14:textId="77777777" w:rsidTr="00622DD5">
        <w:trPr>
          <w:cantSplit/>
          <w:trHeight w:val="300"/>
        </w:trPr>
        <w:tc>
          <w:tcPr>
            <w:tcW w:w="3259" w:type="dxa"/>
            <w:shd w:val="clear" w:color="auto" w:fill="auto"/>
            <w:vAlign w:val="center"/>
            <w:hideMark/>
          </w:tcPr>
          <w:p w14:paraId="5E763C0F"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ITT population </w:t>
            </w:r>
          </w:p>
        </w:tc>
        <w:tc>
          <w:tcPr>
            <w:tcW w:w="1976" w:type="dxa"/>
            <w:shd w:val="clear" w:color="auto" w:fill="95B3D7" w:themeFill="accent1" w:themeFillTint="99"/>
            <w:vAlign w:val="center"/>
            <w:hideMark/>
          </w:tcPr>
          <w:p w14:paraId="78EAEF2D" w14:textId="0B39F93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157/2808 (5.</w:t>
            </w:r>
            <w:r w:rsidR="00CC4602" w:rsidRPr="002C3702">
              <w:rPr>
                <w:rFonts w:ascii="Arial Narrow" w:hAnsi="Arial Narrow" w:cs="Times New Roman"/>
                <w:sz w:val="20"/>
                <w:szCs w:val="20"/>
              </w:rPr>
              <w:t>6</w:t>
            </w:r>
            <w:r w:rsidRPr="002C3702">
              <w:rPr>
                <w:rFonts w:ascii="Arial Narrow" w:hAnsi="Arial Narrow" w:cs="Times New Roman"/>
                <w:sz w:val="20"/>
                <w:szCs w:val="20"/>
              </w:rPr>
              <w:t>%) </w:t>
            </w:r>
          </w:p>
        </w:tc>
        <w:tc>
          <w:tcPr>
            <w:tcW w:w="1976" w:type="dxa"/>
            <w:shd w:val="clear" w:color="auto" w:fill="95B3D7" w:themeFill="accent1" w:themeFillTint="99"/>
            <w:vAlign w:val="center"/>
            <w:hideMark/>
          </w:tcPr>
          <w:p w14:paraId="67E6887B" w14:textId="4A1A707F"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173/2829 (6.1%) </w:t>
            </w:r>
          </w:p>
        </w:tc>
        <w:tc>
          <w:tcPr>
            <w:tcW w:w="1926" w:type="dxa"/>
            <w:shd w:val="clear" w:color="auto" w:fill="95B3D7" w:themeFill="accent1" w:themeFillTint="99"/>
            <w:vAlign w:val="center"/>
            <w:hideMark/>
          </w:tcPr>
          <w:p w14:paraId="120ECFB2"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0.93 (0.75, 1.15) </w:t>
            </w:r>
          </w:p>
        </w:tc>
      </w:tr>
      <w:tr w:rsidR="00A82E1A" w:rsidRPr="002C3702" w14:paraId="5E0565BC" w14:textId="77777777" w:rsidTr="00622DD5">
        <w:trPr>
          <w:cantSplit/>
          <w:trHeight w:val="63"/>
        </w:trPr>
        <w:tc>
          <w:tcPr>
            <w:tcW w:w="3259" w:type="dxa"/>
            <w:shd w:val="clear" w:color="auto" w:fill="auto"/>
            <w:vAlign w:val="center"/>
            <w:hideMark/>
          </w:tcPr>
          <w:p w14:paraId="60162699" w14:textId="77777777" w:rsidR="00A82E1A" w:rsidRPr="002C3702" w:rsidRDefault="00A82E1A" w:rsidP="00622DD5">
            <w:pPr>
              <w:keepNext/>
              <w:keepLines/>
              <w:ind w:firstLine="127"/>
              <w:jc w:val="left"/>
              <w:textAlignment w:val="baseline"/>
              <w:rPr>
                <w:rFonts w:ascii="Arial Narrow" w:hAnsi="Arial Narrow" w:cs="Times New Roman"/>
                <w:sz w:val="20"/>
                <w:szCs w:val="20"/>
              </w:rPr>
            </w:pPr>
            <w:r w:rsidRPr="002C3702">
              <w:rPr>
                <w:rFonts w:ascii="Arial Narrow" w:hAnsi="Arial Narrow" w:cs="Times New Roman"/>
                <w:sz w:val="20"/>
                <w:szCs w:val="20"/>
              </w:rPr>
              <w:t>Cohort 1 </w:t>
            </w:r>
          </w:p>
        </w:tc>
        <w:tc>
          <w:tcPr>
            <w:tcW w:w="1976" w:type="dxa"/>
            <w:shd w:val="clear" w:color="auto" w:fill="95B3D7" w:themeFill="accent1" w:themeFillTint="99"/>
            <w:vAlign w:val="center"/>
            <w:hideMark/>
          </w:tcPr>
          <w:p w14:paraId="4CD3B291" w14:textId="5F5A5B45"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147/2555 (5.</w:t>
            </w:r>
            <w:r w:rsidR="00CC4602" w:rsidRPr="002C3702">
              <w:rPr>
                <w:rFonts w:ascii="Arial Narrow" w:hAnsi="Arial Narrow" w:cs="Times New Roman"/>
                <w:sz w:val="20"/>
                <w:szCs w:val="20"/>
              </w:rPr>
              <w:t>8</w:t>
            </w:r>
            <w:r w:rsidRPr="002C3702">
              <w:rPr>
                <w:rFonts w:ascii="Arial Narrow" w:hAnsi="Arial Narrow" w:cs="Times New Roman"/>
                <w:sz w:val="20"/>
                <w:szCs w:val="20"/>
              </w:rPr>
              <w:t>%) </w:t>
            </w:r>
          </w:p>
        </w:tc>
        <w:tc>
          <w:tcPr>
            <w:tcW w:w="1976" w:type="dxa"/>
            <w:shd w:val="clear" w:color="auto" w:fill="95B3D7" w:themeFill="accent1" w:themeFillTint="99"/>
            <w:vAlign w:val="center"/>
            <w:hideMark/>
          </w:tcPr>
          <w:p w14:paraId="70764F99" w14:textId="3A62E569"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168/2565 (6.</w:t>
            </w:r>
            <w:r w:rsidR="00CC4602" w:rsidRPr="002C3702">
              <w:rPr>
                <w:rFonts w:ascii="Arial Narrow" w:hAnsi="Arial Narrow" w:cs="Times New Roman"/>
                <w:sz w:val="20"/>
                <w:szCs w:val="20"/>
              </w:rPr>
              <w:t>6</w:t>
            </w:r>
            <w:r w:rsidRPr="002C3702">
              <w:rPr>
                <w:rFonts w:ascii="Arial Narrow" w:hAnsi="Arial Narrow" w:cs="Times New Roman"/>
                <w:sz w:val="20"/>
                <w:szCs w:val="20"/>
              </w:rPr>
              <w:t>%) </w:t>
            </w:r>
          </w:p>
        </w:tc>
        <w:tc>
          <w:tcPr>
            <w:tcW w:w="1926" w:type="dxa"/>
            <w:shd w:val="clear" w:color="auto" w:fill="95B3D7" w:themeFill="accent1" w:themeFillTint="99"/>
            <w:vAlign w:val="center"/>
            <w:hideMark/>
          </w:tcPr>
          <w:p w14:paraId="05D88224" w14:textId="77777777" w:rsidR="00A82E1A" w:rsidRPr="002C3702" w:rsidRDefault="00A82E1A" w:rsidP="00622DD5">
            <w:pPr>
              <w:keepNext/>
              <w:keepLines/>
              <w:ind w:firstLine="127"/>
              <w:jc w:val="center"/>
              <w:textAlignment w:val="baseline"/>
              <w:rPr>
                <w:rFonts w:ascii="Arial Narrow" w:hAnsi="Arial Narrow" w:cs="Times New Roman"/>
                <w:sz w:val="20"/>
                <w:szCs w:val="20"/>
              </w:rPr>
            </w:pPr>
            <w:r w:rsidRPr="002C3702">
              <w:rPr>
                <w:rFonts w:ascii="Arial Narrow" w:hAnsi="Arial Narrow" w:cs="Times New Roman"/>
                <w:sz w:val="20"/>
                <w:szCs w:val="20"/>
              </w:rPr>
              <w:t>0.89 (0.71, 1.11) </w:t>
            </w:r>
          </w:p>
        </w:tc>
      </w:tr>
      <w:tr w:rsidR="00A82E1A" w:rsidRPr="002C3702" w14:paraId="61B09283" w14:textId="77777777" w:rsidTr="00622DD5">
        <w:trPr>
          <w:cantSplit/>
          <w:trHeight w:val="63"/>
        </w:trPr>
        <w:tc>
          <w:tcPr>
            <w:tcW w:w="3259" w:type="dxa"/>
            <w:shd w:val="clear" w:color="auto" w:fill="auto"/>
            <w:vAlign w:val="center"/>
            <w:hideMark/>
          </w:tcPr>
          <w:p w14:paraId="101CC227" w14:textId="77777777" w:rsidR="00A82E1A" w:rsidRPr="002C3702" w:rsidRDefault="00A82E1A" w:rsidP="00622DD5">
            <w:pPr>
              <w:keepNext/>
              <w:keepLines/>
              <w:jc w:val="left"/>
              <w:rPr>
                <w:rFonts w:ascii="Arial Narrow" w:hAnsi="Arial Narrow" w:cs="Times New Roman"/>
                <w:sz w:val="20"/>
                <w:szCs w:val="20"/>
              </w:rPr>
            </w:pPr>
            <w:r w:rsidRPr="002C3702">
              <w:rPr>
                <w:rFonts w:ascii="Arial Narrow" w:hAnsi="Arial Narrow" w:cs="Times New Roman"/>
                <w:sz w:val="20"/>
                <w:szCs w:val="20"/>
              </w:rPr>
              <w:t xml:space="preserve">   Cohort 2</w:t>
            </w:r>
            <w:r w:rsidRPr="002C3702">
              <w:rPr>
                <w:rFonts w:ascii="Arial Narrow" w:hAnsi="Arial Narrow" w:cs="Times New Roman"/>
                <w:sz w:val="20"/>
                <w:szCs w:val="20"/>
                <w:vertAlign w:val="superscript"/>
              </w:rPr>
              <w:t>a</w:t>
            </w:r>
          </w:p>
        </w:tc>
        <w:tc>
          <w:tcPr>
            <w:tcW w:w="1976" w:type="dxa"/>
            <w:shd w:val="clear" w:color="auto" w:fill="95B3D7" w:themeFill="accent1" w:themeFillTint="99"/>
            <w:vAlign w:val="center"/>
            <w:hideMark/>
          </w:tcPr>
          <w:p w14:paraId="3A511860" w14:textId="5D4AE04B"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10/253 (</w:t>
            </w:r>
            <w:r w:rsidR="00CC4602" w:rsidRPr="002C3702">
              <w:rPr>
                <w:rFonts w:ascii="Arial Narrow" w:hAnsi="Arial Narrow" w:cs="Times New Roman"/>
                <w:sz w:val="20"/>
                <w:szCs w:val="20"/>
              </w:rPr>
              <w:t>4.0</w:t>
            </w:r>
            <w:r w:rsidRPr="002C3702">
              <w:rPr>
                <w:rFonts w:ascii="Arial Narrow" w:hAnsi="Arial Narrow" w:cs="Times New Roman"/>
                <w:sz w:val="20"/>
                <w:szCs w:val="20"/>
              </w:rPr>
              <w:t>%)</w:t>
            </w:r>
          </w:p>
        </w:tc>
        <w:tc>
          <w:tcPr>
            <w:tcW w:w="1976" w:type="dxa"/>
            <w:shd w:val="clear" w:color="auto" w:fill="95B3D7" w:themeFill="accent1" w:themeFillTint="99"/>
            <w:vAlign w:val="center"/>
            <w:hideMark/>
          </w:tcPr>
          <w:p w14:paraId="5420FC48" w14:textId="1C8B8EFE"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5/264 (1.</w:t>
            </w:r>
            <w:r w:rsidR="00CC4602" w:rsidRPr="002C3702">
              <w:rPr>
                <w:rFonts w:ascii="Arial Narrow" w:hAnsi="Arial Narrow" w:cs="Times New Roman"/>
                <w:sz w:val="20"/>
                <w:szCs w:val="20"/>
              </w:rPr>
              <w:t>9</w:t>
            </w:r>
            <w:r w:rsidRPr="002C3702">
              <w:rPr>
                <w:rFonts w:ascii="Arial Narrow" w:hAnsi="Arial Narrow" w:cs="Times New Roman"/>
                <w:sz w:val="20"/>
                <w:szCs w:val="20"/>
              </w:rPr>
              <w:t>%)</w:t>
            </w:r>
          </w:p>
        </w:tc>
        <w:tc>
          <w:tcPr>
            <w:tcW w:w="1926" w:type="dxa"/>
            <w:shd w:val="clear" w:color="auto" w:fill="95B3D7" w:themeFill="accent1" w:themeFillTint="99"/>
            <w:vAlign w:val="center"/>
            <w:hideMark/>
          </w:tcPr>
          <w:p w14:paraId="107B3518" w14:textId="77777777" w:rsidR="00A82E1A" w:rsidRPr="002C3702" w:rsidRDefault="00A82E1A" w:rsidP="00622DD5">
            <w:pPr>
              <w:keepNext/>
              <w:keepLines/>
              <w:jc w:val="center"/>
              <w:rPr>
                <w:rFonts w:ascii="Arial Narrow" w:hAnsi="Arial Narrow" w:cs="Times New Roman"/>
                <w:sz w:val="20"/>
                <w:szCs w:val="20"/>
              </w:rPr>
            </w:pPr>
            <w:r w:rsidRPr="002C3702">
              <w:rPr>
                <w:rFonts w:ascii="Arial Narrow" w:hAnsi="Arial Narrow" w:cs="Times New Roman"/>
                <w:sz w:val="20"/>
                <w:szCs w:val="20"/>
              </w:rPr>
              <w:t>2.20 (0.75, 6.46)</w:t>
            </w:r>
          </w:p>
        </w:tc>
      </w:tr>
    </w:tbl>
    <w:p w14:paraId="0E5A3683" w14:textId="75244680" w:rsidR="00030CC5" w:rsidRPr="002C3702" w:rsidRDefault="00030CC5" w:rsidP="00622DD5">
      <w:pPr>
        <w:keepNext/>
        <w:keepLines/>
        <w:textAlignment w:val="baseline"/>
        <w:rPr>
          <w:rFonts w:ascii="Arial Narrow" w:hAnsi="Arial Narrow" w:cs="Segoe UI"/>
          <w:sz w:val="18"/>
          <w:szCs w:val="18"/>
        </w:rPr>
      </w:pPr>
      <w:r w:rsidRPr="002C3702">
        <w:rPr>
          <w:rFonts w:ascii="Arial Narrow" w:hAnsi="Arial Narrow" w:cs="Segoe UI"/>
          <w:sz w:val="18"/>
          <w:szCs w:val="18"/>
        </w:rPr>
        <w:lastRenderedPageBreak/>
        <w:t xml:space="preserve">Source: Table 2-24, p92 of </w:t>
      </w:r>
      <w:r w:rsidR="004E6E39" w:rsidRPr="002C3702">
        <w:rPr>
          <w:rFonts w:ascii="Arial Narrow" w:hAnsi="Arial Narrow" w:cs="Segoe UI"/>
          <w:sz w:val="18"/>
          <w:szCs w:val="18"/>
        </w:rPr>
        <w:t xml:space="preserve">the </w:t>
      </w:r>
      <w:r w:rsidR="0036592B" w:rsidRPr="002C3702">
        <w:rPr>
          <w:rFonts w:ascii="Arial Narrow" w:hAnsi="Arial Narrow" w:cs="Segoe UI"/>
          <w:sz w:val="18"/>
          <w:szCs w:val="18"/>
        </w:rPr>
        <w:t>March 2023 resubmission</w:t>
      </w:r>
      <w:r w:rsidRPr="002C3702">
        <w:rPr>
          <w:rFonts w:ascii="Arial Narrow" w:hAnsi="Arial Narrow" w:cs="Segoe UI"/>
          <w:sz w:val="18"/>
          <w:szCs w:val="18"/>
        </w:rPr>
        <w:t xml:space="preserve">, Table 2-66, p152 of </w:t>
      </w:r>
      <w:r w:rsidR="004E6E39" w:rsidRPr="002C3702">
        <w:rPr>
          <w:rFonts w:ascii="Arial Narrow" w:hAnsi="Arial Narrow" w:cs="Segoe UI"/>
          <w:sz w:val="18"/>
          <w:szCs w:val="18"/>
        </w:rPr>
        <w:t xml:space="preserve">the </w:t>
      </w:r>
      <w:r w:rsidR="0036592B" w:rsidRPr="002C3702">
        <w:rPr>
          <w:rFonts w:ascii="Arial Narrow" w:hAnsi="Arial Narrow" w:cs="Segoe UI"/>
          <w:sz w:val="18"/>
          <w:szCs w:val="18"/>
        </w:rPr>
        <w:t>March 2023 resubmission</w:t>
      </w:r>
      <w:r w:rsidR="00243C19" w:rsidRPr="002C3702">
        <w:rPr>
          <w:rFonts w:ascii="Arial Narrow" w:hAnsi="Arial Narrow" w:cs="Segoe UI"/>
          <w:sz w:val="18"/>
          <w:szCs w:val="18"/>
        </w:rPr>
        <w:t>,</w:t>
      </w:r>
      <w:r w:rsidR="000512DE" w:rsidRPr="002C3702">
        <w:rPr>
          <w:rFonts w:ascii="Arial Narrow" w:hAnsi="Arial Narrow" w:cs="Segoe UI"/>
          <w:sz w:val="18"/>
          <w:szCs w:val="18"/>
        </w:rPr>
        <w:t xml:space="preserve"> </w:t>
      </w:r>
      <w:r w:rsidR="00243C19" w:rsidRPr="002C3702">
        <w:rPr>
          <w:rFonts w:ascii="Arial Narrow" w:hAnsi="Arial Narrow" w:cs="Segoe UI"/>
          <w:sz w:val="18"/>
          <w:szCs w:val="18"/>
        </w:rPr>
        <w:t>and</w:t>
      </w:r>
      <w:r w:rsidR="157342A0" w:rsidRPr="002C3702">
        <w:rPr>
          <w:rFonts w:ascii="Arial Narrow" w:hAnsi="Arial Narrow" w:cs="Segoe UI"/>
          <w:sz w:val="18"/>
          <w:szCs w:val="18"/>
        </w:rPr>
        <w:t xml:space="preserve"> Table JPCF.5.10. of the </w:t>
      </w:r>
      <w:r w:rsidR="711C84CF" w:rsidRPr="002C3702">
        <w:rPr>
          <w:rFonts w:ascii="Arial Narrow" w:hAnsi="Arial Narrow" w:cs="Segoe UI"/>
          <w:sz w:val="18"/>
          <w:szCs w:val="18"/>
        </w:rPr>
        <w:t>monarchE CSR AFU2 July 2022</w:t>
      </w:r>
      <w:r w:rsidR="00D3444E" w:rsidRPr="002C3702">
        <w:rPr>
          <w:rFonts w:ascii="Arial Narrow" w:hAnsi="Arial Narrow" w:cs="Segoe UI"/>
          <w:sz w:val="18"/>
          <w:szCs w:val="18"/>
        </w:rPr>
        <w:t xml:space="preserve">; </w:t>
      </w:r>
      <w:r w:rsidR="00AD7EFB" w:rsidRPr="002C3702">
        <w:rPr>
          <w:rFonts w:ascii="Arial Narrow" w:hAnsi="Arial Narrow" w:cs="Segoe UI"/>
          <w:iCs/>
          <w:sz w:val="18"/>
          <w:szCs w:val="18"/>
        </w:rPr>
        <w:t>PSCR, Attachment 1</w:t>
      </w:r>
    </w:p>
    <w:p w14:paraId="0FAA7E51" w14:textId="1785B3AF" w:rsidR="00030CC5" w:rsidRPr="002C3702" w:rsidRDefault="00030CC5" w:rsidP="00622DD5">
      <w:pPr>
        <w:keepNext/>
        <w:keepLines/>
        <w:textAlignment w:val="baseline"/>
        <w:rPr>
          <w:rFonts w:ascii="Arial Narrow" w:hAnsi="Arial Narrow" w:cs="Segoe UI"/>
          <w:iCs/>
          <w:sz w:val="18"/>
          <w:szCs w:val="18"/>
        </w:rPr>
      </w:pPr>
      <w:r w:rsidRPr="002C3702">
        <w:rPr>
          <w:rFonts w:ascii="Arial Narrow" w:hAnsi="Arial Narrow" w:cs="Segoe UI"/>
          <w:sz w:val="18"/>
          <w:szCs w:val="18"/>
        </w:rPr>
        <w:t>ABE = abemaciclib, AFU2=additional follow up 2, CI = confidence interval, DRFS= distant relapse-free survival, ET = endocrine therapy, HR = hazard ratio, ITT = intention-to-treat, n = number of participants reporting data, N = total participants in group, OS=overall survival.</w:t>
      </w:r>
    </w:p>
    <w:p w14:paraId="31A4503A" w14:textId="4D0FB1F1" w:rsidR="00030CC5" w:rsidRPr="002C3702" w:rsidRDefault="23A484B6" w:rsidP="00622DD5">
      <w:pPr>
        <w:keepNext/>
        <w:keepLines/>
        <w:textAlignment w:val="baseline"/>
        <w:rPr>
          <w:rFonts w:ascii="Arial Narrow" w:hAnsi="Arial Narrow" w:cs="Segoe UI"/>
          <w:sz w:val="18"/>
          <w:szCs w:val="18"/>
        </w:rPr>
      </w:pPr>
      <w:r w:rsidRPr="002C3702">
        <w:rPr>
          <w:rFonts w:ascii="Arial Narrow" w:hAnsi="Arial Narrow" w:cs="Segoe UI"/>
          <w:sz w:val="18"/>
          <w:szCs w:val="18"/>
          <w:vertAlign w:val="superscript"/>
        </w:rPr>
        <w:t>a</w:t>
      </w:r>
      <w:r w:rsidR="00EB7809" w:rsidRPr="002C3702">
        <w:rPr>
          <w:rFonts w:ascii="Arial Narrow" w:hAnsi="Arial Narrow" w:cs="Segoe UI"/>
          <w:sz w:val="18"/>
          <w:szCs w:val="18"/>
          <w:vertAlign w:val="superscript"/>
        </w:rPr>
        <w:t xml:space="preserve"> </w:t>
      </w:r>
      <w:r w:rsidR="00EB7809" w:rsidRPr="002C3702">
        <w:rPr>
          <w:rFonts w:ascii="Arial Narrow" w:hAnsi="Arial Narrow" w:cs="Segoe UI"/>
          <w:sz w:val="18"/>
          <w:szCs w:val="18"/>
        </w:rPr>
        <w:t>Cohort</w:t>
      </w:r>
      <w:r w:rsidR="00030CC5" w:rsidRPr="002C3702">
        <w:rPr>
          <w:rFonts w:ascii="Arial Narrow" w:hAnsi="Arial Narrow" w:cs="Segoe UI"/>
          <w:sz w:val="18"/>
          <w:szCs w:val="18"/>
        </w:rPr>
        <w:t xml:space="preserve"> </w:t>
      </w:r>
      <w:r w:rsidR="6AC96024" w:rsidRPr="002C3702">
        <w:rPr>
          <w:rFonts w:ascii="Arial Narrow" w:hAnsi="Arial Narrow" w:cs="Segoe UI"/>
          <w:sz w:val="18"/>
          <w:szCs w:val="18"/>
        </w:rPr>
        <w:t>2 had a median follow-up of 38.6 months in Arm A and 39.1 months in Arm B</w:t>
      </w:r>
      <w:r w:rsidR="00817FB4" w:rsidRPr="002C3702">
        <w:rPr>
          <w:rFonts w:ascii="Arial Narrow" w:hAnsi="Arial Narrow" w:cs="Segoe UI"/>
          <w:sz w:val="18"/>
          <w:szCs w:val="18"/>
        </w:rPr>
        <w:t xml:space="preserve"> (vs. 42 months for Cohort 1). </w:t>
      </w:r>
    </w:p>
    <w:p w14:paraId="35EA044D" w14:textId="0BBE3918" w:rsidR="00030CC5" w:rsidRPr="002C3702" w:rsidRDefault="00030CC5" w:rsidP="00622DD5">
      <w:pPr>
        <w:keepNext/>
        <w:keepLines/>
        <w:textAlignment w:val="baseline"/>
        <w:rPr>
          <w:rFonts w:ascii="Arial Narrow" w:hAnsi="Arial Narrow" w:cs="Segoe UI"/>
          <w:iCs/>
          <w:sz w:val="18"/>
          <w:szCs w:val="18"/>
          <w:shd w:val="clear" w:color="auto" w:fill="8DB3E2"/>
        </w:rPr>
      </w:pPr>
      <w:r w:rsidRPr="002C3702">
        <w:rPr>
          <w:rFonts w:ascii="Arial Narrow" w:hAnsi="Arial Narrow" w:cs="Segoe UI"/>
          <w:b/>
          <w:bCs/>
          <w:sz w:val="18"/>
          <w:szCs w:val="18"/>
        </w:rPr>
        <w:t xml:space="preserve">Bold </w:t>
      </w:r>
      <w:r w:rsidRPr="002C3702">
        <w:rPr>
          <w:rFonts w:ascii="Arial Narrow" w:hAnsi="Arial Narrow" w:cs="Segoe UI"/>
          <w:sz w:val="18"/>
          <w:szCs w:val="18"/>
        </w:rPr>
        <w:t>indicated statistically significant results. </w:t>
      </w:r>
    </w:p>
    <w:p w14:paraId="6DB3C71A" w14:textId="5E03F2AB" w:rsidR="00030CC5" w:rsidRPr="002C3702" w:rsidRDefault="00030CC5" w:rsidP="00030CC5">
      <w:pPr>
        <w:textAlignment w:val="baseline"/>
        <w:rPr>
          <w:rFonts w:ascii="Segoe UI" w:hAnsi="Segoe UI" w:cs="Segoe UI"/>
          <w:iCs/>
          <w:sz w:val="18"/>
          <w:szCs w:val="18"/>
        </w:rPr>
      </w:pPr>
      <w:r w:rsidRPr="002C3702">
        <w:rPr>
          <w:rFonts w:ascii="Arial Narrow" w:hAnsi="Arial Narrow" w:cs="Segoe UI"/>
          <w:iCs/>
          <w:sz w:val="18"/>
          <w:szCs w:val="18"/>
          <w:shd w:val="clear" w:color="auto" w:fill="8DB3E2"/>
        </w:rPr>
        <w:t>Blue shading</w:t>
      </w:r>
      <w:r w:rsidRPr="002C3702">
        <w:rPr>
          <w:rFonts w:ascii="Arial Narrow" w:hAnsi="Arial Narrow" w:cs="Segoe UI"/>
          <w:iCs/>
          <w:sz w:val="18"/>
          <w:szCs w:val="18"/>
        </w:rPr>
        <w:t xml:space="preserve"> indicates data previously seen by the PBAC.</w:t>
      </w:r>
    </w:p>
    <w:p w14:paraId="24EA1513" w14:textId="77777777" w:rsidR="00030CC5" w:rsidRPr="002C3702" w:rsidRDefault="00030CC5" w:rsidP="00030CC5">
      <w:pPr>
        <w:textAlignment w:val="baseline"/>
        <w:rPr>
          <w:rFonts w:ascii="Arial Narrow" w:hAnsi="Arial Narrow" w:cs="Segoe UI"/>
          <w:sz w:val="18"/>
          <w:szCs w:val="18"/>
        </w:rPr>
      </w:pPr>
    </w:p>
    <w:p w14:paraId="433751A5" w14:textId="5EF8B47D" w:rsidR="00030CC5" w:rsidRPr="002C3702" w:rsidRDefault="00030CC5" w:rsidP="00B10F5A">
      <w:pPr>
        <w:pStyle w:val="Caption"/>
      </w:pPr>
      <w:bookmarkStart w:id="27" w:name="_Ref142840709"/>
      <w:r w:rsidRPr="002C3702">
        <w:t xml:space="preserve">Figure </w:t>
      </w:r>
      <w:fldSimple w:instr=" SEQ Figure \* ARABIC ">
        <w:r w:rsidR="00676505">
          <w:rPr>
            <w:noProof/>
          </w:rPr>
          <w:t>1</w:t>
        </w:r>
      </w:fldSimple>
      <w:bookmarkEnd w:id="27"/>
      <w:r w:rsidRPr="002C3702">
        <w:rPr>
          <w:rStyle w:val="normaltextrun"/>
        </w:rPr>
        <w:t xml:space="preserve">: K-M plot of IDFS, ITT population,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rPr>
        <w:t xml:space="preserve">  </w:t>
      </w:r>
    </w:p>
    <w:p w14:paraId="4316C37D" w14:textId="5AF9D894" w:rsidR="00E36693" w:rsidRPr="002C3702" w:rsidRDefault="00E36693" w:rsidP="001848AE">
      <w:pPr>
        <w:pStyle w:val="TableFigureFooter"/>
      </w:pPr>
      <w:r w:rsidRPr="002C3702">
        <w:rPr>
          <w:noProof/>
        </w:rPr>
        <w:drawing>
          <wp:inline distT="0" distB="0" distL="0" distR="0" wp14:anchorId="0B7DD9BF" wp14:editId="0A9D0BE6">
            <wp:extent cx="4882101" cy="3332073"/>
            <wp:effectExtent l="0" t="0" r="0" b="1905"/>
            <wp:docPr id="2" name="Picture 2" descr="Figure 1: K-M plot of IDFS, ITT population,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M plot of IDFS, ITT population, OS IA3 (July 2023)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4028" cy="3340214"/>
                    </a:xfrm>
                    <a:prstGeom prst="rect">
                      <a:avLst/>
                    </a:prstGeom>
                    <a:noFill/>
                    <a:ln>
                      <a:noFill/>
                    </a:ln>
                  </pic:spPr>
                </pic:pic>
              </a:graphicData>
            </a:graphic>
          </wp:inline>
        </w:drawing>
      </w:r>
    </w:p>
    <w:p w14:paraId="1626FE1E" w14:textId="549CE210" w:rsidR="00030CC5" w:rsidRPr="002C3702" w:rsidRDefault="00030CC5" w:rsidP="001848AE">
      <w:pPr>
        <w:pStyle w:val="TableFigureFooter"/>
      </w:pPr>
      <w:r w:rsidRPr="002C3702">
        <w:t xml:space="preserve">Source: </w:t>
      </w:r>
      <w:r w:rsidR="001317BD" w:rsidRPr="002C3702">
        <w:rPr>
          <w:iCs/>
        </w:rPr>
        <w:t>PSCR, Attachment 1</w:t>
      </w:r>
      <w:r w:rsidRPr="002C3702">
        <w:t xml:space="preserve"> </w:t>
      </w:r>
    </w:p>
    <w:p w14:paraId="7708B298" w14:textId="7C33A322" w:rsidR="00030CC5" w:rsidRPr="002C3702" w:rsidRDefault="00030CC5" w:rsidP="00D17BDB">
      <w:pPr>
        <w:pStyle w:val="TableFigureFooter"/>
      </w:pPr>
      <w:r w:rsidRPr="002C3702">
        <w:t>AFU2</w:t>
      </w:r>
      <w:r w:rsidRPr="002C3702">
        <w:rPr>
          <w:szCs w:val="18"/>
        </w:rPr>
        <w:t xml:space="preserve"> = additional follow up 2, CI = confidence interval, ET = endocrine therapy, HR = hazard ratio, IA1 = interim analysis1, IDFS = invasive disease-free survival, ITT = intention-to-treat, K-M= Kaplan-Meier, OS = overall survival.</w:t>
      </w:r>
    </w:p>
    <w:p w14:paraId="23B87159" w14:textId="0D676A47" w:rsidR="00030CC5" w:rsidRPr="002C3702" w:rsidRDefault="00030CC5" w:rsidP="00766EA9">
      <w:pPr>
        <w:pStyle w:val="Caption"/>
      </w:pPr>
      <w:bookmarkStart w:id="28" w:name="_Ref142841061"/>
      <w:r w:rsidRPr="002C3702">
        <w:lastRenderedPageBreak/>
        <w:t xml:space="preserve">Figure </w:t>
      </w:r>
      <w:fldSimple w:instr=" SEQ Figure \* ARABIC ">
        <w:r w:rsidR="00676505">
          <w:rPr>
            <w:noProof/>
          </w:rPr>
          <w:t>2</w:t>
        </w:r>
      </w:fldSimple>
      <w:bookmarkEnd w:id="28"/>
      <w:r w:rsidRPr="002C3702">
        <w:rPr>
          <w:rStyle w:val="normaltextrun"/>
        </w:rPr>
        <w:t>: K-M plot of DRFS, ITT population</w:t>
      </w:r>
      <w:r w:rsidR="00B10F5A" w:rsidRPr="002C3702">
        <w:rPr>
          <w:rStyle w:val="normaltextrun"/>
        </w:rPr>
        <w:t xml:space="preserve">,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rPr>
        <w:t xml:space="preserve">  </w:t>
      </w:r>
    </w:p>
    <w:p w14:paraId="50C24DC4" w14:textId="360BB529" w:rsidR="008F569B" w:rsidRPr="002C3702" w:rsidRDefault="008F569B" w:rsidP="00766EA9">
      <w:pPr>
        <w:pStyle w:val="TableFigureFooter"/>
        <w:keepNext/>
      </w:pPr>
      <w:r w:rsidRPr="002C3702">
        <w:rPr>
          <w:noProof/>
        </w:rPr>
        <w:drawing>
          <wp:inline distT="0" distB="0" distL="0" distR="0" wp14:anchorId="7AE015C9" wp14:editId="150881FB">
            <wp:extent cx="4544695" cy="3182846"/>
            <wp:effectExtent l="0" t="0" r="8255" b="0"/>
            <wp:docPr id="3" name="Picture 3" descr="Figure 2: K-M plot of DRFS, ITT population,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K-M plot of DRFS, ITT population, OS IA3 (July 202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5108" cy="3190139"/>
                    </a:xfrm>
                    <a:prstGeom prst="rect">
                      <a:avLst/>
                    </a:prstGeom>
                    <a:noFill/>
                    <a:ln>
                      <a:noFill/>
                    </a:ln>
                  </pic:spPr>
                </pic:pic>
              </a:graphicData>
            </a:graphic>
          </wp:inline>
        </w:drawing>
      </w:r>
    </w:p>
    <w:p w14:paraId="5AB5AC85" w14:textId="0EAF1758" w:rsidR="00030CC5" w:rsidRPr="002C3702" w:rsidRDefault="00030CC5" w:rsidP="00766EA9">
      <w:pPr>
        <w:pStyle w:val="TableFigureFooter"/>
        <w:keepNext/>
        <w:rPr>
          <w:szCs w:val="18"/>
        </w:rPr>
      </w:pPr>
      <w:r w:rsidRPr="002C3702">
        <w:t>So</w:t>
      </w:r>
      <w:r w:rsidRPr="002C3702">
        <w:rPr>
          <w:szCs w:val="18"/>
        </w:rPr>
        <w:t xml:space="preserve">urce: </w:t>
      </w:r>
      <w:r w:rsidR="00B10F5A" w:rsidRPr="002C3702">
        <w:rPr>
          <w:iCs/>
          <w:szCs w:val="18"/>
        </w:rPr>
        <w:t>PSCR, Attachment 1</w:t>
      </w:r>
      <w:r w:rsidRPr="002C3702">
        <w:rPr>
          <w:iCs/>
          <w:szCs w:val="18"/>
        </w:rPr>
        <w:t xml:space="preserve"> </w:t>
      </w:r>
    </w:p>
    <w:p w14:paraId="0738859B" w14:textId="6406443D" w:rsidR="00030CC5" w:rsidRPr="002C3702" w:rsidRDefault="00030CC5" w:rsidP="00766EA9">
      <w:pPr>
        <w:pStyle w:val="TableFigureFooter"/>
        <w:keepNext/>
      </w:pPr>
      <w:r w:rsidRPr="002C3702">
        <w:t>AFU2</w:t>
      </w:r>
      <w:r w:rsidRPr="002C3702">
        <w:rPr>
          <w:szCs w:val="18"/>
        </w:rPr>
        <w:t>= additional follow up 2, CI = confidence interval, DRFS = distant relapse-free survival, ET = endocrine therapy, HR = hazard ratio; IA1= interim analysis 1, ITT = intention-to-treat, K-M= Kaplan-Meier, OS = overall survival.</w:t>
      </w:r>
    </w:p>
    <w:p w14:paraId="1E6A41DC" w14:textId="46D2A5C4" w:rsidR="00030CC5" w:rsidRPr="002C3702" w:rsidRDefault="00030CC5" w:rsidP="00766EA9">
      <w:pPr>
        <w:pStyle w:val="Caption"/>
        <w:keepNext w:val="0"/>
      </w:pPr>
      <w:bookmarkStart w:id="29" w:name="_Ref142841271"/>
      <w:r w:rsidRPr="002C3702">
        <w:t xml:space="preserve">Figure </w:t>
      </w:r>
      <w:fldSimple w:instr=" SEQ Figure \* ARABIC ">
        <w:r w:rsidR="00676505">
          <w:rPr>
            <w:noProof/>
          </w:rPr>
          <w:t>3</w:t>
        </w:r>
      </w:fldSimple>
      <w:bookmarkEnd w:id="29"/>
      <w:r w:rsidRPr="002C3702">
        <w:rPr>
          <w:rStyle w:val="normaltextrun"/>
        </w:rPr>
        <w:t>: K-M plot of OS, ITT population</w:t>
      </w:r>
      <w:r w:rsidR="00B10F5A" w:rsidRPr="002C3702">
        <w:rPr>
          <w:rStyle w:val="normaltextrun"/>
        </w:rPr>
        <w:t xml:space="preserve">,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iCs/>
        </w:rPr>
        <w:t xml:space="preserve">  </w:t>
      </w:r>
    </w:p>
    <w:p w14:paraId="194A4F88" w14:textId="5F74BFC9" w:rsidR="00030CC5" w:rsidRPr="002C3702" w:rsidRDefault="008F569B" w:rsidP="00425709">
      <w:pPr>
        <w:pStyle w:val="paragraph"/>
        <w:spacing w:before="0" w:beforeAutospacing="0" w:after="0" w:afterAutospacing="0"/>
        <w:jc w:val="both"/>
        <w:textAlignment w:val="baseline"/>
        <w:rPr>
          <w:rFonts w:ascii="Arial Narrow" w:hAnsi="Arial Narrow" w:cstheme="minorBidi"/>
          <w:sz w:val="18"/>
          <w:szCs w:val="18"/>
        </w:rPr>
      </w:pPr>
      <w:r w:rsidRPr="002C3702">
        <w:rPr>
          <w:rFonts w:ascii="Segoe UI" w:hAnsi="Segoe UI" w:cs="Segoe UI"/>
          <w:noProof/>
          <w:sz w:val="18"/>
          <w:szCs w:val="18"/>
        </w:rPr>
        <w:drawing>
          <wp:inline distT="0" distB="0" distL="0" distR="0" wp14:anchorId="4F250294" wp14:editId="2957B275">
            <wp:extent cx="4544704" cy="3212948"/>
            <wp:effectExtent l="0" t="0" r="8255" b="6985"/>
            <wp:docPr id="4" name="Picture 4" descr="Figure 3: K-M plot of OS, ITT population,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M plot of OS, ITT population, OS IA3 (July 202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278" cy="3221130"/>
                    </a:xfrm>
                    <a:prstGeom prst="rect">
                      <a:avLst/>
                    </a:prstGeom>
                    <a:noFill/>
                    <a:ln>
                      <a:noFill/>
                    </a:ln>
                  </pic:spPr>
                </pic:pic>
              </a:graphicData>
            </a:graphic>
          </wp:inline>
        </w:drawing>
      </w:r>
      <w:r w:rsidR="00030CC5" w:rsidRPr="002C3702">
        <w:rPr>
          <w:rFonts w:ascii="Arial Narrow" w:hAnsi="Arial Narrow"/>
          <w:sz w:val="18"/>
          <w:szCs w:val="18"/>
        </w:rPr>
        <w:t xml:space="preserve">Source: </w:t>
      </w:r>
      <w:r w:rsidR="00B10F5A" w:rsidRPr="002C3702">
        <w:rPr>
          <w:rFonts w:ascii="Arial Narrow" w:hAnsi="Arial Narrow"/>
          <w:iCs/>
          <w:sz w:val="18"/>
          <w:szCs w:val="18"/>
        </w:rPr>
        <w:t>PSCR, Attachment 1</w:t>
      </w:r>
    </w:p>
    <w:p w14:paraId="736D5294" w14:textId="1CEE63E1" w:rsidR="00030CC5" w:rsidRPr="002C3702" w:rsidRDefault="00030CC5" w:rsidP="00D17BDB">
      <w:pPr>
        <w:tabs>
          <w:tab w:val="left" w:pos="839"/>
          <w:tab w:val="left" w:pos="840"/>
        </w:tabs>
        <w:rPr>
          <w:rStyle w:val="normaltextrun"/>
          <w:rFonts w:ascii="Arial Narrow" w:hAnsi="Arial Narrow" w:cs="Segoe UI"/>
          <w:b/>
          <w:bCs/>
          <w:sz w:val="20"/>
          <w:szCs w:val="20"/>
        </w:rPr>
      </w:pPr>
      <w:r w:rsidRPr="002C3702">
        <w:rPr>
          <w:rFonts w:ascii="Arial Narrow" w:hAnsi="Arial Narrow"/>
          <w:sz w:val="18"/>
          <w:szCs w:val="18"/>
        </w:rPr>
        <w:t xml:space="preserve">AFU2 = additional follow up 2, </w:t>
      </w:r>
      <w:r w:rsidRPr="002C3702">
        <w:rPr>
          <w:rFonts w:ascii="Arial Narrow" w:hAnsi="Arial Narrow" w:cstheme="minorBidi"/>
          <w:sz w:val="18"/>
          <w:szCs w:val="18"/>
        </w:rPr>
        <w:t xml:space="preserve">CI = confidence interval, ET = endocrine therapy, HR = hazard ratio, ITT= intention-to-treat, </w:t>
      </w:r>
      <w:r w:rsidRPr="002C3702">
        <w:rPr>
          <w:rFonts w:ascii="Arial Narrow" w:hAnsi="Arial Narrow"/>
          <w:sz w:val="18"/>
          <w:szCs w:val="18"/>
        </w:rPr>
        <w:t>K-M= Kaplan-Meier,</w:t>
      </w:r>
      <w:r w:rsidRPr="002C3702">
        <w:rPr>
          <w:rFonts w:ascii="Arial Narrow" w:hAnsi="Arial Narrow" w:cstheme="minorBidi"/>
          <w:sz w:val="18"/>
          <w:szCs w:val="18"/>
        </w:rPr>
        <w:t xml:space="preserve"> n = number of participants with event; N = total participants in group; OS = overall survival</w:t>
      </w:r>
      <w:r w:rsidRPr="002C3702">
        <w:rPr>
          <w:rFonts w:ascii="Arial Narrow" w:hAnsi="Arial Narrow"/>
          <w:sz w:val="18"/>
          <w:szCs w:val="18"/>
        </w:rPr>
        <w:t>.</w:t>
      </w:r>
    </w:p>
    <w:p w14:paraId="4405F725" w14:textId="69361F47" w:rsidR="00030CC5" w:rsidRPr="002C3702" w:rsidRDefault="00030CC5" w:rsidP="00B10F5A">
      <w:pPr>
        <w:pStyle w:val="Caption"/>
      </w:pPr>
      <w:bookmarkStart w:id="30" w:name="_Ref142841293"/>
      <w:r w:rsidRPr="002C3702">
        <w:lastRenderedPageBreak/>
        <w:t xml:space="preserve">Figure </w:t>
      </w:r>
      <w:fldSimple w:instr=" SEQ Figure \* ARABIC ">
        <w:r w:rsidR="00676505">
          <w:rPr>
            <w:noProof/>
          </w:rPr>
          <w:t>4</w:t>
        </w:r>
      </w:fldSimple>
      <w:bookmarkEnd w:id="30"/>
      <w:r w:rsidRPr="002C3702">
        <w:rPr>
          <w:rStyle w:val="normaltextrun"/>
        </w:rPr>
        <w:t>: K-M plot of IDFS, Cohort 1</w:t>
      </w:r>
      <w:r w:rsidR="00B10F5A" w:rsidRPr="002C3702">
        <w:rPr>
          <w:rStyle w:val="normaltextrun"/>
        </w:rPr>
        <w:t xml:space="preserve">,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rPr>
        <w:t xml:space="preserve">  </w:t>
      </w:r>
    </w:p>
    <w:p w14:paraId="4397C9CC" w14:textId="007A6AC3" w:rsidR="00030CC5" w:rsidRPr="002C3702" w:rsidRDefault="008F569B" w:rsidP="00030CC5">
      <w:pPr>
        <w:pStyle w:val="TableFigureFooter"/>
        <w:rPr>
          <w:rFonts w:eastAsia="Calibri"/>
        </w:rPr>
      </w:pPr>
      <w:r w:rsidRPr="002C3702">
        <w:rPr>
          <w:rFonts w:eastAsia="Calibri"/>
          <w:noProof/>
        </w:rPr>
        <w:drawing>
          <wp:inline distT="0" distB="0" distL="0" distR="0" wp14:anchorId="65BBCE97" wp14:editId="436DA720">
            <wp:extent cx="4653887" cy="3257618"/>
            <wp:effectExtent l="0" t="0" r="0" b="0"/>
            <wp:docPr id="5" name="Picture 5" descr="Figure 4: K-M plot of IDFS, Cohort 1,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4: K-M plot of IDFS, Cohort 1, OS IA3 (July 2023)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566" cy="3263693"/>
                    </a:xfrm>
                    <a:prstGeom prst="rect">
                      <a:avLst/>
                    </a:prstGeom>
                    <a:noFill/>
                    <a:ln>
                      <a:noFill/>
                    </a:ln>
                  </pic:spPr>
                </pic:pic>
              </a:graphicData>
            </a:graphic>
          </wp:inline>
        </w:drawing>
      </w:r>
      <w:r w:rsidR="00030CC5" w:rsidRPr="002C3702">
        <w:rPr>
          <w:rFonts w:eastAsia="Calibri"/>
        </w:rPr>
        <w:t xml:space="preserve">Source: </w:t>
      </w:r>
      <w:r w:rsidR="00B10F5A" w:rsidRPr="002C3702">
        <w:rPr>
          <w:rFonts w:eastAsia="Calibri"/>
          <w:iCs/>
        </w:rPr>
        <w:t>PSCR, Attachment 1</w:t>
      </w:r>
      <w:r w:rsidR="00030CC5" w:rsidRPr="002C3702">
        <w:rPr>
          <w:rFonts w:eastAsia="Calibri"/>
        </w:rPr>
        <w:t xml:space="preserve"> </w:t>
      </w:r>
    </w:p>
    <w:p w14:paraId="1F27C5A1" w14:textId="749CE167" w:rsidR="00030CC5" w:rsidRPr="002C3702" w:rsidRDefault="00030CC5" w:rsidP="00425709">
      <w:pPr>
        <w:pStyle w:val="TableFigureFooter"/>
        <w:rPr>
          <w:rFonts w:ascii="Segoe UI" w:hAnsi="Segoe UI"/>
        </w:rPr>
      </w:pPr>
      <w:r w:rsidRPr="002C3702">
        <w:rPr>
          <w:szCs w:val="18"/>
        </w:rPr>
        <w:t>AFU2 = additional follow up 2, CI = confidence interval, ET = endocrine therapy, HR = hazard ratio, IA1 = interim analysis1, IDFS = invasive disease-free survival, ITT = intention-to-treat, K-M= Kaplan-Meier, OS = overall survival</w:t>
      </w:r>
      <w:r w:rsidRPr="002C3702" w:rsidDel="00562224">
        <w:rPr>
          <w:szCs w:val="18"/>
        </w:rPr>
        <w:t>.</w:t>
      </w:r>
    </w:p>
    <w:p w14:paraId="53D57DC4" w14:textId="525D3D02" w:rsidR="00030CC5" w:rsidRPr="002C3702" w:rsidRDefault="00030CC5" w:rsidP="00B10F5A">
      <w:pPr>
        <w:pStyle w:val="Caption"/>
      </w:pPr>
      <w:bookmarkStart w:id="31" w:name="_Ref142841308"/>
      <w:r w:rsidRPr="002C3702">
        <w:t xml:space="preserve">Figure </w:t>
      </w:r>
      <w:fldSimple w:instr=" SEQ Figure \* ARABIC ">
        <w:r w:rsidR="00676505">
          <w:rPr>
            <w:noProof/>
          </w:rPr>
          <w:t>5</w:t>
        </w:r>
      </w:fldSimple>
      <w:bookmarkEnd w:id="31"/>
      <w:r w:rsidRPr="002C3702">
        <w:rPr>
          <w:rStyle w:val="normaltextrun"/>
        </w:rPr>
        <w:t>: K-M plot of DRFS, Cohort 1</w:t>
      </w:r>
      <w:r w:rsidR="00B10F5A" w:rsidRPr="002C3702">
        <w:rPr>
          <w:rStyle w:val="normaltextrun"/>
        </w:rPr>
        <w:t xml:space="preserve">,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rPr>
        <w:t xml:space="preserve">  </w:t>
      </w:r>
    </w:p>
    <w:p w14:paraId="73B18FE9" w14:textId="4180129F" w:rsidR="00030CC5" w:rsidRPr="002C3702" w:rsidRDefault="008F569B" w:rsidP="00030CC5">
      <w:pPr>
        <w:pStyle w:val="TableFigureFooter"/>
        <w:rPr>
          <w:rFonts w:eastAsia="Calibri"/>
        </w:rPr>
      </w:pPr>
      <w:r w:rsidRPr="002C3702">
        <w:rPr>
          <w:rFonts w:eastAsia="Calibri"/>
          <w:noProof/>
        </w:rPr>
        <w:drawing>
          <wp:inline distT="0" distB="0" distL="0" distR="0" wp14:anchorId="43572DA3" wp14:editId="3ED3B14C">
            <wp:extent cx="4503761" cy="3185611"/>
            <wp:effectExtent l="0" t="0" r="0" b="0"/>
            <wp:docPr id="6" name="Picture 6" descr="Figure 5: K-M plot of DRFS, Cohort 1,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5: K-M plot of DRFS, Cohort 1, OS IA3 (July 2023)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8680" cy="3196163"/>
                    </a:xfrm>
                    <a:prstGeom prst="rect">
                      <a:avLst/>
                    </a:prstGeom>
                    <a:noFill/>
                    <a:ln>
                      <a:noFill/>
                    </a:ln>
                  </pic:spPr>
                </pic:pic>
              </a:graphicData>
            </a:graphic>
          </wp:inline>
        </w:drawing>
      </w:r>
      <w:r w:rsidR="00030CC5" w:rsidRPr="002C3702">
        <w:rPr>
          <w:rFonts w:eastAsia="Calibri"/>
        </w:rPr>
        <w:t xml:space="preserve">Source: </w:t>
      </w:r>
      <w:r w:rsidR="00B10F5A" w:rsidRPr="002C3702">
        <w:rPr>
          <w:rFonts w:eastAsia="Calibri"/>
          <w:iCs/>
        </w:rPr>
        <w:t>PSCR, Attachment 1</w:t>
      </w:r>
      <w:r w:rsidR="00030CC5" w:rsidRPr="002C3702">
        <w:rPr>
          <w:rFonts w:eastAsia="Calibri"/>
        </w:rPr>
        <w:t xml:space="preserve"> </w:t>
      </w:r>
    </w:p>
    <w:p w14:paraId="7DEADBF8" w14:textId="77777777" w:rsidR="00030CC5" w:rsidRPr="002C3702" w:rsidRDefault="00030CC5" w:rsidP="00030CC5">
      <w:pPr>
        <w:pStyle w:val="TableFigureFooter"/>
        <w:rPr>
          <w:szCs w:val="18"/>
        </w:rPr>
      </w:pPr>
      <w:r w:rsidRPr="002C3702">
        <w:rPr>
          <w:szCs w:val="18"/>
        </w:rPr>
        <w:t>AFU2 = additional follow up 2, CI = confidence interval, ET = endocrine therapy, HR = hazard ratio, IA1 = interim analysis1, DRFS = distant relapse-free survival, ITT = intention-to-treat, K-M= Kaplan-Meier, OS = overall survival</w:t>
      </w:r>
      <w:r w:rsidRPr="002C3702" w:rsidDel="00562224">
        <w:rPr>
          <w:szCs w:val="18"/>
        </w:rPr>
        <w:t>.</w:t>
      </w:r>
    </w:p>
    <w:p w14:paraId="161259CE" w14:textId="77777777" w:rsidR="00030CC5" w:rsidRPr="002C3702" w:rsidRDefault="00030CC5" w:rsidP="00030CC5">
      <w:pPr>
        <w:pStyle w:val="paragraph"/>
        <w:spacing w:before="0" w:beforeAutospacing="0" w:after="0" w:afterAutospacing="0"/>
        <w:jc w:val="both"/>
        <w:textAlignment w:val="baseline"/>
        <w:rPr>
          <w:rFonts w:ascii="Segoe UI" w:hAnsi="Segoe UI" w:cs="Segoe UI"/>
          <w:sz w:val="18"/>
          <w:szCs w:val="18"/>
        </w:rPr>
      </w:pPr>
    </w:p>
    <w:p w14:paraId="590BF76C" w14:textId="030758C0" w:rsidR="00030CC5" w:rsidRPr="002C3702" w:rsidRDefault="00030CC5" w:rsidP="00B10F5A">
      <w:pPr>
        <w:pStyle w:val="Caption"/>
      </w:pPr>
      <w:bookmarkStart w:id="32" w:name="_Ref142841319"/>
      <w:r w:rsidRPr="002C3702">
        <w:lastRenderedPageBreak/>
        <w:t xml:space="preserve">Figure </w:t>
      </w:r>
      <w:fldSimple w:instr=" SEQ Figure \* ARABIC ">
        <w:r w:rsidR="00676505">
          <w:rPr>
            <w:noProof/>
          </w:rPr>
          <w:t>6</w:t>
        </w:r>
      </w:fldSimple>
      <w:bookmarkEnd w:id="32"/>
      <w:r w:rsidRPr="002C3702">
        <w:rPr>
          <w:rStyle w:val="normaltextrun"/>
        </w:rPr>
        <w:t>: K-M plot of OS, Cohort 1</w:t>
      </w:r>
      <w:r w:rsidR="00B10F5A" w:rsidRPr="002C3702">
        <w:rPr>
          <w:rStyle w:val="normaltextrun"/>
        </w:rPr>
        <w:t xml:space="preserve">, </w:t>
      </w:r>
      <w:r w:rsidR="002B3FB9" w:rsidRPr="002C3702">
        <w:rPr>
          <w:rStyle w:val="normaltextrun"/>
          <w:iCs/>
        </w:rPr>
        <w:t xml:space="preserve">OS </w:t>
      </w:r>
      <w:r w:rsidR="00B10F5A" w:rsidRPr="002C3702">
        <w:rPr>
          <w:rStyle w:val="normaltextrun"/>
          <w:iCs/>
        </w:rPr>
        <w:t>IA3 (</w:t>
      </w:r>
      <w:r w:rsidR="0081689F" w:rsidRPr="002C3702">
        <w:rPr>
          <w:rStyle w:val="normaltextrun"/>
          <w:iCs/>
        </w:rPr>
        <w:t>July</w:t>
      </w:r>
      <w:r w:rsidR="00B10F5A" w:rsidRPr="002C3702">
        <w:rPr>
          <w:rStyle w:val="normaltextrun"/>
          <w:iCs/>
        </w:rPr>
        <w:t xml:space="preserve"> 2023)</w:t>
      </w:r>
      <w:r w:rsidR="00B10F5A" w:rsidRPr="002C3702">
        <w:rPr>
          <w:rStyle w:val="CommentReference"/>
        </w:rPr>
        <w:t xml:space="preserve">  </w:t>
      </w:r>
    </w:p>
    <w:p w14:paraId="4BC6292E" w14:textId="509870A7" w:rsidR="00030CC5" w:rsidRPr="002C3702" w:rsidRDefault="008F569B" w:rsidP="00622DD5">
      <w:pPr>
        <w:pStyle w:val="paragraph"/>
        <w:spacing w:before="0" w:beforeAutospacing="0" w:after="0" w:afterAutospacing="0"/>
        <w:jc w:val="both"/>
        <w:textAlignment w:val="baseline"/>
        <w:rPr>
          <w:rFonts w:ascii="Arial Narrow" w:hAnsi="Arial Narrow" w:cstheme="minorBidi"/>
          <w:sz w:val="18"/>
          <w:szCs w:val="18"/>
        </w:rPr>
      </w:pPr>
      <w:r w:rsidRPr="002C3702">
        <w:rPr>
          <w:rStyle w:val="eop"/>
          <w:rFonts w:cs="Calibri"/>
          <w:noProof/>
          <w:sz w:val="16"/>
          <w:szCs w:val="16"/>
        </w:rPr>
        <w:drawing>
          <wp:inline distT="0" distB="0" distL="0" distR="0" wp14:anchorId="747F4A4E" wp14:editId="1A39EF20">
            <wp:extent cx="4763069" cy="3459776"/>
            <wp:effectExtent l="0" t="0" r="0" b="7620"/>
            <wp:docPr id="7" name="Picture 7" descr="Figure 6: K-M plot of OS, Cohort 1, OS IA3 (July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6: K-M plot of OS, Cohort 1, OS IA3 (July 2023)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1210" cy="3465689"/>
                    </a:xfrm>
                    <a:prstGeom prst="rect">
                      <a:avLst/>
                    </a:prstGeom>
                    <a:noFill/>
                    <a:ln>
                      <a:noFill/>
                    </a:ln>
                  </pic:spPr>
                </pic:pic>
              </a:graphicData>
            </a:graphic>
          </wp:inline>
        </w:drawing>
      </w:r>
      <w:r w:rsidR="00030CC5" w:rsidRPr="002C3702">
        <w:rPr>
          <w:rFonts w:ascii="Arial Narrow" w:hAnsi="Arial Narrow"/>
          <w:sz w:val="18"/>
          <w:szCs w:val="18"/>
        </w:rPr>
        <w:t xml:space="preserve">Source: </w:t>
      </w:r>
      <w:r w:rsidR="00B10F5A" w:rsidRPr="002C3702">
        <w:rPr>
          <w:rFonts w:ascii="Arial Narrow" w:hAnsi="Arial Narrow"/>
          <w:iCs/>
          <w:sz w:val="18"/>
          <w:szCs w:val="18"/>
        </w:rPr>
        <w:t>PSCR, Attachment 1</w:t>
      </w:r>
    </w:p>
    <w:p w14:paraId="0C269BC3" w14:textId="77777777" w:rsidR="00030CC5" w:rsidRPr="002C3702" w:rsidRDefault="00030CC5" w:rsidP="00030CC5">
      <w:pPr>
        <w:tabs>
          <w:tab w:val="left" w:pos="839"/>
          <w:tab w:val="left" w:pos="840"/>
        </w:tabs>
        <w:rPr>
          <w:rFonts w:ascii="Arial Narrow" w:hAnsi="Arial Narrow"/>
          <w:sz w:val="18"/>
          <w:szCs w:val="18"/>
        </w:rPr>
      </w:pPr>
      <w:r w:rsidRPr="002C3702">
        <w:rPr>
          <w:rFonts w:ascii="Arial Narrow" w:hAnsi="Arial Narrow"/>
          <w:sz w:val="18"/>
          <w:szCs w:val="18"/>
        </w:rPr>
        <w:t xml:space="preserve">AFU2 = additional follow up 2, </w:t>
      </w:r>
      <w:r w:rsidRPr="002C3702">
        <w:rPr>
          <w:rFonts w:ascii="Arial Narrow" w:hAnsi="Arial Narrow" w:cstheme="minorBidi"/>
          <w:sz w:val="18"/>
          <w:szCs w:val="18"/>
        </w:rPr>
        <w:t xml:space="preserve">CI = confidence interval, ET = endocrine therapy, HR = hazard ratio, ITT= intention-to-treat, </w:t>
      </w:r>
      <w:r w:rsidRPr="002C3702">
        <w:rPr>
          <w:rFonts w:ascii="Arial Narrow" w:hAnsi="Arial Narrow"/>
          <w:sz w:val="18"/>
          <w:szCs w:val="18"/>
        </w:rPr>
        <w:t>K-M= Kaplan-Meier,</w:t>
      </w:r>
      <w:r w:rsidRPr="002C3702">
        <w:rPr>
          <w:rFonts w:ascii="Arial Narrow" w:hAnsi="Arial Narrow" w:cstheme="minorBidi"/>
          <w:sz w:val="18"/>
          <w:szCs w:val="18"/>
        </w:rPr>
        <w:t xml:space="preserve"> n = number of participants with event; N = total participants in group; OS = overall survival</w:t>
      </w:r>
      <w:r w:rsidRPr="002C3702">
        <w:rPr>
          <w:rFonts w:ascii="Arial Narrow" w:hAnsi="Arial Narrow"/>
          <w:sz w:val="18"/>
          <w:szCs w:val="18"/>
        </w:rPr>
        <w:t>.</w:t>
      </w:r>
    </w:p>
    <w:p w14:paraId="5676116F" w14:textId="620FBECE" w:rsidR="00030CC5" w:rsidRPr="002C3702" w:rsidRDefault="00030CC5" w:rsidP="00B10F5A">
      <w:pPr>
        <w:pStyle w:val="3-BodyText"/>
        <w:spacing w:before="120"/>
        <w:rPr>
          <w:rStyle w:val="3-BodyTextChar"/>
        </w:rPr>
      </w:pPr>
      <w:bookmarkStart w:id="33" w:name="_Toc22897642"/>
      <w:r w:rsidRPr="002C3702">
        <w:t xml:space="preserve">In the ITT </w:t>
      </w:r>
      <w:r w:rsidRPr="002C3702">
        <w:rPr>
          <w:rStyle w:val="3-BodyTextChar"/>
        </w:rPr>
        <w:t>population</w:t>
      </w:r>
      <w:r w:rsidRPr="002C3702">
        <w:t xml:space="preserve"> with a median follow-up of 42 months (AFU2, July 2022), ABE + ET showed a 34% relative reduction in the hazard of IDFS compared to ET alone (</w:t>
      </w:r>
      <w:r w:rsidR="000512DE" w:rsidRPr="002C3702">
        <w:t>hazard ratio [</w:t>
      </w:r>
      <w:r w:rsidRPr="002C3702">
        <w:t>HR</w:t>
      </w:r>
      <w:r w:rsidR="000512DE" w:rsidRPr="002C3702">
        <w:t>]</w:t>
      </w:r>
      <w:r w:rsidRPr="002C3702">
        <w:t xml:space="preserve"> = 0.66; 95% CI: 0.58, 0.76). </w:t>
      </w:r>
      <w:r w:rsidR="00AD3F14" w:rsidRPr="002C3702">
        <w:rPr>
          <w:iCs/>
        </w:rPr>
        <w:t>With a median follow-up of 54 months (</w:t>
      </w:r>
      <w:r w:rsidR="002B3FB9" w:rsidRPr="002C3702">
        <w:rPr>
          <w:iCs/>
        </w:rPr>
        <w:t xml:space="preserve">OS </w:t>
      </w:r>
      <w:r w:rsidR="00AD3F14" w:rsidRPr="002C3702">
        <w:rPr>
          <w:iCs/>
        </w:rPr>
        <w:t xml:space="preserve">IA3, </w:t>
      </w:r>
      <w:r w:rsidR="0081689F" w:rsidRPr="002C3702">
        <w:rPr>
          <w:iCs/>
        </w:rPr>
        <w:t>July</w:t>
      </w:r>
      <w:r w:rsidR="00AD3F14" w:rsidRPr="002C3702">
        <w:rPr>
          <w:iCs/>
        </w:rPr>
        <w:t xml:space="preserve"> 2023), ABE + ET showed a 32% relative reduction in the hazard of IDFS compared to ET alone (HR = 0.68; 95% CI: 0.60, 0.77).</w:t>
      </w:r>
    </w:p>
    <w:p w14:paraId="0A87BC46" w14:textId="03FF3A90" w:rsidR="00030CC5" w:rsidRPr="002C3702" w:rsidRDefault="00030CC5" w:rsidP="00030CC5">
      <w:pPr>
        <w:pStyle w:val="3-BodyText"/>
        <w:rPr>
          <w:iCs/>
        </w:rPr>
      </w:pPr>
      <w:r w:rsidRPr="002C3702">
        <w:rPr>
          <w:rStyle w:val="3-BodyTextChar"/>
        </w:rPr>
        <w:t>The</w:t>
      </w:r>
      <w:r w:rsidRPr="002C3702">
        <w:t xml:space="preserve"> OS data showed no significant difference between the two arms in the ITT population </w:t>
      </w:r>
      <w:r w:rsidR="00AD3F14" w:rsidRPr="002C3702">
        <w:rPr>
          <w:iCs/>
        </w:rPr>
        <w:t>at AFU2</w:t>
      </w:r>
      <w:r w:rsidR="00AD3F14" w:rsidRPr="002C3702">
        <w:t xml:space="preserve"> </w:t>
      </w:r>
      <w:r w:rsidRPr="002C3702">
        <w:t>(HR = 0.93; 9</w:t>
      </w:r>
      <w:r w:rsidR="00D65302" w:rsidRPr="002C3702">
        <w:t>5</w:t>
      </w:r>
      <w:r w:rsidRPr="002C3702">
        <w:t>% CI: 0.75, 1.15)</w:t>
      </w:r>
      <w:r w:rsidR="00AD3F14" w:rsidRPr="002C3702">
        <w:t xml:space="preserve"> </w:t>
      </w:r>
      <w:r w:rsidR="00AD3F14" w:rsidRPr="002C3702">
        <w:rPr>
          <w:iCs/>
        </w:rPr>
        <w:t xml:space="preserve">or </w:t>
      </w:r>
      <w:r w:rsidR="002B3FB9" w:rsidRPr="002C3702">
        <w:rPr>
          <w:iCs/>
        </w:rPr>
        <w:t xml:space="preserve">OS </w:t>
      </w:r>
      <w:r w:rsidR="00AD3F14" w:rsidRPr="002C3702">
        <w:rPr>
          <w:iCs/>
        </w:rPr>
        <w:t>IA3 (HR = 0.90; 95% CI: 0.75, 1.09)</w:t>
      </w:r>
      <w:r w:rsidRPr="002C3702">
        <w:rPr>
          <w:iCs/>
        </w:rPr>
        <w:t>.</w:t>
      </w:r>
    </w:p>
    <w:p w14:paraId="144E80F4" w14:textId="746049D9" w:rsidR="00030CC5" w:rsidRPr="002C3702" w:rsidRDefault="00030CC5" w:rsidP="00030CC5">
      <w:pPr>
        <w:pStyle w:val="3-BodyText"/>
        <w:rPr>
          <w:rStyle w:val="normaltextrun"/>
          <w:rFonts w:ascii="Calibri" w:hAnsi="Calibri"/>
        </w:rPr>
      </w:pPr>
      <w:r w:rsidRPr="002C3702">
        <w:t xml:space="preserve">Cohort 1 of the monarchE trial </w:t>
      </w:r>
      <w:r w:rsidRPr="002C3702">
        <w:rPr>
          <w:snapToGrid/>
        </w:rPr>
        <w:t xml:space="preserve">(defined as ≥ 4 ALNs; or 1-3 ALNs and </w:t>
      </w:r>
      <w:r w:rsidR="002C3702" w:rsidRPr="002C3702">
        <w:rPr>
          <w:snapToGrid/>
        </w:rPr>
        <w:t>tumour</w:t>
      </w:r>
      <w:r w:rsidRPr="002C3702">
        <w:rPr>
          <w:snapToGrid/>
        </w:rPr>
        <w:t xml:space="preserve"> ≥ 5cm or grade ≥ 3 disease) </w:t>
      </w:r>
      <w:r w:rsidRPr="002C3702">
        <w:rPr>
          <w:rStyle w:val="normaltextrun"/>
          <w:rFonts w:ascii="Calibri" w:hAnsi="Calibri" w:cs="Calibri"/>
        </w:rPr>
        <w:t xml:space="preserve">accounted for 91% of the ITT population. </w:t>
      </w:r>
      <w:r w:rsidRPr="002C3702">
        <w:rPr>
          <w:rStyle w:val="normaltextrun"/>
          <w:rFonts w:ascii="Calibri" w:hAnsi="Calibri"/>
        </w:rPr>
        <w:t xml:space="preserve">Cohort 1 represented the target population of </w:t>
      </w:r>
      <w:r w:rsidR="00D65302" w:rsidRPr="002C3702">
        <w:rPr>
          <w:rStyle w:val="normaltextrun"/>
          <w:rFonts w:ascii="Calibri" w:hAnsi="Calibri"/>
        </w:rPr>
        <w:t xml:space="preserve">the </w:t>
      </w:r>
      <w:r w:rsidRPr="002C3702">
        <w:rPr>
          <w:rStyle w:val="normaltextrun"/>
          <w:rFonts w:ascii="Calibri" w:hAnsi="Calibri"/>
        </w:rPr>
        <w:t xml:space="preserve">requested listing. </w:t>
      </w:r>
      <w:r w:rsidR="00D65302" w:rsidRPr="002C3702">
        <w:rPr>
          <w:rStyle w:val="normaltextrun"/>
          <w:rFonts w:ascii="Calibri" w:hAnsi="Calibri"/>
        </w:rPr>
        <w:t xml:space="preserve">This is unchanged from the previous submission. </w:t>
      </w:r>
      <w:r w:rsidRPr="002C3702">
        <w:rPr>
          <w:rStyle w:val="normaltextrun"/>
          <w:rFonts w:ascii="Calibri" w:hAnsi="Calibri"/>
        </w:rPr>
        <w:t xml:space="preserve">The IDFS results for Cohort 1 at median follow up 42 months (AFU2, July 2022) </w:t>
      </w:r>
      <w:r w:rsidR="00AD3F14" w:rsidRPr="002C3702">
        <w:rPr>
          <w:rStyle w:val="normaltextrun"/>
          <w:rFonts w:ascii="Calibri" w:hAnsi="Calibri"/>
          <w:iCs/>
        </w:rPr>
        <w:t>and 54 months (</w:t>
      </w:r>
      <w:r w:rsidR="002B3FB9" w:rsidRPr="002C3702">
        <w:rPr>
          <w:rStyle w:val="normaltextrun"/>
          <w:rFonts w:ascii="Calibri" w:hAnsi="Calibri"/>
          <w:iCs/>
        </w:rPr>
        <w:t xml:space="preserve">OS </w:t>
      </w:r>
      <w:r w:rsidR="00AD3F14" w:rsidRPr="002C3702">
        <w:rPr>
          <w:iCs/>
        </w:rPr>
        <w:t xml:space="preserve">IA3, </w:t>
      </w:r>
      <w:r w:rsidR="0081689F" w:rsidRPr="002C3702">
        <w:rPr>
          <w:iCs/>
        </w:rPr>
        <w:t>July</w:t>
      </w:r>
      <w:r w:rsidR="00AD3F14" w:rsidRPr="002C3702">
        <w:rPr>
          <w:iCs/>
        </w:rPr>
        <w:t xml:space="preserve"> 2023) </w:t>
      </w:r>
      <w:r w:rsidRPr="002C3702">
        <w:rPr>
          <w:rStyle w:val="normaltextrun"/>
          <w:rFonts w:ascii="Calibri" w:hAnsi="Calibri"/>
        </w:rPr>
        <w:t xml:space="preserve">were </w:t>
      </w:r>
      <w:proofErr w:type="gramStart"/>
      <w:r w:rsidRPr="002C3702">
        <w:rPr>
          <w:rStyle w:val="normaltextrun"/>
          <w:rFonts w:ascii="Calibri" w:hAnsi="Calibri"/>
        </w:rPr>
        <w:t>similar to</w:t>
      </w:r>
      <w:proofErr w:type="gramEnd"/>
      <w:r w:rsidRPr="002C3702">
        <w:rPr>
          <w:rStyle w:val="normaltextrun"/>
          <w:rFonts w:ascii="Calibri" w:hAnsi="Calibri"/>
        </w:rPr>
        <w:t xml:space="preserve"> the ITT population </w:t>
      </w:r>
      <w:r w:rsidR="00AD3F14" w:rsidRPr="002C3702">
        <w:rPr>
          <w:rStyle w:val="normaltextrun"/>
          <w:rFonts w:ascii="Calibri" w:hAnsi="Calibri"/>
        </w:rPr>
        <w:t>(</w:t>
      </w:r>
      <w:r w:rsidR="00AD3F14" w:rsidRPr="002C3702">
        <w:rPr>
          <w:rStyle w:val="normaltextrun"/>
          <w:rFonts w:ascii="Calibri" w:hAnsi="Calibri"/>
        </w:rPr>
        <w:fldChar w:fldCharType="begin"/>
      </w:r>
      <w:r w:rsidR="00AD3F14" w:rsidRPr="002C3702">
        <w:rPr>
          <w:rStyle w:val="normaltextrun"/>
          <w:rFonts w:ascii="Calibri" w:hAnsi="Calibri"/>
        </w:rPr>
        <w:instrText xml:space="preserve"> REF _Ref142830783 \h </w:instrText>
      </w:r>
      <w:r w:rsidR="00AD3F14" w:rsidRPr="002C3702">
        <w:rPr>
          <w:rStyle w:val="normaltextrun"/>
          <w:rFonts w:ascii="Calibri" w:hAnsi="Calibri"/>
        </w:rPr>
      </w:r>
      <w:r w:rsidR="00AD3F14" w:rsidRPr="002C3702">
        <w:rPr>
          <w:rStyle w:val="normaltextrun"/>
          <w:rFonts w:ascii="Calibri" w:hAnsi="Calibri"/>
        </w:rPr>
        <w:fldChar w:fldCharType="separate"/>
      </w:r>
      <w:r w:rsidR="00676505" w:rsidRPr="002C3702">
        <w:t xml:space="preserve">Table </w:t>
      </w:r>
      <w:r w:rsidR="00676505">
        <w:rPr>
          <w:noProof/>
        </w:rPr>
        <w:t>5</w:t>
      </w:r>
      <w:r w:rsidR="00AD3F14" w:rsidRPr="002C3702">
        <w:rPr>
          <w:rStyle w:val="normaltextrun"/>
          <w:rFonts w:ascii="Calibri" w:hAnsi="Calibri"/>
        </w:rPr>
        <w:fldChar w:fldCharType="end"/>
      </w:r>
      <w:r w:rsidR="00AD3F14" w:rsidRPr="002C3702">
        <w:rPr>
          <w:rStyle w:val="normaltextrun"/>
          <w:rFonts w:ascii="Calibri" w:hAnsi="Calibri"/>
        </w:rPr>
        <w:t>).</w:t>
      </w:r>
    </w:p>
    <w:p w14:paraId="22B5DAF9" w14:textId="202A2D03" w:rsidR="00030CC5" w:rsidRPr="002C3702" w:rsidRDefault="00030CC5" w:rsidP="00030CC5">
      <w:pPr>
        <w:pStyle w:val="3-BodyText"/>
        <w:rPr>
          <w:rFonts w:ascii="Calibri" w:hAnsi="Calibri"/>
        </w:rPr>
      </w:pPr>
      <w:r w:rsidRPr="002C3702">
        <w:t xml:space="preserve">There </w:t>
      </w:r>
      <w:r w:rsidR="00A24E24" w:rsidRPr="002C3702">
        <w:t>were</w:t>
      </w:r>
      <w:r w:rsidRPr="002C3702">
        <w:t xml:space="preserve"> no updated data for health-related quality of life at data cut-off (AFU2) (July 2022). The March 2023 resubmission presented EuroQol 5D 5-level version (EQ-5D-5L) change from baseline in both the ABE + ET arm and the ET alone arm and reported that the differences were smaller than the specified </w:t>
      </w:r>
      <w:r w:rsidR="000512DE" w:rsidRPr="002C3702">
        <w:t>minimal clinically important difference (</w:t>
      </w:r>
      <w:r w:rsidRPr="002C3702">
        <w:t>MCID</w:t>
      </w:r>
      <w:r w:rsidR="000512DE" w:rsidRPr="002C3702">
        <w:t>)</w:t>
      </w:r>
      <w:r w:rsidRPr="002C3702">
        <w:t xml:space="preserve"> of 0.5 of the baseline standard deviation (July 2020).</w:t>
      </w:r>
    </w:p>
    <w:p w14:paraId="65E804AF" w14:textId="6A4D32F6" w:rsidR="00AF5FAD" w:rsidRPr="002C3702" w:rsidRDefault="00030CC5" w:rsidP="00AF5FAD">
      <w:pPr>
        <w:pStyle w:val="3-BodyText"/>
      </w:pPr>
      <w:r w:rsidRPr="002C3702">
        <w:lastRenderedPageBreak/>
        <w:t xml:space="preserve">The results of the </w:t>
      </w:r>
      <w:proofErr w:type="spellStart"/>
      <w:r w:rsidRPr="002C3702">
        <w:t>Meirson</w:t>
      </w:r>
      <w:proofErr w:type="spellEnd"/>
      <w:r w:rsidRPr="002C3702">
        <w:t xml:space="preserve"> et al (2023) re-analysis demonstrated a smaller treatment difference in IDFS and potentially </w:t>
      </w:r>
      <w:r w:rsidR="00B96425" w:rsidRPr="002C3702">
        <w:rPr>
          <w:color w:val="000000" w:themeColor="text1"/>
        </w:rPr>
        <w:t xml:space="preserve">less favourable </w:t>
      </w:r>
      <w:r w:rsidRPr="002C3702">
        <w:t xml:space="preserve">OS with ABE + ET compared with ET alone. </w:t>
      </w:r>
      <w:r w:rsidR="00273FFD" w:rsidRPr="002C3702">
        <w:t>The PSC</w:t>
      </w:r>
      <w:r w:rsidR="004C2BF4" w:rsidRPr="002C3702">
        <w:t xml:space="preserve">R </w:t>
      </w:r>
      <w:r w:rsidR="00AF5FAD" w:rsidRPr="002C3702">
        <w:t>argued that study discontinuation rates were low and well-balanced between treatment groups in the monarchE trial, with the majority of patients remaining in active follow-up to evaluate longer-term efficacy. T</w:t>
      </w:r>
      <w:r w:rsidR="00022A7C" w:rsidRPr="002C3702">
        <w:t>he PSCR argued that</w:t>
      </w:r>
      <w:r w:rsidR="00AF5FAD" w:rsidRPr="002C3702">
        <w:t xml:space="preserve"> </w:t>
      </w:r>
      <w:r w:rsidR="00022A7C" w:rsidRPr="002C3702">
        <w:t xml:space="preserve">an </w:t>
      </w:r>
      <w:r w:rsidR="00AF5FAD" w:rsidRPr="002C3702">
        <w:t>analysis of censoring</w:t>
      </w:r>
      <w:r w:rsidR="00022A7C" w:rsidRPr="002C3702">
        <w:t>,</w:t>
      </w:r>
      <w:r w:rsidR="00AF5FAD" w:rsidRPr="002C3702">
        <w:t xml:space="preserve"> in the context of low numbers</w:t>
      </w:r>
      <w:r w:rsidR="00022A7C" w:rsidRPr="002C3702">
        <w:t>,</w:t>
      </w:r>
      <w:r w:rsidR="00AF5FAD" w:rsidRPr="002C3702">
        <w:t xml:space="preserve"> is not statistically sound. The </w:t>
      </w:r>
      <w:r w:rsidR="00022A7C" w:rsidRPr="002C3702">
        <w:t xml:space="preserve">ESC noted the publication of an authors’ response to </w:t>
      </w:r>
      <w:proofErr w:type="spellStart"/>
      <w:r w:rsidR="00022A7C" w:rsidRPr="002C3702">
        <w:t>Meirson</w:t>
      </w:r>
      <w:proofErr w:type="spellEnd"/>
      <w:r w:rsidR="00022A7C" w:rsidRPr="002C3702">
        <w:t xml:space="preserve"> et al (2023) </w:t>
      </w:r>
      <w:r w:rsidR="00434FCF" w:rsidRPr="002C3702">
        <w:t>(Johnston et al 2023</w:t>
      </w:r>
      <w:r w:rsidR="00434FCF" w:rsidRPr="002C3702">
        <w:rPr>
          <w:rStyle w:val="FootnoteReference"/>
        </w:rPr>
        <w:footnoteReference w:id="10"/>
      </w:r>
      <w:r w:rsidR="00022A7C" w:rsidRPr="002C3702">
        <w:t>)</w:t>
      </w:r>
      <w:r w:rsidR="004228FD" w:rsidRPr="002C3702">
        <w:t xml:space="preserve"> and</w:t>
      </w:r>
      <w:r w:rsidR="007A78D8" w:rsidRPr="002C3702">
        <w:t xml:space="preserve"> advised that the accuracy of the analysis conducted by </w:t>
      </w:r>
      <w:proofErr w:type="spellStart"/>
      <w:r w:rsidR="007A78D8" w:rsidRPr="002C3702">
        <w:t>Meirson</w:t>
      </w:r>
      <w:proofErr w:type="spellEnd"/>
      <w:r w:rsidR="007A78D8" w:rsidRPr="002C3702">
        <w:t xml:space="preserve"> et al (2023) was uncertain</w:t>
      </w:r>
      <w:r w:rsidR="004228FD" w:rsidRPr="002C3702">
        <w:t xml:space="preserve"> and considered the analysis should be interpreted with some caution</w:t>
      </w:r>
      <w:r w:rsidR="007A78D8" w:rsidRPr="002C3702">
        <w:t>, as it appeared to be a non-peer-reviewed essay and was conducted with reconstructed data from a .pdf image, not patient</w:t>
      </w:r>
      <w:r w:rsidR="004228FD" w:rsidRPr="002C3702">
        <w:t>-</w:t>
      </w:r>
      <w:r w:rsidR="007A78D8" w:rsidRPr="002C3702">
        <w:t>level data.</w:t>
      </w:r>
    </w:p>
    <w:p w14:paraId="0705DCE9" w14:textId="54120026" w:rsidR="00030CC5" w:rsidRPr="002C3702" w:rsidRDefault="00030CC5" w:rsidP="00030CC5">
      <w:pPr>
        <w:pStyle w:val="4-SubsectionHeading"/>
      </w:pPr>
      <w:bookmarkStart w:id="34" w:name="_Toc145422841"/>
      <w:r w:rsidRPr="002C3702">
        <w:t>Comparative harms</w:t>
      </w:r>
      <w:bookmarkEnd w:id="33"/>
      <w:bookmarkEnd w:id="34"/>
    </w:p>
    <w:p w14:paraId="0FC89593" w14:textId="112DB77A" w:rsidR="001F6FAD" w:rsidRPr="002C3702" w:rsidRDefault="00030CC5" w:rsidP="004228FD">
      <w:pPr>
        <w:pStyle w:val="3-BodyText"/>
      </w:pPr>
      <w:r w:rsidRPr="002C3702">
        <w:rPr>
          <w:iCs/>
        </w:rPr>
        <w:t xml:space="preserve">The safety data has not been updated since the March 2023 resubmission. </w:t>
      </w:r>
      <w:r w:rsidR="00F207B9" w:rsidRPr="002C3702">
        <w:rPr>
          <w:color w:val="000000" w:themeColor="text1"/>
        </w:rPr>
        <w:t>The PSCR</w:t>
      </w:r>
      <w:r w:rsidR="004C162F">
        <w:rPr>
          <w:color w:val="000000" w:themeColor="text1"/>
        </w:rPr>
        <w:t xml:space="preserve"> </w:t>
      </w:r>
      <w:r w:rsidR="00F207B9" w:rsidRPr="002C3702">
        <w:rPr>
          <w:color w:val="000000" w:themeColor="text1"/>
        </w:rPr>
        <w:t xml:space="preserve">stated that the safety data at the July 2022 data-cut were considered final, however stated that at OS IA3 </w:t>
      </w:r>
      <w:r w:rsidR="00CB469B" w:rsidRPr="002C3702">
        <w:rPr>
          <w:color w:val="000000" w:themeColor="text1"/>
        </w:rPr>
        <w:t xml:space="preserve">the </w:t>
      </w:r>
      <w:r w:rsidR="00F207B9" w:rsidRPr="002C3702">
        <w:rPr>
          <w:color w:val="000000" w:themeColor="text1"/>
        </w:rPr>
        <w:t xml:space="preserve">safety data remained consistent with prior monarchE analyses and the known safety profile of </w:t>
      </w:r>
      <w:r w:rsidR="00CB469B" w:rsidRPr="002C3702">
        <w:rPr>
          <w:color w:val="000000" w:themeColor="text1"/>
        </w:rPr>
        <w:t>abemaciclib</w:t>
      </w:r>
      <w:r w:rsidR="00F207B9" w:rsidRPr="002C3702">
        <w:rPr>
          <w:color w:val="000000" w:themeColor="text1"/>
        </w:rPr>
        <w:t xml:space="preserve">. The updated safety data was stated </w:t>
      </w:r>
      <w:r w:rsidR="00CB469B" w:rsidRPr="002C3702">
        <w:rPr>
          <w:color w:val="000000" w:themeColor="text1"/>
        </w:rPr>
        <w:t xml:space="preserve">by the PSCR </w:t>
      </w:r>
      <w:r w:rsidR="00F207B9" w:rsidRPr="002C3702">
        <w:rPr>
          <w:color w:val="000000" w:themeColor="text1"/>
        </w:rPr>
        <w:t>to be ‘on file’ and was not provided with the PSCR.</w:t>
      </w:r>
      <w:r w:rsidR="00845B16" w:rsidRPr="002C3702">
        <w:rPr>
          <w:color w:val="000000" w:themeColor="text1"/>
        </w:rPr>
        <w:t xml:space="preserve"> </w:t>
      </w:r>
    </w:p>
    <w:p w14:paraId="09C602B1" w14:textId="72702BF4" w:rsidR="00030CC5" w:rsidRPr="002C3702" w:rsidRDefault="00030CC5" w:rsidP="00AF3AD8">
      <w:pPr>
        <w:pStyle w:val="Caption"/>
        <w:jc w:val="left"/>
        <w:rPr>
          <w:b w:val="0"/>
        </w:rPr>
      </w:pPr>
      <w:r w:rsidRPr="002C3702">
        <w:lastRenderedPageBreak/>
        <w:t xml:space="preserve">Table </w:t>
      </w:r>
      <w:r w:rsidRPr="002C3702">
        <w:fldChar w:fldCharType="begin"/>
      </w:r>
      <w:r w:rsidRPr="002C3702">
        <w:instrText>SEQ Table \* ARABIC</w:instrText>
      </w:r>
      <w:r w:rsidRPr="002C3702">
        <w:fldChar w:fldCharType="separate"/>
      </w:r>
      <w:r w:rsidR="00676505">
        <w:rPr>
          <w:noProof/>
        </w:rPr>
        <w:t>6</w:t>
      </w:r>
      <w:r w:rsidRPr="002C3702">
        <w:fldChar w:fldCharType="end"/>
      </w:r>
      <w:r w:rsidRPr="002C3702">
        <w:t xml:space="preserve">: </w:t>
      </w:r>
      <w:r w:rsidRPr="002C3702">
        <w:rPr>
          <w:rFonts w:cs="Segoe UI"/>
          <w:szCs w:val="20"/>
        </w:rPr>
        <w:t>Summary of key adverse events in the trials in the monarchE trial at AFU2, safety population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5"/>
        <w:gridCol w:w="1694"/>
        <w:gridCol w:w="1814"/>
        <w:gridCol w:w="1694"/>
        <w:gridCol w:w="1694"/>
      </w:tblGrid>
      <w:tr w:rsidR="00030CC5" w:rsidRPr="002C3702" w14:paraId="559D721A" w14:textId="77777777" w:rsidTr="00B67628">
        <w:trPr>
          <w:trHeight w:val="300"/>
        </w:trPr>
        <w:tc>
          <w:tcPr>
            <w:tcW w:w="2115" w:type="dxa"/>
            <w:shd w:val="clear" w:color="auto" w:fill="auto"/>
            <w:vAlign w:val="center"/>
            <w:hideMark/>
          </w:tcPr>
          <w:p w14:paraId="0C620769"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b/>
                <w:bCs/>
                <w:sz w:val="20"/>
                <w:szCs w:val="20"/>
              </w:rPr>
              <w:t>Trial ID</w:t>
            </w:r>
            <w:r w:rsidRPr="002C3702">
              <w:rPr>
                <w:rFonts w:ascii="Arial Narrow" w:hAnsi="Arial Narrow" w:cs="Times New Roman"/>
                <w:sz w:val="20"/>
                <w:szCs w:val="20"/>
              </w:rPr>
              <w:t> </w:t>
            </w:r>
          </w:p>
        </w:tc>
        <w:tc>
          <w:tcPr>
            <w:tcW w:w="1694" w:type="dxa"/>
            <w:shd w:val="clear" w:color="auto" w:fill="auto"/>
            <w:vAlign w:val="center"/>
            <w:hideMark/>
          </w:tcPr>
          <w:p w14:paraId="27C30915"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Arm A</w:t>
            </w:r>
            <w:r w:rsidRPr="002C3702">
              <w:rPr>
                <w:rFonts w:ascii="Arial Narrow" w:hAnsi="Arial Narrow" w:cs="Times New Roman"/>
                <w:sz w:val="20"/>
                <w:szCs w:val="20"/>
              </w:rPr>
              <w:t> </w:t>
            </w:r>
          </w:p>
          <w:p w14:paraId="00403E7A"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ABE + ET </w:t>
            </w:r>
            <w:r w:rsidRPr="002C3702">
              <w:rPr>
                <w:rFonts w:ascii="Arial Narrow" w:hAnsi="Arial Narrow" w:cs="Times New Roman"/>
                <w:sz w:val="20"/>
                <w:szCs w:val="20"/>
              </w:rPr>
              <w:t> </w:t>
            </w:r>
          </w:p>
          <w:p w14:paraId="3BA98B9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n with event/N (%)</w:t>
            </w:r>
            <w:r w:rsidRPr="002C3702">
              <w:rPr>
                <w:rFonts w:ascii="Arial Narrow" w:hAnsi="Arial Narrow" w:cs="Times New Roman"/>
                <w:sz w:val="20"/>
                <w:szCs w:val="20"/>
              </w:rPr>
              <w:t> </w:t>
            </w:r>
          </w:p>
        </w:tc>
        <w:tc>
          <w:tcPr>
            <w:tcW w:w="1814" w:type="dxa"/>
            <w:shd w:val="clear" w:color="auto" w:fill="auto"/>
            <w:vAlign w:val="center"/>
            <w:hideMark/>
          </w:tcPr>
          <w:p w14:paraId="725DCFD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Arm B</w:t>
            </w:r>
            <w:r w:rsidRPr="002C3702">
              <w:rPr>
                <w:rFonts w:ascii="Arial Narrow" w:hAnsi="Arial Narrow" w:cs="Times New Roman"/>
                <w:sz w:val="20"/>
                <w:szCs w:val="20"/>
              </w:rPr>
              <w:t> </w:t>
            </w:r>
          </w:p>
          <w:p w14:paraId="13FB501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ET </w:t>
            </w:r>
            <w:r w:rsidRPr="002C3702">
              <w:rPr>
                <w:rFonts w:ascii="Arial Narrow" w:hAnsi="Arial Narrow" w:cs="Times New Roman"/>
                <w:sz w:val="20"/>
                <w:szCs w:val="20"/>
              </w:rPr>
              <w:t> </w:t>
            </w:r>
          </w:p>
          <w:p w14:paraId="2B3D1651"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n with event/N (%)</w:t>
            </w:r>
            <w:r w:rsidRPr="002C3702">
              <w:rPr>
                <w:rFonts w:ascii="Arial Narrow" w:hAnsi="Arial Narrow" w:cs="Times New Roman"/>
                <w:sz w:val="20"/>
                <w:szCs w:val="20"/>
              </w:rPr>
              <w:t> </w:t>
            </w:r>
          </w:p>
        </w:tc>
        <w:tc>
          <w:tcPr>
            <w:tcW w:w="1694" w:type="dxa"/>
            <w:shd w:val="clear" w:color="auto" w:fill="auto"/>
            <w:hideMark/>
          </w:tcPr>
          <w:p w14:paraId="618DFA9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 </w:t>
            </w:r>
          </w:p>
          <w:p w14:paraId="1ED3528B"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RD % (95%CI)</w:t>
            </w:r>
            <w:r w:rsidRPr="002C3702">
              <w:rPr>
                <w:rFonts w:ascii="Arial Narrow" w:hAnsi="Arial Narrow" w:cs="Times New Roman"/>
                <w:sz w:val="20"/>
                <w:szCs w:val="20"/>
              </w:rPr>
              <w:t> </w:t>
            </w:r>
          </w:p>
        </w:tc>
        <w:tc>
          <w:tcPr>
            <w:tcW w:w="1694" w:type="dxa"/>
            <w:shd w:val="clear" w:color="auto" w:fill="auto"/>
            <w:vAlign w:val="center"/>
            <w:hideMark/>
          </w:tcPr>
          <w:p w14:paraId="2C125040"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RR (95% CI)</w:t>
            </w:r>
            <w:r w:rsidRPr="002C3702">
              <w:rPr>
                <w:rFonts w:ascii="Arial Narrow" w:hAnsi="Arial Narrow" w:cs="Times New Roman"/>
                <w:sz w:val="20"/>
                <w:szCs w:val="20"/>
              </w:rPr>
              <w:t> </w:t>
            </w:r>
          </w:p>
        </w:tc>
      </w:tr>
      <w:tr w:rsidR="00030CC5" w:rsidRPr="002C3702" w14:paraId="72F328CC" w14:textId="77777777" w:rsidTr="00B67628">
        <w:trPr>
          <w:trHeight w:val="227"/>
        </w:trPr>
        <w:tc>
          <w:tcPr>
            <w:tcW w:w="9011" w:type="dxa"/>
            <w:gridSpan w:val="5"/>
            <w:shd w:val="clear" w:color="auto" w:fill="auto"/>
          </w:tcPr>
          <w:p w14:paraId="142F3AE5" w14:textId="77777777" w:rsidR="00030CC5" w:rsidRPr="002C3702" w:rsidRDefault="00030CC5" w:rsidP="00AF3AD8">
            <w:pPr>
              <w:keepNext/>
              <w:jc w:val="left"/>
              <w:textAlignment w:val="baseline"/>
              <w:rPr>
                <w:rFonts w:ascii="Arial Narrow" w:hAnsi="Arial Narrow" w:cs="Times New Roman"/>
                <w:sz w:val="20"/>
                <w:szCs w:val="20"/>
              </w:rPr>
            </w:pPr>
            <w:r w:rsidRPr="002C3702">
              <w:rPr>
                <w:rFonts w:ascii="Arial Narrow" w:hAnsi="Arial Narrow" w:cs="Times New Roman"/>
                <w:sz w:val="20"/>
                <w:szCs w:val="20"/>
              </w:rPr>
              <w:t>monarchE</w:t>
            </w:r>
          </w:p>
        </w:tc>
      </w:tr>
      <w:tr w:rsidR="00030CC5" w:rsidRPr="002C3702" w14:paraId="4FBC2487" w14:textId="77777777" w:rsidTr="00B67628">
        <w:trPr>
          <w:trHeight w:val="300"/>
        </w:trPr>
        <w:tc>
          <w:tcPr>
            <w:tcW w:w="2115" w:type="dxa"/>
            <w:shd w:val="clear" w:color="auto" w:fill="95B3D7" w:themeFill="accent1" w:themeFillTint="99"/>
            <w:hideMark/>
          </w:tcPr>
          <w:p w14:paraId="7571107E"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Patients with ≥ 1 TEAE </w:t>
            </w:r>
          </w:p>
        </w:tc>
        <w:tc>
          <w:tcPr>
            <w:tcW w:w="1694" w:type="dxa"/>
            <w:shd w:val="clear" w:color="auto" w:fill="95B3D7" w:themeFill="accent1" w:themeFillTint="99"/>
            <w:vAlign w:val="center"/>
            <w:hideMark/>
          </w:tcPr>
          <w:p w14:paraId="0D92B1AE"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2746/2791 (98.4) </w:t>
            </w:r>
          </w:p>
        </w:tc>
        <w:tc>
          <w:tcPr>
            <w:tcW w:w="1814" w:type="dxa"/>
            <w:shd w:val="clear" w:color="auto" w:fill="95B3D7" w:themeFill="accent1" w:themeFillTint="99"/>
            <w:vAlign w:val="center"/>
            <w:hideMark/>
          </w:tcPr>
          <w:p w14:paraId="4FB71615"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2488/2800 (88.9) </w:t>
            </w:r>
          </w:p>
        </w:tc>
        <w:tc>
          <w:tcPr>
            <w:tcW w:w="1694" w:type="dxa"/>
            <w:shd w:val="clear" w:color="auto" w:fill="95B3D7" w:themeFill="accent1" w:themeFillTint="99"/>
            <w:hideMark/>
          </w:tcPr>
          <w:p w14:paraId="3DD71479"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9.5 (8.28, 10.79)</w:t>
            </w:r>
            <w:r w:rsidRPr="002C3702">
              <w:rPr>
                <w:rFonts w:ascii="Arial Narrow" w:hAnsi="Arial Narrow" w:cs="Times New Roman"/>
                <w:sz w:val="20"/>
                <w:szCs w:val="20"/>
              </w:rPr>
              <w:t> </w:t>
            </w:r>
          </w:p>
        </w:tc>
        <w:tc>
          <w:tcPr>
            <w:tcW w:w="1694" w:type="dxa"/>
            <w:shd w:val="clear" w:color="auto" w:fill="95B3D7" w:themeFill="accent1" w:themeFillTint="99"/>
            <w:vAlign w:val="center"/>
            <w:hideMark/>
          </w:tcPr>
          <w:p w14:paraId="7F392E8F"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1.11 (1.09, 1.12)</w:t>
            </w:r>
            <w:r w:rsidRPr="002C3702">
              <w:rPr>
                <w:rFonts w:ascii="Arial Narrow" w:hAnsi="Arial Narrow" w:cs="Times New Roman"/>
                <w:sz w:val="20"/>
                <w:szCs w:val="20"/>
              </w:rPr>
              <w:t> </w:t>
            </w:r>
          </w:p>
        </w:tc>
      </w:tr>
      <w:tr w:rsidR="00030CC5" w:rsidRPr="002C3702" w14:paraId="4A973CF5" w14:textId="77777777" w:rsidTr="00B67628">
        <w:trPr>
          <w:trHeight w:val="190"/>
        </w:trPr>
        <w:tc>
          <w:tcPr>
            <w:tcW w:w="2115" w:type="dxa"/>
            <w:shd w:val="clear" w:color="auto" w:fill="95B3D7" w:themeFill="accent1" w:themeFillTint="99"/>
            <w:hideMark/>
          </w:tcPr>
          <w:p w14:paraId="7FD21D31"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Patients with ≥ 1 CTCAE Grade ≥ 3 TEAE </w:t>
            </w:r>
          </w:p>
        </w:tc>
        <w:tc>
          <w:tcPr>
            <w:tcW w:w="1694" w:type="dxa"/>
            <w:shd w:val="clear" w:color="auto" w:fill="95B3D7" w:themeFill="accent1" w:themeFillTint="99"/>
            <w:vAlign w:val="center"/>
            <w:hideMark/>
          </w:tcPr>
          <w:p w14:paraId="3AB6CBF3"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1393/2791 (49.9) </w:t>
            </w:r>
          </w:p>
        </w:tc>
        <w:tc>
          <w:tcPr>
            <w:tcW w:w="1814" w:type="dxa"/>
            <w:shd w:val="clear" w:color="auto" w:fill="95B3D7" w:themeFill="accent1" w:themeFillTint="99"/>
            <w:vAlign w:val="center"/>
            <w:hideMark/>
          </w:tcPr>
          <w:p w14:paraId="11BAF98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472/2800 (16.9) </w:t>
            </w:r>
          </w:p>
        </w:tc>
        <w:tc>
          <w:tcPr>
            <w:tcW w:w="1694" w:type="dxa"/>
            <w:shd w:val="clear" w:color="auto" w:fill="95B3D7" w:themeFill="accent1" w:themeFillTint="99"/>
            <w:vAlign w:val="center"/>
            <w:hideMark/>
          </w:tcPr>
          <w:p w14:paraId="1924336D" w14:textId="65252843"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33.1 (30.74, 35.37)</w:t>
            </w:r>
          </w:p>
        </w:tc>
        <w:tc>
          <w:tcPr>
            <w:tcW w:w="1694" w:type="dxa"/>
            <w:shd w:val="clear" w:color="auto" w:fill="95B3D7" w:themeFill="accent1" w:themeFillTint="99"/>
            <w:vAlign w:val="center"/>
            <w:hideMark/>
          </w:tcPr>
          <w:p w14:paraId="1CD5A13C"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2.96 (2.71, 3.24)</w:t>
            </w:r>
            <w:r w:rsidRPr="002C3702">
              <w:rPr>
                <w:rFonts w:ascii="Arial Narrow" w:hAnsi="Arial Narrow" w:cs="Times New Roman"/>
                <w:sz w:val="20"/>
                <w:szCs w:val="20"/>
              </w:rPr>
              <w:t> </w:t>
            </w:r>
          </w:p>
        </w:tc>
      </w:tr>
      <w:tr w:rsidR="00030CC5" w:rsidRPr="002C3702" w14:paraId="58708B5B" w14:textId="77777777" w:rsidTr="00B67628">
        <w:trPr>
          <w:trHeight w:val="300"/>
        </w:trPr>
        <w:tc>
          <w:tcPr>
            <w:tcW w:w="2115" w:type="dxa"/>
            <w:shd w:val="clear" w:color="auto" w:fill="95B3D7" w:themeFill="accent1" w:themeFillTint="99"/>
            <w:hideMark/>
          </w:tcPr>
          <w:p w14:paraId="270A6BC1"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Patients with ≥ 1 TE-SAE </w:t>
            </w:r>
          </w:p>
        </w:tc>
        <w:tc>
          <w:tcPr>
            <w:tcW w:w="1694" w:type="dxa"/>
            <w:shd w:val="clear" w:color="auto" w:fill="95B3D7" w:themeFill="accent1" w:themeFillTint="99"/>
            <w:vAlign w:val="center"/>
            <w:hideMark/>
          </w:tcPr>
          <w:p w14:paraId="55D4A26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433/2791 (15.5) </w:t>
            </w:r>
          </w:p>
        </w:tc>
        <w:tc>
          <w:tcPr>
            <w:tcW w:w="1814" w:type="dxa"/>
            <w:shd w:val="clear" w:color="auto" w:fill="95B3D7" w:themeFill="accent1" w:themeFillTint="99"/>
            <w:vAlign w:val="center"/>
            <w:hideMark/>
          </w:tcPr>
          <w:p w14:paraId="59673AB5"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256/2800 (9.1) </w:t>
            </w:r>
          </w:p>
        </w:tc>
        <w:tc>
          <w:tcPr>
            <w:tcW w:w="1694" w:type="dxa"/>
            <w:shd w:val="clear" w:color="auto" w:fill="95B3D7" w:themeFill="accent1" w:themeFillTint="99"/>
            <w:hideMark/>
          </w:tcPr>
          <w:p w14:paraId="6844242B"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6.4 (4.66, 8.09)</w:t>
            </w:r>
            <w:r w:rsidRPr="002C3702">
              <w:rPr>
                <w:rFonts w:ascii="Arial Narrow" w:hAnsi="Arial Narrow" w:cs="Times New Roman"/>
                <w:sz w:val="20"/>
                <w:szCs w:val="20"/>
              </w:rPr>
              <w:t> </w:t>
            </w:r>
          </w:p>
        </w:tc>
        <w:tc>
          <w:tcPr>
            <w:tcW w:w="1694" w:type="dxa"/>
            <w:shd w:val="clear" w:color="auto" w:fill="95B3D7" w:themeFill="accent1" w:themeFillTint="99"/>
            <w:vAlign w:val="center"/>
            <w:hideMark/>
          </w:tcPr>
          <w:p w14:paraId="192C6D79"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1.70 (1.47, 1.96)</w:t>
            </w:r>
            <w:r w:rsidRPr="002C3702">
              <w:rPr>
                <w:rFonts w:ascii="Arial Narrow" w:hAnsi="Arial Narrow" w:cs="Times New Roman"/>
                <w:sz w:val="20"/>
                <w:szCs w:val="20"/>
              </w:rPr>
              <w:t> </w:t>
            </w:r>
          </w:p>
        </w:tc>
      </w:tr>
      <w:tr w:rsidR="00030CC5" w:rsidRPr="002C3702" w14:paraId="0003F113" w14:textId="77777777" w:rsidTr="00B67628">
        <w:trPr>
          <w:trHeight w:val="300"/>
        </w:trPr>
        <w:tc>
          <w:tcPr>
            <w:tcW w:w="2115" w:type="dxa"/>
            <w:shd w:val="clear" w:color="auto" w:fill="95B3D7" w:themeFill="accent1" w:themeFillTint="99"/>
            <w:hideMark/>
          </w:tcPr>
          <w:p w14:paraId="709EF813"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Patients who discontinued all study treatment due to AE </w:t>
            </w:r>
          </w:p>
        </w:tc>
        <w:tc>
          <w:tcPr>
            <w:tcW w:w="1694" w:type="dxa"/>
            <w:shd w:val="clear" w:color="auto" w:fill="95B3D7" w:themeFill="accent1" w:themeFillTint="99"/>
            <w:vAlign w:val="center"/>
            <w:hideMark/>
          </w:tcPr>
          <w:p w14:paraId="1D9FDED3"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180/2791 (6.4) </w:t>
            </w:r>
          </w:p>
        </w:tc>
        <w:tc>
          <w:tcPr>
            <w:tcW w:w="1814" w:type="dxa"/>
            <w:shd w:val="clear" w:color="auto" w:fill="95B3D7" w:themeFill="accent1" w:themeFillTint="99"/>
            <w:vAlign w:val="center"/>
            <w:hideMark/>
          </w:tcPr>
          <w:p w14:paraId="19340A1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30/2800 (1.1) </w:t>
            </w:r>
          </w:p>
        </w:tc>
        <w:tc>
          <w:tcPr>
            <w:tcW w:w="1694" w:type="dxa"/>
            <w:shd w:val="clear" w:color="auto" w:fill="95B3D7" w:themeFill="accent1" w:themeFillTint="99"/>
            <w:hideMark/>
          </w:tcPr>
          <w:p w14:paraId="7C74BC9E"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 </w:t>
            </w:r>
          </w:p>
          <w:p w14:paraId="2575018C"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5.4 (4.39, 6.37)</w:t>
            </w:r>
            <w:r w:rsidRPr="002C3702">
              <w:rPr>
                <w:rFonts w:ascii="Arial Narrow" w:hAnsi="Arial Narrow" w:cs="Times New Roman"/>
                <w:sz w:val="20"/>
                <w:szCs w:val="20"/>
              </w:rPr>
              <w:t> </w:t>
            </w:r>
          </w:p>
        </w:tc>
        <w:tc>
          <w:tcPr>
            <w:tcW w:w="1694" w:type="dxa"/>
            <w:shd w:val="clear" w:color="auto" w:fill="95B3D7" w:themeFill="accent1" w:themeFillTint="99"/>
            <w:vAlign w:val="center"/>
            <w:hideMark/>
          </w:tcPr>
          <w:p w14:paraId="14C90CF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6.02 (4.10, 8.82)</w:t>
            </w:r>
            <w:r w:rsidRPr="002C3702">
              <w:rPr>
                <w:rFonts w:ascii="Arial Narrow" w:hAnsi="Arial Narrow" w:cs="Times New Roman"/>
                <w:sz w:val="20"/>
                <w:szCs w:val="20"/>
              </w:rPr>
              <w:t> </w:t>
            </w:r>
          </w:p>
        </w:tc>
      </w:tr>
      <w:tr w:rsidR="00030CC5" w:rsidRPr="002C3702" w14:paraId="1C1D240D" w14:textId="77777777" w:rsidTr="00B67628">
        <w:trPr>
          <w:trHeight w:val="300"/>
        </w:trPr>
        <w:tc>
          <w:tcPr>
            <w:tcW w:w="2115" w:type="dxa"/>
            <w:shd w:val="clear" w:color="auto" w:fill="95B3D7" w:themeFill="accent1" w:themeFillTint="99"/>
            <w:hideMark/>
          </w:tcPr>
          <w:p w14:paraId="32440AFE"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Patients who died due to AE on study therapy or ≤ 30 days of discontinuation from study treatment </w:t>
            </w:r>
          </w:p>
        </w:tc>
        <w:tc>
          <w:tcPr>
            <w:tcW w:w="1694" w:type="dxa"/>
            <w:shd w:val="clear" w:color="auto" w:fill="95B3D7" w:themeFill="accent1" w:themeFillTint="99"/>
            <w:vAlign w:val="center"/>
            <w:hideMark/>
          </w:tcPr>
          <w:p w14:paraId="776688B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15/2791 (0.5) </w:t>
            </w:r>
          </w:p>
        </w:tc>
        <w:tc>
          <w:tcPr>
            <w:tcW w:w="1814" w:type="dxa"/>
            <w:shd w:val="clear" w:color="auto" w:fill="95B3D7" w:themeFill="accent1" w:themeFillTint="99"/>
            <w:vAlign w:val="center"/>
            <w:hideMark/>
          </w:tcPr>
          <w:p w14:paraId="3398B9DA"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11/2800 (0.4) </w:t>
            </w:r>
          </w:p>
        </w:tc>
        <w:tc>
          <w:tcPr>
            <w:tcW w:w="1694" w:type="dxa"/>
            <w:shd w:val="clear" w:color="auto" w:fill="95B3D7" w:themeFill="accent1" w:themeFillTint="99"/>
            <w:hideMark/>
          </w:tcPr>
          <w:p w14:paraId="051EB3BF" w14:textId="6A30C1D4"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 </w:t>
            </w:r>
          </w:p>
          <w:p w14:paraId="05E247CF" w14:textId="6B88D660"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 </w:t>
            </w:r>
          </w:p>
          <w:p w14:paraId="54E98420"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0.1 (-0.21, 0.50) </w:t>
            </w:r>
          </w:p>
        </w:tc>
        <w:tc>
          <w:tcPr>
            <w:tcW w:w="1694" w:type="dxa"/>
            <w:shd w:val="clear" w:color="auto" w:fill="95B3D7" w:themeFill="accent1" w:themeFillTint="99"/>
            <w:vAlign w:val="center"/>
            <w:hideMark/>
          </w:tcPr>
          <w:p w14:paraId="1D7E94BF"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1.37 (0.63, 2.97) </w:t>
            </w:r>
          </w:p>
        </w:tc>
      </w:tr>
      <w:tr w:rsidR="00030CC5" w:rsidRPr="002C3702" w14:paraId="2852EF04" w14:textId="77777777" w:rsidTr="00B67628">
        <w:trPr>
          <w:trHeight w:val="300"/>
        </w:trPr>
        <w:tc>
          <w:tcPr>
            <w:tcW w:w="2115" w:type="dxa"/>
            <w:shd w:val="clear" w:color="auto" w:fill="95B3D7"/>
            <w:hideMark/>
          </w:tcPr>
          <w:p w14:paraId="24FCD733"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Patients who discontinued ABE due to </w:t>
            </w:r>
            <w:proofErr w:type="spellStart"/>
            <w:r w:rsidRPr="002C3702">
              <w:rPr>
                <w:rFonts w:ascii="Arial Narrow" w:hAnsi="Arial Narrow" w:cs="Times New Roman"/>
                <w:sz w:val="20"/>
                <w:szCs w:val="20"/>
              </w:rPr>
              <w:t>AE</w:t>
            </w:r>
            <w:r w:rsidRPr="002C3702">
              <w:rPr>
                <w:rFonts w:ascii="Arial Narrow" w:hAnsi="Arial Narrow" w:cs="Times New Roman"/>
                <w:sz w:val="16"/>
                <w:szCs w:val="16"/>
                <w:vertAlign w:val="superscript"/>
              </w:rPr>
              <w:t>a</w:t>
            </w:r>
            <w:proofErr w:type="spellEnd"/>
            <w:r w:rsidRPr="002C3702">
              <w:rPr>
                <w:rFonts w:ascii="Arial Narrow" w:hAnsi="Arial Narrow" w:cs="Times New Roman"/>
                <w:sz w:val="16"/>
                <w:szCs w:val="16"/>
              </w:rPr>
              <w:t> </w:t>
            </w:r>
          </w:p>
        </w:tc>
        <w:tc>
          <w:tcPr>
            <w:tcW w:w="1694" w:type="dxa"/>
            <w:shd w:val="clear" w:color="auto" w:fill="95B3D7"/>
            <w:vAlign w:val="center"/>
            <w:hideMark/>
          </w:tcPr>
          <w:p w14:paraId="12D8762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515 (18.5) </w:t>
            </w:r>
          </w:p>
        </w:tc>
        <w:tc>
          <w:tcPr>
            <w:tcW w:w="1814" w:type="dxa"/>
            <w:shd w:val="clear" w:color="auto" w:fill="95B3D7"/>
            <w:vAlign w:val="center"/>
            <w:hideMark/>
          </w:tcPr>
          <w:p w14:paraId="1539799B"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NA </w:t>
            </w:r>
          </w:p>
        </w:tc>
        <w:tc>
          <w:tcPr>
            <w:tcW w:w="1694" w:type="dxa"/>
            <w:shd w:val="clear" w:color="auto" w:fill="95B3D7"/>
            <w:vAlign w:val="center"/>
            <w:hideMark/>
          </w:tcPr>
          <w:p w14:paraId="58FAF511"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NA </w:t>
            </w:r>
          </w:p>
        </w:tc>
        <w:tc>
          <w:tcPr>
            <w:tcW w:w="1694" w:type="dxa"/>
            <w:shd w:val="clear" w:color="auto" w:fill="95B3D7"/>
            <w:vAlign w:val="center"/>
            <w:hideMark/>
          </w:tcPr>
          <w:p w14:paraId="2E986B23"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NA </w:t>
            </w:r>
          </w:p>
        </w:tc>
      </w:tr>
      <w:tr w:rsidR="00030CC5" w:rsidRPr="002C3702" w14:paraId="7A990381" w14:textId="77777777" w:rsidTr="00B67628">
        <w:trPr>
          <w:trHeight w:val="300"/>
        </w:trPr>
        <w:tc>
          <w:tcPr>
            <w:tcW w:w="2115" w:type="dxa"/>
            <w:shd w:val="clear" w:color="auto" w:fill="95B3D7"/>
            <w:hideMark/>
          </w:tcPr>
          <w:p w14:paraId="10A82301"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diarrhoea</w:t>
            </w:r>
            <w:r w:rsidRPr="002C3702">
              <w:rPr>
                <w:rFonts w:ascii="Arial Narrow" w:hAnsi="Arial Narrow" w:cs="Times New Roman"/>
                <w:sz w:val="16"/>
                <w:szCs w:val="16"/>
                <w:vertAlign w:val="superscript"/>
              </w:rPr>
              <w:t>a</w:t>
            </w:r>
            <w:proofErr w:type="spellEnd"/>
            <w:r w:rsidRPr="002C3702">
              <w:rPr>
                <w:rFonts w:ascii="Arial Narrow" w:hAnsi="Arial Narrow" w:cs="Times New Roman"/>
                <w:sz w:val="16"/>
                <w:szCs w:val="16"/>
              </w:rPr>
              <w:t> </w:t>
            </w:r>
          </w:p>
        </w:tc>
        <w:tc>
          <w:tcPr>
            <w:tcW w:w="1694" w:type="dxa"/>
            <w:shd w:val="clear" w:color="auto" w:fill="95B3D7"/>
            <w:vAlign w:val="center"/>
            <w:hideMark/>
          </w:tcPr>
          <w:p w14:paraId="1D5399D5"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219/2791 (7.8) </w:t>
            </w:r>
          </w:p>
        </w:tc>
        <w:tc>
          <w:tcPr>
            <w:tcW w:w="1814" w:type="dxa"/>
            <w:shd w:val="clear" w:color="auto" w:fill="95B3D7"/>
            <w:vAlign w:val="center"/>
            <w:hideMark/>
          </w:tcPr>
          <w:p w14:paraId="2B414A43"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6/2800 (0.2) </w:t>
            </w:r>
          </w:p>
        </w:tc>
        <w:tc>
          <w:tcPr>
            <w:tcW w:w="1694" w:type="dxa"/>
            <w:shd w:val="clear" w:color="auto" w:fill="95B3D7"/>
            <w:hideMark/>
          </w:tcPr>
          <w:p w14:paraId="02CAA391"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7.63 (6.62, 8.64)</w:t>
            </w:r>
            <w:r w:rsidRPr="002C3702">
              <w:rPr>
                <w:rFonts w:ascii="Arial Narrow" w:hAnsi="Arial Narrow" w:cs="Times New Roman"/>
                <w:sz w:val="20"/>
                <w:szCs w:val="20"/>
              </w:rPr>
              <w:t> </w:t>
            </w:r>
          </w:p>
        </w:tc>
        <w:tc>
          <w:tcPr>
            <w:tcW w:w="1694" w:type="dxa"/>
            <w:shd w:val="clear" w:color="auto" w:fill="95B3D7"/>
            <w:vAlign w:val="center"/>
            <w:hideMark/>
          </w:tcPr>
          <w:p w14:paraId="32F1A022"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36.62 (16.30, 82.26)</w:t>
            </w:r>
            <w:r w:rsidRPr="002C3702">
              <w:rPr>
                <w:rFonts w:ascii="Arial Narrow" w:hAnsi="Arial Narrow" w:cs="Times New Roman"/>
                <w:sz w:val="20"/>
                <w:szCs w:val="20"/>
              </w:rPr>
              <w:t> </w:t>
            </w:r>
          </w:p>
        </w:tc>
      </w:tr>
      <w:tr w:rsidR="00030CC5" w:rsidRPr="002C3702" w14:paraId="20629468" w14:textId="77777777" w:rsidTr="00B67628">
        <w:trPr>
          <w:trHeight w:val="300"/>
        </w:trPr>
        <w:tc>
          <w:tcPr>
            <w:tcW w:w="2115" w:type="dxa"/>
            <w:shd w:val="clear" w:color="auto" w:fill="95B3D7"/>
            <w:hideMark/>
          </w:tcPr>
          <w:p w14:paraId="5B2863D2"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neutropenia</w:t>
            </w:r>
            <w:r w:rsidRPr="002C3702">
              <w:rPr>
                <w:rFonts w:ascii="Arial Narrow" w:hAnsi="Arial Narrow" w:cs="Times New Roman"/>
                <w:sz w:val="16"/>
                <w:szCs w:val="16"/>
                <w:vertAlign w:val="superscript"/>
              </w:rPr>
              <w:t>a</w:t>
            </w:r>
            <w:proofErr w:type="spellEnd"/>
            <w:r w:rsidRPr="002C3702">
              <w:rPr>
                <w:rFonts w:ascii="Arial Narrow" w:hAnsi="Arial Narrow" w:cs="Times New Roman"/>
                <w:sz w:val="16"/>
                <w:szCs w:val="16"/>
              </w:rPr>
              <w:t> </w:t>
            </w:r>
          </w:p>
        </w:tc>
        <w:tc>
          <w:tcPr>
            <w:tcW w:w="1694" w:type="dxa"/>
            <w:shd w:val="clear" w:color="auto" w:fill="95B3D7"/>
            <w:vAlign w:val="center"/>
            <w:hideMark/>
          </w:tcPr>
          <w:p w14:paraId="378A6826"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546/2791 (19.6) </w:t>
            </w:r>
          </w:p>
        </w:tc>
        <w:tc>
          <w:tcPr>
            <w:tcW w:w="1814" w:type="dxa"/>
            <w:shd w:val="clear" w:color="auto" w:fill="95B3D7"/>
            <w:vAlign w:val="center"/>
            <w:hideMark/>
          </w:tcPr>
          <w:p w14:paraId="53CA531E"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23/2800 (0.8) </w:t>
            </w:r>
          </w:p>
        </w:tc>
        <w:tc>
          <w:tcPr>
            <w:tcW w:w="1694" w:type="dxa"/>
            <w:shd w:val="clear" w:color="auto" w:fill="95B3D7"/>
            <w:hideMark/>
          </w:tcPr>
          <w:p w14:paraId="13E39386"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18.74 (17.23, 20.24)</w:t>
            </w:r>
            <w:r w:rsidRPr="002C3702">
              <w:rPr>
                <w:rFonts w:ascii="Arial Narrow" w:hAnsi="Arial Narrow" w:cs="Times New Roman"/>
                <w:sz w:val="20"/>
                <w:szCs w:val="20"/>
              </w:rPr>
              <w:t> </w:t>
            </w:r>
          </w:p>
        </w:tc>
        <w:tc>
          <w:tcPr>
            <w:tcW w:w="1694" w:type="dxa"/>
            <w:shd w:val="clear" w:color="auto" w:fill="95B3D7"/>
            <w:vAlign w:val="center"/>
            <w:hideMark/>
          </w:tcPr>
          <w:p w14:paraId="1C9F2531"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23.82 (15.74, 36.03)</w:t>
            </w:r>
            <w:r w:rsidRPr="002C3702">
              <w:rPr>
                <w:rFonts w:ascii="Arial Narrow" w:hAnsi="Arial Narrow" w:cs="Times New Roman"/>
                <w:sz w:val="20"/>
                <w:szCs w:val="20"/>
              </w:rPr>
              <w:t> </w:t>
            </w:r>
          </w:p>
        </w:tc>
      </w:tr>
      <w:tr w:rsidR="00030CC5" w:rsidRPr="002C3702" w14:paraId="377CD630" w14:textId="77777777" w:rsidTr="00B67628">
        <w:trPr>
          <w:trHeight w:val="135"/>
        </w:trPr>
        <w:tc>
          <w:tcPr>
            <w:tcW w:w="2115" w:type="dxa"/>
            <w:shd w:val="clear" w:color="auto" w:fill="95B3D7"/>
            <w:hideMark/>
          </w:tcPr>
          <w:p w14:paraId="00E417D3"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leukopenia</w:t>
            </w:r>
            <w:r w:rsidRPr="002C3702">
              <w:rPr>
                <w:rFonts w:ascii="Arial Narrow" w:hAnsi="Arial Narrow" w:cs="Times New Roman"/>
                <w:sz w:val="16"/>
                <w:szCs w:val="16"/>
                <w:vertAlign w:val="superscript"/>
              </w:rPr>
              <w:t>a</w:t>
            </w:r>
            <w:proofErr w:type="spellEnd"/>
            <w:r w:rsidRPr="002C3702">
              <w:rPr>
                <w:rFonts w:ascii="Arial Narrow" w:hAnsi="Arial Narrow" w:cs="Times New Roman"/>
                <w:sz w:val="16"/>
                <w:szCs w:val="16"/>
              </w:rPr>
              <w:t> </w:t>
            </w:r>
          </w:p>
        </w:tc>
        <w:tc>
          <w:tcPr>
            <w:tcW w:w="1694" w:type="dxa"/>
            <w:shd w:val="clear" w:color="auto" w:fill="95B3D7"/>
            <w:vAlign w:val="center"/>
            <w:hideMark/>
          </w:tcPr>
          <w:p w14:paraId="4972BC6A"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317/2791 (11.4) </w:t>
            </w:r>
          </w:p>
        </w:tc>
        <w:tc>
          <w:tcPr>
            <w:tcW w:w="1814" w:type="dxa"/>
            <w:shd w:val="clear" w:color="auto" w:fill="95B3D7"/>
            <w:vAlign w:val="center"/>
            <w:hideMark/>
          </w:tcPr>
          <w:p w14:paraId="51B30247"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11/2800 (0.4) </w:t>
            </w:r>
          </w:p>
        </w:tc>
        <w:tc>
          <w:tcPr>
            <w:tcW w:w="1694" w:type="dxa"/>
            <w:shd w:val="clear" w:color="auto" w:fill="95B3D7"/>
            <w:hideMark/>
          </w:tcPr>
          <w:p w14:paraId="5B6B45F1"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10.96 (9.77, 12.16)</w:t>
            </w:r>
            <w:r w:rsidRPr="002C3702">
              <w:rPr>
                <w:rFonts w:ascii="Arial Narrow" w:hAnsi="Arial Narrow" w:cs="Times New Roman"/>
                <w:sz w:val="20"/>
                <w:szCs w:val="20"/>
              </w:rPr>
              <w:t> </w:t>
            </w:r>
          </w:p>
        </w:tc>
        <w:tc>
          <w:tcPr>
            <w:tcW w:w="1694" w:type="dxa"/>
            <w:shd w:val="clear" w:color="auto" w:fill="95B3D7"/>
            <w:vAlign w:val="center"/>
            <w:hideMark/>
          </w:tcPr>
          <w:p w14:paraId="3D671AD3"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28.91 (15.89, 52.62)</w:t>
            </w:r>
            <w:r w:rsidRPr="002C3702">
              <w:rPr>
                <w:rFonts w:ascii="Arial Narrow" w:hAnsi="Arial Narrow" w:cs="Times New Roman"/>
                <w:sz w:val="20"/>
                <w:szCs w:val="20"/>
              </w:rPr>
              <w:t> </w:t>
            </w:r>
          </w:p>
        </w:tc>
      </w:tr>
      <w:tr w:rsidR="00030CC5" w:rsidRPr="002C3702" w14:paraId="060AE4B2" w14:textId="77777777" w:rsidTr="00B67628">
        <w:trPr>
          <w:trHeight w:val="300"/>
        </w:trPr>
        <w:tc>
          <w:tcPr>
            <w:tcW w:w="2115" w:type="dxa"/>
            <w:shd w:val="clear" w:color="auto" w:fill="95B3D7"/>
            <w:hideMark/>
          </w:tcPr>
          <w:p w14:paraId="4B31B87E" w14:textId="77777777" w:rsidR="00030CC5" w:rsidRPr="002C3702" w:rsidRDefault="00030CC5" w:rsidP="00AF3AD8">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lymphopenia</w:t>
            </w:r>
            <w:r w:rsidRPr="002C3702">
              <w:rPr>
                <w:rFonts w:ascii="Arial Narrow" w:hAnsi="Arial Narrow" w:cs="Times New Roman"/>
                <w:sz w:val="16"/>
                <w:szCs w:val="16"/>
                <w:vertAlign w:val="superscript"/>
              </w:rPr>
              <w:t>a</w:t>
            </w:r>
            <w:proofErr w:type="spellEnd"/>
            <w:r w:rsidRPr="002C3702">
              <w:rPr>
                <w:rFonts w:ascii="Arial Narrow" w:hAnsi="Arial Narrow" w:cs="Times New Roman"/>
                <w:sz w:val="16"/>
                <w:szCs w:val="16"/>
              </w:rPr>
              <w:t> </w:t>
            </w:r>
          </w:p>
        </w:tc>
        <w:tc>
          <w:tcPr>
            <w:tcW w:w="1694" w:type="dxa"/>
            <w:shd w:val="clear" w:color="auto" w:fill="95B3D7"/>
            <w:vAlign w:val="center"/>
            <w:hideMark/>
          </w:tcPr>
          <w:p w14:paraId="4D7F976F"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151/2791 (5.4) </w:t>
            </w:r>
          </w:p>
        </w:tc>
        <w:tc>
          <w:tcPr>
            <w:tcW w:w="1814" w:type="dxa"/>
            <w:shd w:val="clear" w:color="auto" w:fill="95B3D7"/>
            <w:vAlign w:val="center"/>
            <w:hideMark/>
          </w:tcPr>
          <w:p w14:paraId="32E1591D"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sz w:val="20"/>
                <w:szCs w:val="20"/>
              </w:rPr>
              <w:t>13/2800 (0.5) </w:t>
            </w:r>
          </w:p>
        </w:tc>
        <w:tc>
          <w:tcPr>
            <w:tcW w:w="1694" w:type="dxa"/>
            <w:shd w:val="clear" w:color="auto" w:fill="95B3D7"/>
            <w:vAlign w:val="center"/>
            <w:hideMark/>
          </w:tcPr>
          <w:p w14:paraId="0A247492"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4.95 (4.07, 5.82)</w:t>
            </w:r>
          </w:p>
        </w:tc>
        <w:tc>
          <w:tcPr>
            <w:tcW w:w="1694" w:type="dxa"/>
            <w:shd w:val="clear" w:color="auto" w:fill="95B3D7"/>
            <w:vAlign w:val="center"/>
            <w:hideMark/>
          </w:tcPr>
          <w:p w14:paraId="3398C002" w14:textId="77777777" w:rsidR="00030CC5" w:rsidRPr="002C3702" w:rsidRDefault="00030CC5" w:rsidP="00AF3AD8">
            <w:pPr>
              <w:keepNext/>
              <w:jc w:val="center"/>
              <w:textAlignment w:val="baseline"/>
              <w:rPr>
                <w:rFonts w:ascii="Times New Roman" w:hAnsi="Times New Roman" w:cs="Times New Roman"/>
              </w:rPr>
            </w:pPr>
            <w:r w:rsidRPr="002C3702">
              <w:rPr>
                <w:rFonts w:ascii="Arial Narrow" w:hAnsi="Arial Narrow" w:cs="Times New Roman"/>
                <w:b/>
                <w:bCs/>
                <w:sz w:val="20"/>
                <w:szCs w:val="20"/>
              </w:rPr>
              <w:t>11.65 (6.63, 20.48)</w:t>
            </w:r>
          </w:p>
        </w:tc>
      </w:tr>
    </w:tbl>
    <w:p w14:paraId="6AF43D94" w14:textId="09C68A99" w:rsidR="00030CC5" w:rsidRPr="002C3702" w:rsidRDefault="00030CC5" w:rsidP="00AF3AD8">
      <w:pPr>
        <w:keepNext/>
        <w:textAlignment w:val="baseline"/>
        <w:rPr>
          <w:rFonts w:ascii="Segoe UI" w:hAnsi="Segoe UI" w:cs="Segoe UI"/>
          <w:sz w:val="18"/>
          <w:szCs w:val="18"/>
        </w:rPr>
      </w:pPr>
      <w:r w:rsidRPr="002C3702">
        <w:rPr>
          <w:rFonts w:ascii="Arial Narrow" w:hAnsi="Arial Narrow" w:cs="Segoe UI"/>
          <w:sz w:val="18"/>
          <w:szCs w:val="18"/>
        </w:rPr>
        <w:t xml:space="preserve">Source: Table 2-51, p133 of </w:t>
      </w:r>
      <w:r w:rsidR="004E6E39" w:rsidRPr="002C3702">
        <w:rPr>
          <w:rFonts w:ascii="Arial Narrow" w:hAnsi="Arial Narrow" w:cs="Segoe UI"/>
          <w:sz w:val="18"/>
          <w:szCs w:val="18"/>
        </w:rPr>
        <w:t>t</w:t>
      </w:r>
      <w:r w:rsidR="0036592B" w:rsidRPr="002C3702">
        <w:rPr>
          <w:rFonts w:ascii="Arial Narrow" w:hAnsi="Arial Narrow" w:cs="Segoe UI"/>
          <w:sz w:val="18"/>
          <w:szCs w:val="18"/>
        </w:rPr>
        <w:t>he March 2023 resubmission</w:t>
      </w:r>
      <w:r w:rsidRPr="002C3702">
        <w:rPr>
          <w:rFonts w:ascii="Arial Narrow" w:hAnsi="Arial Narrow" w:cs="Segoe UI"/>
          <w:sz w:val="18"/>
          <w:szCs w:val="18"/>
        </w:rPr>
        <w:t xml:space="preserve">, and Table 2-53, p135 of </w:t>
      </w:r>
      <w:r w:rsidR="004E6E39" w:rsidRPr="002C3702">
        <w:rPr>
          <w:rFonts w:ascii="Arial Narrow" w:hAnsi="Arial Narrow" w:cs="Segoe UI"/>
          <w:sz w:val="18"/>
          <w:szCs w:val="18"/>
        </w:rPr>
        <w:t>t</w:t>
      </w:r>
      <w:r w:rsidR="00F3345B" w:rsidRPr="002C3702">
        <w:rPr>
          <w:rFonts w:ascii="Arial Narrow" w:hAnsi="Arial Narrow" w:cs="Segoe UI"/>
          <w:sz w:val="18"/>
          <w:szCs w:val="18"/>
        </w:rPr>
        <w:t>he March 2023 resubmission</w:t>
      </w:r>
      <w:r w:rsidRPr="002C3702">
        <w:rPr>
          <w:rFonts w:ascii="Arial Narrow" w:hAnsi="Arial Narrow" w:cs="Segoe UI"/>
          <w:sz w:val="18"/>
          <w:szCs w:val="18"/>
        </w:rPr>
        <w:t>.. </w:t>
      </w:r>
    </w:p>
    <w:p w14:paraId="36EB4A75" w14:textId="4A51563A" w:rsidR="00030CC5" w:rsidRPr="002C3702" w:rsidRDefault="00030CC5" w:rsidP="00AF3AD8">
      <w:pPr>
        <w:keepNext/>
        <w:textAlignment w:val="baseline"/>
        <w:rPr>
          <w:rFonts w:ascii="Segoe UI" w:hAnsi="Segoe UI" w:cs="Segoe UI"/>
          <w:sz w:val="18"/>
          <w:szCs w:val="18"/>
        </w:rPr>
      </w:pPr>
      <w:r w:rsidRPr="002C3702">
        <w:rPr>
          <w:rStyle w:val="normaltextrun"/>
          <w:rFonts w:ascii="Arial Narrow" w:hAnsi="Arial Narrow"/>
          <w:color w:val="000000"/>
          <w:sz w:val="18"/>
          <w:szCs w:val="18"/>
          <w:shd w:val="clear" w:color="auto" w:fill="FFFFFF"/>
        </w:rPr>
        <w:t xml:space="preserve">ABE = abemaciclib, AE = </w:t>
      </w:r>
      <w:r w:rsidRPr="002C3702">
        <w:rPr>
          <w:rStyle w:val="findhit"/>
          <w:rFonts w:ascii="Arial Narrow" w:hAnsi="Arial Narrow"/>
          <w:color w:val="000000"/>
          <w:sz w:val="18"/>
          <w:szCs w:val="18"/>
          <w:shd w:val="clear" w:color="auto" w:fill="FFFFFF"/>
        </w:rPr>
        <w:t>adverse</w:t>
      </w:r>
      <w:r w:rsidRPr="002C3702">
        <w:rPr>
          <w:rStyle w:val="normaltextrun"/>
          <w:rFonts w:ascii="Arial Narrow" w:hAnsi="Arial Narrow"/>
          <w:color w:val="000000"/>
          <w:sz w:val="18"/>
          <w:szCs w:val="18"/>
          <w:shd w:val="clear" w:color="auto" w:fill="FFFFFF"/>
        </w:rPr>
        <w:t xml:space="preserve"> event, AFU2= Additional follow up 2,CI = confidence interval, CTCAE = common terminology criteria for </w:t>
      </w:r>
      <w:r w:rsidRPr="002C3702">
        <w:rPr>
          <w:rStyle w:val="findhit"/>
          <w:rFonts w:ascii="Arial Narrow" w:hAnsi="Arial Narrow"/>
          <w:color w:val="000000"/>
          <w:sz w:val="18"/>
          <w:szCs w:val="18"/>
          <w:shd w:val="clear" w:color="auto" w:fill="FFFFFF"/>
        </w:rPr>
        <w:t>adverse</w:t>
      </w:r>
      <w:r w:rsidRPr="002C3702">
        <w:rPr>
          <w:rStyle w:val="normaltextrun"/>
          <w:rFonts w:ascii="Arial Narrow" w:hAnsi="Arial Narrow"/>
          <w:color w:val="000000"/>
          <w:sz w:val="18"/>
          <w:szCs w:val="18"/>
          <w:shd w:val="clear" w:color="auto" w:fill="FFFFFF"/>
        </w:rPr>
        <w:t xml:space="preserve"> events, ET= endocrine therapy, n = number of participants reporting data, N = total participants in group</w:t>
      </w:r>
      <w:r w:rsidRPr="002C3702">
        <w:rPr>
          <w:rStyle w:val="normaltextrun"/>
          <w:rFonts w:ascii="Arial Narrow" w:hAnsi="Arial Narrow" w:cs="Segoe UI"/>
          <w:color w:val="881798"/>
          <w:sz w:val="18"/>
          <w:szCs w:val="18"/>
          <w:shd w:val="clear" w:color="auto" w:fill="FFFFFF"/>
        </w:rPr>
        <w:t>,</w:t>
      </w:r>
      <w:r w:rsidRPr="002C3702">
        <w:rPr>
          <w:rStyle w:val="normaltextrun"/>
          <w:rFonts w:ascii="Arial Narrow" w:hAnsi="Arial Narrow"/>
          <w:color w:val="000000"/>
          <w:sz w:val="18"/>
          <w:szCs w:val="18"/>
          <w:shd w:val="clear" w:color="auto" w:fill="FFFFFF"/>
        </w:rPr>
        <w:t xml:space="preserve"> NA= not applicable, RD = risk difference</w:t>
      </w:r>
      <w:r w:rsidRPr="002C3702">
        <w:rPr>
          <w:rStyle w:val="normaltextrun"/>
          <w:rFonts w:ascii="Arial Narrow" w:hAnsi="Arial Narrow" w:cs="Segoe UI"/>
          <w:strike/>
          <w:color w:val="881798"/>
          <w:sz w:val="18"/>
          <w:szCs w:val="18"/>
          <w:shd w:val="clear" w:color="auto" w:fill="FFFFFF"/>
        </w:rPr>
        <w:t>;</w:t>
      </w:r>
      <w:r w:rsidRPr="002C3702">
        <w:rPr>
          <w:rStyle w:val="normaltextrun"/>
          <w:rFonts w:ascii="Arial Narrow" w:hAnsi="Arial Narrow" w:cs="Segoe UI"/>
          <w:color w:val="881798"/>
          <w:sz w:val="18"/>
          <w:szCs w:val="18"/>
          <w:shd w:val="clear" w:color="auto" w:fill="FFFFFF"/>
        </w:rPr>
        <w:t>,</w:t>
      </w:r>
      <w:r w:rsidRPr="002C3702">
        <w:rPr>
          <w:rStyle w:val="normaltextrun"/>
          <w:rFonts w:ascii="Arial Narrow" w:hAnsi="Arial Narrow"/>
          <w:color w:val="000000"/>
          <w:sz w:val="18"/>
          <w:szCs w:val="18"/>
          <w:shd w:val="clear" w:color="auto" w:fill="FFFFFF"/>
        </w:rPr>
        <w:t xml:space="preserve"> RR = relative risk, TEAE = treatment emergent </w:t>
      </w:r>
      <w:r w:rsidRPr="002C3702">
        <w:rPr>
          <w:rStyle w:val="findhit"/>
          <w:rFonts w:ascii="Arial Narrow" w:hAnsi="Arial Narrow"/>
          <w:color w:val="000000"/>
          <w:sz w:val="18"/>
          <w:szCs w:val="18"/>
          <w:shd w:val="clear" w:color="auto" w:fill="FFFFFF"/>
        </w:rPr>
        <w:t>adverse</w:t>
      </w:r>
      <w:r w:rsidRPr="002C3702">
        <w:rPr>
          <w:rStyle w:val="normaltextrun"/>
          <w:rFonts w:ascii="Arial Narrow" w:hAnsi="Arial Narrow"/>
          <w:color w:val="000000"/>
          <w:sz w:val="18"/>
          <w:szCs w:val="18"/>
          <w:shd w:val="clear" w:color="auto" w:fill="FFFFFF"/>
        </w:rPr>
        <w:t xml:space="preserve"> event, TE-SAE = treatment emergent serious </w:t>
      </w:r>
      <w:r w:rsidRPr="002C3702">
        <w:rPr>
          <w:rStyle w:val="findhit"/>
          <w:rFonts w:ascii="Arial Narrow" w:hAnsi="Arial Narrow"/>
          <w:color w:val="000000"/>
          <w:sz w:val="18"/>
          <w:szCs w:val="18"/>
          <w:shd w:val="clear" w:color="auto" w:fill="FFFFFF"/>
        </w:rPr>
        <w:t>adverse</w:t>
      </w:r>
      <w:r w:rsidRPr="002C3702">
        <w:rPr>
          <w:rStyle w:val="normaltextrun"/>
          <w:rFonts w:ascii="Arial Narrow" w:hAnsi="Arial Narrow"/>
          <w:color w:val="000000"/>
          <w:sz w:val="18"/>
          <w:szCs w:val="18"/>
          <w:shd w:val="clear" w:color="auto" w:fill="FFFFFF"/>
        </w:rPr>
        <w:t xml:space="preserve"> event.</w:t>
      </w:r>
      <w:r w:rsidRPr="002C3702">
        <w:rPr>
          <w:rStyle w:val="normaltextrun"/>
          <w:rFonts w:ascii="Arial" w:hAnsi="Arial"/>
          <w:color w:val="000000"/>
          <w:sz w:val="18"/>
          <w:szCs w:val="18"/>
          <w:shd w:val="clear" w:color="auto" w:fill="FFFFFF"/>
        </w:rPr>
        <w:t>  </w:t>
      </w:r>
      <w:r w:rsidRPr="002C3702">
        <w:rPr>
          <w:rStyle w:val="eop"/>
          <w:rFonts w:ascii="Arial Narrow" w:hAnsi="Arial Narrow"/>
          <w:color w:val="000000"/>
          <w:sz w:val="18"/>
          <w:szCs w:val="18"/>
          <w:shd w:val="clear" w:color="auto" w:fill="FFFFFF"/>
        </w:rPr>
        <w:t> </w:t>
      </w:r>
      <w:r w:rsidR="002C3702">
        <w:rPr>
          <w:rFonts w:ascii="Arial Narrow" w:hAnsi="Arial Narrow" w:cs="Segoe UI"/>
          <w:sz w:val="18"/>
          <w:szCs w:val="18"/>
        </w:rPr>
        <w:t xml:space="preserve"> </w:t>
      </w:r>
    </w:p>
    <w:p w14:paraId="7B942F5C" w14:textId="1468A9B6" w:rsidR="00030CC5" w:rsidRPr="002C3702" w:rsidRDefault="00030CC5" w:rsidP="00AF3AD8">
      <w:pPr>
        <w:keepNext/>
        <w:textAlignment w:val="baseline"/>
        <w:rPr>
          <w:rFonts w:ascii="Segoe UI" w:hAnsi="Segoe UI" w:cs="Segoe UI"/>
          <w:sz w:val="18"/>
          <w:szCs w:val="18"/>
        </w:rPr>
      </w:pPr>
      <w:r w:rsidRPr="002C3702">
        <w:rPr>
          <w:rFonts w:ascii="Arial Narrow" w:hAnsi="Arial Narrow" w:cs="Segoe UI"/>
          <w:sz w:val="18"/>
          <w:szCs w:val="18"/>
        </w:rPr>
        <w:t>Notes:</w:t>
      </w:r>
      <w:r w:rsidRPr="002C3702">
        <w:rPr>
          <w:rFonts w:ascii="Arial Narrow" w:hAnsi="Arial Narrow" w:cs="Segoe UI"/>
          <w:b/>
          <w:bCs/>
          <w:sz w:val="18"/>
          <w:szCs w:val="18"/>
        </w:rPr>
        <w:t xml:space="preserve"> Bold</w:t>
      </w:r>
      <w:r w:rsidRPr="002C3702">
        <w:rPr>
          <w:rFonts w:ascii="Arial Narrow" w:hAnsi="Arial Narrow" w:cs="Segoe UI"/>
          <w:sz w:val="18"/>
          <w:szCs w:val="18"/>
        </w:rPr>
        <w:t xml:space="preserve"> indicates statistically significant results</w:t>
      </w:r>
      <w:r w:rsidR="002C3702">
        <w:rPr>
          <w:rFonts w:ascii="Arial Narrow" w:hAnsi="Arial Narrow" w:cs="Segoe UI"/>
          <w:sz w:val="18"/>
          <w:szCs w:val="18"/>
        </w:rPr>
        <w:t xml:space="preserve">. </w:t>
      </w:r>
    </w:p>
    <w:p w14:paraId="7EE9D9D9" w14:textId="77777777" w:rsidR="00030CC5" w:rsidRPr="002C3702" w:rsidRDefault="00030CC5" w:rsidP="00AF3AD8">
      <w:pPr>
        <w:keepNext/>
        <w:textAlignment w:val="baseline"/>
        <w:rPr>
          <w:rFonts w:ascii="Arial Narrow" w:hAnsi="Arial Narrow" w:cs="Segoe UI"/>
          <w:iCs/>
          <w:sz w:val="18"/>
          <w:szCs w:val="18"/>
        </w:rPr>
      </w:pPr>
      <w:r w:rsidRPr="002C3702">
        <w:rPr>
          <w:rFonts w:ascii="Arial Narrow" w:hAnsi="Arial Narrow" w:cs="Segoe UI"/>
          <w:iCs/>
          <w:sz w:val="18"/>
          <w:szCs w:val="18"/>
          <w:shd w:val="clear" w:color="auto" w:fill="8DB3E2"/>
        </w:rPr>
        <w:t>Blue shading</w:t>
      </w:r>
      <w:r w:rsidRPr="002C3702">
        <w:rPr>
          <w:rFonts w:ascii="Arial Narrow" w:hAnsi="Arial Narrow" w:cs="Segoe UI"/>
          <w:iCs/>
          <w:sz w:val="18"/>
          <w:szCs w:val="18"/>
        </w:rPr>
        <w:t xml:space="preserve"> indicates data previously seen by the PBAC. </w:t>
      </w:r>
    </w:p>
    <w:p w14:paraId="6C575CBB" w14:textId="77777777" w:rsidR="00030CC5" w:rsidRPr="002C3702" w:rsidRDefault="00030CC5" w:rsidP="00030CC5">
      <w:pPr>
        <w:pStyle w:val="4-SubsectionHeading"/>
      </w:pPr>
      <w:bookmarkStart w:id="35" w:name="_Toc22897643"/>
      <w:bookmarkStart w:id="36" w:name="_Toc145422842"/>
      <w:r w:rsidRPr="002C3702">
        <w:t>Benefits/harms</w:t>
      </w:r>
      <w:bookmarkEnd w:id="35"/>
      <w:bookmarkEnd w:id="36"/>
    </w:p>
    <w:p w14:paraId="6E8D585C" w14:textId="47EC9C17" w:rsidR="001F6FAD" w:rsidRPr="002C3702" w:rsidRDefault="00030CC5" w:rsidP="00030CC5">
      <w:pPr>
        <w:pStyle w:val="3-BodyText"/>
        <w:rPr>
          <w:iCs/>
        </w:rPr>
      </w:pPr>
      <w:r w:rsidRPr="002C3702">
        <w:rPr>
          <w:iCs/>
        </w:rPr>
        <w:t>The comparative benefits and harms remain unchanged from the March 2023 resubmission.</w:t>
      </w:r>
    </w:p>
    <w:p w14:paraId="3F83A6F3" w14:textId="14CB5E72" w:rsidR="00030CC5" w:rsidRPr="002C3702" w:rsidRDefault="00030CC5" w:rsidP="00821FA2">
      <w:pPr>
        <w:pStyle w:val="Caption"/>
        <w:rPr>
          <w:b w:val="0"/>
        </w:rPr>
      </w:pPr>
      <w:bookmarkStart w:id="37" w:name="_Ref142844800"/>
      <w:r w:rsidRPr="002C3702">
        <w:lastRenderedPageBreak/>
        <w:t xml:space="preserve">Table </w:t>
      </w:r>
      <w:r w:rsidRPr="002C3702">
        <w:fldChar w:fldCharType="begin"/>
      </w:r>
      <w:r w:rsidRPr="002C3702">
        <w:instrText>SEQ Table \* ARABIC</w:instrText>
      </w:r>
      <w:r w:rsidRPr="002C3702">
        <w:fldChar w:fldCharType="separate"/>
      </w:r>
      <w:r w:rsidR="00676505">
        <w:rPr>
          <w:noProof/>
        </w:rPr>
        <w:t>7</w:t>
      </w:r>
      <w:r w:rsidRPr="002C3702">
        <w:fldChar w:fldCharType="end"/>
      </w:r>
      <w:bookmarkEnd w:id="37"/>
      <w:r w:rsidRPr="002C3702">
        <w:t xml:space="preserve">: </w:t>
      </w:r>
      <w:r w:rsidRPr="002C3702">
        <w:rPr>
          <w:rFonts w:cs="Segoe UI"/>
        </w:rPr>
        <w:t xml:space="preserve">Summary of comparative benefits and harms for ABE + ET vs ET, </w:t>
      </w:r>
      <w:r w:rsidRPr="002C3702">
        <w:t xml:space="preserve">ITT, </w:t>
      </w:r>
      <w:r w:rsidR="00CE483D" w:rsidRPr="002C3702">
        <w:rPr>
          <w:iCs/>
        </w:rPr>
        <w:t>OS IA3 (</w:t>
      </w:r>
      <w:r w:rsidR="0081689F" w:rsidRPr="002C3702">
        <w:rPr>
          <w:iCs/>
        </w:rPr>
        <w:t>July</w:t>
      </w:r>
      <w:r w:rsidR="00CE483D" w:rsidRPr="002C3702">
        <w:rPr>
          <w:iCs/>
        </w:rPr>
        <w:t xml:space="preserve"> 2023)</w:t>
      </w:r>
      <w:r w:rsidR="00CE483D" w:rsidRPr="002C3702">
        <w:t xml:space="preserve"> and </w:t>
      </w:r>
      <w:r w:rsidRPr="002C3702">
        <w:t>AFU2 (July 2022)</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7"/>
        <w:gridCol w:w="1128"/>
        <w:gridCol w:w="1113"/>
        <w:gridCol w:w="273"/>
        <w:gridCol w:w="1068"/>
        <w:gridCol w:w="293"/>
        <w:gridCol w:w="822"/>
        <w:gridCol w:w="933"/>
        <w:gridCol w:w="120"/>
        <w:gridCol w:w="1703"/>
      </w:tblGrid>
      <w:tr w:rsidR="00030CC5" w:rsidRPr="002C3702" w14:paraId="36B2524B" w14:textId="77777777" w:rsidTr="00D4084D">
        <w:trPr>
          <w:trHeight w:val="15"/>
        </w:trPr>
        <w:tc>
          <w:tcPr>
            <w:tcW w:w="9010" w:type="dxa"/>
            <w:gridSpan w:val="10"/>
            <w:shd w:val="clear" w:color="auto" w:fill="auto"/>
            <w:hideMark/>
          </w:tcPr>
          <w:p w14:paraId="38A896EA" w14:textId="51177AE4" w:rsidR="00030CC5" w:rsidRPr="002C3702" w:rsidRDefault="00030CC5" w:rsidP="00821FA2">
            <w:pPr>
              <w:keepNext/>
              <w:jc w:val="left"/>
              <w:textAlignment w:val="baseline"/>
              <w:rPr>
                <w:rFonts w:ascii="Times New Roman" w:hAnsi="Times New Roman" w:cs="Times New Roman"/>
                <w:b/>
                <w:bCs/>
                <w:iCs/>
              </w:rPr>
            </w:pPr>
            <w:r w:rsidRPr="002C3702">
              <w:rPr>
                <w:rFonts w:ascii="Arial Narrow" w:hAnsi="Arial Narrow" w:cs="Times New Roman"/>
                <w:b/>
                <w:bCs/>
                <w:iCs/>
                <w:sz w:val="20"/>
                <w:szCs w:val="20"/>
              </w:rPr>
              <w:t xml:space="preserve">Invasive disease-free survival (IDFS; median duration of follow up </w:t>
            </w:r>
            <w:r w:rsidR="00840367" w:rsidRPr="002C3702">
              <w:rPr>
                <w:rFonts w:ascii="Arial Narrow" w:hAnsi="Arial Narrow" w:cs="Times New Roman"/>
                <w:b/>
                <w:bCs/>
                <w:iCs/>
                <w:sz w:val="20"/>
                <w:szCs w:val="20"/>
              </w:rPr>
              <w:t>54</w:t>
            </w:r>
            <w:r w:rsidRPr="002C3702">
              <w:rPr>
                <w:rFonts w:ascii="Arial Narrow" w:hAnsi="Arial Narrow" w:cs="Times New Roman"/>
                <w:b/>
                <w:bCs/>
                <w:iCs/>
                <w:sz w:val="20"/>
                <w:szCs w:val="20"/>
              </w:rPr>
              <w:t xml:space="preserve"> months) </w:t>
            </w:r>
          </w:p>
        </w:tc>
      </w:tr>
      <w:tr w:rsidR="00030CC5" w:rsidRPr="002C3702" w14:paraId="25CC66B0" w14:textId="77777777" w:rsidTr="00D4084D">
        <w:trPr>
          <w:trHeight w:val="15"/>
        </w:trPr>
        <w:tc>
          <w:tcPr>
            <w:tcW w:w="2685" w:type="dxa"/>
            <w:gridSpan w:val="2"/>
            <w:shd w:val="clear" w:color="auto" w:fill="auto"/>
            <w:hideMark/>
          </w:tcPr>
          <w:p w14:paraId="720BE56E" w14:textId="77777777" w:rsidR="00030CC5" w:rsidRPr="002C3702" w:rsidRDefault="00030CC5" w:rsidP="00821FA2">
            <w:pPr>
              <w:keepNext/>
              <w:jc w:val="left"/>
              <w:textAlignment w:val="baseline"/>
              <w:rPr>
                <w:rFonts w:ascii="Times New Roman" w:hAnsi="Times New Roman" w:cs="Times New Roman"/>
                <w:b/>
                <w:bCs/>
                <w:iCs/>
              </w:rPr>
            </w:pPr>
            <w:r w:rsidRPr="002C3702">
              <w:rPr>
                <w:rFonts w:ascii="Arial Narrow" w:hAnsi="Arial Narrow" w:cs="Times New Roman"/>
                <w:b/>
                <w:bCs/>
                <w:iCs/>
                <w:sz w:val="20"/>
                <w:szCs w:val="20"/>
              </w:rPr>
              <w:t>Event </w:t>
            </w:r>
          </w:p>
        </w:tc>
        <w:tc>
          <w:tcPr>
            <w:tcW w:w="1386" w:type="dxa"/>
            <w:gridSpan w:val="2"/>
            <w:shd w:val="clear" w:color="auto" w:fill="auto"/>
            <w:hideMark/>
          </w:tcPr>
          <w:p w14:paraId="4D6D932A" w14:textId="77777777" w:rsidR="00030CC5" w:rsidRPr="002C3702" w:rsidRDefault="00030CC5" w:rsidP="00821FA2">
            <w:pPr>
              <w:keepNext/>
              <w:jc w:val="center"/>
              <w:textAlignment w:val="baseline"/>
              <w:rPr>
                <w:rFonts w:ascii="Times New Roman" w:hAnsi="Times New Roman" w:cs="Times New Roman"/>
                <w:b/>
                <w:bCs/>
                <w:iCs/>
              </w:rPr>
            </w:pPr>
            <w:r w:rsidRPr="002C3702">
              <w:rPr>
                <w:rFonts w:ascii="Arial Narrow" w:hAnsi="Arial Narrow" w:cs="Times New Roman"/>
                <w:b/>
                <w:bCs/>
                <w:iCs/>
                <w:sz w:val="20"/>
                <w:szCs w:val="20"/>
              </w:rPr>
              <w:t>ABE + ET </w:t>
            </w:r>
          </w:p>
        </w:tc>
        <w:tc>
          <w:tcPr>
            <w:tcW w:w="1361" w:type="dxa"/>
            <w:gridSpan w:val="2"/>
            <w:shd w:val="clear" w:color="auto" w:fill="auto"/>
            <w:hideMark/>
          </w:tcPr>
          <w:p w14:paraId="7FB382CD" w14:textId="77777777" w:rsidR="00030CC5" w:rsidRPr="002C3702" w:rsidRDefault="00030CC5" w:rsidP="00821FA2">
            <w:pPr>
              <w:keepNext/>
              <w:jc w:val="center"/>
              <w:textAlignment w:val="baseline"/>
              <w:rPr>
                <w:rFonts w:ascii="Times New Roman" w:hAnsi="Times New Roman" w:cs="Times New Roman"/>
                <w:b/>
                <w:bCs/>
                <w:iCs/>
              </w:rPr>
            </w:pPr>
            <w:r w:rsidRPr="002C3702">
              <w:rPr>
                <w:rFonts w:ascii="Arial Narrow" w:hAnsi="Arial Narrow" w:cs="Times New Roman"/>
                <w:b/>
                <w:bCs/>
                <w:iCs/>
                <w:sz w:val="20"/>
                <w:szCs w:val="20"/>
              </w:rPr>
              <w:t>ET </w:t>
            </w:r>
          </w:p>
        </w:tc>
        <w:tc>
          <w:tcPr>
            <w:tcW w:w="1755" w:type="dxa"/>
            <w:gridSpan w:val="2"/>
            <w:shd w:val="clear" w:color="auto" w:fill="auto"/>
            <w:hideMark/>
          </w:tcPr>
          <w:p w14:paraId="24ADFCCB" w14:textId="77777777" w:rsidR="00030CC5" w:rsidRPr="002C3702" w:rsidRDefault="00030CC5" w:rsidP="00821FA2">
            <w:pPr>
              <w:keepNext/>
              <w:jc w:val="center"/>
              <w:textAlignment w:val="baseline"/>
              <w:rPr>
                <w:rFonts w:ascii="Times New Roman" w:hAnsi="Times New Roman" w:cs="Times New Roman"/>
                <w:b/>
                <w:bCs/>
                <w:iCs/>
              </w:rPr>
            </w:pPr>
            <w:r w:rsidRPr="002C3702">
              <w:rPr>
                <w:rFonts w:ascii="Arial Narrow" w:hAnsi="Arial Narrow" w:cs="Times New Roman"/>
                <w:b/>
                <w:bCs/>
                <w:iCs/>
                <w:sz w:val="20"/>
                <w:szCs w:val="20"/>
              </w:rPr>
              <w:t>Absolute Difference </w:t>
            </w:r>
          </w:p>
        </w:tc>
        <w:tc>
          <w:tcPr>
            <w:tcW w:w="1823" w:type="dxa"/>
            <w:gridSpan w:val="2"/>
            <w:shd w:val="clear" w:color="auto" w:fill="auto"/>
            <w:hideMark/>
          </w:tcPr>
          <w:p w14:paraId="41C7B736" w14:textId="77777777" w:rsidR="00030CC5" w:rsidRPr="002C3702" w:rsidRDefault="00030CC5" w:rsidP="00821FA2">
            <w:pPr>
              <w:keepNext/>
              <w:jc w:val="center"/>
              <w:textAlignment w:val="baseline"/>
              <w:rPr>
                <w:rFonts w:ascii="Times New Roman" w:hAnsi="Times New Roman" w:cs="Times New Roman"/>
                <w:b/>
                <w:bCs/>
                <w:iCs/>
              </w:rPr>
            </w:pPr>
            <w:r w:rsidRPr="002C3702">
              <w:rPr>
                <w:rFonts w:ascii="Arial Narrow" w:hAnsi="Arial Narrow" w:cs="Times New Roman"/>
                <w:b/>
                <w:bCs/>
                <w:iCs/>
                <w:sz w:val="20"/>
                <w:szCs w:val="20"/>
              </w:rPr>
              <w:t>HR (95% CI) </w:t>
            </w:r>
          </w:p>
        </w:tc>
      </w:tr>
      <w:tr w:rsidR="00030CC5" w:rsidRPr="002C3702" w14:paraId="72BA4DD1" w14:textId="77777777" w:rsidTr="00210EF2">
        <w:trPr>
          <w:trHeight w:val="15"/>
        </w:trPr>
        <w:tc>
          <w:tcPr>
            <w:tcW w:w="2685" w:type="dxa"/>
            <w:gridSpan w:val="2"/>
            <w:shd w:val="clear" w:color="auto" w:fill="auto"/>
            <w:hideMark/>
          </w:tcPr>
          <w:p w14:paraId="2D8C4023" w14:textId="5A8E7E93" w:rsidR="00030CC5" w:rsidRPr="002C3702" w:rsidRDefault="00030CC5"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Invasive disease or death, n</w:t>
            </w:r>
            <w:r w:rsidR="007A1D29" w:rsidRPr="002C3702">
              <w:rPr>
                <w:rFonts w:ascii="Arial Narrow" w:hAnsi="Arial Narrow" w:cs="Times New Roman"/>
                <w:iCs/>
                <w:sz w:val="20"/>
                <w:szCs w:val="20"/>
              </w:rPr>
              <w:t>/N</w:t>
            </w:r>
            <w:r w:rsidRPr="002C3702">
              <w:rPr>
                <w:rFonts w:ascii="Arial Narrow" w:hAnsi="Arial Narrow" w:cs="Times New Roman"/>
                <w:iCs/>
                <w:sz w:val="20"/>
                <w:szCs w:val="20"/>
              </w:rPr>
              <w:t xml:space="preserve"> (%) </w:t>
            </w:r>
          </w:p>
        </w:tc>
        <w:tc>
          <w:tcPr>
            <w:tcW w:w="1386" w:type="dxa"/>
            <w:gridSpan w:val="2"/>
            <w:shd w:val="clear" w:color="auto" w:fill="auto"/>
            <w:vAlign w:val="center"/>
          </w:tcPr>
          <w:p w14:paraId="47C329B8" w14:textId="5C185A1B" w:rsidR="00210EF2" w:rsidRPr="00D8041A" w:rsidRDefault="00427DEF"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407</w:t>
            </w:r>
            <w:r w:rsidR="00210EF2" w:rsidRPr="00D8041A">
              <w:rPr>
                <w:rFonts w:ascii="Arial Narrow" w:hAnsi="Arial Narrow" w:cs="Times New Roman"/>
                <w:iCs/>
                <w:sz w:val="20"/>
                <w:szCs w:val="20"/>
              </w:rPr>
              <w:t xml:space="preserve">/2808 </w:t>
            </w:r>
          </w:p>
          <w:p w14:paraId="78853C27" w14:textId="2D45AAD5" w:rsidR="00030CC5"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(1</w:t>
            </w:r>
            <w:r w:rsidR="00BA68FF" w:rsidRPr="00D8041A">
              <w:rPr>
                <w:rFonts w:ascii="Arial Narrow" w:hAnsi="Arial Narrow" w:cs="Times New Roman"/>
                <w:iCs/>
                <w:sz w:val="20"/>
                <w:szCs w:val="20"/>
              </w:rPr>
              <w:t>4.5</w:t>
            </w:r>
            <w:r w:rsidRPr="00D8041A">
              <w:rPr>
                <w:rFonts w:ascii="Arial Narrow" w:hAnsi="Arial Narrow" w:cs="Times New Roman"/>
                <w:iCs/>
                <w:sz w:val="20"/>
                <w:szCs w:val="20"/>
              </w:rPr>
              <w:t>%)</w:t>
            </w:r>
          </w:p>
        </w:tc>
        <w:tc>
          <w:tcPr>
            <w:tcW w:w="1361" w:type="dxa"/>
            <w:gridSpan w:val="2"/>
            <w:shd w:val="clear" w:color="auto" w:fill="auto"/>
            <w:vAlign w:val="center"/>
          </w:tcPr>
          <w:p w14:paraId="3503235D" w14:textId="64B76BDE" w:rsidR="00210EF2" w:rsidRPr="00D8041A" w:rsidRDefault="00427DEF"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585</w:t>
            </w:r>
            <w:r w:rsidR="00210EF2" w:rsidRPr="00D8041A">
              <w:rPr>
                <w:rFonts w:ascii="Arial Narrow" w:hAnsi="Arial Narrow" w:cs="Times New Roman"/>
                <w:iCs/>
                <w:sz w:val="20"/>
                <w:szCs w:val="20"/>
              </w:rPr>
              <w:t xml:space="preserve">/2829 </w:t>
            </w:r>
          </w:p>
          <w:p w14:paraId="2A61A246" w14:textId="6BB21038" w:rsidR="00030CC5"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w:t>
            </w:r>
            <w:r w:rsidR="00F37137" w:rsidRPr="00D8041A">
              <w:rPr>
                <w:rFonts w:ascii="Arial Narrow" w:hAnsi="Arial Narrow" w:cs="Times New Roman"/>
                <w:iCs/>
                <w:sz w:val="20"/>
                <w:szCs w:val="20"/>
              </w:rPr>
              <w:t>20.7</w:t>
            </w:r>
            <w:r w:rsidRPr="00D8041A">
              <w:rPr>
                <w:rFonts w:ascii="Arial Narrow" w:hAnsi="Arial Narrow" w:cs="Times New Roman"/>
                <w:iCs/>
                <w:sz w:val="20"/>
                <w:szCs w:val="20"/>
              </w:rPr>
              <w:t>%)</w:t>
            </w:r>
          </w:p>
        </w:tc>
        <w:tc>
          <w:tcPr>
            <w:tcW w:w="1755" w:type="dxa"/>
            <w:gridSpan w:val="2"/>
            <w:shd w:val="clear" w:color="auto" w:fill="auto"/>
            <w:vAlign w:val="center"/>
          </w:tcPr>
          <w:p w14:paraId="7E9B25E0" w14:textId="09CE1CBB" w:rsidR="00030CC5" w:rsidRPr="002C3702" w:rsidRDefault="00030CC5" w:rsidP="00821FA2">
            <w:pPr>
              <w:keepNext/>
              <w:jc w:val="center"/>
              <w:textAlignment w:val="baseline"/>
              <w:rPr>
                <w:rFonts w:ascii="Arial Narrow" w:hAnsi="Arial Narrow" w:cs="Times New Roman"/>
                <w:iCs/>
                <w:sz w:val="20"/>
                <w:szCs w:val="20"/>
              </w:rPr>
            </w:pPr>
          </w:p>
        </w:tc>
        <w:tc>
          <w:tcPr>
            <w:tcW w:w="1823" w:type="dxa"/>
            <w:gridSpan w:val="2"/>
            <w:shd w:val="clear" w:color="auto" w:fill="auto"/>
            <w:vAlign w:val="center"/>
            <w:hideMark/>
          </w:tcPr>
          <w:p w14:paraId="21090966" w14:textId="2E48E8BF" w:rsidR="00030CC5" w:rsidRPr="002C3702" w:rsidRDefault="00210EF2" w:rsidP="00821FA2">
            <w:pPr>
              <w:keepNext/>
              <w:jc w:val="center"/>
              <w:textAlignment w:val="baseline"/>
              <w:rPr>
                <w:rFonts w:ascii="Arial Narrow" w:hAnsi="Arial Narrow" w:cs="Times New Roman"/>
                <w:b/>
                <w:bCs/>
                <w:iCs/>
                <w:sz w:val="20"/>
                <w:szCs w:val="20"/>
              </w:rPr>
            </w:pPr>
            <w:r w:rsidRPr="002C3702">
              <w:rPr>
                <w:rFonts w:ascii="Arial Narrow" w:hAnsi="Arial Narrow" w:cs="Times New Roman"/>
                <w:b/>
                <w:bCs/>
                <w:iCs/>
                <w:sz w:val="20"/>
                <w:szCs w:val="20"/>
              </w:rPr>
              <w:t>0.68 (0.60, 0.77)</w:t>
            </w:r>
          </w:p>
        </w:tc>
      </w:tr>
      <w:tr w:rsidR="00722E88" w:rsidRPr="002C3702" w14:paraId="71549A72" w14:textId="77777777" w:rsidTr="00210EF2">
        <w:trPr>
          <w:trHeight w:val="15"/>
        </w:trPr>
        <w:tc>
          <w:tcPr>
            <w:tcW w:w="2685" w:type="dxa"/>
            <w:gridSpan w:val="2"/>
            <w:shd w:val="clear" w:color="auto" w:fill="auto"/>
          </w:tcPr>
          <w:p w14:paraId="469506F0" w14:textId="760978D5" w:rsidR="00722E88" w:rsidRPr="002C3702" w:rsidRDefault="00722E88" w:rsidP="00821FA2">
            <w:pPr>
              <w:keepNext/>
              <w:jc w:val="left"/>
              <w:textAlignment w:val="baseline"/>
              <w:rPr>
                <w:rFonts w:ascii="Arial Narrow" w:hAnsi="Arial Narrow" w:cs="Times New Roman"/>
                <w:iCs/>
                <w:sz w:val="20"/>
                <w:szCs w:val="20"/>
              </w:rPr>
            </w:pPr>
            <w:r w:rsidRPr="002C3702">
              <w:rPr>
                <w:rFonts w:ascii="Arial Narrow" w:hAnsi="Arial Narrow" w:cs="Times New Roman"/>
                <w:iCs/>
                <w:sz w:val="20"/>
                <w:szCs w:val="20"/>
              </w:rPr>
              <w:t>Median IDFS, months (95% CI) </w:t>
            </w:r>
          </w:p>
        </w:tc>
        <w:tc>
          <w:tcPr>
            <w:tcW w:w="1386" w:type="dxa"/>
            <w:gridSpan w:val="2"/>
            <w:shd w:val="clear" w:color="auto" w:fill="auto"/>
            <w:vAlign w:val="center"/>
          </w:tcPr>
          <w:p w14:paraId="5E38114F" w14:textId="6E22B108"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NA</w:t>
            </w:r>
          </w:p>
        </w:tc>
        <w:tc>
          <w:tcPr>
            <w:tcW w:w="1361" w:type="dxa"/>
            <w:gridSpan w:val="2"/>
            <w:shd w:val="clear" w:color="auto" w:fill="auto"/>
            <w:vAlign w:val="center"/>
          </w:tcPr>
          <w:p w14:paraId="27FCE1A9" w14:textId="2C400184"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NA</w:t>
            </w:r>
          </w:p>
        </w:tc>
        <w:tc>
          <w:tcPr>
            <w:tcW w:w="1755" w:type="dxa"/>
            <w:gridSpan w:val="2"/>
            <w:shd w:val="clear" w:color="auto" w:fill="auto"/>
            <w:vAlign w:val="center"/>
          </w:tcPr>
          <w:p w14:paraId="2B69E1B1" w14:textId="35A2CEF6" w:rsidR="00722E88"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823" w:type="dxa"/>
            <w:gridSpan w:val="2"/>
            <w:shd w:val="clear" w:color="auto" w:fill="auto"/>
            <w:vAlign w:val="center"/>
          </w:tcPr>
          <w:p w14:paraId="18042037" w14:textId="65CE211E" w:rsidR="00722E88" w:rsidRPr="002C3702" w:rsidRDefault="00F27B8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1D90A363" w14:textId="77777777" w:rsidTr="00210EF2">
        <w:trPr>
          <w:trHeight w:val="15"/>
        </w:trPr>
        <w:tc>
          <w:tcPr>
            <w:tcW w:w="2685" w:type="dxa"/>
            <w:gridSpan w:val="2"/>
            <w:shd w:val="clear" w:color="auto" w:fill="auto"/>
            <w:hideMark/>
          </w:tcPr>
          <w:p w14:paraId="1B53A270" w14:textId="77777777"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alive without invasive disease at 36 months (95% CI) </w:t>
            </w:r>
          </w:p>
        </w:tc>
        <w:tc>
          <w:tcPr>
            <w:tcW w:w="1386" w:type="dxa"/>
            <w:gridSpan w:val="2"/>
            <w:shd w:val="clear" w:color="auto" w:fill="auto"/>
            <w:vAlign w:val="center"/>
          </w:tcPr>
          <w:p w14:paraId="212C8C06"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89.2 </w:t>
            </w:r>
          </w:p>
          <w:p w14:paraId="65FF803B" w14:textId="0B3100C8"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(88.0, 90.4)</w:t>
            </w:r>
          </w:p>
        </w:tc>
        <w:tc>
          <w:tcPr>
            <w:tcW w:w="1361" w:type="dxa"/>
            <w:gridSpan w:val="2"/>
            <w:shd w:val="clear" w:color="auto" w:fill="auto"/>
            <w:vAlign w:val="center"/>
          </w:tcPr>
          <w:p w14:paraId="571812E3"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84.4 </w:t>
            </w:r>
          </w:p>
          <w:p w14:paraId="639EC1FA" w14:textId="25C3797A"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(83.0, 85.8)</w:t>
            </w:r>
          </w:p>
        </w:tc>
        <w:tc>
          <w:tcPr>
            <w:tcW w:w="1755" w:type="dxa"/>
            <w:gridSpan w:val="2"/>
            <w:shd w:val="clear" w:color="auto" w:fill="auto"/>
            <w:vAlign w:val="center"/>
          </w:tcPr>
          <w:p w14:paraId="1DE135FD" w14:textId="77777777" w:rsidR="00210EF2"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4.8 </w:t>
            </w:r>
          </w:p>
          <w:p w14:paraId="5C8478BF" w14:textId="52F1B608" w:rsidR="00722E88"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(3.0, 6.6)</w:t>
            </w:r>
          </w:p>
        </w:tc>
        <w:tc>
          <w:tcPr>
            <w:tcW w:w="1823" w:type="dxa"/>
            <w:gridSpan w:val="2"/>
            <w:shd w:val="clear" w:color="auto" w:fill="auto"/>
            <w:vAlign w:val="center"/>
            <w:hideMark/>
          </w:tcPr>
          <w:p w14:paraId="61192AED" w14:textId="2FD95896" w:rsidR="00722E88" w:rsidRPr="002C3702" w:rsidRDefault="00F27B8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18132511" w14:textId="77777777" w:rsidTr="00210EF2">
        <w:trPr>
          <w:trHeight w:val="15"/>
        </w:trPr>
        <w:tc>
          <w:tcPr>
            <w:tcW w:w="2685" w:type="dxa"/>
            <w:gridSpan w:val="2"/>
            <w:shd w:val="clear" w:color="auto" w:fill="auto"/>
            <w:hideMark/>
          </w:tcPr>
          <w:p w14:paraId="50D8C5E9" w14:textId="77777777"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alive without invasive disease at 48 months (95% CI) </w:t>
            </w:r>
          </w:p>
        </w:tc>
        <w:tc>
          <w:tcPr>
            <w:tcW w:w="1386" w:type="dxa"/>
            <w:gridSpan w:val="2"/>
            <w:shd w:val="clear" w:color="auto" w:fill="auto"/>
            <w:vAlign w:val="center"/>
          </w:tcPr>
          <w:p w14:paraId="2E6352BE"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86.0 </w:t>
            </w:r>
          </w:p>
          <w:p w14:paraId="117A449E" w14:textId="40F91339"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(84.6, 87.3)</w:t>
            </w:r>
          </w:p>
        </w:tc>
        <w:tc>
          <w:tcPr>
            <w:tcW w:w="1361" w:type="dxa"/>
            <w:gridSpan w:val="2"/>
            <w:shd w:val="clear" w:color="auto" w:fill="auto"/>
            <w:vAlign w:val="center"/>
          </w:tcPr>
          <w:p w14:paraId="6CDD923A"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80.0 </w:t>
            </w:r>
          </w:p>
          <w:p w14:paraId="19344BE4" w14:textId="7AB78105" w:rsidR="00722E88"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(78.5, 81.5)</w:t>
            </w:r>
          </w:p>
        </w:tc>
        <w:tc>
          <w:tcPr>
            <w:tcW w:w="1755" w:type="dxa"/>
            <w:gridSpan w:val="2"/>
            <w:shd w:val="clear" w:color="auto" w:fill="auto"/>
            <w:vAlign w:val="center"/>
          </w:tcPr>
          <w:p w14:paraId="58F60C55" w14:textId="77777777" w:rsidR="00210EF2"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6.0 </w:t>
            </w:r>
          </w:p>
          <w:p w14:paraId="06502DCB" w14:textId="034714CF" w:rsidR="00722E88"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(3.9, 8.0)</w:t>
            </w:r>
          </w:p>
        </w:tc>
        <w:tc>
          <w:tcPr>
            <w:tcW w:w="1823" w:type="dxa"/>
            <w:gridSpan w:val="2"/>
            <w:shd w:val="clear" w:color="auto" w:fill="auto"/>
            <w:vAlign w:val="center"/>
            <w:hideMark/>
          </w:tcPr>
          <w:p w14:paraId="4CF96E8E" w14:textId="04C690B9" w:rsidR="00722E88" w:rsidRPr="002C3702" w:rsidRDefault="00883E48"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210EF2" w:rsidRPr="002C3702" w14:paraId="2C9F1DF8" w14:textId="77777777" w:rsidTr="00210EF2">
        <w:trPr>
          <w:trHeight w:val="15"/>
        </w:trPr>
        <w:tc>
          <w:tcPr>
            <w:tcW w:w="2685" w:type="dxa"/>
            <w:gridSpan w:val="2"/>
            <w:shd w:val="clear" w:color="auto" w:fill="auto"/>
          </w:tcPr>
          <w:p w14:paraId="53437D82" w14:textId="2D1CD80A" w:rsidR="00210EF2" w:rsidRPr="002C3702" w:rsidRDefault="00210EF2" w:rsidP="00821FA2">
            <w:pPr>
              <w:keepNext/>
              <w:jc w:val="left"/>
              <w:textAlignment w:val="baseline"/>
              <w:rPr>
                <w:rFonts w:ascii="Arial Narrow" w:hAnsi="Arial Narrow" w:cs="Times New Roman"/>
                <w:iCs/>
                <w:sz w:val="20"/>
                <w:szCs w:val="20"/>
              </w:rPr>
            </w:pPr>
            <w:r w:rsidRPr="002C3702">
              <w:rPr>
                <w:rFonts w:ascii="Arial Narrow" w:hAnsi="Arial Narrow" w:cs="Times New Roman"/>
                <w:iCs/>
                <w:sz w:val="20"/>
                <w:szCs w:val="20"/>
              </w:rPr>
              <w:t>% alive without invasive disease at 60 months (95% CI)</w:t>
            </w:r>
          </w:p>
        </w:tc>
        <w:tc>
          <w:tcPr>
            <w:tcW w:w="1386" w:type="dxa"/>
            <w:gridSpan w:val="2"/>
            <w:shd w:val="clear" w:color="auto" w:fill="auto"/>
            <w:vAlign w:val="center"/>
          </w:tcPr>
          <w:p w14:paraId="535C3EE5"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83.6 </w:t>
            </w:r>
          </w:p>
          <w:p w14:paraId="5F32D54B" w14:textId="3B8E1B30"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(82.0, 85.1)</w:t>
            </w:r>
          </w:p>
        </w:tc>
        <w:tc>
          <w:tcPr>
            <w:tcW w:w="1361" w:type="dxa"/>
            <w:gridSpan w:val="2"/>
            <w:shd w:val="clear" w:color="auto" w:fill="auto"/>
            <w:vAlign w:val="center"/>
          </w:tcPr>
          <w:p w14:paraId="480DECD6" w14:textId="77777777"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 xml:space="preserve">76.0 </w:t>
            </w:r>
          </w:p>
          <w:p w14:paraId="3C2D7BC2" w14:textId="7F0042C1" w:rsidR="00210EF2" w:rsidRPr="00D8041A" w:rsidRDefault="00210EF2"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(74.1, 77.8)</w:t>
            </w:r>
          </w:p>
        </w:tc>
        <w:tc>
          <w:tcPr>
            <w:tcW w:w="1755" w:type="dxa"/>
            <w:gridSpan w:val="2"/>
            <w:shd w:val="clear" w:color="auto" w:fill="auto"/>
            <w:vAlign w:val="center"/>
          </w:tcPr>
          <w:p w14:paraId="773EA0FC" w14:textId="77777777" w:rsidR="00210EF2"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7.6 </w:t>
            </w:r>
          </w:p>
          <w:p w14:paraId="37F18F54" w14:textId="475DDEF1" w:rsidR="00210EF2" w:rsidRPr="002C3702" w:rsidRDefault="00210EF2"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(5.2, 10.0)</w:t>
            </w:r>
          </w:p>
        </w:tc>
        <w:tc>
          <w:tcPr>
            <w:tcW w:w="1823" w:type="dxa"/>
            <w:gridSpan w:val="2"/>
            <w:shd w:val="clear" w:color="auto" w:fill="auto"/>
            <w:vAlign w:val="center"/>
          </w:tcPr>
          <w:p w14:paraId="491458CA" w14:textId="1EFA33A5" w:rsidR="00210EF2"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567FB28E" w14:textId="77777777" w:rsidTr="00D4084D">
        <w:trPr>
          <w:trHeight w:val="15"/>
        </w:trPr>
        <w:tc>
          <w:tcPr>
            <w:tcW w:w="9010" w:type="dxa"/>
            <w:gridSpan w:val="10"/>
            <w:shd w:val="clear" w:color="auto" w:fill="auto"/>
            <w:hideMark/>
          </w:tcPr>
          <w:p w14:paraId="3181AABC" w14:textId="51C9B18E" w:rsidR="00722E88" w:rsidRPr="00D8041A" w:rsidRDefault="00722E88" w:rsidP="00821FA2">
            <w:pPr>
              <w:keepNext/>
              <w:jc w:val="left"/>
              <w:textAlignment w:val="baseline"/>
              <w:rPr>
                <w:rFonts w:ascii="Times New Roman" w:hAnsi="Times New Roman" w:cs="Times New Roman"/>
                <w:iCs/>
              </w:rPr>
            </w:pPr>
            <w:r w:rsidRPr="00D8041A">
              <w:rPr>
                <w:rFonts w:ascii="Arial Narrow" w:hAnsi="Arial Narrow" w:cs="Times New Roman"/>
                <w:b/>
                <w:bCs/>
                <w:iCs/>
                <w:sz w:val="20"/>
                <w:szCs w:val="20"/>
              </w:rPr>
              <w:t xml:space="preserve">Distant relapse-free survival (DRFS; median duration of follow up </w:t>
            </w:r>
            <w:r w:rsidR="00840367" w:rsidRPr="00D8041A">
              <w:rPr>
                <w:rFonts w:ascii="Arial Narrow" w:hAnsi="Arial Narrow" w:cs="Times New Roman"/>
                <w:b/>
                <w:bCs/>
                <w:iCs/>
                <w:sz w:val="20"/>
                <w:szCs w:val="20"/>
              </w:rPr>
              <w:t>54</w:t>
            </w:r>
            <w:r w:rsidRPr="00D8041A">
              <w:rPr>
                <w:rFonts w:ascii="Arial Narrow" w:hAnsi="Arial Narrow" w:cs="Times New Roman"/>
                <w:b/>
                <w:bCs/>
                <w:iCs/>
                <w:sz w:val="20"/>
                <w:szCs w:val="20"/>
              </w:rPr>
              <w:t xml:space="preserve"> months)</w:t>
            </w:r>
            <w:r w:rsidRPr="00D8041A">
              <w:rPr>
                <w:rFonts w:ascii="Arial Narrow" w:hAnsi="Arial Narrow" w:cs="Times New Roman"/>
                <w:iCs/>
                <w:sz w:val="20"/>
                <w:szCs w:val="20"/>
              </w:rPr>
              <w:t> </w:t>
            </w:r>
          </w:p>
        </w:tc>
      </w:tr>
      <w:tr w:rsidR="00722E88" w:rsidRPr="002C3702" w14:paraId="5B0D2762" w14:textId="77777777" w:rsidTr="00CE483D">
        <w:trPr>
          <w:trHeight w:val="15"/>
        </w:trPr>
        <w:tc>
          <w:tcPr>
            <w:tcW w:w="2685" w:type="dxa"/>
            <w:gridSpan w:val="2"/>
            <w:shd w:val="clear" w:color="auto" w:fill="auto"/>
            <w:hideMark/>
          </w:tcPr>
          <w:p w14:paraId="7BF1DDA1" w14:textId="428F6690"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Distant relapse or death, n</w:t>
            </w:r>
            <w:r w:rsidR="007A1D29" w:rsidRPr="002C3702">
              <w:rPr>
                <w:rFonts w:ascii="Arial Narrow" w:hAnsi="Arial Narrow" w:cs="Times New Roman"/>
                <w:iCs/>
                <w:sz w:val="20"/>
                <w:szCs w:val="20"/>
              </w:rPr>
              <w:t>/N</w:t>
            </w:r>
            <w:r w:rsidRPr="002C3702">
              <w:rPr>
                <w:rFonts w:ascii="Arial Narrow" w:hAnsi="Arial Narrow" w:cs="Times New Roman"/>
                <w:iCs/>
                <w:sz w:val="20"/>
                <w:szCs w:val="20"/>
              </w:rPr>
              <w:t xml:space="preserve"> (%) </w:t>
            </w:r>
          </w:p>
        </w:tc>
        <w:tc>
          <w:tcPr>
            <w:tcW w:w="1386" w:type="dxa"/>
            <w:gridSpan w:val="2"/>
            <w:shd w:val="clear" w:color="auto" w:fill="auto"/>
            <w:vAlign w:val="center"/>
          </w:tcPr>
          <w:p w14:paraId="2A8CA64B" w14:textId="292515C1" w:rsidR="007A010C" w:rsidRPr="00D8041A" w:rsidRDefault="00BA68FF"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345</w:t>
            </w:r>
            <w:r w:rsidR="007A010C" w:rsidRPr="00D8041A">
              <w:rPr>
                <w:rFonts w:ascii="Arial Narrow" w:hAnsi="Arial Narrow" w:cs="Times New Roman"/>
                <w:iCs/>
                <w:sz w:val="20"/>
                <w:szCs w:val="20"/>
              </w:rPr>
              <w:t>/2808</w:t>
            </w:r>
          </w:p>
          <w:p w14:paraId="08D066D9" w14:textId="0EC045B0" w:rsidR="00722E88" w:rsidRPr="00D8041A" w:rsidRDefault="007A010C"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w:t>
            </w:r>
            <w:r w:rsidR="00187739" w:rsidRPr="00D8041A">
              <w:rPr>
                <w:rFonts w:ascii="Arial Narrow" w:hAnsi="Arial Narrow" w:cs="Times New Roman"/>
                <w:iCs/>
                <w:sz w:val="20"/>
                <w:szCs w:val="20"/>
              </w:rPr>
              <w:t>12.3</w:t>
            </w:r>
            <w:r w:rsidRPr="00D8041A">
              <w:rPr>
                <w:rFonts w:ascii="Arial Narrow" w:hAnsi="Arial Narrow" w:cs="Times New Roman"/>
                <w:iCs/>
                <w:sz w:val="20"/>
                <w:szCs w:val="20"/>
              </w:rPr>
              <w:t>%)</w:t>
            </w:r>
          </w:p>
        </w:tc>
        <w:tc>
          <w:tcPr>
            <w:tcW w:w="1361" w:type="dxa"/>
            <w:gridSpan w:val="2"/>
            <w:shd w:val="clear" w:color="auto" w:fill="auto"/>
            <w:vAlign w:val="center"/>
          </w:tcPr>
          <w:p w14:paraId="09C7BF27" w14:textId="013E29BD" w:rsidR="007A010C" w:rsidRPr="00D8041A" w:rsidRDefault="00BA68FF"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501</w:t>
            </w:r>
            <w:r w:rsidR="007A010C" w:rsidRPr="00D8041A">
              <w:rPr>
                <w:rFonts w:ascii="Arial Narrow" w:hAnsi="Arial Narrow" w:cs="Times New Roman"/>
                <w:iCs/>
                <w:sz w:val="20"/>
                <w:szCs w:val="20"/>
              </w:rPr>
              <w:t xml:space="preserve">/2829 </w:t>
            </w:r>
          </w:p>
          <w:p w14:paraId="3E0641F6" w14:textId="48D3DEFF" w:rsidR="00722E88" w:rsidRPr="00D8041A" w:rsidRDefault="007A010C" w:rsidP="00821FA2">
            <w:pPr>
              <w:keepNext/>
              <w:jc w:val="center"/>
              <w:textAlignment w:val="baseline"/>
              <w:rPr>
                <w:rFonts w:ascii="Arial Narrow" w:hAnsi="Arial Narrow" w:cs="Times New Roman"/>
                <w:iCs/>
                <w:sz w:val="20"/>
                <w:szCs w:val="20"/>
              </w:rPr>
            </w:pPr>
            <w:r w:rsidRPr="00D8041A">
              <w:rPr>
                <w:rFonts w:ascii="Arial Narrow" w:hAnsi="Arial Narrow" w:cs="Times New Roman"/>
                <w:iCs/>
                <w:sz w:val="20"/>
                <w:szCs w:val="20"/>
              </w:rPr>
              <w:t>(</w:t>
            </w:r>
            <w:r w:rsidR="00187739" w:rsidRPr="00D8041A">
              <w:rPr>
                <w:rFonts w:ascii="Arial Narrow" w:hAnsi="Arial Narrow" w:cs="Times New Roman"/>
                <w:iCs/>
                <w:sz w:val="20"/>
                <w:szCs w:val="20"/>
              </w:rPr>
              <w:t>17.7</w:t>
            </w:r>
            <w:r w:rsidRPr="00D8041A">
              <w:rPr>
                <w:rFonts w:ascii="Arial Narrow" w:hAnsi="Arial Narrow" w:cs="Times New Roman"/>
                <w:iCs/>
                <w:sz w:val="20"/>
                <w:szCs w:val="20"/>
              </w:rPr>
              <w:t>%)</w:t>
            </w:r>
          </w:p>
        </w:tc>
        <w:tc>
          <w:tcPr>
            <w:tcW w:w="1755" w:type="dxa"/>
            <w:gridSpan w:val="2"/>
            <w:shd w:val="clear" w:color="auto" w:fill="auto"/>
            <w:vAlign w:val="center"/>
          </w:tcPr>
          <w:p w14:paraId="111D5DE0" w14:textId="5AD2CA66" w:rsidR="00722E88" w:rsidRPr="002C3702" w:rsidRDefault="00722E88" w:rsidP="00821FA2">
            <w:pPr>
              <w:keepNext/>
              <w:jc w:val="center"/>
              <w:textAlignment w:val="baseline"/>
              <w:rPr>
                <w:rFonts w:ascii="Arial Narrow" w:hAnsi="Arial Narrow" w:cs="Times New Roman"/>
                <w:iCs/>
                <w:sz w:val="20"/>
                <w:szCs w:val="20"/>
              </w:rPr>
            </w:pPr>
          </w:p>
        </w:tc>
        <w:tc>
          <w:tcPr>
            <w:tcW w:w="1823" w:type="dxa"/>
            <w:gridSpan w:val="2"/>
            <w:shd w:val="clear" w:color="auto" w:fill="auto"/>
            <w:vAlign w:val="center"/>
            <w:hideMark/>
          </w:tcPr>
          <w:p w14:paraId="2EA7163E" w14:textId="4D7BE277" w:rsidR="00722E88" w:rsidRPr="002C3702" w:rsidRDefault="007A010C" w:rsidP="00821FA2">
            <w:pPr>
              <w:keepNext/>
              <w:jc w:val="center"/>
              <w:textAlignment w:val="baseline"/>
              <w:rPr>
                <w:rFonts w:ascii="Arial Narrow" w:hAnsi="Arial Narrow" w:cs="Times New Roman"/>
                <w:b/>
                <w:bCs/>
                <w:iCs/>
                <w:sz w:val="20"/>
                <w:szCs w:val="20"/>
              </w:rPr>
            </w:pPr>
            <w:r w:rsidRPr="002C3702">
              <w:rPr>
                <w:rFonts w:ascii="Arial Narrow" w:hAnsi="Arial Narrow" w:cs="Times New Roman"/>
                <w:b/>
                <w:bCs/>
                <w:iCs/>
                <w:sz w:val="20"/>
                <w:szCs w:val="20"/>
              </w:rPr>
              <w:t>0.68 (0.59, 0.78)</w:t>
            </w:r>
          </w:p>
        </w:tc>
      </w:tr>
      <w:tr w:rsidR="00722E88" w:rsidRPr="002C3702" w14:paraId="68CBFD6A" w14:textId="77777777" w:rsidTr="00840367">
        <w:trPr>
          <w:trHeight w:val="15"/>
        </w:trPr>
        <w:tc>
          <w:tcPr>
            <w:tcW w:w="2685" w:type="dxa"/>
            <w:gridSpan w:val="2"/>
            <w:shd w:val="clear" w:color="auto" w:fill="auto"/>
            <w:hideMark/>
          </w:tcPr>
          <w:p w14:paraId="22ACB2CB" w14:textId="77777777"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Median DRFS, months (95% CI) </w:t>
            </w:r>
          </w:p>
        </w:tc>
        <w:tc>
          <w:tcPr>
            <w:tcW w:w="1386" w:type="dxa"/>
            <w:gridSpan w:val="2"/>
            <w:shd w:val="clear" w:color="auto" w:fill="auto"/>
            <w:vAlign w:val="center"/>
          </w:tcPr>
          <w:p w14:paraId="5653E791" w14:textId="7CA36EF5"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361" w:type="dxa"/>
            <w:gridSpan w:val="2"/>
            <w:shd w:val="clear" w:color="auto" w:fill="auto"/>
            <w:vAlign w:val="center"/>
          </w:tcPr>
          <w:p w14:paraId="6BE78D00" w14:textId="3FE87EE5"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755" w:type="dxa"/>
            <w:gridSpan w:val="2"/>
            <w:shd w:val="clear" w:color="auto" w:fill="auto"/>
            <w:vAlign w:val="center"/>
          </w:tcPr>
          <w:p w14:paraId="2D192559" w14:textId="0A8398DA"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823" w:type="dxa"/>
            <w:gridSpan w:val="2"/>
            <w:shd w:val="clear" w:color="auto" w:fill="auto"/>
            <w:vAlign w:val="center"/>
            <w:hideMark/>
          </w:tcPr>
          <w:p w14:paraId="38BA93FC" w14:textId="25811186" w:rsidR="00722E88" w:rsidRPr="002C3702" w:rsidRDefault="00D4084D" w:rsidP="00821FA2">
            <w:pPr>
              <w:keepNext/>
              <w:jc w:val="center"/>
              <w:textAlignment w:val="baseline"/>
              <w:rPr>
                <w:rFonts w:ascii="Times New Roman" w:hAnsi="Times New Roman" w:cs="Times New Roman"/>
                <w:iCs/>
              </w:rPr>
            </w:pPr>
            <w:r w:rsidRPr="002C3702">
              <w:rPr>
                <w:rFonts w:ascii="Arial Narrow" w:hAnsi="Arial Narrow" w:cs="Times New Roman"/>
                <w:iCs/>
                <w:sz w:val="20"/>
                <w:szCs w:val="20"/>
              </w:rPr>
              <w:t>-</w:t>
            </w:r>
          </w:p>
        </w:tc>
      </w:tr>
      <w:tr w:rsidR="00722E88" w:rsidRPr="002C3702" w14:paraId="23B8937D" w14:textId="77777777" w:rsidTr="00840367">
        <w:trPr>
          <w:trHeight w:val="15"/>
        </w:trPr>
        <w:tc>
          <w:tcPr>
            <w:tcW w:w="2685" w:type="dxa"/>
            <w:gridSpan w:val="2"/>
            <w:shd w:val="clear" w:color="auto" w:fill="auto"/>
            <w:hideMark/>
          </w:tcPr>
          <w:p w14:paraId="74C5C7A9" w14:textId="26C1ED8F"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xml:space="preserve">% </w:t>
            </w:r>
            <w:r w:rsidR="007A010C" w:rsidRPr="002C3702">
              <w:rPr>
                <w:rFonts w:ascii="Arial Narrow" w:hAnsi="Arial Narrow" w:cs="Times New Roman"/>
                <w:iCs/>
                <w:sz w:val="20"/>
                <w:szCs w:val="20"/>
              </w:rPr>
              <w:t>a</w:t>
            </w:r>
            <w:r w:rsidRPr="002C3702">
              <w:rPr>
                <w:rFonts w:ascii="Arial Narrow" w:hAnsi="Arial Narrow" w:cs="Times New Roman"/>
                <w:iCs/>
                <w:sz w:val="20"/>
                <w:szCs w:val="20"/>
              </w:rPr>
              <w:t>live without distant relapse at 36 months (95% CI) </w:t>
            </w:r>
          </w:p>
        </w:tc>
        <w:tc>
          <w:tcPr>
            <w:tcW w:w="1386" w:type="dxa"/>
            <w:gridSpan w:val="2"/>
            <w:shd w:val="clear" w:color="auto" w:fill="auto"/>
          </w:tcPr>
          <w:p w14:paraId="2CEC71F0"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90.9 </w:t>
            </w:r>
          </w:p>
          <w:p w14:paraId="547686AD" w14:textId="350571D3"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(89.7, 91.9)</w:t>
            </w:r>
          </w:p>
        </w:tc>
        <w:tc>
          <w:tcPr>
            <w:tcW w:w="1361" w:type="dxa"/>
            <w:gridSpan w:val="2"/>
            <w:shd w:val="clear" w:color="auto" w:fill="auto"/>
          </w:tcPr>
          <w:p w14:paraId="73BEB1C6"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86.7 </w:t>
            </w:r>
          </w:p>
          <w:p w14:paraId="06986A5D" w14:textId="56CF8F70"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(85.4, 88.0)</w:t>
            </w:r>
          </w:p>
        </w:tc>
        <w:tc>
          <w:tcPr>
            <w:tcW w:w="1755" w:type="dxa"/>
            <w:gridSpan w:val="2"/>
            <w:shd w:val="clear" w:color="auto" w:fill="auto"/>
          </w:tcPr>
          <w:p w14:paraId="0841747F"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4.1 </w:t>
            </w:r>
          </w:p>
          <w:p w14:paraId="2035178D" w14:textId="48D7576B"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(2.4, 5.8)</w:t>
            </w:r>
          </w:p>
        </w:tc>
        <w:tc>
          <w:tcPr>
            <w:tcW w:w="1823" w:type="dxa"/>
            <w:gridSpan w:val="2"/>
            <w:shd w:val="clear" w:color="auto" w:fill="auto"/>
            <w:vAlign w:val="center"/>
            <w:hideMark/>
          </w:tcPr>
          <w:p w14:paraId="2FD544AE" w14:textId="6389F980" w:rsidR="00722E88" w:rsidRPr="002C3702" w:rsidRDefault="00D4084D" w:rsidP="00821FA2">
            <w:pPr>
              <w:keepNext/>
              <w:jc w:val="center"/>
              <w:textAlignment w:val="baseline"/>
              <w:rPr>
                <w:rFonts w:ascii="Times New Roman" w:hAnsi="Times New Roman" w:cs="Times New Roman"/>
                <w:iCs/>
              </w:rPr>
            </w:pPr>
            <w:r w:rsidRPr="002C3702">
              <w:rPr>
                <w:rFonts w:ascii="Arial Narrow" w:hAnsi="Arial Narrow" w:cs="Times New Roman"/>
                <w:iCs/>
                <w:sz w:val="20"/>
                <w:szCs w:val="20"/>
              </w:rPr>
              <w:t>-</w:t>
            </w:r>
          </w:p>
        </w:tc>
      </w:tr>
      <w:tr w:rsidR="00722E88" w:rsidRPr="002C3702" w14:paraId="03E18C32" w14:textId="77777777" w:rsidTr="00840367">
        <w:trPr>
          <w:trHeight w:val="15"/>
        </w:trPr>
        <w:tc>
          <w:tcPr>
            <w:tcW w:w="2685" w:type="dxa"/>
            <w:gridSpan w:val="2"/>
            <w:shd w:val="clear" w:color="auto" w:fill="auto"/>
            <w:hideMark/>
          </w:tcPr>
          <w:p w14:paraId="7AFEF8CD" w14:textId="78C3431D"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xml:space="preserve">% </w:t>
            </w:r>
            <w:r w:rsidR="007A010C" w:rsidRPr="002C3702">
              <w:rPr>
                <w:rFonts w:ascii="Arial Narrow" w:hAnsi="Arial Narrow" w:cs="Times New Roman"/>
                <w:iCs/>
                <w:sz w:val="20"/>
                <w:szCs w:val="20"/>
              </w:rPr>
              <w:t>a</w:t>
            </w:r>
            <w:r w:rsidRPr="002C3702">
              <w:rPr>
                <w:rFonts w:ascii="Arial Narrow" w:hAnsi="Arial Narrow" w:cs="Times New Roman"/>
                <w:iCs/>
                <w:sz w:val="20"/>
                <w:szCs w:val="20"/>
              </w:rPr>
              <w:t>live without distant relapse at 48 months (95% CI) </w:t>
            </w:r>
          </w:p>
        </w:tc>
        <w:tc>
          <w:tcPr>
            <w:tcW w:w="1386" w:type="dxa"/>
            <w:gridSpan w:val="2"/>
            <w:shd w:val="clear" w:color="auto" w:fill="auto"/>
          </w:tcPr>
          <w:p w14:paraId="2EE1713E"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88.4 </w:t>
            </w:r>
          </w:p>
          <w:p w14:paraId="4B5CD427" w14:textId="1F482C8A"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(87.1, 89.6)</w:t>
            </w:r>
          </w:p>
        </w:tc>
        <w:tc>
          <w:tcPr>
            <w:tcW w:w="1361" w:type="dxa"/>
            <w:gridSpan w:val="2"/>
            <w:shd w:val="clear" w:color="auto" w:fill="auto"/>
          </w:tcPr>
          <w:p w14:paraId="58841207"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83.1 </w:t>
            </w:r>
          </w:p>
          <w:p w14:paraId="19174BFA" w14:textId="49D3AC41"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(81.6, 84.5)</w:t>
            </w:r>
          </w:p>
        </w:tc>
        <w:tc>
          <w:tcPr>
            <w:tcW w:w="1755" w:type="dxa"/>
            <w:gridSpan w:val="2"/>
            <w:shd w:val="clear" w:color="auto" w:fill="auto"/>
          </w:tcPr>
          <w:p w14:paraId="70005BD9"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5.3 </w:t>
            </w:r>
          </w:p>
          <w:p w14:paraId="2DCA768F" w14:textId="6AF5BA7E" w:rsidR="00722E88"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(3.4, 7.2)</w:t>
            </w:r>
          </w:p>
        </w:tc>
        <w:tc>
          <w:tcPr>
            <w:tcW w:w="1823" w:type="dxa"/>
            <w:gridSpan w:val="2"/>
            <w:shd w:val="clear" w:color="auto" w:fill="auto"/>
            <w:vAlign w:val="center"/>
            <w:hideMark/>
          </w:tcPr>
          <w:p w14:paraId="4B332364" w14:textId="3F3589B4" w:rsidR="00722E88" w:rsidRPr="002C3702" w:rsidRDefault="00D4084D" w:rsidP="00821FA2">
            <w:pPr>
              <w:keepNext/>
              <w:jc w:val="center"/>
              <w:textAlignment w:val="baseline"/>
              <w:rPr>
                <w:rFonts w:ascii="Times New Roman" w:hAnsi="Times New Roman" w:cs="Times New Roman"/>
                <w:iCs/>
              </w:rPr>
            </w:pPr>
            <w:r w:rsidRPr="002C3702">
              <w:rPr>
                <w:rFonts w:ascii="Arial Narrow" w:hAnsi="Arial Narrow" w:cs="Times New Roman"/>
                <w:iCs/>
                <w:sz w:val="20"/>
                <w:szCs w:val="20"/>
              </w:rPr>
              <w:t>-</w:t>
            </w:r>
          </w:p>
        </w:tc>
      </w:tr>
      <w:tr w:rsidR="007A010C" w:rsidRPr="002C3702" w14:paraId="2A14FCCD" w14:textId="77777777" w:rsidTr="00840367">
        <w:trPr>
          <w:trHeight w:val="15"/>
        </w:trPr>
        <w:tc>
          <w:tcPr>
            <w:tcW w:w="2685" w:type="dxa"/>
            <w:gridSpan w:val="2"/>
            <w:shd w:val="clear" w:color="auto" w:fill="auto"/>
          </w:tcPr>
          <w:p w14:paraId="49DCA28C" w14:textId="128FB957" w:rsidR="007A010C" w:rsidRPr="002C3702" w:rsidRDefault="007A010C" w:rsidP="00821FA2">
            <w:pPr>
              <w:keepNext/>
              <w:jc w:val="left"/>
              <w:textAlignment w:val="baseline"/>
              <w:rPr>
                <w:rFonts w:ascii="Arial Narrow" w:hAnsi="Arial Narrow" w:cs="Times New Roman"/>
                <w:iCs/>
                <w:sz w:val="20"/>
                <w:szCs w:val="20"/>
              </w:rPr>
            </w:pPr>
            <w:r w:rsidRPr="002C3702">
              <w:rPr>
                <w:rFonts w:ascii="Arial Narrow" w:hAnsi="Arial Narrow" w:cs="Times New Roman"/>
                <w:iCs/>
                <w:sz w:val="20"/>
                <w:szCs w:val="20"/>
              </w:rPr>
              <w:t>% alive without distant relapse at 48 months (95% CI) </w:t>
            </w:r>
          </w:p>
        </w:tc>
        <w:tc>
          <w:tcPr>
            <w:tcW w:w="1386" w:type="dxa"/>
            <w:gridSpan w:val="2"/>
            <w:shd w:val="clear" w:color="auto" w:fill="auto"/>
          </w:tcPr>
          <w:p w14:paraId="63A1C200"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86.0 </w:t>
            </w:r>
          </w:p>
          <w:p w14:paraId="3054BEBC" w14:textId="489A5453"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(84.5, 87.4)</w:t>
            </w:r>
          </w:p>
        </w:tc>
        <w:tc>
          <w:tcPr>
            <w:tcW w:w="1361" w:type="dxa"/>
            <w:gridSpan w:val="2"/>
            <w:shd w:val="clear" w:color="auto" w:fill="auto"/>
          </w:tcPr>
          <w:p w14:paraId="5D13841E"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79.2 </w:t>
            </w:r>
          </w:p>
          <w:p w14:paraId="3E25FF06" w14:textId="4B6E2F25"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(77.4, 80.9)</w:t>
            </w:r>
          </w:p>
        </w:tc>
        <w:tc>
          <w:tcPr>
            <w:tcW w:w="1755" w:type="dxa"/>
            <w:gridSpan w:val="2"/>
            <w:shd w:val="clear" w:color="auto" w:fill="auto"/>
          </w:tcPr>
          <w:p w14:paraId="140A7EB4" w14:textId="77777777"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6.7 </w:t>
            </w:r>
          </w:p>
          <w:p w14:paraId="52B56305" w14:textId="7CB0571A"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(4.5, 9.0)</w:t>
            </w:r>
          </w:p>
        </w:tc>
        <w:tc>
          <w:tcPr>
            <w:tcW w:w="1823" w:type="dxa"/>
            <w:gridSpan w:val="2"/>
            <w:shd w:val="clear" w:color="auto" w:fill="auto"/>
            <w:vAlign w:val="center"/>
          </w:tcPr>
          <w:p w14:paraId="13A4887E" w14:textId="66FB7573" w:rsidR="007A010C" w:rsidRPr="002C3702" w:rsidRDefault="007A010C"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77A6C20E" w14:textId="77777777" w:rsidTr="00D4084D">
        <w:trPr>
          <w:trHeight w:val="15"/>
        </w:trPr>
        <w:tc>
          <w:tcPr>
            <w:tcW w:w="9010" w:type="dxa"/>
            <w:gridSpan w:val="10"/>
            <w:shd w:val="clear" w:color="auto" w:fill="auto"/>
            <w:hideMark/>
          </w:tcPr>
          <w:p w14:paraId="7ECC1DF8" w14:textId="75F2AA44" w:rsidR="00722E88" w:rsidRPr="002C3702" w:rsidRDefault="00722E88" w:rsidP="00821FA2">
            <w:pPr>
              <w:keepNext/>
              <w:jc w:val="left"/>
              <w:textAlignment w:val="baseline"/>
              <w:rPr>
                <w:rFonts w:ascii="Times New Roman" w:hAnsi="Times New Roman" w:cs="Times New Roman"/>
                <w:b/>
                <w:bCs/>
                <w:iCs/>
              </w:rPr>
            </w:pPr>
            <w:r w:rsidRPr="002C3702">
              <w:rPr>
                <w:rFonts w:ascii="Arial Narrow" w:hAnsi="Arial Narrow" w:cs="Times New Roman"/>
                <w:b/>
                <w:bCs/>
                <w:iCs/>
                <w:sz w:val="20"/>
                <w:szCs w:val="20"/>
              </w:rPr>
              <w:t xml:space="preserve">Overall survival (OS; median duration of follow up </w:t>
            </w:r>
            <w:r w:rsidR="00840367" w:rsidRPr="002C3702">
              <w:rPr>
                <w:rFonts w:ascii="Arial Narrow" w:hAnsi="Arial Narrow" w:cs="Times New Roman"/>
                <w:b/>
                <w:bCs/>
                <w:iCs/>
                <w:sz w:val="20"/>
                <w:szCs w:val="20"/>
              </w:rPr>
              <w:t>54</w:t>
            </w:r>
            <w:r w:rsidRPr="002C3702">
              <w:rPr>
                <w:rFonts w:ascii="Arial Narrow" w:hAnsi="Arial Narrow" w:cs="Times New Roman"/>
                <w:b/>
                <w:bCs/>
                <w:iCs/>
                <w:sz w:val="20"/>
                <w:szCs w:val="20"/>
              </w:rPr>
              <w:t xml:space="preserve"> months) </w:t>
            </w:r>
          </w:p>
        </w:tc>
      </w:tr>
      <w:tr w:rsidR="00722E88" w:rsidRPr="002C3702" w14:paraId="1D69D440" w14:textId="77777777" w:rsidTr="00840367">
        <w:trPr>
          <w:trHeight w:val="15"/>
        </w:trPr>
        <w:tc>
          <w:tcPr>
            <w:tcW w:w="2685" w:type="dxa"/>
            <w:gridSpan w:val="2"/>
            <w:shd w:val="clear" w:color="auto" w:fill="auto"/>
            <w:hideMark/>
          </w:tcPr>
          <w:p w14:paraId="536F82CE" w14:textId="77777777"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Deaths, n/N (%)  </w:t>
            </w:r>
          </w:p>
        </w:tc>
        <w:tc>
          <w:tcPr>
            <w:tcW w:w="1386" w:type="dxa"/>
            <w:gridSpan w:val="2"/>
            <w:shd w:val="clear" w:color="auto" w:fill="auto"/>
            <w:vAlign w:val="center"/>
          </w:tcPr>
          <w:p w14:paraId="34C6FEE7" w14:textId="77777777" w:rsidR="007A1D29" w:rsidRPr="002C3702" w:rsidRDefault="007A1D2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208/2808 </w:t>
            </w:r>
          </w:p>
          <w:p w14:paraId="77F9EC14" w14:textId="5674C439" w:rsidR="00722E88" w:rsidRPr="002C3702" w:rsidRDefault="007A1D2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(7.4%)</w:t>
            </w:r>
          </w:p>
        </w:tc>
        <w:tc>
          <w:tcPr>
            <w:tcW w:w="1361" w:type="dxa"/>
            <w:gridSpan w:val="2"/>
            <w:shd w:val="clear" w:color="auto" w:fill="auto"/>
            <w:vAlign w:val="center"/>
          </w:tcPr>
          <w:p w14:paraId="3F54656E" w14:textId="77777777" w:rsidR="007A1D29" w:rsidRPr="002C3702" w:rsidRDefault="007A1D2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234/2829 </w:t>
            </w:r>
          </w:p>
          <w:p w14:paraId="49E2B3E6" w14:textId="647F0A61" w:rsidR="00722E88" w:rsidRPr="002C3702" w:rsidRDefault="007A1D29"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(8.3%)</w:t>
            </w:r>
          </w:p>
        </w:tc>
        <w:tc>
          <w:tcPr>
            <w:tcW w:w="1755" w:type="dxa"/>
            <w:gridSpan w:val="2"/>
            <w:shd w:val="clear" w:color="auto" w:fill="auto"/>
            <w:vAlign w:val="center"/>
          </w:tcPr>
          <w:p w14:paraId="191C697B" w14:textId="13028404" w:rsidR="00722E88" w:rsidRPr="002C3702" w:rsidRDefault="00722E88" w:rsidP="00821FA2">
            <w:pPr>
              <w:keepNext/>
              <w:jc w:val="center"/>
              <w:textAlignment w:val="baseline"/>
              <w:rPr>
                <w:rFonts w:ascii="Arial Narrow" w:hAnsi="Arial Narrow" w:cs="Times New Roman"/>
                <w:iCs/>
                <w:sz w:val="20"/>
                <w:szCs w:val="20"/>
              </w:rPr>
            </w:pPr>
          </w:p>
        </w:tc>
        <w:tc>
          <w:tcPr>
            <w:tcW w:w="1823" w:type="dxa"/>
            <w:gridSpan w:val="2"/>
            <w:shd w:val="clear" w:color="auto" w:fill="auto"/>
            <w:vAlign w:val="center"/>
            <w:hideMark/>
          </w:tcPr>
          <w:p w14:paraId="72074EE0" w14:textId="2FCEC162"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0.90 (0.75, 1.08)</w:t>
            </w:r>
          </w:p>
        </w:tc>
      </w:tr>
      <w:tr w:rsidR="00722E88" w:rsidRPr="002C3702" w14:paraId="574F9CA3" w14:textId="77777777" w:rsidTr="00840367">
        <w:trPr>
          <w:trHeight w:val="15"/>
        </w:trPr>
        <w:tc>
          <w:tcPr>
            <w:tcW w:w="2685" w:type="dxa"/>
            <w:gridSpan w:val="2"/>
            <w:shd w:val="clear" w:color="auto" w:fill="auto"/>
            <w:hideMark/>
          </w:tcPr>
          <w:p w14:paraId="00004BE2" w14:textId="77777777"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Median OS, months (95% CI) </w:t>
            </w:r>
          </w:p>
        </w:tc>
        <w:tc>
          <w:tcPr>
            <w:tcW w:w="1386" w:type="dxa"/>
            <w:gridSpan w:val="2"/>
            <w:shd w:val="clear" w:color="auto" w:fill="auto"/>
            <w:vAlign w:val="center"/>
          </w:tcPr>
          <w:p w14:paraId="266BCC29" w14:textId="49525AE6"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361" w:type="dxa"/>
            <w:gridSpan w:val="2"/>
            <w:shd w:val="clear" w:color="auto" w:fill="auto"/>
            <w:vAlign w:val="center"/>
          </w:tcPr>
          <w:p w14:paraId="1083F713" w14:textId="1CA857ED"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755" w:type="dxa"/>
            <w:gridSpan w:val="2"/>
            <w:shd w:val="clear" w:color="auto" w:fill="auto"/>
            <w:vAlign w:val="center"/>
          </w:tcPr>
          <w:p w14:paraId="31AA3B51" w14:textId="543798C5"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NA</w:t>
            </w:r>
          </w:p>
        </w:tc>
        <w:tc>
          <w:tcPr>
            <w:tcW w:w="1823" w:type="dxa"/>
            <w:gridSpan w:val="2"/>
            <w:shd w:val="clear" w:color="auto" w:fill="auto"/>
            <w:vAlign w:val="center"/>
            <w:hideMark/>
          </w:tcPr>
          <w:p w14:paraId="6AB25ABB" w14:textId="205CCBD4" w:rsidR="00722E88" w:rsidRPr="002C3702" w:rsidRDefault="00D4084D"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56A0D3C6" w14:textId="77777777" w:rsidTr="00840367">
        <w:trPr>
          <w:trHeight w:val="15"/>
        </w:trPr>
        <w:tc>
          <w:tcPr>
            <w:tcW w:w="2685" w:type="dxa"/>
            <w:gridSpan w:val="2"/>
            <w:shd w:val="clear" w:color="auto" w:fill="auto"/>
            <w:hideMark/>
          </w:tcPr>
          <w:p w14:paraId="2438F7DA" w14:textId="6F98864F"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xml:space="preserve">% </w:t>
            </w:r>
            <w:r w:rsidR="007A010C" w:rsidRPr="002C3702">
              <w:rPr>
                <w:rFonts w:ascii="Arial Narrow" w:hAnsi="Arial Narrow" w:cs="Times New Roman"/>
                <w:iCs/>
                <w:sz w:val="20"/>
                <w:szCs w:val="20"/>
              </w:rPr>
              <w:t>a</w:t>
            </w:r>
            <w:r w:rsidRPr="002C3702">
              <w:rPr>
                <w:rFonts w:ascii="Arial Narrow" w:hAnsi="Arial Narrow" w:cs="Times New Roman"/>
                <w:iCs/>
                <w:sz w:val="20"/>
                <w:szCs w:val="20"/>
              </w:rPr>
              <w:t>live at 36 months (95% CI)  </w:t>
            </w:r>
          </w:p>
        </w:tc>
        <w:tc>
          <w:tcPr>
            <w:tcW w:w="1386" w:type="dxa"/>
            <w:gridSpan w:val="2"/>
            <w:shd w:val="clear" w:color="auto" w:fill="auto"/>
          </w:tcPr>
          <w:p w14:paraId="2C6E48CD"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95.1 </w:t>
            </w:r>
          </w:p>
          <w:p w14:paraId="010931DF" w14:textId="75147235"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(94.2, 95.9)</w:t>
            </w:r>
          </w:p>
        </w:tc>
        <w:tc>
          <w:tcPr>
            <w:tcW w:w="1361" w:type="dxa"/>
            <w:gridSpan w:val="2"/>
            <w:shd w:val="clear" w:color="auto" w:fill="auto"/>
          </w:tcPr>
          <w:p w14:paraId="3CF1E734"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95.3 </w:t>
            </w:r>
          </w:p>
          <w:p w14:paraId="7D9336BE" w14:textId="2BFA5093"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(94.4, 96.0)</w:t>
            </w:r>
          </w:p>
        </w:tc>
        <w:tc>
          <w:tcPr>
            <w:tcW w:w="1755" w:type="dxa"/>
            <w:gridSpan w:val="2"/>
            <w:shd w:val="clear" w:color="auto" w:fill="auto"/>
          </w:tcPr>
          <w:p w14:paraId="750BC2CB"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-0.2 </w:t>
            </w:r>
          </w:p>
          <w:p w14:paraId="13A80672" w14:textId="751656C5"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(-1.3, 1.0)</w:t>
            </w:r>
          </w:p>
        </w:tc>
        <w:tc>
          <w:tcPr>
            <w:tcW w:w="1823" w:type="dxa"/>
            <w:gridSpan w:val="2"/>
            <w:shd w:val="clear" w:color="auto" w:fill="auto"/>
            <w:vAlign w:val="center"/>
            <w:hideMark/>
          </w:tcPr>
          <w:p w14:paraId="300BFACA" w14:textId="23043C97" w:rsidR="00722E88" w:rsidRPr="002C3702" w:rsidRDefault="00D4084D"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189FA219" w14:textId="77777777" w:rsidTr="00840367">
        <w:trPr>
          <w:trHeight w:val="15"/>
        </w:trPr>
        <w:tc>
          <w:tcPr>
            <w:tcW w:w="2685" w:type="dxa"/>
            <w:gridSpan w:val="2"/>
            <w:shd w:val="clear" w:color="auto" w:fill="auto"/>
            <w:hideMark/>
          </w:tcPr>
          <w:p w14:paraId="72E93C33" w14:textId="43C9C93A" w:rsidR="00722E88" w:rsidRPr="002C3702" w:rsidRDefault="00722E88" w:rsidP="00821FA2">
            <w:pPr>
              <w:keepNext/>
              <w:jc w:val="left"/>
              <w:textAlignment w:val="baseline"/>
              <w:rPr>
                <w:rFonts w:ascii="Times New Roman" w:hAnsi="Times New Roman" w:cs="Times New Roman"/>
                <w:iCs/>
              </w:rPr>
            </w:pPr>
            <w:r w:rsidRPr="002C3702">
              <w:rPr>
                <w:rFonts w:ascii="Arial Narrow" w:hAnsi="Arial Narrow" w:cs="Times New Roman"/>
                <w:iCs/>
                <w:sz w:val="20"/>
                <w:szCs w:val="20"/>
              </w:rPr>
              <w:t xml:space="preserve">% </w:t>
            </w:r>
            <w:r w:rsidR="007A010C" w:rsidRPr="002C3702">
              <w:rPr>
                <w:rFonts w:ascii="Arial Narrow" w:hAnsi="Arial Narrow" w:cs="Times New Roman"/>
                <w:iCs/>
                <w:sz w:val="20"/>
                <w:szCs w:val="20"/>
              </w:rPr>
              <w:t>a</w:t>
            </w:r>
            <w:r w:rsidRPr="002C3702">
              <w:rPr>
                <w:rFonts w:ascii="Arial Narrow" w:hAnsi="Arial Narrow" w:cs="Times New Roman"/>
                <w:iCs/>
                <w:sz w:val="20"/>
                <w:szCs w:val="20"/>
              </w:rPr>
              <w:t>live at 48 months (95% CI) </w:t>
            </w:r>
          </w:p>
        </w:tc>
        <w:tc>
          <w:tcPr>
            <w:tcW w:w="1386" w:type="dxa"/>
            <w:gridSpan w:val="2"/>
            <w:shd w:val="clear" w:color="auto" w:fill="auto"/>
          </w:tcPr>
          <w:p w14:paraId="54DAAD6D"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93.6 </w:t>
            </w:r>
          </w:p>
          <w:p w14:paraId="319A5A07" w14:textId="64F6384C"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(92.6, 94.5)</w:t>
            </w:r>
          </w:p>
        </w:tc>
        <w:tc>
          <w:tcPr>
            <w:tcW w:w="1361" w:type="dxa"/>
            <w:gridSpan w:val="2"/>
            <w:shd w:val="clear" w:color="auto" w:fill="auto"/>
          </w:tcPr>
          <w:p w14:paraId="225FDD67"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92.8 </w:t>
            </w:r>
          </w:p>
          <w:p w14:paraId="0A454C6B" w14:textId="59D6D96C"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(91.7, 93.7)</w:t>
            </w:r>
          </w:p>
        </w:tc>
        <w:tc>
          <w:tcPr>
            <w:tcW w:w="1755" w:type="dxa"/>
            <w:gridSpan w:val="2"/>
            <w:shd w:val="clear" w:color="auto" w:fill="auto"/>
          </w:tcPr>
          <w:p w14:paraId="7B012AB4"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0.8 </w:t>
            </w:r>
          </w:p>
          <w:p w14:paraId="1F915401" w14:textId="138546FE" w:rsidR="00722E88"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(-0.5, 2.2)</w:t>
            </w:r>
          </w:p>
        </w:tc>
        <w:tc>
          <w:tcPr>
            <w:tcW w:w="1823" w:type="dxa"/>
            <w:gridSpan w:val="2"/>
            <w:shd w:val="clear" w:color="auto" w:fill="auto"/>
            <w:vAlign w:val="center"/>
            <w:hideMark/>
          </w:tcPr>
          <w:p w14:paraId="25506782" w14:textId="749525A6" w:rsidR="00722E88" w:rsidRPr="002C3702" w:rsidRDefault="00D4084D"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A010C" w:rsidRPr="002C3702" w14:paraId="2589D2B9" w14:textId="77777777" w:rsidTr="00840367">
        <w:trPr>
          <w:trHeight w:val="15"/>
        </w:trPr>
        <w:tc>
          <w:tcPr>
            <w:tcW w:w="2685" w:type="dxa"/>
            <w:gridSpan w:val="2"/>
            <w:shd w:val="clear" w:color="auto" w:fill="auto"/>
          </w:tcPr>
          <w:p w14:paraId="413D6281" w14:textId="0C54FE6A" w:rsidR="007A010C" w:rsidRPr="002C3702" w:rsidRDefault="00B55D4A" w:rsidP="00821FA2">
            <w:pPr>
              <w:keepNext/>
              <w:jc w:val="left"/>
              <w:textAlignment w:val="baseline"/>
              <w:rPr>
                <w:rFonts w:ascii="Arial Narrow" w:hAnsi="Arial Narrow" w:cs="Times New Roman"/>
                <w:iCs/>
                <w:sz w:val="20"/>
                <w:szCs w:val="20"/>
              </w:rPr>
            </w:pPr>
            <w:r w:rsidRPr="002C3702">
              <w:rPr>
                <w:rFonts w:ascii="Arial Narrow" w:hAnsi="Arial Narrow" w:cs="Times New Roman"/>
                <w:iCs/>
                <w:sz w:val="20"/>
                <w:szCs w:val="20"/>
              </w:rPr>
              <w:t>% alive at 60 months (95% CI) </w:t>
            </w:r>
          </w:p>
        </w:tc>
        <w:tc>
          <w:tcPr>
            <w:tcW w:w="1386" w:type="dxa"/>
            <w:gridSpan w:val="2"/>
            <w:shd w:val="clear" w:color="auto" w:fill="auto"/>
          </w:tcPr>
          <w:p w14:paraId="4AD4AF08"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90.7 </w:t>
            </w:r>
          </w:p>
          <w:p w14:paraId="6AF8CAF3" w14:textId="7908348B" w:rsidR="007A010C"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(89.3, 92.0)</w:t>
            </w:r>
          </w:p>
        </w:tc>
        <w:tc>
          <w:tcPr>
            <w:tcW w:w="1361" w:type="dxa"/>
            <w:gridSpan w:val="2"/>
            <w:shd w:val="clear" w:color="auto" w:fill="auto"/>
          </w:tcPr>
          <w:p w14:paraId="2EB7166B"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89.6 </w:t>
            </w:r>
          </w:p>
          <w:p w14:paraId="658EAF2E" w14:textId="17A1A156" w:rsidR="007A010C"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(88.2, 90.9)</w:t>
            </w:r>
          </w:p>
        </w:tc>
        <w:tc>
          <w:tcPr>
            <w:tcW w:w="1755" w:type="dxa"/>
            <w:gridSpan w:val="2"/>
            <w:shd w:val="clear" w:color="auto" w:fill="auto"/>
          </w:tcPr>
          <w:p w14:paraId="3CEF80B0" w14:textId="77777777" w:rsidR="00840367"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 xml:space="preserve">1.1 </w:t>
            </w:r>
          </w:p>
          <w:p w14:paraId="2DE36EEC" w14:textId="61F98851" w:rsidR="007A010C"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(-0.8, 3.0)</w:t>
            </w:r>
          </w:p>
        </w:tc>
        <w:tc>
          <w:tcPr>
            <w:tcW w:w="1823" w:type="dxa"/>
            <w:gridSpan w:val="2"/>
            <w:shd w:val="clear" w:color="auto" w:fill="auto"/>
            <w:vAlign w:val="center"/>
          </w:tcPr>
          <w:p w14:paraId="09232D34" w14:textId="4F94EAE5" w:rsidR="007A010C" w:rsidRPr="002C3702" w:rsidRDefault="00840367" w:rsidP="00821FA2">
            <w:pPr>
              <w:keepNext/>
              <w:jc w:val="center"/>
              <w:textAlignment w:val="baseline"/>
              <w:rPr>
                <w:rFonts w:ascii="Arial Narrow" w:hAnsi="Arial Narrow" w:cs="Times New Roman"/>
                <w:iCs/>
                <w:sz w:val="20"/>
                <w:szCs w:val="20"/>
              </w:rPr>
            </w:pPr>
            <w:r w:rsidRPr="002C3702">
              <w:rPr>
                <w:rFonts w:ascii="Arial Narrow" w:hAnsi="Arial Narrow" w:cs="Times New Roman"/>
                <w:iCs/>
                <w:sz w:val="20"/>
                <w:szCs w:val="20"/>
              </w:rPr>
              <w:t>-</w:t>
            </w:r>
          </w:p>
        </w:tc>
      </w:tr>
      <w:tr w:rsidR="00722E88" w:rsidRPr="002C3702" w14:paraId="6FB872F4" w14:textId="77777777" w:rsidTr="00D4084D">
        <w:trPr>
          <w:trHeight w:val="300"/>
        </w:trPr>
        <w:tc>
          <w:tcPr>
            <w:tcW w:w="9010" w:type="dxa"/>
            <w:gridSpan w:val="10"/>
            <w:shd w:val="clear" w:color="auto" w:fill="auto"/>
            <w:vAlign w:val="center"/>
            <w:hideMark/>
          </w:tcPr>
          <w:p w14:paraId="3F1A5194" w14:textId="18402AA9" w:rsidR="00722E88" w:rsidRPr="002C3702" w:rsidRDefault="00722E88" w:rsidP="00821FA2">
            <w:pPr>
              <w:keepNext/>
              <w:jc w:val="left"/>
              <w:textAlignment w:val="baseline"/>
              <w:rPr>
                <w:rFonts w:ascii="Times New Roman" w:hAnsi="Times New Roman" w:cs="Times New Roman"/>
                <w:b/>
                <w:bCs/>
              </w:rPr>
            </w:pPr>
            <w:r w:rsidRPr="002C3702">
              <w:rPr>
                <w:rFonts w:ascii="Arial Narrow" w:hAnsi="Arial Narrow" w:cs="Times New Roman"/>
                <w:b/>
                <w:bCs/>
                <w:sz w:val="20"/>
                <w:szCs w:val="20"/>
              </w:rPr>
              <w:t>Harms  </w:t>
            </w:r>
            <w:r w:rsidR="00840367" w:rsidRPr="002C3702">
              <w:rPr>
                <w:rFonts w:ascii="Arial Narrow" w:hAnsi="Arial Narrow" w:cs="Times New Roman"/>
                <w:b/>
                <w:bCs/>
                <w:sz w:val="20"/>
                <w:szCs w:val="20"/>
              </w:rPr>
              <w:t>(median duration of follow up 42 months) </w:t>
            </w:r>
          </w:p>
        </w:tc>
      </w:tr>
      <w:tr w:rsidR="00722E88" w:rsidRPr="002C3702" w14:paraId="2FD5A22E" w14:textId="77777777" w:rsidTr="00D4084D">
        <w:trPr>
          <w:trHeight w:val="60"/>
        </w:trPr>
        <w:tc>
          <w:tcPr>
            <w:tcW w:w="1557" w:type="dxa"/>
            <w:vMerge w:val="restart"/>
            <w:shd w:val="clear" w:color="auto" w:fill="auto"/>
            <w:vAlign w:val="center"/>
            <w:hideMark/>
          </w:tcPr>
          <w:p w14:paraId="121EF2D4" w14:textId="77777777" w:rsidR="00722E88" w:rsidRPr="002C3702" w:rsidRDefault="00722E88" w:rsidP="00821FA2">
            <w:pPr>
              <w:keepNext/>
              <w:jc w:val="left"/>
              <w:textAlignment w:val="baseline"/>
              <w:rPr>
                <w:rFonts w:ascii="Times New Roman" w:hAnsi="Times New Roman" w:cs="Times New Roman"/>
                <w:b/>
                <w:bCs/>
              </w:rPr>
            </w:pPr>
            <w:r w:rsidRPr="002C3702">
              <w:rPr>
                <w:rFonts w:ascii="Arial Narrow" w:hAnsi="Arial Narrow" w:cs="Times New Roman"/>
                <w:b/>
                <w:bCs/>
                <w:sz w:val="20"/>
                <w:szCs w:val="20"/>
              </w:rPr>
              <w:t> </w:t>
            </w:r>
          </w:p>
        </w:tc>
        <w:tc>
          <w:tcPr>
            <w:tcW w:w="1128" w:type="dxa"/>
            <w:vMerge w:val="restart"/>
            <w:shd w:val="clear" w:color="auto" w:fill="auto"/>
            <w:vAlign w:val="center"/>
            <w:hideMark/>
          </w:tcPr>
          <w:p w14:paraId="48566FFA"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ABE + ET </w:t>
            </w:r>
          </w:p>
          <w:p w14:paraId="3712B62B"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n/N </w:t>
            </w:r>
          </w:p>
        </w:tc>
        <w:tc>
          <w:tcPr>
            <w:tcW w:w="1113" w:type="dxa"/>
            <w:vMerge w:val="restart"/>
            <w:shd w:val="clear" w:color="auto" w:fill="auto"/>
            <w:vAlign w:val="center"/>
            <w:hideMark/>
          </w:tcPr>
          <w:p w14:paraId="63E35C1F"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ET </w:t>
            </w:r>
          </w:p>
          <w:p w14:paraId="2451FC90"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n/N </w:t>
            </w:r>
          </w:p>
        </w:tc>
        <w:tc>
          <w:tcPr>
            <w:tcW w:w="1341" w:type="dxa"/>
            <w:gridSpan w:val="2"/>
            <w:vMerge w:val="restart"/>
            <w:shd w:val="clear" w:color="auto" w:fill="auto"/>
            <w:vAlign w:val="center"/>
            <w:hideMark/>
          </w:tcPr>
          <w:p w14:paraId="7852D7FB"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RR </w:t>
            </w:r>
          </w:p>
          <w:p w14:paraId="1D34B6D1"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(95% CI) </w:t>
            </w:r>
          </w:p>
        </w:tc>
        <w:tc>
          <w:tcPr>
            <w:tcW w:w="2168" w:type="dxa"/>
            <w:gridSpan w:val="4"/>
            <w:shd w:val="clear" w:color="auto" w:fill="auto"/>
            <w:vAlign w:val="center"/>
            <w:hideMark/>
          </w:tcPr>
          <w:p w14:paraId="0A562282"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Event rate/100 patients</w:t>
            </w:r>
            <w:r w:rsidRPr="002C3702">
              <w:rPr>
                <w:rFonts w:ascii="Arial Narrow" w:hAnsi="Arial Narrow" w:cs="Times New Roman"/>
                <w:b/>
                <w:bCs/>
                <w:sz w:val="16"/>
                <w:szCs w:val="16"/>
                <w:vertAlign w:val="superscript"/>
              </w:rPr>
              <w:t>a</w:t>
            </w:r>
            <w:r w:rsidRPr="002C3702">
              <w:rPr>
                <w:rFonts w:ascii="Arial Narrow" w:hAnsi="Arial Narrow" w:cs="Times New Roman"/>
                <w:b/>
                <w:bCs/>
                <w:sz w:val="16"/>
                <w:szCs w:val="16"/>
              </w:rPr>
              <w:t> </w:t>
            </w:r>
          </w:p>
        </w:tc>
        <w:tc>
          <w:tcPr>
            <w:tcW w:w="1703" w:type="dxa"/>
            <w:vMerge w:val="restart"/>
            <w:shd w:val="clear" w:color="auto" w:fill="auto"/>
            <w:vAlign w:val="center"/>
            <w:hideMark/>
          </w:tcPr>
          <w:p w14:paraId="257679A5"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RD </w:t>
            </w:r>
          </w:p>
          <w:p w14:paraId="4D256D0E"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(95% CI) </w:t>
            </w:r>
          </w:p>
        </w:tc>
      </w:tr>
      <w:tr w:rsidR="00722E88" w:rsidRPr="002C3702" w14:paraId="1EA45877" w14:textId="77777777" w:rsidTr="00D4084D">
        <w:trPr>
          <w:trHeight w:val="390"/>
        </w:trPr>
        <w:tc>
          <w:tcPr>
            <w:tcW w:w="1557" w:type="dxa"/>
            <w:vMerge/>
            <w:vAlign w:val="center"/>
            <w:hideMark/>
          </w:tcPr>
          <w:p w14:paraId="31BB8E5C" w14:textId="77777777" w:rsidR="00722E88" w:rsidRPr="002C3702" w:rsidRDefault="00722E88" w:rsidP="00821FA2">
            <w:pPr>
              <w:keepNext/>
              <w:jc w:val="left"/>
              <w:rPr>
                <w:rFonts w:ascii="Times New Roman" w:hAnsi="Times New Roman" w:cs="Times New Roman"/>
                <w:b/>
                <w:bCs/>
              </w:rPr>
            </w:pPr>
          </w:p>
        </w:tc>
        <w:tc>
          <w:tcPr>
            <w:tcW w:w="1128" w:type="dxa"/>
            <w:vMerge/>
            <w:vAlign w:val="center"/>
            <w:hideMark/>
          </w:tcPr>
          <w:p w14:paraId="03513C7D" w14:textId="77777777" w:rsidR="00722E88" w:rsidRPr="002C3702" w:rsidRDefault="00722E88" w:rsidP="00821FA2">
            <w:pPr>
              <w:keepNext/>
              <w:jc w:val="left"/>
              <w:rPr>
                <w:rFonts w:ascii="Times New Roman" w:hAnsi="Times New Roman" w:cs="Times New Roman"/>
                <w:b/>
                <w:bCs/>
              </w:rPr>
            </w:pPr>
          </w:p>
        </w:tc>
        <w:tc>
          <w:tcPr>
            <w:tcW w:w="1113" w:type="dxa"/>
            <w:vMerge/>
            <w:vAlign w:val="center"/>
            <w:hideMark/>
          </w:tcPr>
          <w:p w14:paraId="5E8A2B73" w14:textId="77777777" w:rsidR="00722E88" w:rsidRPr="002C3702" w:rsidRDefault="00722E88" w:rsidP="00821FA2">
            <w:pPr>
              <w:keepNext/>
              <w:jc w:val="left"/>
              <w:rPr>
                <w:rFonts w:ascii="Times New Roman" w:hAnsi="Times New Roman" w:cs="Times New Roman"/>
                <w:b/>
                <w:bCs/>
              </w:rPr>
            </w:pPr>
          </w:p>
        </w:tc>
        <w:tc>
          <w:tcPr>
            <w:tcW w:w="0" w:type="auto"/>
            <w:gridSpan w:val="2"/>
            <w:vMerge/>
            <w:vAlign w:val="center"/>
            <w:hideMark/>
          </w:tcPr>
          <w:p w14:paraId="75B1C2C7" w14:textId="77777777" w:rsidR="00722E88" w:rsidRPr="002C3702" w:rsidRDefault="00722E88" w:rsidP="00821FA2">
            <w:pPr>
              <w:keepNext/>
              <w:jc w:val="left"/>
              <w:rPr>
                <w:rFonts w:ascii="Times New Roman" w:hAnsi="Times New Roman" w:cs="Times New Roman"/>
                <w:b/>
                <w:bCs/>
              </w:rPr>
            </w:pPr>
          </w:p>
        </w:tc>
        <w:tc>
          <w:tcPr>
            <w:tcW w:w="1115" w:type="dxa"/>
            <w:gridSpan w:val="2"/>
            <w:shd w:val="clear" w:color="auto" w:fill="auto"/>
            <w:hideMark/>
          </w:tcPr>
          <w:p w14:paraId="3F8A41A2"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ABE + ET </w:t>
            </w:r>
          </w:p>
        </w:tc>
        <w:tc>
          <w:tcPr>
            <w:tcW w:w="1053" w:type="dxa"/>
            <w:gridSpan w:val="2"/>
            <w:shd w:val="clear" w:color="auto" w:fill="auto"/>
            <w:hideMark/>
          </w:tcPr>
          <w:p w14:paraId="3604A8B6" w14:textId="77777777" w:rsidR="00722E88" w:rsidRPr="002C3702" w:rsidRDefault="00722E88" w:rsidP="00821FA2">
            <w:pPr>
              <w:keepNext/>
              <w:jc w:val="center"/>
              <w:textAlignment w:val="baseline"/>
              <w:rPr>
                <w:rFonts w:ascii="Times New Roman" w:hAnsi="Times New Roman" w:cs="Times New Roman"/>
                <w:b/>
                <w:bCs/>
              </w:rPr>
            </w:pPr>
            <w:r w:rsidRPr="002C3702">
              <w:rPr>
                <w:rFonts w:ascii="Arial Narrow" w:hAnsi="Arial Narrow" w:cs="Times New Roman"/>
                <w:b/>
                <w:bCs/>
                <w:sz w:val="20"/>
                <w:szCs w:val="20"/>
              </w:rPr>
              <w:t>ET </w:t>
            </w:r>
          </w:p>
        </w:tc>
        <w:tc>
          <w:tcPr>
            <w:tcW w:w="0" w:type="auto"/>
            <w:vMerge/>
            <w:vAlign w:val="center"/>
            <w:hideMark/>
          </w:tcPr>
          <w:p w14:paraId="6BC9252E" w14:textId="77777777" w:rsidR="00722E88" w:rsidRPr="002C3702" w:rsidRDefault="00722E88" w:rsidP="00821FA2">
            <w:pPr>
              <w:keepNext/>
              <w:jc w:val="left"/>
              <w:rPr>
                <w:rFonts w:ascii="Times New Roman" w:hAnsi="Times New Roman" w:cs="Times New Roman"/>
                <w:b/>
                <w:bCs/>
              </w:rPr>
            </w:pPr>
          </w:p>
        </w:tc>
      </w:tr>
      <w:tr w:rsidR="00722E88" w:rsidRPr="002C3702" w14:paraId="1E3B0F1F" w14:textId="77777777" w:rsidTr="00D4084D">
        <w:trPr>
          <w:trHeight w:val="300"/>
        </w:trPr>
        <w:tc>
          <w:tcPr>
            <w:tcW w:w="1557" w:type="dxa"/>
            <w:shd w:val="clear" w:color="auto" w:fill="95B3D7" w:themeFill="accent1" w:themeFillTint="99"/>
            <w:vAlign w:val="center"/>
            <w:hideMark/>
          </w:tcPr>
          <w:p w14:paraId="21E27F5C" w14:textId="77777777" w:rsidR="00722E88" w:rsidRPr="002C3702" w:rsidRDefault="00722E88" w:rsidP="00821FA2">
            <w:pPr>
              <w:keepNext/>
              <w:jc w:val="left"/>
              <w:textAlignment w:val="baseline"/>
              <w:rPr>
                <w:rFonts w:ascii="Times New Roman" w:hAnsi="Times New Roman" w:cs="Times New Roman"/>
              </w:rPr>
            </w:pPr>
            <w:r w:rsidRPr="002C3702">
              <w:rPr>
                <w:rFonts w:ascii="Arial Narrow" w:hAnsi="Arial Narrow" w:cs="Times New Roman"/>
                <w:sz w:val="20"/>
                <w:szCs w:val="20"/>
              </w:rPr>
              <w:t>Grade ≥ 3 TEAE </w:t>
            </w:r>
          </w:p>
        </w:tc>
        <w:tc>
          <w:tcPr>
            <w:tcW w:w="1128" w:type="dxa"/>
            <w:shd w:val="clear" w:color="auto" w:fill="95B3D7" w:themeFill="accent1" w:themeFillTint="99"/>
            <w:vAlign w:val="center"/>
            <w:hideMark/>
          </w:tcPr>
          <w:p w14:paraId="093CB3C2"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1393/2791 </w:t>
            </w:r>
          </w:p>
        </w:tc>
        <w:tc>
          <w:tcPr>
            <w:tcW w:w="1113" w:type="dxa"/>
            <w:shd w:val="clear" w:color="auto" w:fill="95B3D7" w:themeFill="accent1" w:themeFillTint="99"/>
            <w:vAlign w:val="center"/>
            <w:hideMark/>
          </w:tcPr>
          <w:p w14:paraId="78C8C9F4"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472/2800 </w:t>
            </w:r>
          </w:p>
        </w:tc>
        <w:tc>
          <w:tcPr>
            <w:tcW w:w="1341" w:type="dxa"/>
            <w:gridSpan w:val="2"/>
            <w:shd w:val="clear" w:color="auto" w:fill="95B3D7" w:themeFill="accent1" w:themeFillTint="99"/>
            <w:vAlign w:val="center"/>
            <w:hideMark/>
          </w:tcPr>
          <w:p w14:paraId="49F8837C"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bCs/>
                <w:sz w:val="20"/>
                <w:szCs w:val="20"/>
              </w:rPr>
              <w:t>2.96 (2.71, 3.24)</w:t>
            </w:r>
            <w:r w:rsidRPr="002C3702">
              <w:rPr>
                <w:rFonts w:ascii="Arial Narrow" w:hAnsi="Arial Narrow" w:cs="Times New Roman"/>
                <w:sz w:val="20"/>
                <w:szCs w:val="20"/>
              </w:rPr>
              <w:t> </w:t>
            </w:r>
          </w:p>
        </w:tc>
        <w:tc>
          <w:tcPr>
            <w:tcW w:w="1115" w:type="dxa"/>
            <w:gridSpan w:val="2"/>
            <w:shd w:val="clear" w:color="auto" w:fill="95B3D7" w:themeFill="accent1" w:themeFillTint="99"/>
            <w:vAlign w:val="center"/>
            <w:hideMark/>
          </w:tcPr>
          <w:p w14:paraId="5DD910F9"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49.9 </w:t>
            </w:r>
          </w:p>
        </w:tc>
        <w:tc>
          <w:tcPr>
            <w:tcW w:w="1053" w:type="dxa"/>
            <w:gridSpan w:val="2"/>
            <w:shd w:val="clear" w:color="auto" w:fill="95B3D7" w:themeFill="accent1" w:themeFillTint="99"/>
            <w:vAlign w:val="center"/>
            <w:hideMark/>
          </w:tcPr>
          <w:p w14:paraId="6B6D13FE"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16.9 </w:t>
            </w:r>
          </w:p>
        </w:tc>
        <w:tc>
          <w:tcPr>
            <w:tcW w:w="1703" w:type="dxa"/>
            <w:shd w:val="clear" w:color="auto" w:fill="95B3D7" w:themeFill="accent1" w:themeFillTint="99"/>
            <w:vAlign w:val="center"/>
            <w:hideMark/>
          </w:tcPr>
          <w:p w14:paraId="52A4FAEC"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bCs/>
                <w:sz w:val="20"/>
                <w:szCs w:val="20"/>
              </w:rPr>
              <w:t>33.1 (30.74, 35.37)</w:t>
            </w:r>
            <w:r w:rsidRPr="002C3702">
              <w:rPr>
                <w:rFonts w:ascii="Arial Narrow" w:hAnsi="Arial Narrow" w:cs="Times New Roman"/>
                <w:sz w:val="20"/>
                <w:szCs w:val="20"/>
              </w:rPr>
              <w:t> </w:t>
            </w:r>
          </w:p>
        </w:tc>
      </w:tr>
      <w:tr w:rsidR="00722E88" w:rsidRPr="002C3702" w14:paraId="6D381EC8" w14:textId="77777777" w:rsidTr="00D4084D">
        <w:trPr>
          <w:trHeight w:val="300"/>
        </w:trPr>
        <w:tc>
          <w:tcPr>
            <w:tcW w:w="1557" w:type="dxa"/>
            <w:shd w:val="clear" w:color="auto" w:fill="95B3D7" w:themeFill="accent1" w:themeFillTint="99"/>
            <w:vAlign w:val="center"/>
            <w:hideMark/>
          </w:tcPr>
          <w:p w14:paraId="5ABFD481" w14:textId="77777777" w:rsidR="00722E88" w:rsidRPr="002C3702" w:rsidRDefault="00722E88" w:rsidP="00821FA2">
            <w:pPr>
              <w:keepNext/>
              <w:jc w:val="left"/>
              <w:textAlignment w:val="baseline"/>
              <w:rPr>
                <w:rFonts w:ascii="Times New Roman" w:hAnsi="Times New Roman" w:cs="Times New Roman"/>
              </w:rPr>
            </w:pPr>
            <w:r w:rsidRPr="002C3702">
              <w:rPr>
                <w:rFonts w:ascii="Arial Narrow" w:hAnsi="Arial Narrow" w:cs="Times New Roman"/>
                <w:sz w:val="20"/>
                <w:szCs w:val="20"/>
              </w:rPr>
              <w:t>TE-SAE </w:t>
            </w:r>
          </w:p>
        </w:tc>
        <w:tc>
          <w:tcPr>
            <w:tcW w:w="1128" w:type="dxa"/>
            <w:shd w:val="clear" w:color="auto" w:fill="95B3D7" w:themeFill="accent1" w:themeFillTint="99"/>
            <w:vAlign w:val="center"/>
            <w:hideMark/>
          </w:tcPr>
          <w:p w14:paraId="0C483434"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433/2791 </w:t>
            </w:r>
          </w:p>
        </w:tc>
        <w:tc>
          <w:tcPr>
            <w:tcW w:w="1113" w:type="dxa"/>
            <w:shd w:val="clear" w:color="auto" w:fill="95B3D7" w:themeFill="accent1" w:themeFillTint="99"/>
            <w:vAlign w:val="center"/>
            <w:hideMark/>
          </w:tcPr>
          <w:p w14:paraId="4907727A"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256/2800 </w:t>
            </w:r>
          </w:p>
        </w:tc>
        <w:tc>
          <w:tcPr>
            <w:tcW w:w="1341" w:type="dxa"/>
            <w:gridSpan w:val="2"/>
            <w:shd w:val="clear" w:color="auto" w:fill="95B3D7" w:themeFill="accent1" w:themeFillTint="99"/>
            <w:vAlign w:val="center"/>
            <w:hideMark/>
          </w:tcPr>
          <w:p w14:paraId="3DBF8604"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bCs/>
                <w:sz w:val="20"/>
                <w:szCs w:val="20"/>
              </w:rPr>
              <w:t>1.70 (1.47, 1.96)</w:t>
            </w:r>
            <w:r w:rsidRPr="002C3702">
              <w:rPr>
                <w:rFonts w:ascii="Arial Narrow" w:hAnsi="Arial Narrow" w:cs="Times New Roman"/>
                <w:sz w:val="20"/>
                <w:szCs w:val="20"/>
              </w:rPr>
              <w:t> </w:t>
            </w:r>
          </w:p>
        </w:tc>
        <w:tc>
          <w:tcPr>
            <w:tcW w:w="1115" w:type="dxa"/>
            <w:gridSpan w:val="2"/>
            <w:shd w:val="clear" w:color="auto" w:fill="95B3D7" w:themeFill="accent1" w:themeFillTint="99"/>
            <w:vAlign w:val="center"/>
            <w:hideMark/>
          </w:tcPr>
          <w:p w14:paraId="77851D2B"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15.5 </w:t>
            </w:r>
          </w:p>
        </w:tc>
        <w:tc>
          <w:tcPr>
            <w:tcW w:w="1053" w:type="dxa"/>
            <w:gridSpan w:val="2"/>
            <w:shd w:val="clear" w:color="auto" w:fill="95B3D7" w:themeFill="accent1" w:themeFillTint="99"/>
            <w:vAlign w:val="center"/>
            <w:hideMark/>
          </w:tcPr>
          <w:p w14:paraId="48BCF308"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9.1 </w:t>
            </w:r>
          </w:p>
        </w:tc>
        <w:tc>
          <w:tcPr>
            <w:tcW w:w="1703" w:type="dxa"/>
            <w:shd w:val="clear" w:color="auto" w:fill="95B3D7" w:themeFill="accent1" w:themeFillTint="99"/>
            <w:vAlign w:val="center"/>
            <w:hideMark/>
          </w:tcPr>
          <w:p w14:paraId="13C44FDA"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bCs/>
                <w:sz w:val="20"/>
                <w:szCs w:val="20"/>
              </w:rPr>
              <w:t>6.4 (4.66, 8.09)</w:t>
            </w:r>
            <w:r w:rsidRPr="002C3702">
              <w:rPr>
                <w:rFonts w:ascii="Arial Narrow" w:hAnsi="Arial Narrow" w:cs="Times New Roman"/>
                <w:sz w:val="20"/>
                <w:szCs w:val="20"/>
              </w:rPr>
              <w:t> </w:t>
            </w:r>
          </w:p>
        </w:tc>
      </w:tr>
      <w:tr w:rsidR="00722E88" w:rsidRPr="002C3702" w14:paraId="78B96CE5" w14:textId="77777777" w:rsidTr="00D4084D">
        <w:trPr>
          <w:trHeight w:val="300"/>
        </w:trPr>
        <w:tc>
          <w:tcPr>
            <w:tcW w:w="1557" w:type="dxa"/>
            <w:shd w:val="clear" w:color="auto" w:fill="95B3D7" w:themeFill="accent1" w:themeFillTint="99"/>
          </w:tcPr>
          <w:p w14:paraId="4595A213" w14:textId="208D9297" w:rsidR="00722E88" w:rsidRPr="002C3702" w:rsidRDefault="00722E88" w:rsidP="00821FA2">
            <w:pPr>
              <w:pStyle w:val="TableText0"/>
              <w:rPr>
                <w:rFonts w:cs="Times New Roman"/>
                <w:szCs w:val="20"/>
              </w:rPr>
            </w:pPr>
            <w:r w:rsidRPr="002C3702">
              <w:t xml:space="preserve">Discontinuation due to AE </w:t>
            </w:r>
          </w:p>
        </w:tc>
        <w:tc>
          <w:tcPr>
            <w:tcW w:w="1128" w:type="dxa"/>
            <w:shd w:val="clear" w:color="auto" w:fill="95B3D7" w:themeFill="accent1" w:themeFillTint="99"/>
          </w:tcPr>
          <w:p w14:paraId="18778FAB" w14:textId="723D5C3B" w:rsidR="00722E88" w:rsidRPr="002C3702" w:rsidRDefault="00722E88" w:rsidP="00821FA2">
            <w:pPr>
              <w:pStyle w:val="TableText0"/>
              <w:jc w:val="center"/>
              <w:rPr>
                <w:rFonts w:cs="Times New Roman"/>
                <w:szCs w:val="20"/>
              </w:rPr>
            </w:pPr>
            <w:r w:rsidRPr="002C3702">
              <w:t>180/2791</w:t>
            </w:r>
          </w:p>
        </w:tc>
        <w:tc>
          <w:tcPr>
            <w:tcW w:w="1113" w:type="dxa"/>
            <w:shd w:val="clear" w:color="auto" w:fill="95B3D7" w:themeFill="accent1" w:themeFillTint="99"/>
          </w:tcPr>
          <w:p w14:paraId="3DCF41A7" w14:textId="3708382C" w:rsidR="00722E88" w:rsidRPr="002C3702" w:rsidRDefault="00722E88" w:rsidP="00821FA2">
            <w:pPr>
              <w:pStyle w:val="TableText0"/>
              <w:jc w:val="center"/>
              <w:rPr>
                <w:rFonts w:cs="Times New Roman"/>
                <w:szCs w:val="20"/>
              </w:rPr>
            </w:pPr>
            <w:r w:rsidRPr="002C3702">
              <w:t>30/2800</w:t>
            </w:r>
          </w:p>
        </w:tc>
        <w:tc>
          <w:tcPr>
            <w:tcW w:w="1341" w:type="dxa"/>
            <w:gridSpan w:val="2"/>
            <w:shd w:val="clear" w:color="auto" w:fill="95B3D7" w:themeFill="accent1" w:themeFillTint="99"/>
            <w:vAlign w:val="center"/>
          </w:tcPr>
          <w:p w14:paraId="7811DD75" w14:textId="77777777" w:rsidR="00722E88" w:rsidRPr="002C3702" w:rsidRDefault="00722E88" w:rsidP="00821FA2">
            <w:pPr>
              <w:pStyle w:val="TableText0"/>
              <w:jc w:val="center"/>
              <w:rPr>
                <w:b/>
              </w:rPr>
            </w:pPr>
            <w:r w:rsidRPr="002C3702">
              <w:rPr>
                <w:b/>
              </w:rPr>
              <w:t>6.02 (4.10, 8.82)</w:t>
            </w:r>
          </w:p>
          <w:p w14:paraId="531675CA" w14:textId="77777777" w:rsidR="00722E88" w:rsidRPr="002C3702" w:rsidRDefault="00722E88" w:rsidP="00821FA2">
            <w:pPr>
              <w:pStyle w:val="TableText0"/>
              <w:jc w:val="center"/>
              <w:rPr>
                <w:rFonts w:cs="Times New Roman"/>
                <w:b/>
                <w:szCs w:val="20"/>
              </w:rPr>
            </w:pPr>
          </w:p>
        </w:tc>
        <w:tc>
          <w:tcPr>
            <w:tcW w:w="1115" w:type="dxa"/>
            <w:gridSpan w:val="2"/>
            <w:shd w:val="clear" w:color="auto" w:fill="95B3D7" w:themeFill="accent1" w:themeFillTint="99"/>
            <w:vAlign w:val="center"/>
          </w:tcPr>
          <w:p w14:paraId="1FB1A339" w14:textId="67A123D0" w:rsidR="00722E88" w:rsidRPr="002C3702" w:rsidRDefault="00722E88" w:rsidP="00821FA2">
            <w:pPr>
              <w:pStyle w:val="TableText0"/>
              <w:jc w:val="center"/>
              <w:rPr>
                <w:rFonts w:cs="Times New Roman"/>
                <w:szCs w:val="20"/>
              </w:rPr>
            </w:pPr>
            <w:r w:rsidRPr="002C3702">
              <w:rPr>
                <w:rFonts w:cs="Times New Roman"/>
              </w:rPr>
              <w:t>6.4</w:t>
            </w:r>
          </w:p>
        </w:tc>
        <w:tc>
          <w:tcPr>
            <w:tcW w:w="1053" w:type="dxa"/>
            <w:gridSpan w:val="2"/>
            <w:shd w:val="clear" w:color="auto" w:fill="95B3D7" w:themeFill="accent1" w:themeFillTint="99"/>
            <w:vAlign w:val="center"/>
          </w:tcPr>
          <w:p w14:paraId="7CCF7734" w14:textId="2BE7E3BE" w:rsidR="00722E88" w:rsidRPr="002C3702" w:rsidRDefault="00722E88" w:rsidP="00821FA2">
            <w:pPr>
              <w:pStyle w:val="TableText0"/>
              <w:jc w:val="center"/>
              <w:rPr>
                <w:rFonts w:cs="Times New Roman"/>
                <w:szCs w:val="20"/>
              </w:rPr>
            </w:pPr>
            <w:r w:rsidRPr="002C3702">
              <w:rPr>
                <w:rFonts w:cs="Times New Roman"/>
              </w:rPr>
              <w:t>1.1</w:t>
            </w:r>
          </w:p>
        </w:tc>
        <w:tc>
          <w:tcPr>
            <w:tcW w:w="1703" w:type="dxa"/>
            <w:shd w:val="clear" w:color="auto" w:fill="95B3D7" w:themeFill="accent1" w:themeFillTint="99"/>
            <w:vAlign w:val="center"/>
          </w:tcPr>
          <w:p w14:paraId="3E1CFA41" w14:textId="1F1FAD58" w:rsidR="00722E88" w:rsidRPr="002C3702" w:rsidRDefault="00722E88" w:rsidP="00821FA2">
            <w:pPr>
              <w:pStyle w:val="TableText0"/>
              <w:jc w:val="center"/>
              <w:rPr>
                <w:rFonts w:cs="Times New Roman"/>
                <w:b/>
                <w:szCs w:val="20"/>
              </w:rPr>
            </w:pPr>
            <w:r w:rsidRPr="002C3702">
              <w:rPr>
                <w:b/>
              </w:rPr>
              <w:t>5.4 (4.39, 6.37)</w:t>
            </w:r>
          </w:p>
        </w:tc>
      </w:tr>
      <w:tr w:rsidR="00722E88" w:rsidRPr="002C3702" w14:paraId="2F0A0AE3" w14:textId="77777777" w:rsidTr="00D4084D">
        <w:trPr>
          <w:trHeight w:val="300"/>
        </w:trPr>
        <w:tc>
          <w:tcPr>
            <w:tcW w:w="1557" w:type="dxa"/>
            <w:shd w:val="clear" w:color="auto" w:fill="95B3D7" w:themeFill="accent1" w:themeFillTint="99"/>
            <w:hideMark/>
          </w:tcPr>
          <w:p w14:paraId="45413AFE" w14:textId="77777777" w:rsidR="00722E88" w:rsidRPr="002C3702" w:rsidRDefault="00722E88" w:rsidP="00821FA2">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diarrhoea</w:t>
            </w:r>
            <w:r w:rsidRPr="002C3702">
              <w:rPr>
                <w:rFonts w:ascii="Arial Narrow" w:hAnsi="Arial Narrow" w:cs="Times New Roman"/>
                <w:sz w:val="16"/>
                <w:szCs w:val="16"/>
                <w:vertAlign w:val="superscript"/>
              </w:rPr>
              <w:t>b</w:t>
            </w:r>
            <w:proofErr w:type="spellEnd"/>
            <w:r w:rsidRPr="002C3702">
              <w:rPr>
                <w:rFonts w:ascii="Arial Narrow" w:hAnsi="Arial Narrow" w:cs="Times New Roman"/>
                <w:sz w:val="16"/>
                <w:szCs w:val="16"/>
              </w:rPr>
              <w:t> </w:t>
            </w:r>
          </w:p>
        </w:tc>
        <w:tc>
          <w:tcPr>
            <w:tcW w:w="1128" w:type="dxa"/>
            <w:shd w:val="clear" w:color="auto" w:fill="95B3D7" w:themeFill="accent1" w:themeFillTint="99"/>
            <w:vAlign w:val="center"/>
            <w:hideMark/>
          </w:tcPr>
          <w:p w14:paraId="72810E18"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219/2791 </w:t>
            </w:r>
          </w:p>
        </w:tc>
        <w:tc>
          <w:tcPr>
            <w:tcW w:w="1113" w:type="dxa"/>
            <w:shd w:val="clear" w:color="auto" w:fill="95B3D7" w:themeFill="accent1" w:themeFillTint="99"/>
            <w:vAlign w:val="center"/>
            <w:hideMark/>
          </w:tcPr>
          <w:p w14:paraId="5C06972B"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6/2800 </w:t>
            </w:r>
          </w:p>
        </w:tc>
        <w:tc>
          <w:tcPr>
            <w:tcW w:w="1341" w:type="dxa"/>
            <w:gridSpan w:val="2"/>
            <w:shd w:val="clear" w:color="auto" w:fill="95B3D7" w:themeFill="accent1" w:themeFillTint="99"/>
            <w:vAlign w:val="center"/>
            <w:hideMark/>
          </w:tcPr>
          <w:p w14:paraId="03E22E8E"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sz w:val="20"/>
                <w:szCs w:val="20"/>
              </w:rPr>
              <w:t>36.62 (16.30, 82.26)</w:t>
            </w:r>
            <w:r w:rsidRPr="002C3702">
              <w:rPr>
                <w:rFonts w:ascii="Arial Narrow" w:hAnsi="Arial Narrow" w:cs="Times New Roman"/>
                <w:sz w:val="20"/>
                <w:szCs w:val="20"/>
              </w:rPr>
              <w:t> </w:t>
            </w:r>
          </w:p>
        </w:tc>
        <w:tc>
          <w:tcPr>
            <w:tcW w:w="1115" w:type="dxa"/>
            <w:gridSpan w:val="2"/>
            <w:shd w:val="clear" w:color="auto" w:fill="95B3D7" w:themeFill="accent1" w:themeFillTint="99"/>
            <w:vAlign w:val="center"/>
            <w:hideMark/>
          </w:tcPr>
          <w:p w14:paraId="1720C093"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7.8 </w:t>
            </w:r>
          </w:p>
        </w:tc>
        <w:tc>
          <w:tcPr>
            <w:tcW w:w="1053" w:type="dxa"/>
            <w:gridSpan w:val="2"/>
            <w:shd w:val="clear" w:color="auto" w:fill="95B3D7" w:themeFill="accent1" w:themeFillTint="99"/>
            <w:vAlign w:val="center"/>
            <w:hideMark/>
          </w:tcPr>
          <w:p w14:paraId="5E8889B6"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0.2 </w:t>
            </w:r>
          </w:p>
        </w:tc>
        <w:tc>
          <w:tcPr>
            <w:tcW w:w="1703" w:type="dxa"/>
            <w:shd w:val="clear" w:color="auto" w:fill="95B3D7" w:themeFill="accent1" w:themeFillTint="99"/>
            <w:vAlign w:val="center"/>
            <w:hideMark/>
          </w:tcPr>
          <w:p w14:paraId="371801CE"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sz w:val="20"/>
                <w:szCs w:val="20"/>
              </w:rPr>
              <w:t>7.63 (6.62, 8.64)</w:t>
            </w:r>
            <w:r w:rsidRPr="002C3702">
              <w:rPr>
                <w:rFonts w:ascii="Arial Narrow" w:hAnsi="Arial Narrow" w:cs="Times New Roman"/>
                <w:sz w:val="20"/>
                <w:szCs w:val="20"/>
              </w:rPr>
              <w:t> </w:t>
            </w:r>
          </w:p>
        </w:tc>
      </w:tr>
      <w:tr w:rsidR="00722E88" w:rsidRPr="002C3702" w14:paraId="4D901B56" w14:textId="77777777" w:rsidTr="00D4084D">
        <w:trPr>
          <w:trHeight w:val="300"/>
        </w:trPr>
        <w:tc>
          <w:tcPr>
            <w:tcW w:w="1557" w:type="dxa"/>
            <w:shd w:val="clear" w:color="auto" w:fill="95B3D7" w:themeFill="accent1" w:themeFillTint="99"/>
            <w:hideMark/>
          </w:tcPr>
          <w:p w14:paraId="2F507225" w14:textId="77777777" w:rsidR="00722E88" w:rsidRPr="002C3702" w:rsidRDefault="00722E88" w:rsidP="00821FA2">
            <w:pPr>
              <w:keepNext/>
              <w:jc w:val="left"/>
              <w:textAlignment w:val="baseline"/>
              <w:rPr>
                <w:rFonts w:ascii="Times New Roman" w:hAnsi="Times New Roman" w:cs="Times New Roman"/>
              </w:rPr>
            </w:pPr>
            <w:r w:rsidRPr="002C3702">
              <w:rPr>
                <w:rFonts w:ascii="Arial Narrow" w:hAnsi="Arial Narrow" w:cs="Times New Roman"/>
                <w:sz w:val="20"/>
                <w:szCs w:val="20"/>
              </w:rPr>
              <w:t xml:space="preserve">Grade ≥ 3 </w:t>
            </w:r>
            <w:proofErr w:type="spellStart"/>
            <w:r w:rsidRPr="002C3702">
              <w:rPr>
                <w:rFonts w:ascii="Arial Narrow" w:hAnsi="Arial Narrow" w:cs="Times New Roman"/>
                <w:sz w:val="20"/>
                <w:szCs w:val="20"/>
              </w:rPr>
              <w:t>neutropenia</w:t>
            </w:r>
            <w:r w:rsidRPr="002C3702">
              <w:rPr>
                <w:rFonts w:ascii="Arial Narrow" w:hAnsi="Arial Narrow" w:cs="Times New Roman"/>
                <w:sz w:val="16"/>
                <w:szCs w:val="16"/>
                <w:vertAlign w:val="superscript"/>
              </w:rPr>
              <w:t>b</w:t>
            </w:r>
            <w:proofErr w:type="spellEnd"/>
            <w:r w:rsidRPr="002C3702">
              <w:rPr>
                <w:rFonts w:ascii="Arial Narrow" w:hAnsi="Arial Narrow" w:cs="Times New Roman"/>
                <w:sz w:val="16"/>
                <w:szCs w:val="16"/>
              </w:rPr>
              <w:t> </w:t>
            </w:r>
          </w:p>
        </w:tc>
        <w:tc>
          <w:tcPr>
            <w:tcW w:w="1128" w:type="dxa"/>
            <w:shd w:val="clear" w:color="auto" w:fill="95B3D7" w:themeFill="accent1" w:themeFillTint="99"/>
            <w:vAlign w:val="center"/>
            <w:hideMark/>
          </w:tcPr>
          <w:p w14:paraId="3C37BA73"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546/2791 </w:t>
            </w:r>
          </w:p>
        </w:tc>
        <w:tc>
          <w:tcPr>
            <w:tcW w:w="1113" w:type="dxa"/>
            <w:shd w:val="clear" w:color="auto" w:fill="95B3D7" w:themeFill="accent1" w:themeFillTint="99"/>
            <w:vAlign w:val="center"/>
            <w:hideMark/>
          </w:tcPr>
          <w:p w14:paraId="40F8B2C8"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23/2800 </w:t>
            </w:r>
          </w:p>
        </w:tc>
        <w:tc>
          <w:tcPr>
            <w:tcW w:w="1341" w:type="dxa"/>
            <w:gridSpan w:val="2"/>
            <w:shd w:val="clear" w:color="auto" w:fill="95B3D7" w:themeFill="accent1" w:themeFillTint="99"/>
            <w:vAlign w:val="center"/>
            <w:hideMark/>
          </w:tcPr>
          <w:p w14:paraId="1FEF76CE"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sz w:val="20"/>
                <w:szCs w:val="20"/>
              </w:rPr>
              <w:t>23.82 (15.74, 36.03)</w:t>
            </w:r>
            <w:r w:rsidRPr="002C3702">
              <w:rPr>
                <w:rFonts w:ascii="Arial Narrow" w:hAnsi="Arial Narrow" w:cs="Times New Roman"/>
                <w:sz w:val="20"/>
                <w:szCs w:val="20"/>
              </w:rPr>
              <w:t> </w:t>
            </w:r>
          </w:p>
        </w:tc>
        <w:tc>
          <w:tcPr>
            <w:tcW w:w="1115" w:type="dxa"/>
            <w:gridSpan w:val="2"/>
            <w:shd w:val="clear" w:color="auto" w:fill="95B3D7" w:themeFill="accent1" w:themeFillTint="99"/>
            <w:vAlign w:val="center"/>
            <w:hideMark/>
          </w:tcPr>
          <w:p w14:paraId="40AD6FA3"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19.6 </w:t>
            </w:r>
          </w:p>
        </w:tc>
        <w:tc>
          <w:tcPr>
            <w:tcW w:w="1053" w:type="dxa"/>
            <w:gridSpan w:val="2"/>
            <w:shd w:val="clear" w:color="auto" w:fill="95B3D7" w:themeFill="accent1" w:themeFillTint="99"/>
            <w:vAlign w:val="center"/>
            <w:hideMark/>
          </w:tcPr>
          <w:p w14:paraId="58A09FE6"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sz w:val="20"/>
                <w:szCs w:val="20"/>
              </w:rPr>
              <w:t>0.8 </w:t>
            </w:r>
          </w:p>
        </w:tc>
        <w:tc>
          <w:tcPr>
            <w:tcW w:w="1703" w:type="dxa"/>
            <w:shd w:val="clear" w:color="auto" w:fill="95B3D7" w:themeFill="accent1" w:themeFillTint="99"/>
            <w:vAlign w:val="center"/>
            <w:hideMark/>
          </w:tcPr>
          <w:p w14:paraId="252312AC" w14:textId="77777777" w:rsidR="00722E88" w:rsidRPr="002C3702" w:rsidRDefault="00722E88" w:rsidP="00821FA2">
            <w:pPr>
              <w:keepNext/>
              <w:jc w:val="center"/>
              <w:textAlignment w:val="baseline"/>
              <w:rPr>
                <w:rFonts w:ascii="Times New Roman" w:hAnsi="Times New Roman" w:cs="Times New Roman"/>
              </w:rPr>
            </w:pPr>
            <w:r w:rsidRPr="002C3702">
              <w:rPr>
                <w:rFonts w:ascii="Arial Narrow" w:hAnsi="Arial Narrow" w:cs="Times New Roman"/>
                <w:b/>
                <w:sz w:val="20"/>
                <w:szCs w:val="20"/>
              </w:rPr>
              <w:t>18.74 (17.23, 20.24)</w:t>
            </w:r>
            <w:r w:rsidRPr="002C3702">
              <w:rPr>
                <w:rFonts w:ascii="Arial Narrow" w:hAnsi="Arial Narrow" w:cs="Times New Roman"/>
                <w:sz w:val="20"/>
                <w:szCs w:val="20"/>
              </w:rPr>
              <w:t> </w:t>
            </w:r>
          </w:p>
        </w:tc>
      </w:tr>
    </w:tbl>
    <w:p w14:paraId="2C759DB1" w14:textId="2F3993CF" w:rsidR="00030CC5" w:rsidRPr="002C3702" w:rsidRDefault="00030CC5" w:rsidP="00821FA2">
      <w:pPr>
        <w:keepNext/>
        <w:textAlignment w:val="baseline"/>
        <w:rPr>
          <w:rFonts w:ascii="Arial Narrow" w:hAnsi="Arial Narrow" w:cs="Segoe UI"/>
          <w:sz w:val="18"/>
          <w:szCs w:val="18"/>
        </w:rPr>
      </w:pPr>
      <w:r w:rsidRPr="002C3702">
        <w:rPr>
          <w:rFonts w:ascii="Arial Narrow" w:hAnsi="Arial Narrow" w:cs="Segoe UI"/>
          <w:sz w:val="18"/>
          <w:szCs w:val="18"/>
        </w:rPr>
        <w:t xml:space="preserve">Source: Table 2-51, p133 of </w:t>
      </w:r>
      <w:r w:rsidR="004E6E39" w:rsidRPr="002C3702">
        <w:rPr>
          <w:rFonts w:ascii="Arial Narrow" w:hAnsi="Arial Narrow" w:cs="Segoe UI"/>
          <w:sz w:val="18"/>
          <w:szCs w:val="18"/>
        </w:rPr>
        <w:t>t</w:t>
      </w:r>
      <w:r w:rsidR="00F3345B" w:rsidRPr="002C3702">
        <w:rPr>
          <w:rFonts w:ascii="Arial Narrow" w:hAnsi="Arial Narrow" w:cs="Segoe UI"/>
          <w:sz w:val="18"/>
          <w:szCs w:val="18"/>
        </w:rPr>
        <w:t>he March 2023 resubmission</w:t>
      </w:r>
      <w:r w:rsidRPr="002C3702">
        <w:rPr>
          <w:rFonts w:ascii="Arial Narrow" w:hAnsi="Arial Narrow" w:cs="Segoe UI"/>
          <w:sz w:val="18"/>
          <w:szCs w:val="18"/>
        </w:rPr>
        <w:t xml:space="preserve">, Table 2-52, p135 of </w:t>
      </w:r>
      <w:r w:rsidR="004E6E39" w:rsidRPr="002C3702">
        <w:rPr>
          <w:rFonts w:ascii="Arial Narrow" w:hAnsi="Arial Narrow" w:cs="Segoe UI"/>
          <w:sz w:val="18"/>
          <w:szCs w:val="18"/>
        </w:rPr>
        <w:t>t</w:t>
      </w:r>
      <w:r w:rsidR="00F3345B" w:rsidRPr="002C3702">
        <w:rPr>
          <w:rFonts w:ascii="Arial Narrow" w:hAnsi="Arial Narrow" w:cs="Segoe UI"/>
          <w:sz w:val="18"/>
          <w:szCs w:val="18"/>
        </w:rPr>
        <w:t>he March 2023 resubmission</w:t>
      </w:r>
      <w:r w:rsidR="00CE483D" w:rsidRPr="002C3702">
        <w:rPr>
          <w:rFonts w:ascii="Arial Narrow" w:hAnsi="Arial Narrow" w:cs="Segoe UI"/>
          <w:sz w:val="18"/>
          <w:szCs w:val="18"/>
        </w:rPr>
        <w:t>, PSCR (Attachment 1)</w:t>
      </w:r>
    </w:p>
    <w:p w14:paraId="372F54E9" w14:textId="2D65C0E5" w:rsidR="00030CC5" w:rsidRPr="002C3702" w:rsidRDefault="00030CC5" w:rsidP="00821FA2">
      <w:pPr>
        <w:keepNext/>
        <w:textAlignment w:val="baseline"/>
        <w:rPr>
          <w:rFonts w:ascii="Segoe UI" w:hAnsi="Segoe UI" w:cs="Segoe UI"/>
          <w:sz w:val="18"/>
          <w:szCs w:val="18"/>
        </w:rPr>
      </w:pPr>
      <w:r w:rsidRPr="002C3702">
        <w:rPr>
          <w:rFonts w:ascii="Arial Narrow" w:hAnsi="Arial Narrow" w:cs="Segoe UI"/>
          <w:sz w:val="18"/>
          <w:szCs w:val="18"/>
        </w:rPr>
        <w:t>ABE = abemaciclib, CI = confidence interval, DRFS = distant relapse-free survival, ET = endocrine therapy, HR = hazard ratio</w:t>
      </w:r>
      <w:r w:rsidR="0006201A" w:rsidRPr="002C3702">
        <w:rPr>
          <w:rFonts w:ascii="Arial Narrow" w:hAnsi="Arial Narrow" w:cs="Segoe UI"/>
          <w:sz w:val="18"/>
          <w:szCs w:val="18"/>
        </w:rPr>
        <w:t>,</w:t>
      </w:r>
      <w:r w:rsidRPr="002C3702">
        <w:rPr>
          <w:rFonts w:ascii="Arial Narrow" w:hAnsi="Arial Narrow" w:cs="Segoe UI"/>
          <w:sz w:val="18"/>
          <w:szCs w:val="18"/>
        </w:rPr>
        <w:t xml:space="preserve"> IDFS = invasive disease-free survival, n = number of participants reporting data,  N = total participants in group, NA = not available (not reached), </w:t>
      </w:r>
      <w:r w:rsidRPr="002C3702">
        <w:rPr>
          <w:rFonts w:ascii="Arial Narrow" w:hAnsi="Arial Narrow" w:cs="Segoe UI"/>
          <w:sz w:val="18"/>
          <w:szCs w:val="18"/>
        </w:rPr>
        <w:lastRenderedPageBreak/>
        <w:t>OS = overall survival, RD = risk difference, RR = risk ratio, TEAE = treatment emergent adverse event, TE-SAE = treatment emergent serious adverse event</w:t>
      </w:r>
      <w:r w:rsidR="002C3702">
        <w:rPr>
          <w:rFonts w:ascii="Arial Narrow" w:hAnsi="Arial Narrow" w:cs="Segoe UI"/>
          <w:sz w:val="18"/>
          <w:szCs w:val="18"/>
        </w:rPr>
        <w:t xml:space="preserve">. </w:t>
      </w:r>
    </w:p>
    <w:p w14:paraId="2DD93EAB" w14:textId="33A5D228" w:rsidR="00030CC5" w:rsidRPr="002C3702" w:rsidRDefault="00030CC5" w:rsidP="00821FA2">
      <w:pPr>
        <w:keepNext/>
        <w:textAlignment w:val="baseline"/>
        <w:rPr>
          <w:rFonts w:ascii="Segoe UI" w:hAnsi="Segoe UI" w:cs="Segoe UI"/>
          <w:sz w:val="18"/>
          <w:szCs w:val="18"/>
        </w:rPr>
      </w:pPr>
      <w:r w:rsidRPr="002C3702">
        <w:rPr>
          <w:rFonts w:ascii="Arial Narrow" w:hAnsi="Arial Narrow" w:cs="Segoe UI"/>
          <w:sz w:val="18"/>
          <w:szCs w:val="18"/>
        </w:rPr>
        <w:t xml:space="preserve">Notes: </w:t>
      </w:r>
      <w:r w:rsidRPr="002C3702">
        <w:rPr>
          <w:rFonts w:ascii="Arial Narrow" w:hAnsi="Arial Narrow" w:cs="Segoe UI"/>
          <w:b/>
          <w:bCs/>
          <w:sz w:val="18"/>
          <w:szCs w:val="18"/>
        </w:rPr>
        <w:t>Bold</w:t>
      </w:r>
      <w:r w:rsidRPr="002C3702">
        <w:rPr>
          <w:rFonts w:ascii="Arial Narrow" w:hAnsi="Arial Narrow" w:cs="Segoe UI"/>
          <w:sz w:val="18"/>
          <w:szCs w:val="18"/>
        </w:rPr>
        <w:t xml:space="preserve"> indicated statistically significant results</w:t>
      </w:r>
      <w:r w:rsidR="002C3702">
        <w:rPr>
          <w:rFonts w:ascii="Arial Narrow" w:hAnsi="Arial Narrow" w:cs="Segoe UI"/>
          <w:sz w:val="18"/>
          <w:szCs w:val="18"/>
        </w:rPr>
        <w:t xml:space="preserve">. </w:t>
      </w:r>
    </w:p>
    <w:p w14:paraId="0245FFAA" w14:textId="7B7C0E83" w:rsidR="00030CC5" w:rsidRPr="002C3702" w:rsidRDefault="00030CC5" w:rsidP="00821FA2">
      <w:pPr>
        <w:keepNext/>
        <w:textAlignment w:val="baseline"/>
        <w:rPr>
          <w:rFonts w:ascii="Segoe UI" w:hAnsi="Segoe UI" w:cs="Segoe UI"/>
          <w:iCs/>
          <w:sz w:val="18"/>
          <w:szCs w:val="18"/>
        </w:rPr>
      </w:pPr>
      <w:r w:rsidRPr="002C3702">
        <w:rPr>
          <w:rFonts w:ascii="Arial Narrow" w:hAnsi="Arial Narrow" w:cs="Segoe UI"/>
          <w:iCs/>
          <w:sz w:val="18"/>
          <w:szCs w:val="18"/>
          <w:shd w:val="clear" w:color="auto" w:fill="8DB3E2"/>
        </w:rPr>
        <w:t>Blue shading</w:t>
      </w:r>
      <w:r w:rsidRPr="002C3702">
        <w:rPr>
          <w:rFonts w:ascii="Arial Narrow" w:hAnsi="Arial Narrow" w:cs="Segoe UI"/>
          <w:iCs/>
          <w:sz w:val="18"/>
          <w:szCs w:val="18"/>
        </w:rPr>
        <w:t xml:space="preserve"> indicates data previously seen by the PBAC</w:t>
      </w:r>
      <w:r w:rsidR="002C3702">
        <w:rPr>
          <w:rFonts w:ascii="Arial Narrow" w:hAnsi="Arial Narrow" w:cs="Segoe UI"/>
          <w:iCs/>
          <w:sz w:val="18"/>
          <w:szCs w:val="18"/>
        </w:rPr>
        <w:t xml:space="preserve">. </w:t>
      </w:r>
    </w:p>
    <w:p w14:paraId="526DD28E" w14:textId="77777777" w:rsidR="00030CC5" w:rsidRPr="002C3702" w:rsidRDefault="00030CC5" w:rsidP="00821FA2">
      <w:pPr>
        <w:keepNext/>
        <w:textAlignment w:val="baseline"/>
        <w:rPr>
          <w:rFonts w:ascii="Segoe UI" w:hAnsi="Segoe UI" w:cs="Segoe UI"/>
          <w:sz w:val="18"/>
          <w:szCs w:val="18"/>
        </w:rPr>
      </w:pPr>
      <w:r w:rsidRPr="002C3702">
        <w:rPr>
          <w:rFonts w:ascii="Arial Narrow" w:hAnsi="Arial Narrow" w:cs="Segoe UI"/>
          <w:sz w:val="14"/>
          <w:szCs w:val="14"/>
          <w:vertAlign w:val="superscript"/>
        </w:rPr>
        <w:t>a</w:t>
      </w:r>
      <w:r w:rsidRPr="002C3702">
        <w:rPr>
          <w:rFonts w:ascii="Arial Narrow" w:hAnsi="Arial Narrow" w:cs="Segoe UI"/>
          <w:sz w:val="18"/>
          <w:szCs w:val="18"/>
        </w:rPr>
        <w:t xml:space="preserve"> Median 42 months duration of follow-up </w:t>
      </w:r>
    </w:p>
    <w:p w14:paraId="5A337B76" w14:textId="7D0C7E84" w:rsidR="00030CC5" w:rsidRPr="002C3702" w:rsidRDefault="00030CC5" w:rsidP="00821FA2">
      <w:pPr>
        <w:keepNext/>
        <w:textAlignment w:val="baseline"/>
        <w:rPr>
          <w:rFonts w:ascii="Arial Narrow" w:hAnsi="Arial Narrow" w:cs="Segoe UI"/>
          <w:sz w:val="18"/>
          <w:szCs w:val="18"/>
        </w:rPr>
      </w:pPr>
      <w:r w:rsidRPr="002C3702">
        <w:rPr>
          <w:rFonts w:ascii="Arial Narrow" w:hAnsi="Arial Narrow" w:cs="Segoe UI"/>
          <w:sz w:val="14"/>
          <w:szCs w:val="14"/>
          <w:vertAlign w:val="superscript"/>
        </w:rPr>
        <w:t>b</w:t>
      </w:r>
      <w:r w:rsidRPr="002C3702">
        <w:rPr>
          <w:rFonts w:ascii="Arial Narrow" w:hAnsi="Arial Narrow" w:cs="Segoe UI"/>
          <w:sz w:val="18"/>
          <w:szCs w:val="18"/>
        </w:rPr>
        <w:t xml:space="preserve"> No updated data was provided at AFU2. </w:t>
      </w:r>
      <w:bookmarkStart w:id="38" w:name="_Toc22897644"/>
    </w:p>
    <w:p w14:paraId="18255B5C" w14:textId="638A8FCE" w:rsidR="00030CC5" w:rsidRPr="002C3702" w:rsidRDefault="00030CC5" w:rsidP="007A4A53">
      <w:pPr>
        <w:pStyle w:val="3-BodyText"/>
        <w:spacing w:before="120"/>
      </w:pPr>
      <w:r w:rsidRPr="002C3702">
        <w:t xml:space="preserve">Based on direct evidence presented </w:t>
      </w:r>
      <w:r w:rsidR="00840367" w:rsidRPr="002C3702">
        <w:rPr>
          <w:iCs/>
        </w:rPr>
        <w:t>in the PSCR</w:t>
      </w:r>
      <w:r w:rsidRPr="002C3702">
        <w:t xml:space="preserve">, for every 100 patients with HR+, HER2-, EBC with a high risk of recurrence, treated with ABE + ET instead of ET alone for a median follow-up duration of </w:t>
      </w:r>
      <w:r w:rsidR="00840367" w:rsidRPr="002C3702">
        <w:t>54</w:t>
      </w:r>
      <w:r w:rsidRPr="002C3702">
        <w:t xml:space="preserve"> months:</w:t>
      </w:r>
    </w:p>
    <w:p w14:paraId="6C2E848D" w14:textId="6145AA74" w:rsidR="00030CC5" w:rsidRPr="002C3702" w:rsidRDefault="00030CC5" w:rsidP="00BE2FDD">
      <w:pPr>
        <w:pStyle w:val="3-BodyText"/>
        <w:numPr>
          <w:ilvl w:val="1"/>
          <w:numId w:val="6"/>
        </w:numPr>
        <w:ind w:left="1210"/>
      </w:pPr>
      <w:r w:rsidRPr="002C3702">
        <w:t xml:space="preserve">Approximately </w:t>
      </w:r>
      <w:r w:rsidR="00840367" w:rsidRPr="002C3702">
        <w:rPr>
          <w:iCs/>
        </w:rPr>
        <w:t>8</w:t>
      </w:r>
      <w:r w:rsidRPr="002C3702">
        <w:t xml:space="preserve"> </w:t>
      </w:r>
      <w:r w:rsidR="007A4A53" w:rsidRPr="002C3702">
        <w:t xml:space="preserve">fewer </w:t>
      </w:r>
      <w:r w:rsidRPr="002C3702">
        <w:t>patients would experience invasive disease or death</w:t>
      </w:r>
      <w:r w:rsidR="007A4A53" w:rsidRPr="002C3702">
        <w:t xml:space="preserve"> at </w:t>
      </w:r>
      <w:r w:rsidR="00840367" w:rsidRPr="002C3702">
        <w:t>54</w:t>
      </w:r>
      <w:r w:rsidR="007A4A53" w:rsidRPr="002C3702">
        <w:t xml:space="preserve"> months</w:t>
      </w:r>
      <w:r w:rsidR="002C3702">
        <w:t xml:space="preserve">. </w:t>
      </w:r>
    </w:p>
    <w:p w14:paraId="4FA014E6" w14:textId="48A90F83" w:rsidR="00030CC5" w:rsidRPr="002C3702" w:rsidRDefault="00030CC5" w:rsidP="00BE2FDD">
      <w:pPr>
        <w:pStyle w:val="3-BodyText"/>
        <w:numPr>
          <w:ilvl w:val="1"/>
          <w:numId w:val="6"/>
        </w:numPr>
        <w:ind w:left="1210"/>
      </w:pPr>
      <w:r w:rsidRPr="002C3702">
        <w:t>No difference in OS</w:t>
      </w:r>
      <w:r w:rsidR="002C3702">
        <w:t xml:space="preserve">. </w:t>
      </w:r>
    </w:p>
    <w:p w14:paraId="57B0EFA2" w14:textId="2B7722EF" w:rsidR="00840367" w:rsidRPr="002C3702" w:rsidRDefault="00840367" w:rsidP="004426B7">
      <w:pPr>
        <w:pStyle w:val="3-BodyText"/>
        <w:numPr>
          <w:ilvl w:val="0"/>
          <w:numId w:val="0"/>
        </w:numPr>
        <w:ind w:left="709"/>
      </w:pPr>
      <w:r w:rsidRPr="002C3702">
        <w:t>During a median follow-up of 42 months:</w:t>
      </w:r>
    </w:p>
    <w:p w14:paraId="4B4EA92D" w14:textId="77777777" w:rsidR="00030CC5" w:rsidRPr="002C3702" w:rsidRDefault="00030CC5" w:rsidP="00BE2FDD">
      <w:pPr>
        <w:pStyle w:val="3-BodyText"/>
        <w:numPr>
          <w:ilvl w:val="1"/>
          <w:numId w:val="6"/>
        </w:numPr>
        <w:ind w:left="1210"/>
      </w:pPr>
      <w:r w:rsidRPr="002C3702">
        <w:t xml:space="preserve">Approximately 33 additional patients would experience a grade ≥ 3 TEAE. </w:t>
      </w:r>
    </w:p>
    <w:p w14:paraId="23BCF339" w14:textId="18C4F999" w:rsidR="00030CC5" w:rsidRPr="002C3702" w:rsidRDefault="00030CC5" w:rsidP="00BE2FDD">
      <w:pPr>
        <w:pStyle w:val="3-BodyText"/>
        <w:numPr>
          <w:ilvl w:val="1"/>
          <w:numId w:val="6"/>
        </w:numPr>
        <w:ind w:left="1210"/>
      </w:pPr>
      <w:r w:rsidRPr="002C3702">
        <w:t>Approximately 6 additional patients would experience a treatment-emergent serious adverse event</w:t>
      </w:r>
      <w:r w:rsidR="002C3702">
        <w:t xml:space="preserve">. </w:t>
      </w:r>
    </w:p>
    <w:p w14:paraId="22CB9D50" w14:textId="57A8105D" w:rsidR="00030CC5" w:rsidRPr="002C3702" w:rsidRDefault="00030CC5" w:rsidP="00BE2FDD">
      <w:pPr>
        <w:pStyle w:val="3-BodyText"/>
        <w:numPr>
          <w:ilvl w:val="1"/>
          <w:numId w:val="6"/>
        </w:numPr>
        <w:ind w:left="1210"/>
      </w:pPr>
      <w:r w:rsidRPr="002C3702">
        <w:t>Approximately 5 additional patients would discontinue all study treatment due to adverse events</w:t>
      </w:r>
      <w:r w:rsidR="002C3702">
        <w:t xml:space="preserve">. </w:t>
      </w:r>
    </w:p>
    <w:p w14:paraId="785EC41A" w14:textId="74F2A620" w:rsidR="00030CC5" w:rsidRPr="002C3702" w:rsidRDefault="00A35930" w:rsidP="00030CC5">
      <w:pPr>
        <w:pStyle w:val="3-BodyText"/>
        <w:numPr>
          <w:ilvl w:val="0"/>
          <w:numId w:val="0"/>
        </w:numPr>
        <w:ind w:left="1440" w:hanging="720"/>
      </w:pPr>
      <w:r w:rsidRPr="002C3702">
        <w:t>Additionally,</w:t>
      </w:r>
      <w:r w:rsidR="00030CC5" w:rsidRPr="002C3702">
        <w:t xml:space="preserve"> during a median follow up of 27 months:</w:t>
      </w:r>
    </w:p>
    <w:p w14:paraId="66960291" w14:textId="4B554297" w:rsidR="00030CC5" w:rsidRPr="002C3702" w:rsidRDefault="00030CC5" w:rsidP="00BE2FDD">
      <w:pPr>
        <w:pStyle w:val="3-BodyText"/>
        <w:numPr>
          <w:ilvl w:val="1"/>
          <w:numId w:val="6"/>
        </w:numPr>
        <w:ind w:left="1210"/>
      </w:pPr>
      <w:r w:rsidRPr="002C3702">
        <w:t>Approximately 8 additional patients would experience grade ≥ 3 diarrhoea</w:t>
      </w:r>
      <w:r w:rsidR="0027267F" w:rsidRPr="002C3702">
        <w:t>.</w:t>
      </w:r>
      <w:r w:rsidRPr="002C3702">
        <w:t xml:space="preserve"> </w:t>
      </w:r>
    </w:p>
    <w:p w14:paraId="23ED6EE3" w14:textId="6B046BF4" w:rsidR="00030CC5" w:rsidRPr="002C3702" w:rsidRDefault="00030CC5" w:rsidP="00BE2FDD">
      <w:pPr>
        <w:pStyle w:val="3-BodyText"/>
        <w:numPr>
          <w:ilvl w:val="1"/>
          <w:numId w:val="6"/>
        </w:numPr>
        <w:ind w:left="1210"/>
      </w:pPr>
      <w:r w:rsidRPr="002C3702">
        <w:t>Approximately 19 additional cases of neutropenia</w:t>
      </w:r>
      <w:r w:rsidR="0027267F" w:rsidRPr="002C3702">
        <w:t>.</w:t>
      </w:r>
      <w:r w:rsidRPr="002C3702">
        <w:t xml:space="preserve"> </w:t>
      </w:r>
    </w:p>
    <w:p w14:paraId="66C3B7C1" w14:textId="77777777" w:rsidR="00030CC5" w:rsidRPr="002C3702" w:rsidRDefault="00030CC5" w:rsidP="00030CC5">
      <w:pPr>
        <w:pStyle w:val="4-SubsectionHeading"/>
      </w:pPr>
      <w:bookmarkStart w:id="39" w:name="_Toc145422843"/>
      <w:r w:rsidRPr="002C3702">
        <w:t>Clinical claim</w:t>
      </w:r>
      <w:bookmarkEnd w:id="38"/>
      <w:bookmarkEnd w:id="39"/>
    </w:p>
    <w:p w14:paraId="7D6D5747" w14:textId="4C3BB924" w:rsidR="00030CC5" w:rsidRPr="002C3702" w:rsidRDefault="00030CC5" w:rsidP="00030CC5">
      <w:pPr>
        <w:pStyle w:val="3-BodyText"/>
        <w:rPr>
          <w:rStyle w:val="normaltextrun"/>
          <w:rFonts w:eastAsia="Calibri"/>
        </w:rPr>
      </w:pPr>
      <w:r w:rsidRPr="002C3702">
        <w:rPr>
          <w:rStyle w:val="normaltextrun"/>
          <w:rFonts w:cs="Calibri"/>
          <w:color w:val="000000"/>
          <w:shd w:val="clear" w:color="auto" w:fill="FFFFFF"/>
        </w:rPr>
        <w:t xml:space="preserve">The current </w:t>
      </w:r>
      <w:r w:rsidR="7B83E0C5" w:rsidRPr="002C3702">
        <w:rPr>
          <w:rStyle w:val="normaltextrun"/>
          <w:rFonts w:cs="Calibri"/>
          <w:color w:val="000000"/>
          <w:shd w:val="clear" w:color="auto" w:fill="FFFFFF"/>
        </w:rPr>
        <w:t>submission</w:t>
      </w:r>
      <w:r w:rsidRPr="002C3702">
        <w:rPr>
          <w:rStyle w:val="normaltextrun"/>
          <w:rFonts w:cs="Calibri"/>
          <w:color w:val="000000"/>
          <w:shd w:val="clear" w:color="auto" w:fill="FFFFFF"/>
        </w:rPr>
        <w:t xml:space="preserve"> described ABE + ET as superior in terms of effectiveness compared with ET alone and with a </w:t>
      </w:r>
      <w:r w:rsidRPr="002C3702">
        <w:rPr>
          <w:rStyle w:val="normaltextrun"/>
          <w:rFonts w:ascii="Calibri" w:hAnsi="Calibri" w:cs="Calibri"/>
          <w:color w:val="000000"/>
          <w:shd w:val="clear" w:color="auto" w:fill="FFFFFF"/>
        </w:rPr>
        <w:t xml:space="preserve">monitorable and </w:t>
      </w:r>
      <w:r w:rsidRPr="002C3702">
        <w:rPr>
          <w:rStyle w:val="normaltextrun"/>
          <w:rFonts w:cs="Calibri"/>
          <w:color w:val="000000"/>
          <w:shd w:val="clear" w:color="auto" w:fill="FFFFFF"/>
        </w:rPr>
        <w:t>manageable safety profile.</w:t>
      </w:r>
      <w:r w:rsidRPr="002C3702">
        <w:rPr>
          <w:rStyle w:val="normaltextrun"/>
          <w:rFonts w:ascii="Calibri" w:hAnsi="Calibri" w:cs="Calibri"/>
          <w:color w:val="000000"/>
          <w:shd w:val="clear" w:color="auto" w:fill="FFFFFF"/>
        </w:rPr>
        <w:t xml:space="preserve"> </w:t>
      </w:r>
    </w:p>
    <w:p w14:paraId="66BA3BC5" w14:textId="21E48F4D" w:rsidR="00030CC5" w:rsidRPr="002C3702" w:rsidRDefault="00030CC5" w:rsidP="004C2BF4">
      <w:pPr>
        <w:pStyle w:val="3-BodyText"/>
        <w:rPr>
          <w:color w:val="000000" w:themeColor="text1"/>
        </w:rPr>
      </w:pPr>
      <w:r w:rsidRPr="002C3702">
        <w:t>The</w:t>
      </w:r>
      <w:r w:rsidR="00B86586" w:rsidRPr="002C3702">
        <w:t xml:space="preserve"> </w:t>
      </w:r>
      <w:r w:rsidR="00B86586" w:rsidRPr="002C3702">
        <w:rPr>
          <w:iCs/>
        </w:rPr>
        <w:t>ESC noted that the</w:t>
      </w:r>
      <w:r w:rsidRPr="002C3702">
        <w:rPr>
          <w:iCs/>
        </w:rPr>
        <w:t xml:space="preserve"> PBAC </w:t>
      </w:r>
      <w:r w:rsidR="00334BE0" w:rsidRPr="002C3702">
        <w:rPr>
          <w:iCs/>
        </w:rPr>
        <w:t>previously</w:t>
      </w:r>
      <w:r w:rsidR="00334BE0" w:rsidRPr="002C3702">
        <w:t xml:space="preserve"> </w:t>
      </w:r>
      <w:r w:rsidRPr="002C3702">
        <w:t>considered that the claim of superior comparative effectiveness of ABE + ET over ET alone was supported (</w:t>
      </w:r>
      <w:r w:rsidR="00263145" w:rsidRPr="002C3702">
        <w:t>para</w:t>
      </w:r>
      <w:r w:rsidRPr="002C3702">
        <w:t xml:space="preserve"> 7.7, </w:t>
      </w:r>
      <w:r w:rsidR="00B3218C" w:rsidRPr="002C3702">
        <w:t>a</w:t>
      </w:r>
      <w:r w:rsidRPr="002C3702">
        <w:t>bemaciclib, PSD, March 2023 PBAC meeting). However, the PBAC noted that a benefit in terms of OS had not been demonstrated in the clinical trial and therefore remained uncertain (</w:t>
      </w:r>
      <w:r w:rsidR="00263145" w:rsidRPr="002C3702">
        <w:t>para</w:t>
      </w:r>
      <w:r w:rsidRPr="002C3702">
        <w:t xml:space="preserve"> 7.1, </w:t>
      </w:r>
      <w:r w:rsidR="00B3218C" w:rsidRPr="002C3702">
        <w:t>a</w:t>
      </w:r>
      <w:r w:rsidRPr="002C3702">
        <w:t>bemaciclib</w:t>
      </w:r>
      <w:r w:rsidR="00EF7380" w:rsidRPr="002C3702">
        <w:t>,</w:t>
      </w:r>
      <w:r w:rsidRPr="002C3702">
        <w:t xml:space="preserve"> PSD, March 2023 PBAC meeting). </w:t>
      </w:r>
      <w:r w:rsidR="002D1211" w:rsidRPr="002C3702">
        <w:rPr>
          <w:color w:val="000000" w:themeColor="text1"/>
        </w:rPr>
        <w:t>The PSCR argued that l</w:t>
      </w:r>
      <w:r w:rsidR="002B3FB9" w:rsidRPr="002C3702">
        <w:rPr>
          <w:color w:val="000000" w:themeColor="text1"/>
        </w:rPr>
        <w:t>onger-term follow-u</w:t>
      </w:r>
      <w:r w:rsidR="002D1211" w:rsidRPr="002C3702">
        <w:rPr>
          <w:color w:val="000000" w:themeColor="text1"/>
        </w:rPr>
        <w:t>p data from</w:t>
      </w:r>
      <w:r w:rsidR="002B3FB9" w:rsidRPr="002C3702">
        <w:rPr>
          <w:color w:val="000000" w:themeColor="text1"/>
        </w:rPr>
        <w:t xml:space="preserve"> OS IA3 (July 2023) confirm that DRFS benefit translates into a more favourable OS benefit, with </w:t>
      </w:r>
      <w:r w:rsidR="002D1211" w:rsidRPr="002C3702">
        <w:rPr>
          <w:color w:val="000000" w:themeColor="text1"/>
        </w:rPr>
        <w:t>HR</w:t>
      </w:r>
      <w:r w:rsidR="002B3FB9" w:rsidRPr="002C3702">
        <w:rPr>
          <w:color w:val="000000" w:themeColor="text1"/>
        </w:rPr>
        <w:t xml:space="preserve">s remaining below 1.0, 95% </w:t>
      </w:r>
      <w:r w:rsidR="002D1211" w:rsidRPr="002C3702">
        <w:rPr>
          <w:color w:val="000000" w:themeColor="text1"/>
        </w:rPr>
        <w:t>CIs</w:t>
      </w:r>
      <w:r w:rsidR="002B3FB9" w:rsidRPr="002C3702">
        <w:rPr>
          <w:color w:val="000000" w:themeColor="text1"/>
        </w:rPr>
        <w:t xml:space="preserve"> continuing to narrow and p-values evolving favourably. </w:t>
      </w:r>
      <w:r w:rsidR="002D1211" w:rsidRPr="002C3702">
        <w:rPr>
          <w:color w:val="000000" w:themeColor="text1"/>
        </w:rPr>
        <w:t>The PSCR also argued that t</w:t>
      </w:r>
      <w:r w:rsidR="002B3FB9" w:rsidRPr="002C3702">
        <w:rPr>
          <w:color w:val="000000" w:themeColor="text1"/>
        </w:rPr>
        <w:t xml:space="preserve">he previously observed imbalance of incurable metastatic disease recurrence between the two treatment arms </w:t>
      </w:r>
      <w:r w:rsidR="002D1211" w:rsidRPr="002C3702">
        <w:rPr>
          <w:color w:val="000000" w:themeColor="text1"/>
        </w:rPr>
        <w:t>has been</w:t>
      </w:r>
      <w:r w:rsidR="002B3FB9" w:rsidRPr="002C3702">
        <w:rPr>
          <w:color w:val="000000" w:themeColor="text1"/>
        </w:rPr>
        <w:t xml:space="preserve"> reinforced at OS IA3 (July 2023) and has translated into incremental differences of patients dying from disease in the ET arm compared with the ABE+ET arm, which is increasing with each data-cut (OS IA1 (April 2021): 76 vs 72 patients (</w:t>
      </w:r>
      <w:r w:rsidR="002D1211" w:rsidRPr="002C3702">
        <w:rPr>
          <w:color w:val="000000" w:themeColor="text1"/>
        </w:rPr>
        <w:t xml:space="preserve">difference = </w:t>
      </w:r>
      <w:r w:rsidR="002B3FB9" w:rsidRPr="002C3702">
        <w:rPr>
          <w:color w:val="000000" w:themeColor="text1"/>
        </w:rPr>
        <w:t>4 patients); OS IA2 (July 2022): 139 vs 118 patients (</w:t>
      </w:r>
      <w:r w:rsidR="002D1211" w:rsidRPr="002C3702">
        <w:rPr>
          <w:color w:val="000000" w:themeColor="text1"/>
        </w:rPr>
        <w:t xml:space="preserve">difference = </w:t>
      </w:r>
      <w:r w:rsidR="002B3FB9" w:rsidRPr="002C3702">
        <w:rPr>
          <w:color w:val="000000" w:themeColor="text1"/>
        </w:rPr>
        <w:t>21 patients); OS IA3 (July 2023): 187 vs 154 patients (</w:t>
      </w:r>
      <w:r w:rsidR="002D1211" w:rsidRPr="002C3702">
        <w:rPr>
          <w:color w:val="000000" w:themeColor="text1"/>
        </w:rPr>
        <w:t xml:space="preserve">difference </w:t>
      </w:r>
      <w:r w:rsidR="002D1211" w:rsidRPr="002C3702">
        <w:rPr>
          <w:color w:val="000000" w:themeColor="text1"/>
        </w:rPr>
        <w:lastRenderedPageBreak/>
        <w:t>=</w:t>
      </w:r>
      <w:r w:rsidR="002B3FB9" w:rsidRPr="002C3702">
        <w:rPr>
          <w:color w:val="000000" w:themeColor="text1"/>
        </w:rPr>
        <w:t xml:space="preserve"> 33 patients</w:t>
      </w:r>
      <w:r w:rsidR="002D1211" w:rsidRPr="002C3702">
        <w:rPr>
          <w:color w:val="000000" w:themeColor="text1"/>
        </w:rPr>
        <w:t xml:space="preserve">). The PSCR stated </w:t>
      </w:r>
      <w:r w:rsidR="000C15D8" w:rsidRPr="002C3702">
        <w:rPr>
          <w:color w:val="000000" w:themeColor="text1"/>
        </w:rPr>
        <w:t xml:space="preserve">that </w:t>
      </w:r>
      <w:r w:rsidR="002B3FB9" w:rsidRPr="002C3702">
        <w:rPr>
          <w:color w:val="000000" w:themeColor="text1"/>
        </w:rPr>
        <w:t>it is expected</w:t>
      </w:r>
      <w:r w:rsidR="000C15D8" w:rsidRPr="002C3702">
        <w:rPr>
          <w:color w:val="000000" w:themeColor="text1"/>
        </w:rPr>
        <w:t xml:space="preserve"> that</w:t>
      </w:r>
      <w:r w:rsidR="002B3FB9" w:rsidRPr="002C3702">
        <w:rPr>
          <w:color w:val="000000" w:themeColor="text1"/>
        </w:rPr>
        <w:t xml:space="preserve"> this clinical benefit</w:t>
      </w:r>
      <w:r w:rsidR="00C21F95" w:rsidRPr="002C3702">
        <w:rPr>
          <w:color w:val="000000" w:themeColor="text1"/>
        </w:rPr>
        <w:t xml:space="preserve"> </w:t>
      </w:r>
      <w:r w:rsidR="002B3FB9" w:rsidRPr="002C3702">
        <w:rPr>
          <w:color w:val="000000" w:themeColor="text1"/>
        </w:rPr>
        <w:t>will continue to mature favourably with longer follow-up</w:t>
      </w:r>
      <w:r w:rsidR="002D1211" w:rsidRPr="002C3702">
        <w:rPr>
          <w:color w:val="000000" w:themeColor="text1"/>
        </w:rPr>
        <w:t>.</w:t>
      </w:r>
    </w:p>
    <w:p w14:paraId="1193F3DF" w14:textId="62AF883B" w:rsidR="00030CC5" w:rsidRPr="002C3702" w:rsidRDefault="00C026F1" w:rsidP="0058623C">
      <w:pPr>
        <w:pStyle w:val="3-BodyText"/>
        <w:rPr>
          <w:rFonts w:eastAsia="Calibri"/>
          <w:iCs/>
        </w:rPr>
      </w:pPr>
      <w:r w:rsidRPr="002C3702">
        <w:t xml:space="preserve">The PBAC noted additional follow-up data for the monarchE trial was provided in the PSCR, which increased the median duration of follow-up from 42 months of data included in the submission to 54 months. </w:t>
      </w:r>
      <w:r w:rsidR="00997528" w:rsidRPr="002C3702">
        <w:t>The PBAC also</w:t>
      </w:r>
      <w:r w:rsidRPr="002C3702">
        <w:t xml:space="preserve"> noted that updated annualised HRs were not available. </w:t>
      </w:r>
      <w:r w:rsidRPr="002C3702">
        <w:rPr>
          <w:rFonts w:eastAsia="Calibri"/>
        </w:rPr>
        <w:t xml:space="preserve">The PBAC considered </w:t>
      </w:r>
      <w:r w:rsidRPr="002C3702">
        <w:t>the magnitude of relative treatment effect appear</w:t>
      </w:r>
      <w:r w:rsidR="0058623C" w:rsidRPr="002C3702">
        <w:t>s</w:t>
      </w:r>
      <w:r w:rsidRPr="002C3702">
        <w:t xml:space="preserve"> to be maintained </w:t>
      </w:r>
      <w:r w:rsidR="00BC5C20" w:rsidRPr="002C3702">
        <w:t xml:space="preserve"> up </w:t>
      </w:r>
      <w:r w:rsidRPr="002C3702">
        <w:t xml:space="preserve">to the </w:t>
      </w:r>
      <w:r w:rsidR="0008701A" w:rsidRPr="002C3702">
        <w:t xml:space="preserve">most recent </w:t>
      </w:r>
      <w:r w:rsidRPr="002C3702">
        <w:t>data cut</w:t>
      </w:r>
      <w:r w:rsidR="00BC5C20" w:rsidRPr="002C3702">
        <w:t>-off</w:t>
      </w:r>
      <w:r w:rsidRPr="002C3702">
        <w:t xml:space="preserve"> (median follow-up = 4.5 years). </w:t>
      </w:r>
      <w:r w:rsidR="0058623C" w:rsidRPr="002C3702">
        <w:t xml:space="preserve">However, </w:t>
      </w:r>
      <w:r w:rsidR="0058623C" w:rsidRPr="002C3702">
        <w:rPr>
          <w:iCs/>
          <w:color w:val="000000" w:themeColor="text1"/>
        </w:rPr>
        <w:t>t</w:t>
      </w:r>
      <w:r w:rsidR="006F2CD7" w:rsidRPr="002C3702">
        <w:rPr>
          <w:iCs/>
        </w:rPr>
        <w:t xml:space="preserve">he </w:t>
      </w:r>
      <w:r w:rsidR="008A0638" w:rsidRPr="002C3702">
        <w:rPr>
          <w:iCs/>
        </w:rPr>
        <w:t>PBAC</w:t>
      </w:r>
      <w:r w:rsidR="00997528" w:rsidRPr="002C3702">
        <w:rPr>
          <w:iCs/>
        </w:rPr>
        <w:t xml:space="preserve"> noted that the OS data remained immature</w:t>
      </w:r>
      <w:r w:rsidR="0058623C" w:rsidRPr="002C3702">
        <w:rPr>
          <w:iCs/>
        </w:rPr>
        <w:t>, and</w:t>
      </w:r>
      <w:r w:rsidR="008A0638" w:rsidRPr="002C3702">
        <w:rPr>
          <w:iCs/>
        </w:rPr>
        <w:t xml:space="preserve"> agreed with the </w:t>
      </w:r>
      <w:r w:rsidR="009E314C" w:rsidRPr="002C3702">
        <w:rPr>
          <w:iCs/>
        </w:rPr>
        <w:t xml:space="preserve">ESC </w:t>
      </w:r>
      <w:r w:rsidR="006F2CD7" w:rsidRPr="002C3702">
        <w:rPr>
          <w:iCs/>
          <w:color w:val="000000" w:themeColor="text1"/>
        </w:rPr>
        <w:t>that there remains an unclear relationship between IDFS</w:t>
      </w:r>
      <w:r w:rsidRPr="002C3702">
        <w:rPr>
          <w:iCs/>
          <w:color w:val="000000" w:themeColor="text1"/>
        </w:rPr>
        <w:t>/</w:t>
      </w:r>
      <w:r w:rsidR="006F2CD7" w:rsidRPr="002C3702">
        <w:rPr>
          <w:iCs/>
          <w:color w:val="000000" w:themeColor="text1"/>
        </w:rPr>
        <w:t>DRFS and OS.</w:t>
      </w:r>
    </w:p>
    <w:p w14:paraId="5923BF2F" w14:textId="1DB0D411" w:rsidR="00C026F1" w:rsidRPr="002C3702" w:rsidRDefault="0058623C" w:rsidP="0058623C">
      <w:pPr>
        <w:pStyle w:val="3-BodyText"/>
        <w:rPr>
          <w:rFonts w:eastAsia="Calibri"/>
          <w:iCs/>
        </w:rPr>
      </w:pPr>
      <w:r w:rsidRPr="002C3702">
        <w:t>The PBAC recalled it had previously considered that the difference in IDFS and DRFS was likely to represent a clinically meaningful benefit</w:t>
      </w:r>
      <w:r w:rsidRPr="002C3702">
        <w:rPr>
          <w:rFonts w:eastAsia="Calibri"/>
        </w:rPr>
        <w:t xml:space="preserve">. The PBAC also recalled it considered that overall the claim </w:t>
      </w:r>
      <w:r w:rsidRPr="002C3702">
        <w:rPr>
          <w:rFonts w:eastAsia="Calibri"/>
          <w:iCs/>
        </w:rPr>
        <w:t xml:space="preserve">of superior comparative effectiveness of abemaciclib + ET over ET alone was supported </w:t>
      </w:r>
      <w:r w:rsidRPr="002C3702">
        <w:t>(</w:t>
      </w:r>
      <w:r w:rsidRPr="002C3702">
        <w:rPr>
          <w:color w:val="000000" w:themeColor="text1"/>
        </w:rPr>
        <w:t>para 7.7, abemaciclib, PSD, March 2023 PBAC meeting)</w:t>
      </w:r>
      <w:r w:rsidRPr="002C3702">
        <w:t xml:space="preserve">. </w:t>
      </w:r>
      <w:r w:rsidRPr="002C3702">
        <w:rPr>
          <w:iCs/>
        </w:rPr>
        <w:t>The</w:t>
      </w:r>
      <w:r w:rsidRPr="002C3702">
        <w:t xml:space="preserve"> </w:t>
      </w:r>
      <w:r w:rsidRPr="002C3702">
        <w:rPr>
          <w:iCs/>
        </w:rPr>
        <w:t>PBAC considered that the updated efficacy results remain consistent with this conclusion.</w:t>
      </w:r>
    </w:p>
    <w:p w14:paraId="785053AE" w14:textId="72E8E526" w:rsidR="00A54457" w:rsidRPr="002C3702" w:rsidRDefault="00030CC5" w:rsidP="00A54457">
      <w:pPr>
        <w:pStyle w:val="3-BodyText"/>
        <w:rPr>
          <w:rStyle w:val="normaltextrun"/>
          <w:rFonts w:eastAsia="Calibri"/>
        </w:rPr>
      </w:pPr>
      <w:r w:rsidRPr="002C3702">
        <w:rPr>
          <w:rStyle w:val="normaltextrun"/>
          <w:rFonts w:ascii="Calibri" w:hAnsi="Calibri" w:cs="Calibri"/>
          <w:iCs/>
          <w:color w:val="000000"/>
          <w:shd w:val="clear" w:color="auto" w:fill="FFFFFF"/>
        </w:rPr>
        <w:t xml:space="preserve">ABE </w:t>
      </w:r>
      <w:r w:rsidRPr="002C3702">
        <w:rPr>
          <w:rStyle w:val="normaltextrun"/>
          <w:rFonts w:cs="Calibri"/>
          <w:iCs/>
          <w:color w:val="000000"/>
          <w:shd w:val="clear" w:color="auto" w:fill="FFFFFF"/>
        </w:rPr>
        <w:t xml:space="preserve">in combination with ET </w:t>
      </w:r>
      <w:r w:rsidRPr="002C3702">
        <w:rPr>
          <w:rStyle w:val="normaltextrun"/>
          <w:rFonts w:cs="Calibri"/>
          <w:iCs/>
          <w:color w:val="000000" w:themeColor="text1"/>
        </w:rPr>
        <w:t>was</w:t>
      </w:r>
      <w:r w:rsidRPr="002C3702">
        <w:rPr>
          <w:rStyle w:val="normaltextrun"/>
          <w:rFonts w:cs="Calibri"/>
          <w:iCs/>
          <w:color w:val="000000"/>
          <w:shd w:val="clear" w:color="auto" w:fill="FFFFFF"/>
        </w:rPr>
        <w:t xml:space="preserve"> associated with inferior safety compared to ET alone with higher rates of grade ≥ 3 </w:t>
      </w:r>
      <w:r w:rsidR="00032B74" w:rsidRPr="002C3702">
        <w:rPr>
          <w:rStyle w:val="normaltextrun"/>
          <w:rFonts w:cs="Calibri"/>
          <w:iCs/>
          <w:color w:val="000000"/>
          <w:shd w:val="clear" w:color="auto" w:fill="FFFFFF"/>
        </w:rPr>
        <w:t xml:space="preserve">treatment emergent </w:t>
      </w:r>
      <w:r w:rsidR="00032B74" w:rsidRPr="002C3702">
        <w:rPr>
          <w:rStyle w:val="normaltextrun"/>
          <w:rFonts w:cs="Calibri"/>
          <w:iCs/>
        </w:rPr>
        <w:t>adverse</w:t>
      </w:r>
      <w:r w:rsidR="00032B74" w:rsidRPr="002C3702">
        <w:rPr>
          <w:rStyle w:val="normaltextrun"/>
          <w:rFonts w:cs="Calibri"/>
          <w:iCs/>
          <w:color w:val="000000"/>
          <w:shd w:val="clear" w:color="auto" w:fill="FFFFFF"/>
        </w:rPr>
        <w:t xml:space="preserve"> events (</w:t>
      </w:r>
      <w:r w:rsidRPr="002C3702">
        <w:rPr>
          <w:rStyle w:val="normaltextrun"/>
          <w:rFonts w:cs="Calibri"/>
          <w:iCs/>
          <w:color w:val="000000"/>
          <w:shd w:val="clear" w:color="auto" w:fill="FFFFFF"/>
        </w:rPr>
        <w:t>TEAEs</w:t>
      </w:r>
      <w:r w:rsidR="00032B74" w:rsidRPr="002C3702">
        <w:rPr>
          <w:rStyle w:val="normaltextrun"/>
          <w:rFonts w:cs="Calibri"/>
          <w:iCs/>
          <w:color w:val="000000"/>
          <w:shd w:val="clear" w:color="auto" w:fill="FFFFFF"/>
        </w:rPr>
        <w:t>)</w:t>
      </w:r>
      <w:r w:rsidRPr="002C3702">
        <w:rPr>
          <w:rStyle w:val="normaltextrun"/>
          <w:rFonts w:cs="Calibri"/>
          <w:iCs/>
          <w:color w:val="000000"/>
          <w:shd w:val="clear" w:color="auto" w:fill="FFFFFF"/>
        </w:rPr>
        <w:t xml:space="preserve">, </w:t>
      </w:r>
      <w:r w:rsidR="00032B74" w:rsidRPr="002C3702">
        <w:rPr>
          <w:rStyle w:val="normaltextrun"/>
          <w:rFonts w:cs="Calibri"/>
          <w:iCs/>
          <w:color w:val="000000"/>
          <w:shd w:val="clear" w:color="auto" w:fill="FFFFFF"/>
        </w:rPr>
        <w:t>treatment emergent serious adverse event (</w:t>
      </w:r>
      <w:r w:rsidRPr="002C3702">
        <w:rPr>
          <w:rStyle w:val="normaltextrun"/>
          <w:rFonts w:cs="Calibri"/>
          <w:iCs/>
          <w:color w:val="000000"/>
          <w:shd w:val="clear" w:color="auto" w:fill="FFFFFF"/>
        </w:rPr>
        <w:t>TE-SAEs</w:t>
      </w:r>
      <w:r w:rsidR="00032B74" w:rsidRPr="002C3702">
        <w:rPr>
          <w:rStyle w:val="normaltextrun"/>
          <w:rFonts w:cs="Calibri"/>
          <w:iCs/>
          <w:color w:val="000000"/>
          <w:shd w:val="clear" w:color="auto" w:fill="FFFFFF"/>
        </w:rPr>
        <w:t>)</w:t>
      </w:r>
      <w:r w:rsidRPr="002C3702">
        <w:rPr>
          <w:rStyle w:val="normaltextrun"/>
          <w:rFonts w:cs="Calibri"/>
          <w:iCs/>
          <w:color w:val="000000"/>
          <w:shd w:val="clear" w:color="auto" w:fill="FFFFFF"/>
        </w:rPr>
        <w:t xml:space="preserve">, and </w:t>
      </w:r>
      <w:r w:rsidR="00032B74" w:rsidRPr="002C3702">
        <w:rPr>
          <w:rStyle w:val="normaltextrun"/>
          <w:rFonts w:cs="Calibri"/>
          <w:iCs/>
          <w:color w:val="000000"/>
          <w:shd w:val="clear" w:color="auto" w:fill="FFFFFF"/>
        </w:rPr>
        <w:t>adverse events (</w:t>
      </w:r>
      <w:r w:rsidRPr="002C3702">
        <w:rPr>
          <w:rStyle w:val="normaltextrun"/>
          <w:rFonts w:cs="Calibri"/>
          <w:iCs/>
          <w:color w:val="000000"/>
          <w:shd w:val="clear" w:color="auto" w:fill="FFFFFF"/>
        </w:rPr>
        <w:t>AEs</w:t>
      </w:r>
      <w:r w:rsidR="00032B74" w:rsidRPr="002C3702">
        <w:rPr>
          <w:rStyle w:val="normaltextrun"/>
          <w:rFonts w:cs="Calibri"/>
          <w:iCs/>
          <w:color w:val="000000"/>
          <w:shd w:val="clear" w:color="auto" w:fill="FFFFFF"/>
        </w:rPr>
        <w:t>)</w:t>
      </w:r>
      <w:r w:rsidRPr="002C3702">
        <w:rPr>
          <w:rStyle w:val="normaltextrun"/>
          <w:rFonts w:cs="Calibri"/>
          <w:iCs/>
          <w:color w:val="000000"/>
          <w:shd w:val="clear" w:color="auto" w:fill="FFFFFF"/>
        </w:rPr>
        <w:t xml:space="preserve"> leading to discontinuation in patients taking </w:t>
      </w:r>
      <w:r w:rsidRPr="002C3702">
        <w:rPr>
          <w:rStyle w:val="normaltextrun"/>
          <w:rFonts w:ascii="Calibri" w:hAnsi="Calibri" w:cs="Calibri"/>
          <w:iCs/>
          <w:color w:val="000000"/>
          <w:shd w:val="clear" w:color="auto" w:fill="FFFFFF"/>
        </w:rPr>
        <w:t>ABE</w:t>
      </w:r>
      <w:r w:rsidRPr="002C3702">
        <w:rPr>
          <w:rStyle w:val="normaltextrun"/>
          <w:rFonts w:cs="Calibri"/>
          <w:iCs/>
          <w:color w:val="000000"/>
          <w:shd w:val="clear" w:color="auto" w:fill="FFFFFF"/>
        </w:rPr>
        <w:t>.</w:t>
      </w:r>
      <w:r w:rsidRPr="002C3702">
        <w:rPr>
          <w:rStyle w:val="normaltextrun"/>
          <w:rFonts w:ascii="Calibri" w:hAnsi="Calibri" w:cs="Calibri"/>
          <w:iCs/>
          <w:color w:val="000000"/>
          <w:shd w:val="clear" w:color="auto" w:fill="FFFFFF"/>
        </w:rPr>
        <w:t xml:space="preserve"> </w:t>
      </w:r>
      <w:r w:rsidRPr="002C3702">
        <w:rPr>
          <w:rStyle w:val="normaltextrun"/>
          <w:rFonts w:ascii="Calibri" w:hAnsi="Calibri" w:cs="Calibri"/>
          <w:color w:val="000000"/>
          <w:shd w:val="clear" w:color="auto" w:fill="FFFFFF"/>
        </w:rPr>
        <w:t xml:space="preserve">The </w:t>
      </w:r>
      <w:r w:rsidR="00B86586" w:rsidRPr="002C3702">
        <w:rPr>
          <w:rStyle w:val="normaltextrun"/>
          <w:rFonts w:ascii="Calibri" w:hAnsi="Calibri" w:cs="Calibri"/>
          <w:color w:val="000000"/>
          <w:shd w:val="clear" w:color="auto" w:fill="FFFFFF"/>
        </w:rPr>
        <w:t xml:space="preserve">ESC noted that the </w:t>
      </w:r>
      <w:r w:rsidRPr="002C3702">
        <w:rPr>
          <w:rStyle w:val="normaltextrun"/>
          <w:rFonts w:ascii="Calibri" w:hAnsi="Calibri" w:cs="Calibri"/>
          <w:color w:val="000000"/>
          <w:shd w:val="clear" w:color="auto" w:fill="FFFFFF"/>
        </w:rPr>
        <w:t>PBAC</w:t>
      </w:r>
      <w:r w:rsidRPr="002C3702" w:rsidDel="00032B74">
        <w:rPr>
          <w:rStyle w:val="normaltextrun"/>
          <w:rFonts w:ascii="Calibri" w:hAnsi="Calibri" w:cs="Calibri"/>
          <w:iCs/>
          <w:color w:val="000000"/>
          <w:shd w:val="clear" w:color="auto" w:fill="FFFFFF"/>
        </w:rPr>
        <w:t xml:space="preserve"> </w:t>
      </w:r>
      <w:r w:rsidRPr="002C3702">
        <w:rPr>
          <w:rStyle w:val="normaltextrun"/>
          <w:rFonts w:ascii="Calibri" w:hAnsi="Calibri" w:cs="Calibri"/>
          <w:iCs/>
          <w:color w:val="000000"/>
          <w:shd w:val="clear" w:color="auto" w:fill="FFFFFF"/>
        </w:rPr>
        <w:t>previousl</w:t>
      </w:r>
      <w:r w:rsidRPr="002C3702">
        <w:rPr>
          <w:rStyle w:val="normaltextrun"/>
          <w:rFonts w:cs="Calibri"/>
          <w:iCs/>
          <w:color w:val="000000"/>
          <w:shd w:val="clear" w:color="auto" w:fill="FFFFFF"/>
        </w:rPr>
        <w:t>y</w:t>
      </w:r>
      <w:r w:rsidR="00032B74" w:rsidRPr="002C3702">
        <w:rPr>
          <w:rStyle w:val="normaltextrun"/>
          <w:rFonts w:cs="Calibri"/>
          <w:iCs/>
          <w:color w:val="000000" w:themeColor="text1"/>
        </w:rPr>
        <w:t xml:space="preserve"> considered that a claim of inferior</w:t>
      </w:r>
      <w:r w:rsidR="002C3702">
        <w:rPr>
          <w:rStyle w:val="normaltextrun"/>
          <w:rFonts w:cs="Calibri"/>
          <w:iCs/>
          <w:color w:val="000000" w:themeColor="text1"/>
        </w:rPr>
        <w:t>,</w:t>
      </w:r>
      <w:r w:rsidR="00032B74" w:rsidRPr="002C3702">
        <w:rPr>
          <w:rStyle w:val="normaltextrun"/>
          <w:rFonts w:cs="Calibri"/>
          <w:iCs/>
          <w:color w:val="000000"/>
          <w:shd w:val="clear" w:color="auto" w:fill="FFFFFF"/>
        </w:rPr>
        <w:t xml:space="preserve"> yet manageable safety was reasonable</w:t>
      </w:r>
      <w:r w:rsidRPr="002C3702">
        <w:rPr>
          <w:rStyle w:val="normaltextrun"/>
          <w:rFonts w:cs="Calibri"/>
          <w:iCs/>
          <w:color w:val="000000"/>
          <w:shd w:val="clear" w:color="auto" w:fill="FFFFFF"/>
        </w:rPr>
        <w:t xml:space="preserve"> </w:t>
      </w:r>
      <w:r w:rsidR="00A0194F" w:rsidRPr="002C3702">
        <w:rPr>
          <w:rStyle w:val="normaltextrun"/>
          <w:rFonts w:ascii="Calibri" w:hAnsi="Calibri" w:cs="Calibri"/>
          <w:iCs/>
          <w:color w:val="000000"/>
          <w:shd w:val="clear" w:color="auto" w:fill="FFFFFF"/>
        </w:rPr>
        <w:t xml:space="preserve">and </w:t>
      </w:r>
      <w:r w:rsidRPr="002C3702">
        <w:rPr>
          <w:rStyle w:val="normaltextrun"/>
          <w:rFonts w:ascii="Calibri" w:hAnsi="Calibri" w:cs="Calibri"/>
          <w:iCs/>
          <w:color w:val="000000"/>
          <w:shd w:val="clear" w:color="auto" w:fill="FFFFFF"/>
        </w:rPr>
        <w:t xml:space="preserve">that the </w:t>
      </w:r>
      <w:r w:rsidRPr="002C3702">
        <w:rPr>
          <w:rStyle w:val="normaltextrun"/>
          <w:rFonts w:cs="Calibri"/>
          <w:iCs/>
          <w:color w:val="000000"/>
          <w:shd w:val="clear" w:color="auto" w:fill="FFFFFF"/>
        </w:rPr>
        <w:t xml:space="preserve">safety profile of </w:t>
      </w:r>
      <w:r w:rsidRPr="002C3702">
        <w:rPr>
          <w:rStyle w:val="normaltextrun"/>
          <w:rFonts w:ascii="Calibri" w:hAnsi="Calibri" w:cs="Calibri"/>
          <w:iCs/>
          <w:color w:val="000000"/>
          <w:shd w:val="clear" w:color="auto" w:fill="FFFFFF"/>
        </w:rPr>
        <w:t>ABE</w:t>
      </w:r>
      <w:r w:rsidRPr="002C3702">
        <w:rPr>
          <w:rStyle w:val="normaltextrun"/>
          <w:rFonts w:cs="Calibri"/>
          <w:iCs/>
          <w:color w:val="000000"/>
          <w:shd w:val="clear" w:color="auto" w:fill="FFFFFF"/>
        </w:rPr>
        <w:t xml:space="preserve"> is manageable with monitoring and dose modifications (</w:t>
      </w:r>
      <w:r w:rsidR="00263145" w:rsidRPr="002C3702">
        <w:rPr>
          <w:rStyle w:val="normaltextrun"/>
          <w:rFonts w:cs="Calibri"/>
          <w:iCs/>
          <w:color w:val="000000" w:themeColor="text1"/>
        </w:rPr>
        <w:t>para</w:t>
      </w:r>
      <w:r w:rsidR="00A0194F" w:rsidRPr="002C3702">
        <w:rPr>
          <w:rStyle w:val="normaltextrun"/>
          <w:rFonts w:cs="Calibri"/>
          <w:iCs/>
          <w:color w:val="000000" w:themeColor="text1"/>
        </w:rPr>
        <w:t xml:space="preserve"> 7.9, </w:t>
      </w:r>
      <w:r w:rsidR="00B3218C" w:rsidRPr="002C3702">
        <w:rPr>
          <w:rStyle w:val="normaltextrun"/>
          <w:rFonts w:cs="Calibri"/>
          <w:iCs/>
          <w:color w:val="000000" w:themeColor="text1"/>
        </w:rPr>
        <w:t>a</w:t>
      </w:r>
      <w:r w:rsidR="00A0194F" w:rsidRPr="002C3702">
        <w:rPr>
          <w:rStyle w:val="normaltextrun"/>
          <w:rFonts w:cs="Calibri"/>
          <w:iCs/>
          <w:color w:val="000000" w:themeColor="text1"/>
        </w:rPr>
        <w:t>bemaciclib</w:t>
      </w:r>
      <w:r w:rsidR="00C06161" w:rsidRPr="002C3702">
        <w:rPr>
          <w:rStyle w:val="normaltextrun"/>
          <w:rFonts w:cs="Calibri"/>
          <w:iCs/>
          <w:color w:val="000000" w:themeColor="text1"/>
        </w:rPr>
        <w:t>,</w:t>
      </w:r>
      <w:r w:rsidR="00A0194F" w:rsidRPr="002C3702">
        <w:rPr>
          <w:rStyle w:val="normaltextrun"/>
          <w:rFonts w:cs="Calibri"/>
          <w:iCs/>
          <w:color w:val="000000"/>
          <w:shd w:val="clear" w:color="auto" w:fill="FFFFFF"/>
        </w:rPr>
        <w:t xml:space="preserve"> PSD, March 2022 PBAC meeting;</w:t>
      </w:r>
      <w:r w:rsidR="00A0194F" w:rsidRPr="002C3702">
        <w:rPr>
          <w:iCs/>
        </w:rPr>
        <w:t xml:space="preserve"> </w:t>
      </w:r>
      <w:r w:rsidR="00263145" w:rsidRPr="002C3702">
        <w:rPr>
          <w:rStyle w:val="normaltextrun"/>
          <w:rFonts w:cs="Calibri"/>
          <w:iCs/>
          <w:color w:val="000000"/>
          <w:shd w:val="clear" w:color="auto" w:fill="FFFFFF"/>
        </w:rPr>
        <w:t>para</w:t>
      </w:r>
      <w:r w:rsidR="00032B74" w:rsidRPr="002C3702">
        <w:rPr>
          <w:rStyle w:val="normaltextrun"/>
          <w:rFonts w:cs="Calibri"/>
          <w:iCs/>
          <w:color w:val="000000"/>
          <w:shd w:val="clear" w:color="auto" w:fill="FFFFFF"/>
        </w:rPr>
        <w:t xml:space="preserve"> </w:t>
      </w:r>
      <w:r w:rsidR="00A0194F" w:rsidRPr="002C3702">
        <w:rPr>
          <w:rStyle w:val="normaltextrun"/>
          <w:rFonts w:cs="Calibri"/>
          <w:iCs/>
          <w:color w:val="000000"/>
          <w:shd w:val="clear" w:color="auto" w:fill="FFFFFF"/>
        </w:rPr>
        <w:t>7.8</w:t>
      </w:r>
      <w:r w:rsidRPr="002C3702">
        <w:rPr>
          <w:rStyle w:val="normaltextrun"/>
          <w:rFonts w:cs="Calibri"/>
          <w:iCs/>
          <w:color w:val="000000"/>
          <w:shd w:val="clear" w:color="auto" w:fill="FFFFFF"/>
        </w:rPr>
        <w:t xml:space="preserve">, </w:t>
      </w:r>
      <w:r w:rsidR="00B3218C" w:rsidRPr="002C3702">
        <w:rPr>
          <w:rStyle w:val="normaltextrun"/>
          <w:rFonts w:cs="Calibri"/>
          <w:iCs/>
          <w:color w:val="000000"/>
          <w:shd w:val="clear" w:color="auto" w:fill="FFFFFF"/>
        </w:rPr>
        <w:t>a</w:t>
      </w:r>
      <w:r w:rsidRPr="002C3702">
        <w:rPr>
          <w:rStyle w:val="normaltextrun"/>
          <w:rFonts w:cs="Calibri"/>
          <w:iCs/>
          <w:color w:val="000000"/>
          <w:shd w:val="clear" w:color="auto" w:fill="FFFFFF"/>
        </w:rPr>
        <w:t>bemaciclib</w:t>
      </w:r>
      <w:r w:rsidR="00C06161" w:rsidRPr="002C3702">
        <w:rPr>
          <w:rStyle w:val="normaltextrun"/>
          <w:rFonts w:cs="Calibri"/>
          <w:iCs/>
          <w:color w:val="000000"/>
          <w:shd w:val="clear" w:color="auto" w:fill="FFFFFF"/>
        </w:rPr>
        <w:t>,</w:t>
      </w:r>
      <w:r w:rsidRPr="002C3702">
        <w:rPr>
          <w:rStyle w:val="normaltextrun"/>
          <w:rFonts w:cs="Calibri"/>
          <w:iCs/>
          <w:color w:val="000000"/>
          <w:shd w:val="clear" w:color="auto" w:fill="FFFFFF"/>
        </w:rPr>
        <w:t xml:space="preserve"> PSD, March 202</w:t>
      </w:r>
      <w:r w:rsidR="00A0194F" w:rsidRPr="002C3702">
        <w:rPr>
          <w:rStyle w:val="normaltextrun"/>
          <w:rFonts w:cs="Calibri"/>
          <w:iCs/>
          <w:color w:val="000000"/>
          <w:shd w:val="clear" w:color="auto" w:fill="FFFFFF"/>
        </w:rPr>
        <w:t>3</w:t>
      </w:r>
      <w:r w:rsidRPr="002C3702">
        <w:rPr>
          <w:rStyle w:val="normaltextrun"/>
          <w:rFonts w:cs="Calibri"/>
          <w:iCs/>
          <w:color w:val="000000"/>
          <w:shd w:val="clear" w:color="auto" w:fill="FFFFFF"/>
        </w:rPr>
        <w:t xml:space="preserve"> PBAC meeting)</w:t>
      </w:r>
      <w:r w:rsidRPr="002C3702">
        <w:rPr>
          <w:rStyle w:val="normaltextrun"/>
          <w:rFonts w:ascii="Calibri" w:hAnsi="Calibri" w:cs="Calibri"/>
          <w:iCs/>
          <w:color w:val="000000"/>
          <w:shd w:val="clear" w:color="auto" w:fill="FFFFFF"/>
        </w:rPr>
        <w:t>.</w:t>
      </w:r>
      <w:r w:rsidR="00B86586" w:rsidRPr="002C3702">
        <w:rPr>
          <w:rStyle w:val="normaltextrun"/>
          <w:rFonts w:ascii="Calibri" w:hAnsi="Calibri" w:cs="Calibri"/>
          <w:iCs/>
          <w:color w:val="000000"/>
          <w:shd w:val="clear" w:color="auto" w:fill="FFFFFF"/>
        </w:rPr>
        <w:t xml:space="preserve"> </w:t>
      </w:r>
    </w:p>
    <w:p w14:paraId="23D718F8" w14:textId="250F132C" w:rsidR="004E6EDA" w:rsidRPr="002C3702" w:rsidRDefault="00B86586" w:rsidP="00A54457">
      <w:pPr>
        <w:pStyle w:val="3-BodyText"/>
        <w:rPr>
          <w:rFonts w:eastAsia="Calibri"/>
        </w:rPr>
      </w:pPr>
      <w:r w:rsidRPr="002C3702">
        <w:rPr>
          <w:rStyle w:val="normaltextrun"/>
          <w:rFonts w:ascii="Calibri" w:hAnsi="Calibri" w:cs="Calibri"/>
          <w:color w:val="000000"/>
          <w:shd w:val="clear" w:color="auto" w:fill="FFFFFF"/>
        </w:rPr>
        <w:t xml:space="preserve">The </w:t>
      </w:r>
      <w:r w:rsidR="00A54457" w:rsidRPr="002C3702">
        <w:rPr>
          <w:rStyle w:val="normaltextrun"/>
          <w:rFonts w:ascii="Calibri" w:hAnsi="Calibri" w:cs="Calibri"/>
          <w:color w:val="000000"/>
          <w:shd w:val="clear" w:color="auto" w:fill="FFFFFF"/>
        </w:rPr>
        <w:t xml:space="preserve">PBAC </w:t>
      </w:r>
      <w:r w:rsidRPr="002C3702">
        <w:rPr>
          <w:rStyle w:val="normaltextrun"/>
          <w:rFonts w:ascii="Calibri" w:hAnsi="Calibri" w:cs="Calibri"/>
          <w:color w:val="000000"/>
          <w:shd w:val="clear" w:color="auto" w:fill="FFFFFF"/>
        </w:rPr>
        <w:t xml:space="preserve">considered the safety claim of </w:t>
      </w:r>
      <w:r w:rsidR="00A54457" w:rsidRPr="002C3702">
        <w:rPr>
          <w:rStyle w:val="normaltextrun"/>
          <w:rFonts w:ascii="Calibri" w:hAnsi="Calibri" w:cs="Calibri"/>
          <w:color w:val="000000"/>
          <w:shd w:val="clear" w:color="auto" w:fill="FFFFFF"/>
        </w:rPr>
        <w:t xml:space="preserve">inferior yet </w:t>
      </w:r>
      <w:r w:rsidRPr="002C3702">
        <w:rPr>
          <w:rFonts w:ascii="Calibri" w:hAnsi="Calibri" w:cs="Calibri"/>
          <w:color w:val="000000"/>
          <w:shd w:val="clear" w:color="auto" w:fill="FFFFFF"/>
        </w:rPr>
        <w:t>monitorable and manageable safety compared to ET alone was</w:t>
      </w:r>
      <w:r w:rsidR="00C21F95" w:rsidRPr="002C3702">
        <w:rPr>
          <w:rFonts w:ascii="Calibri" w:hAnsi="Calibri" w:cs="Calibri"/>
          <w:color w:val="000000"/>
          <w:shd w:val="clear" w:color="auto" w:fill="FFFFFF"/>
        </w:rPr>
        <w:t xml:space="preserve"> </w:t>
      </w:r>
      <w:r w:rsidRPr="002C3702">
        <w:rPr>
          <w:rFonts w:ascii="Calibri" w:hAnsi="Calibri" w:cs="Calibri"/>
          <w:color w:val="000000"/>
          <w:shd w:val="clear" w:color="auto" w:fill="FFFFFF"/>
        </w:rPr>
        <w:t>reasonable.</w:t>
      </w:r>
    </w:p>
    <w:p w14:paraId="2B6335DD" w14:textId="27C064E7" w:rsidR="00030CC5" w:rsidRPr="002C3702" w:rsidRDefault="00030CC5" w:rsidP="00030CC5">
      <w:pPr>
        <w:pStyle w:val="4-SubsectionHeading"/>
      </w:pPr>
      <w:bookmarkStart w:id="40" w:name="_Toc22897645"/>
      <w:bookmarkStart w:id="41" w:name="_Toc145422844"/>
      <w:r w:rsidRPr="002C3702">
        <w:t>Economic analysis</w:t>
      </w:r>
      <w:bookmarkEnd w:id="40"/>
      <w:bookmarkEnd w:id="41"/>
      <w:r w:rsidRPr="002C3702">
        <w:t xml:space="preserve"> </w:t>
      </w:r>
    </w:p>
    <w:p w14:paraId="72F7624E" w14:textId="2CAC163E" w:rsidR="00A22C34" w:rsidRPr="002C3702" w:rsidRDefault="00030CC5" w:rsidP="00030CC5">
      <w:pPr>
        <w:pStyle w:val="3-BodyText"/>
        <w:rPr>
          <w:color w:val="0066FF"/>
        </w:rPr>
      </w:pPr>
      <w:r w:rsidRPr="002C3702">
        <w:t xml:space="preserve">The current </w:t>
      </w:r>
      <w:r w:rsidR="23AAC2D8" w:rsidRPr="002C3702">
        <w:t>submission</w:t>
      </w:r>
      <w:r w:rsidRPr="002C3702">
        <w:t xml:space="preserve"> presented a modelled economic evaluation comparing ABE + ET to ET alone based</w:t>
      </w:r>
      <w:r w:rsidR="0025287D" w:rsidRPr="002C3702">
        <w:t xml:space="preserve"> on</w:t>
      </w:r>
      <w:r w:rsidRPr="002C3702">
        <w:t xml:space="preserve"> the monarchE</w:t>
      </w:r>
      <w:r w:rsidR="00E81506" w:rsidRPr="002C3702">
        <w:t xml:space="preserve"> randomised control</w:t>
      </w:r>
      <w:r w:rsidRPr="002C3702">
        <w:t xml:space="preserve"> trial. The type of economic evaluation presented was a cost-utility analysis (CUA). The approach remained unchanged from the March 2023 resubmission. </w:t>
      </w:r>
    </w:p>
    <w:p w14:paraId="152903B7" w14:textId="588E2450" w:rsidR="00643F2B" w:rsidRPr="002C3702" w:rsidRDefault="00643F2B" w:rsidP="00030CC5">
      <w:pPr>
        <w:pStyle w:val="3-BodyText"/>
      </w:pPr>
      <w:r w:rsidRPr="002C3702">
        <w:t>The economic model presented in the submission was a cohort state transition model (Markov) with five health states. The health states were IDFS, non-metastatic recurrence, remission, metastatic recurrence, and death. Death and metastatic recurrence were modelled as absorbing health states.</w:t>
      </w:r>
      <w:r w:rsidR="00F64B49" w:rsidRPr="002C3702">
        <w:t xml:space="preserve"> The structure of the economic model including health states remained unchanged from the March 2023 resubmission.</w:t>
      </w:r>
    </w:p>
    <w:p w14:paraId="18162918" w14:textId="60DE0D62" w:rsidR="00030CC5" w:rsidRPr="002C3702" w:rsidRDefault="00030CC5" w:rsidP="00030CC5">
      <w:pPr>
        <w:pStyle w:val="3-BodyText"/>
        <w:rPr>
          <w:color w:val="0066FF"/>
        </w:rPr>
      </w:pPr>
      <w:r w:rsidRPr="002C3702">
        <w:t xml:space="preserve">The current </w:t>
      </w:r>
      <w:r w:rsidR="23AAC2D8" w:rsidRPr="002C3702">
        <w:t>submission</w:t>
      </w:r>
      <w:r w:rsidRPr="002C3702">
        <w:t xml:space="preserve"> did not present a stepped economic evaluation. This is not reasonable, given the analysis continues to rely heavily on modelled assumptions, including extrapolation of IDFS and generation of outcomes in metastatic recurrence.</w:t>
      </w:r>
    </w:p>
    <w:p w14:paraId="25332DF9" w14:textId="77777777" w:rsidR="00030CC5" w:rsidRPr="002C3702" w:rsidRDefault="00030CC5" w:rsidP="00030CC5">
      <w:pPr>
        <w:pStyle w:val="3-BodyText"/>
        <w:rPr>
          <w:b/>
          <w:color w:val="000000" w:themeColor="text1"/>
        </w:rPr>
      </w:pPr>
      <w:r w:rsidRPr="002C3702">
        <w:rPr>
          <w:color w:val="000000" w:themeColor="text1"/>
        </w:rPr>
        <w:lastRenderedPageBreak/>
        <w:t>Key changes from the March 2023 resubmission include:</w:t>
      </w:r>
    </w:p>
    <w:p w14:paraId="37778266" w14:textId="0E7AF803" w:rsidR="00030CC5" w:rsidRPr="002C3702" w:rsidRDefault="001A263B" w:rsidP="002D7B8E">
      <w:pPr>
        <w:pStyle w:val="ListParagraph"/>
        <w:numPr>
          <w:ilvl w:val="0"/>
          <w:numId w:val="11"/>
        </w:numPr>
      </w:pPr>
      <w:r w:rsidRPr="002C3702">
        <w:t>I</w:t>
      </w:r>
      <w:r w:rsidR="00030CC5" w:rsidRPr="002C3702">
        <w:t>ncorporation of July 2022 data-cut of the monarchE trial, including updated curve fitting analys</w:t>
      </w:r>
      <w:r w:rsidR="00E81506" w:rsidRPr="002C3702">
        <w:t>e</w:t>
      </w:r>
      <w:r w:rsidR="00030CC5" w:rsidRPr="002C3702">
        <w:t>s</w:t>
      </w:r>
      <w:r w:rsidR="009E5AD9" w:rsidRPr="002C3702">
        <w:t>;</w:t>
      </w:r>
    </w:p>
    <w:p w14:paraId="7ED24DD4" w14:textId="497F17AE" w:rsidR="00030CC5" w:rsidRPr="002C3702" w:rsidRDefault="001A263B" w:rsidP="002D7B8E">
      <w:pPr>
        <w:pStyle w:val="ListParagraph"/>
        <w:numPr>
          <w:ilvl w:val="0"/>
          <w:numId w:val="11"/>
        </w:numPr>
      </w:pPr>
      <w:r w:rsidRPr="002C3702">
        <w:t>I</w:t>
      </w:r>
      <w:r w:rsidR="00030CC5" w:rsidRPr="002C3702">
        <w:t>ncreasing the cohort start</w:t>
      </w:r>
      <w:r w:rsidR="00E81506" w:rsidRPr="002C3702">
        <w:t>ing</w:t>
      </w:r>
      <w:r w:rsidR="00030CC5" w:rsidRPr="002C3702">
        <w:t xml:space="preserve"> age from 52.2 to 56 years</w:t>
      </w:r>
      <w:r w:rsidR="009E5AD9" w:rsidRPr="002C3702">
        <w:t>;</w:t>
      </w:r>
    </w:p>
    <w:p w14:paraId="6500C8DB" w14:textId="4F4BA695" w:rsidR="00030CC5" w:rsidRPr="002C3702" w:rsidRDefault="001A263B" w:rsidP="002D7B8E">
      <w:pPr>
        <w:pStyle w:val="ListParagraph"/>
        <w:numPr>
          <w:ilvl w:val="0"/>
          <w:numId w:val="11"/>
        </w:numPr>
      </w:pPr>
      <w:r w:rsidRPr="002C3702">
        <w:t>A</w:t>
      </w:r>
      <w:r w:rsidR="00030CC5" w:rsidRPr="002C3702">
        <w:t xml:space="preserve"> reduction in the treatment effect waning period (from Year 7-28.9 to Year 7-10)</w:t>
      </w:r>
      <w:r w:rsidR="009E5AD9" w:rsidRPr="002C3702">
        <w:t>;</w:t>
      </w:r>
    </w:p>
    <w:p w14:paraId="6A2669B9" w14:textId="57A8CAA0" w:rsidR="00030CC5" w:rsidRPr="002C3702" w:rsidRDefault="001A263B" w:rsidP="002D7B8E">
      <w:pPr>
        <w:pStyle w:val="ListParagraph"/>
        <w:numPr>
          <w:ilvl w:val="0"/>
          <w:numId w:val="11"/>
        </w:numPr>
      </w:pPr>
      <w:r w:rsidRPr="002C3702">
        <w:t>D</w:t>
      </w:r>
      <w:r w:rsidR="00030CC5" w:rsidRPr="002C3702">
        <w:t>rug costs, effective price $</w:t>
      </w:r>
      <w:r w:rsidR="008129BD">
        <w:t xml:space="preserve"> </w:t>
      </w:r>
      <w:r w:rsidR="008129BD" w:rsidRPr="00676505">
        <w:rPr>
          <w:color w:val="000000"/>
          <w:w w:val="15"/>
          <w:shd w:val="solid" w:color="000000" w:fill="000000"/>
          <w:fitText w:val="-20" w:id="-1032093426"/>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26"/>
          <w14:textFill>
            <w14:solidFill>
              <w14:srgbClr w14:val="000000">
                <w14:alpha w14:val="100000"/>
              </w14:srgbClr>
            </w14:solidFill>
          </w14:textFill>
        </w:rPr>
        <w:t>|</w:t>
      </w:r>
      <w:r w:rsidR="00030CC5" w:rsidRPr="002C3702">
        <w:t xml:space="preserve"> reduced from $</w:t>
      </w:r>
      <w:r w:rsidR="008129BD">
        <w:t xml:space="preserve"> </w:t>
      </w:r>
      <w:r w:rsidR="008129BD" w:rsidRPr="00676505">
        <w:rPr>
          <w:color w:val="000000"/>
          <w:w w:val="15"/>
          <w:shd w:val="solid" w:color="000000" w:fill="000000"/>
          <w:fitText w:val="-20" w:id="-1032093425"/>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25"/>
          <w14:textFill>
            <w14:solidFill>
              <w14:srgbClr w14:val="000000">
                <w14:alpha w14:val="100000"/>
              </w14:srgbClr>
            </w14:solidFill>
          </w14:textFill>
        </w:rPr>
        <w:t>|</w:t>
      </w:r>
      <w:r w:rsidR="00A22C34" w:rsidRPr="002C3702">
        <w:t xml:space="preserve"> per 56 tablets (DPMQ) for </w:t>
      </w:r>
      <w:r w:rsidR="00762220" w:rsidRPr="002C3702">
        <w:t>5</w:t>
      </w:r>
      <w:r w:rsidR="00A22C34" w:rsidRPr="002C3702">
        <w:t>0 mg, 100 mg, 150 mg strengths</w:t>
      </w:r>
      <w:r w:rsidR="009E5AD9" w:rsidRPr="002C3702">
        <w:t>;</w:t>
      </w:r>
    </w:p>
    <w:p w14:paraId="5EB2DB30" w14:textId="5CB9D816" w:rsidR="00030CC5" w:rsidRPr="002C3702" w:rsidRDefault="001A263B" w:rsidP="002D7B8E">
      <w:pPr>
        <w:pStyle w:val="ListParagraph"/>
        <w:numPr>
          <w:ilvl w:val="0"/>
          <w:numId w:val="11"/>
        </w:numPr>
      </w:pPr>
      <w:r w:rsidRPr="002C3702">
        <w:t>U</w:t>
      </w:r>
      <w:r w:rsidR="00030CC5" w:rsidRPr="002C3702">
        <w:t>pdated life tables (ABS 2019-21)</w:t>
      </w:r>
      <w:r w:rsidR="009E5AD9" w:rsidRPr="002C3702">
        <w:t>.</w:t>
      </w:r>
    </w:p>
    <w:p w14:paraId="0E8F9961" w14:textId="28F5FDCC" w:rsidR="00030CC5" w:rsidRPr="002C3702" w:rsidRDefault="00030CC5" w:rsidP="00030CC5">
      <w:pPr>
        <w:pStyle w:val="3-BodyText"/>
        <w:rPr>
          <w:b/>
          <w:bCs/>
          <w:color w:val="0066FF"/>
        </w:rPr>
      </w:pPr>
      <w:r w:rsidRPr="002C3702">
        <w:t>The key components of the economic evaluation comparing ABE + ET with ET alone are presented in</w:t>
      </w:r>
      <w:r w:rsidR="009E5AD9" w:rsidRPr="002C3702">
        <w:t xml:space="preserve"> </w:t>
      </w:r>
      <w:r w:rsidR="009E5AD9" w:rsidRPr="002C3702">
        <w:fldChar w:fldCharType="begin"/>
      </w:r>
      <w:r w:rsidR="009E5AD9" w:rsidRPr="002C3702">
        <w:instrText xml:space="preserve"> REF _Ref142347749 \h </w:instrText>
      </w:r>
      <w:r w:rsidR="009E5AD9" w:rsidRPr="002C3702">
        <w:fldChar w:fldCharType="separate"/>
      </w:r>
      <w:r w:rsidR="00676505" w:rsidRPr="002C3702">
        <w:t xml:space="preserve">Table </w:t>
      </w:r>
      <w:r w:rsidR="00676505">
        <w:rPr>
          <w:noProof/>
        </w:rPr>
        <w:t>8</w:t>
      </w:r>
      <w:r w:rsidR="009E5AD9" w:rsidRPr="002C3702">
        <w:fldChar w:fldCharType="end"/>
      </w:r>
      <w:r w:rsidR="00F23F14" w:rsidRPr="002C3702">
        <w:t>.</w:t>
      </w:r>
    </w:p>
    <w:p w14:paraId="35FBE905" w14:textId="7DA5E7CD" w:rsidR="00030CC5" w:rsidRPr="002C3702" w:rsidRDefault="00030CC5" w:rsidP="00030CC5">
      <w:pPr>
        <w:pStyle w:val="Caption"/>
      </w:pPr>
      <w:bookmarkStart w:id="42" w:name="_Ref142347749"/>
      <w:bookmarkStart w:id="43" w:name="_Ref142748362"/>
      <w:bookmarkStart w:id="44" w:name="_Ref142748356"/>
      <w:r w:rsidRPr="002C3702">
        <w:lastRenderedPageBreak/>
        <w:t xml:space="preserve">Table </w:t>
      </w:r>
      <w:r w:rsidRPr="002C3702">
        <w:fldChar w:fldCharType="begin"/>
      </w:r>
      <w:r w:rsidRPr="002C3702">
        <w:instrText>SEQ Table \* ARABIC</w:instrText>
      </w:r>
      <w:r w:rsidRPr="002C3702">
        <w:fldChar w:fldCharType="separate"/>
      </w:r>
      <w:r w:rsidR="00676505">
        <w:rPr>
          <w:noProof/>
        </w:rPr>
        <w:t>8</w:t>
      </w:r>
      <w:r w:rsidRPr="002C3702">
        <w:fldChar w:fldCharType="end"/>
      </w:r>
      <w:bookmarkEnd w:id="42"/>
      <w:bookmarkEnd w:id="43"/>
      <w:r w:rsidRPr="002C3702">
        <w:t>: Summary of model structure, key inputs and rationale</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030CC5" w:rsidRPr="002C3702" w14:paraId="0F79BB3D" w14:textId="77777777" w:rsidTr="006E7D62">
        <w:trPr>
          <w:tblHeader/>
        </w:trPr>
        <w:tc>
          <w:tcPr>
            <w:tcW w:w="1396" w:type="pct"/>
            <w:shd w:val="clear" w:color="auto" w:fill="auto"/>
            <w:vAlign w:val="center"/>
          </w:tcPr>
          <w:p w14:paraId="1C2722EF" w14:textId="77777777" w:rsidR="00030CC5" w:rsidRPr="002C3702" w:rsidRDefault="00030CC5" w:rsidP="006E7D62">
            <w:pPr>
              <w:pStyle w:val="In-tableHeading"/>
              <w:rPr>
                <w:lang w:val="en-AU"/>
              </w:rPr>
            </w:pPr>
            <w:r w:rsidRPr="002C3702">
              <w:rPr>
                <w:lang w:val="en-AU"/>
              </w:rPr>
              <w:t>Component</w:t>
            </w:r>
          </w:p>
        </w:tc>
        <w:tc>
          <w:tcPr>
            <w:tcW w:w="3604" w:type="pct"/>
            <w:shd w:val="clear" w:color="auto" w:fill="auto"/>
            <w:vAlign w:val="center"/>
          </w:tcPr>
          <w:p w14:paraId="2473F48E" w14:textId="77777777" w:rsidR="00030CC5" w:rsidRPr="002C3702" w:rsidRDefault="00030CC5" w:rsidP="006E7D62">
            <w:pPr>
              <w:pStyle w:val="In-tableHeading"/>
              <w:rPr>
                <w:lang w:val="en-AU"/>
              </w:rPr>
            </w:pPr>
            <w:r w:rsidRPr="002C3702">
              <w:rPr>
                <w:lang w:val="en-AU"/>
              </w:rPr>
              <w:t>Summary</w:t>
            </w:r>
          </w:p>
        </w:tc>
      </w:tr>
      <w:tr w:rsidR="00030CC5" w:rsidRPr="002C3702" w14:paraId="5A17A327" w14:textId="77777777" w:rsidTr="006E7D62">
        <w:tc>
          <w:tcPr>
            <w:tcW w:w="1396" w:type="pct"/>
            <w:shd w:val="clear" w:color="auto" w:fill="B8CCE4" w:themeFill="accent1" w:themeFillTint="66"/>
            <w:vAlign w:val="center"/>
          </w:tcPr>
          <w:p w14:paraId="4C10C9DB" w14:textId="77777777" w:rsidR="00030CC5" w:rsidRPr="002C3702" w:rsidRDefault="00030CC5" w:rsidP="006E7D62">
            <w:pPr>
              <w:pStyle w:val="TableText0"/>
            </w:pPr>
            <w:r w:rsidRPr="002C3702">
              <w:t>Treatments</w:t>
            </w:r>
          </w:p>
        </w:tc>
        <w:tc>
          <w:tcPr>
            <w:tcW w:w="3604" w:type="pct"/>
            <w:shd w:val="clear" w:color="auto" w:fill="B8CCE4" w:themeFill="accent1" w:themeFillTint="66"/>
            <w:vAlign w:val="center"/>
          </w:tcPr>
          <w:p w14:paraId="3B1CC754" w14:textId="77777777" w:rsidR="00030CC5" w:rsidRPr="002C3702" w:rsidRDefault="00030CC5" w:rsidP="006E7D62">
            <w:pPr>
              <w:pStyle w:val="TableText0"/>
            </w:pPr>
            <w:r w:rsidRPr="002C3702">
              <w:t>ABE+ ET vs ET</w:t>
            </w:r>
          </w:p>
        </w:tc>
      </w:tr>
      <w:tr w:rsidR="00030CC5" w:rsidRPr="002C3702" w14:paraId="29BACAE3" w14:textId="77777777" w:rsidTr="006E7D62">
        <w:tc>
          <w:tcPr>
            <w:tcW w:w="1396" w:type="pct"/>
            <w:shd w:val="clear" w:color="auto" w:fill="B8CCE4" w:themeFill="accent1" w:themeFillTint="66"/>
            <w:vAlign w:val="center"/>
          </w:tcPr>
          <w:p w14:paraId="57DAED80" w14:textId="77777777" w:rsidR="00030CC5" w:rsidRPr="002C3702" w:rsidRDefault="00030CC5" w:rsidP="006E7D62">
            <w:pPr>
              <w:pStyle w:val="TableText0"/>
            </w:pPr>
            <w:r w:rsidRPr="002C3702">
              <w:t>Time horizon</w:t>
            </w:r>
          </w:p>
        </w:tc>
        <w:tc>
          <w:tcPr>
            <w:tcW w:w="3604" w:type="pct"/>
            <w:shd w:val="clear" w:color="auto" w:fill="B8CCE4" w:themeFill="accent1" w:themeFillTint="66"/>
            <w:vAlign w:val="center"/>
          </w:tcPr>
          <w:p w14:paraId="04D63BA5" w14:textId="588BD6A4" w:rsidR="00030CC5" w:rsidRPr="002C3702" w:rsidRDefault="00030CC5" w:rsidP="006E7D62">
            <w:pPr>
              <w:pStyle w:val="TableText0"/>
            </w:pPr>
            <w:r w:rsidRPr="002C3702">
              <w:t>30 years</w:t>
            </w:r>
            <w:r w:rsidR="002716FC" w:rsidRPr="002C3702">
              <w:t xml:space="preserve"> versus 42-month median follow up in the monarchE trial (July 2022 data cut).</w:t>
            </w:r>
          </w:p>
        </w:tc>
      </w:tr>
      <w:tr w:rsidR="00030CC5" w:rsidRPr="002C3702" w14:paraId="4F76D251" w14:textId="77777777" w:rsidTr="006E7D62">
        <w:tc>
          <w:tcPr>
            <w:tcW w:w="1396" w:type="pct"/>
            <w:shd w:val="clear" w:color="auto" w:fill="B8CCE4" w:themeFill="accent1" w:themeFillTint="66"/>
            <w:vAlign w:val="center"/>
          </w:tcPr>
          <w:p w14:paraId="7E0624CD" w14:textId="77777777" w:rsidR="00030CC5" w:rsidRPr="002C3702" w:rsidRDefault="00030CC5" w:rsidP="006E7D62">
            <w:pPr>
              <w:pStyle w:val="TableText0"/>
            </w:pPr>
            <w:r w:rsidRPr="002C3702">
              <w:t>Outcomes</w:t>
            </w:r>
          </w:p>
        </w:tc>
        <w:tc>
          <w:tcPr>
            <w:tcW w:w="3604" w:type="pct"/>
            <w:shd w:val="clear" w:color="auto" w:fill="B8CCE4" w:themeFill="accent1" w:themeFillTint="66"/>
            <w:vAlign w:val="center"/>
          </w:tcPr>
          <w:p w14:paraId="4CBED178" w14:textId="77777777" w:rsidR="00030CC5" w:rsidRPr="002C3702" w:rsidRDefault="00030CC5" w:rsidP="006E7D62">
            <w:pPr>
              <w:pStyle w:val="TableText0"/>
            </w:pPr>
            <w:r w:rsidRPr="002C3702">
              <w:t xml:space="preserve">QALYs and LYs. </w:t>
            </w:r>
          </w:p>
        </w:tc>
      </w:tr>
      <w:tr w:rsidR="00030CC5" w:rsidRPr="002C3702" w14:paraId="5C152AC1" w14:textId="77777777" w:rsidTr="006E7D62">
        <w:tc>
          <w:tcPr>
            <w:tcW w:w="1396" w:type="pct"/>
            <w:shd w:val="clear" w:color="auto" w:fill="B8CCE4" w:themeFill="accent1" w:themeFillTint="66"/>
            <w:vAlign w:val="center"/>
          </w:tcPr>
          <w:p w14:paraId="1C6F5295" w14:textId="77777777" w:rsidR="00030CC5" w:rsidRPr="002C3702" w:rsidRDefault="00030CC5" w:rsidP="006E7D62">
            <w:pPr>
              <w:pStyle w:val="TableText0"/>
            </w:pPr>
            <w:r w:rsidRPr="002C3702">
              <w:t>Methods used to generate results</w:t>
            </w:r>
          </w:p>
        </w:tc>
        <w:tc>
          <w:tcPr>
            <w:tcW w:w="3604" w:type="pct"/>
            <w:shd w:val="clear" w:color="auto" w:fill="B8CCE4" w:themeFill="accent1" w:themeFillTint="66"/>
            <w:vAlign w:val="center"/>
          </w:tcPr>
          <w:p w14:paraId="75BFD9D8" w14:textId="77777777" w:rsidR="00030CC5" w:rsidRPr="002C3702" w:rsidRDefault="00030CC5" w:rsidP="006E7D62">
            <w:pPr>
              <w:pStyle w:val="TableText0"/>
            </w:pPr>
            <w:r w:rsidRPr="002C3702">
              <w:t xml:space="preserve">A cohort state-transition model (Markov model). </w:t>
            </w:r>
          </w:p>
        </w:tc>
      </w:tr>
      <w:tr w:rsidR="00030CC5" w:rsidRPr="002C3702" w14:paraId="514055D4" w14:textId="77777777" w:rsidTr="006E7D62">
        <w:tc>
          <w:tcPr>
            <w:tcW w:w="1396" w:type="pct"/>
            <w:shd w:val="clear" w:color="auto" w:fill="B8CCE4" w:themeFill="accent1" w:themeFillTint="66"/>
            <w:vAlign w:val="center"/>
          </w:tcPr>
          <w:p w14:paraId="33160E8C" w14:textId="77777777" w:rsidR="00030CC5" w:rsidRPr="002C3702" w:rsidRDefault="00030CC5" w:rsidP="006E7D62">
            <w:pPr>
              <w:pStyle w:val="TableText0"/>
            </w:pPr>
            <w:r w:rsidRPr="002C3702">
              <w:t>Health states</w:t>
            </w:r>
          </w:p>
        </w:tc>
        <w:tc>
          <w:tcPr>
            <w:tcW w:w="3604" w:type="pct"/>
            <w:shd w:val="clear" w:color="auto" w:fill="B8CCE4" w:themeFill="accent1" w:themeFillTint="66"/>
            <w:vAlign w:val="center"/>
          </w:tcPr>
          <w:p w14:paraId="7038E1EE" w14:textId="658898F3" w:rsidR="00030CC5" w:rsidRPr="002C3702" w:rsidRDefault="00030CC5" w:rsidP="006E7D62">
            <w:pPr>
              <w:pStyle w:val="TableText0"/>
            </w:pPr>
            <w:r w:rsidRPr="002C3702">
              <w:t>Five health states: Invasive disease-free survival; Non-metastatic recurrence (including three sub-states: second primary neoplasm [a], locoregional recurrence and contralateral recurrence); Remission; Metastatic recurrence (including two sub-states: endocrine-resistant and endocrine-sensitive) [a]; and Dead [a]</w:t>
            </w:r>
            <w:r w:rsidR="002C3702">
              <w:t xml:space="preserve">. </w:t>
            </w:r>
          </w:p>
        </w:tc>
      </w:tr>
      <w:tr w:rsidR="00030CC5" w:rsidRPr="002C3702" w14:paraId="03DDEB8F" w14:textId="77777777" w:rsidTr="006E7D62">
        <w:tc>
          <w:tcPr>
            <w:tcW w:w="1396" w:type="pct"/>
            <w:shd w:val="clear" w:color="auto" w:fill="B8CCE4" w:themeFill="accent1" w:themeFillTint="66"/>
            <w:vAlign w:val="center"/>
          </w:tcPr>
          <w:p w14:paraId="2C299549" w14:textId="77777777" w:rsidR="00030CC5" w:rsidRPr="002C3702" w:rsidRDefault="00030CC5" w:rsidP="006E7D62">
            <w:pPr>
              <w:pStyle w:val="TableText0"/>
            </w:pPr>
            <w:r w:rsidRPr="002C3702">
              <w:t>Cycle length</w:t>
            </w:r>
          </w:p>
        </w:tc>
        <w:tc>
          <w:tcPr>
            <w:tcW w:w="3604" w:type="pct"/>
            <w:shd w:val="clear" w:color="auto" w:fill="B8CCE4" w:themeFill="accent1" w:themeFillTint="66"/>
          </w:tcPr>
          <w:p w14:paraId="5250E13E" w14:textId="77777777" w:rsidR="00030CC5" w:rsidRPr="002C3702" w:rsidRDefault="00030CC5" w:rsidP="006E7D62">
            <w:pPr>
              <w:pStyle w:val="TableText0"/>
            </w:pPr>
            <w:r w:rsidRPr="002C3702">
              <w:t>28 days.</w:t>
            </w:r>
          </w:p>
        </w:tc>
      </w:tr>
      <w:tr w:rsidR="00030CC5" w:rsidRPr="002C3702" w14:paraId="68D14F65" w14:textId="77777777" w:rsidTr="006E7D62">
        <w:tc>
          <w:tcPr>
            <w:tcW w:w="1396" w:type="pct"/>
            <w:shd w:val="clear" w:color="auto" w:fill="auto"/>
            <w:vAlign w:val="center"/>
          </w:tcPr>
          <w:p w14:paraId="73A26CDE" w14:textId="77777777" w:rsidR="00030CC5" w:rsidRPr="002C3702" w:rsidRDefault="00030CC5" w:rsidP="006E7D62">
            <w:pPr>
              <w:pStyle w:val="TableText0"/>
            </w:pPr>
            <w:r w:rsidRPr="002C3702">
              <w:t>Transition probabilities or</w:t>
            </w:r>
          </w:p>
          <w:p w14:paraId="39376906" w14:textId="77777777" w:rsidR="00030CC5" w:rsidRPr="002C3702" w:rsidRDefault="00030CC5" w:rsidP="006E7D62">
            <w:pPr>
              <w:pStyle w:val="TableText0"/>
            </w:pPr>
            <w:r w:rsidRPr="002C3702">
              <w:t>Allocation to health states (if partitioned survival model)</w:t>
            </w:r>
          </w:p>
        </w:tc>
        <w:tc>
          <w:tcPr>
            <w:tcW w:w="3604" w:type="pct"/>
            <w:shd w:val="clear" w:color="auto" w:fill="auto"/>
            <w:vAlign w:val="center"/>
          </w:tcPr>
          <w:p w14:paraId="1DC4E612" w14:textId="77777777" w:rsidR="00030CC5" w:rsidRPr="002C3702" w:rsidRDefault="00030CC5" w:rsidP="006E7D62">
            <w:pPr>
              <w:pStyle w:val="TableText0"/>
            </w:pPr>
            <w:r w:rsidRPr="002C3702">
              <w:t xml:space="preserve">IDFS, recurrence type, OS without metastatic recurrence and TTD were sourced from Cohort 1 monarchE (July 2022 data cut; AFU2). </w:t>
            </w:r>
          </w:p>
          <w:p w14:paraId="25BB00AE" w14:textId="77777777" w:rsidR="00030CC5" w:rsidRPr="002C3702" w:rsidRDefault="00030CC5" w:rsidP="006E7D62">
            <w:pPr>
              <w:pStyle w:val="TableText0"/>
            </w:pPr>
          </w:p>
          <w:p w14:paraId="1215D946" w14:textId="77777777" w:rsidR="00030CC5" w:rsidRPr="002C3702" w:rsidRDefault="00030CC5" w:rsidP="006E7D62">
            <w:pPr>
              <w:pStyle w:val="TableText0"/>
              <w:shd w:val="clear" w:color="auto" w:fill="B8CCE4" w:themeFill="accent1" w:themeFillTint="66"/>
            </w:pPr>
            <w:r w:rsidRPr="002C3702">
              <w:t>The probability of recurrence in remission was based on Hamilton (2015).</w:t>
            </w:r>
          </w:p>
          <w:p w14:paraId="6B3CFF89" w14:textId="77777777" w:rsidR="00030CC5" w:rsidRPr="002C3702" w:rsidRDefault="00030CC5" w:rsidP="006E7D62">
            <w:pPr>
              <w:pStyle w:val="TableText0"/>
            </w:pPr>
          </w:p>
          <w:p w14:paraId="1E2411F3" w14:textId="77777777" w:rsidR="00030CC5" w:rsidRPr="002C3702" w:rsidRDefault="00030CC5" w:rsidP="006E7D62">
            <w:pPr>
              <w:pStyle w:val="TableText0"/>
              <w:keepNext w:val="0"/>
              <w:shd w:val="clear" w:color="auto" w:fill="B8CCE4" w:themeFill="accent1" w:themeFillTint="66"/>
            </w:pPr>
            <w:r w:rsidRPr="002C3702">
              <w:t>As metastatic recurrence was modelled as an absorbing health state, one-off costs and QALYs were applied on the transition to this health state. These were based on LYs, by progression status, generated in external workbooks of ABE in the metastatic setting for each first-line metastatic treatment option included (and subsequently weighted by the distribution of use with and without ABE in the adjuvant setting).</w:t>
            </w:r>
          </w:p>
        </w:tc>
      </w:tr>
      <w:tr w:rsidR="00030CC5" w:rsidRPr="002C3702" w14:paraId="5FC41115" w14:textId="77777777" w:rsidTr="006E7D62">
        <w:tc>
          <w:tcPr>
            <w:tcW w:w="1396" w:type="pct"/>
            <w:shd w:val="clear" w:color="auto" w:fill="auto"/>
            <w:vAlign w:val="center"/>
          </w:tcPr>
          <w:p w14:paraId="40DFD7C4" w14:textId="77777777" w:rsidR="00030CC5" w:rsidRPr="002C3702" w:rsidRDefault="00030CC5" w:rsidP="006E7D62">
            <w:pPr>
              <w:pStyle w:val="TableText0"/>
            </w:pPr>
            <w:r w:rsidRPr="002C3702">
              <w:t>Extrapolation method</w:t>
            </w:r>
          </w:p>
        </w:tc>
        <w:tc>
          <w:tcPr>
            <w:tcW w:w="3604" w:type="pct"/>
            <w:shd w:val="clear" w:color="auto" w:fill="auto"/>
            <w:vAlign w:val="center"/>
          </w:tcPr>
          <w:p w14:paraId="53E78E71" w14:textId="0F579AE7" w:rsidR="0078099C" w:rsidRPr="002C3702" w:rsidRDefault="0078099C" w:rsidP="006E7D62">
            <w:pPr>
              <w:pStyle w:val="TableText0"/>
              <w:keepNext w:val="0"/>
            </w:pPr>
            <w:r w:rsidRPr="002C3702">
              <w:t>The current submission presented a revised economic analysis with updated data from the July 2022 data cut-off of the monarchE trial</w:t>
            </w:r>
          </w:p>
          <w:p w14:paraId="2B2396A9" w14:textId="77777777" w:rsidR="0078099C" w:rsidRPr="002C3702" w:rsidRDefault="0078099C" w:rsidP="006E7D62">
            <w:pPr>
              <w:pStyle w:val="TableText0"/>
              <w:keepNext w:val="0"/>
            </w:pPr>
          </w:p>
          <w:p w14:paraId="666560A1" w14:textId="58627321" w:rsidR="00030CC5" w:rsidRPr="002C3702" w:rsidRDefault="00030CC5" w:rsidP="006E7D62">
            <w:pPr>
              <w:pStyle w:val="TableText0"/>
              <w:keepNext w:val="0"/>
            </w:pPr>
            <w:r w:rsidRPr="002C3702">
              <w:t xml:space="preserve">Observed KM data were used in the model with extrapolation of Cohort 1, monarchE KM IDFS, OS without distant recurrence and TTD for ET (with or without adjuvant ABE) data. </w:t>
            </w:r>
          </w:p>
          <w:p w14:paraId="5A38E5F1" w14:textId="77777777" w:rsidR="00030CC5" w:rsidRPr="002C3702" w:rsidRDefault="00030CC5" w:rsidP="006E7D62">
            <w:pPr>
              <w:pStyle w:val="TableText0"/>
              <w:keepNext w:val="0"/>
            </w:pPr>
          </w:p>
          <w:p w14:paraId="38B872FD" w14:textId="3971650D" w:rsidR="00B15DAE" w:rsidRPr="002C3702" w:rsidRDefault="0078099C" w:rsidP="00B15DAE">
            <w:pPr>
              <w:pStyle w:val="TableText0"/>
              <w:keepNext w:val="0"/>
            </w:pPr>
            <w:r w:rsidRPr="002C3702">
              <w:t xml:space="preserve">Updated data were used, however the type of parametric function chosen to extrapolate IDFS and OS were unchanged from the March 2023 resubmission. </w:t>
            </w:r>
            <w:r w:rsidR="00B15DAE" w:rsidRPr="002C3702">
              <w:t xml:space="preserve">Parametric model selection was based on an assessment of proportional hazards, goodness of fit statistics, clinical plausibility and previous PBAC consideration. </w:t>
            </w:r>
          </w:p>
          <w:p w14:paraId="72F619E1" w14:textId="77777777" w:rsidR="00030CC5" w:rsidRPr="002C3702" w:rsidRDefault="00030CC5" w:rsidP="00BE2FDD">
            <w:pPr>
              <w:pStyle w:val="TableText0"/>
              <w:keepNext w:val="0"/>
              <w:numPr>
                <w:ilvl w:val="0"/>
                <w:numId w:val="7"/>
              </w:numPr>
              <w:ind w:left="253" w:hanging="141"/>
            </w:pPr>
            <w:r w:rsidRPr="002C3702">
              <w:rPr>
                <w:shd w:val="clear" w:color="auto" w:fill="B8CCE4" w:themeFill="accent1" w:themeFillTint="66"/>
              </w:rPr>
              <w:t>IDFS: a jointly fitted log-logistic distribution</w:t>
            </w:r>
            <w:r w:rsidRPr="002C3702">
              <w:t xml:space="preserve"> was used from month 48. </w:t>
            </w:r>
          </w:p>
          <w:p w14:paraId="664BAEAB" w14:textId="77777777" w:rsidR="00030CC5" w:rsidRPr="002C3702" w:rsidRDefault="00030CC5" w:rsidP="00BE2FDD">
            <w:pPr>
              <w:pStyle w:val="TableText0"/>
              <w:keepNext w:val="0"/>
              <w:numPr>
                <w:ilvl w:val="0"/>
                <w:numId w:val="7"/>
              </w:numPr>
              <w:ind w:left="253" w:hanging="141"/>
            </w:pPr>
            <w:r w:rsidRPr="002C3702">
              <w:rPr>
                <w:shd w:val="clear" w:color="auto" w:fill="B8CCE4" w:themeFill="accent1" w:themeFillTint="66"/>
              </w:rPr>
              <w:t>OS without metastatic recurrence: a jointly fitted exponential distribution</w:t>
            </w:r>
            <w:r w:rsidRPr="002C3702">
              <w:t xml:space="preserve"> was used from month 48.</w:t>
            </w:r>
          </w:p>
          <w:p w14:paraId="0078BF8D" w14:textId="77777777" w:rsidR="00030CC5" w:rsidRPr="002C3702" w:rsidRDefault="00030CC5" w:rsidP="00BE2FDD">
            <w:pPr>
              <w:pStyle w:val="TableText0"/>
              <w:keepNext w:val="0"/>
              <w:numPr>
                <w:ilvl w:val="0"/>
                <w:numId w:val="7"/>
              </w:numPr>
              <w:ind w:left="253" w:hanging="141"/>
            </w:pPr>
            <w:r w:rsidRPr="002C3702">
              <w:t>IDFS and OS without metastatic recurrence were adjusted for a waning of the ABE treatment effect (from Year 7−10).</w:t>
            </w:r>
          </w:p>
          <w:p w14:paraId="33592724" w14:textId="77777777" w:rsidR="00030CC5" w:rsidRPr="002C3702" w:rsidRDefault="00030CC5" w:rsidP="00BE2FDD">
            <w:pPr>
              <w:pStyle w:val="TableText0"/>
              <w:keepNext w:val="0"/>
              <w:numPr>
                <w:ilvl w:val="0"/>
                <w:numId w:val="7"/>
              </w:numPr>
              <w:ind w:left="253" w:hanging="141"/>
            </w:pPr>
            <w:r w:rsidRPr="002C3702">
              <w:t xml:space="preserve">ET TTD: independently fitted models were used after all of the observed K-M TTD. Hazards spline models with two knots were used for both arms. </w:t>
            </w:r>
          </w:p>
          <w:p w14:paraId="7E3F5C47" w14:textId="77777777" w:rsidR="00030CC5" w:rsidRPr="002C3702" w:rsidRDefault="00030CC5" w:rsidP="006E7D62">
            <w:pPr>
              <w:pStyle w:val="TableText0"/>
              <w:rPr>
                <w:i/>
                <w:iCs/>
              </w:rPr>
            </w:pPr>
            <w:r w:rsidRPr="002C3702">
              <w:t>All extrapolations were adjusted for background mortality using the 2019-2021 Australian Bureau of Statistics (ABS) life tables.</w:t>
            </w:r>
          </w:p>
        </w:tc>
      </w:tr>
      <w:tr w:rsidR="00030CC5" w:rsidRPr="002C3702" w14:paraId="2BA3839E" w14:textId="77777777" w:rsidTr="00776B12">
        <w:tc>
          <w:tcPr>
            <w:tcW w:w="1396" w:type="pct"/>
            <w:shd w:val="clear" w:color="auto" w:fill="auto"/>
            <w:vAlign w:val="center"/>
          </w:tcPr>
          <w:p w14:paraId="7FD02978" w14:textId="77777777" w:rsidR="00030CC5" w:rsidRPr="002C3702" w:rsidRDefault="00030CC5" w:rsidP="006E7D62">
            <w:pPr>
              <w:pStyle w:val="TableText0"/>
            </w:pPr>
            <w:r w:rsidRPr="002C3702">
              <w:t>Health related quality of life</w:t>
            </w:r>
          </w:p>
        </w:tc>
        <w:tc>
          <w:tcPr>
            <w:tcW w:w="3604" w:type="pct"/>
            <w:shd w:val="clear" w:color="auto" w:fill="B8CCE4" w:themeFill="accent1" w:themeFillTint="66"/>
            <w:vAlign w:val="center"/>
          </w:tcPr>
          <w:p w14:paraId="6FD3CE70" w14:textId="3B3E4CCD" w:rsidR="00030CC5" w:rsidRPr="002C3702" w:rsidRDefault="00030CC5" w:rsidP="006E7D62">
            <w:pPr>
              <w:pStyle w:val="TableText0"/>
            </w:pPr>
            <w:r w:rsidRPr="002C3702">
              <w:t xml:space="preserve">Derived from monarchE Cohort 1 (IDFS and remission: 0.785), </w:t>
            </w:r>
            <w:r w:rsidRPr="002C3702">
              <w:rPr>
                <w:shd w:val="clear" w:color="auto" w:fill="B8CCE4" w:themeFill="accent1" w:themeFillTint="66"/>
              </w:rPr>
              <w:t>MONARCH-2 (ET-resistant PFS and ET-sensitive PFS2: 0.748), MONARCH-3 (ER-MBC PFS1: 0.724) and published literature (</w:t>
            </w:r>
            <w:proofErr w:type="spellStart"/>
            <w:r w:rsidRPr="002C3702">
              <w:rPr>
                <w:shd w:val="clear" w:color="auto" w:fill="B8CCE4" w:themeFill="accent1" w:themeFillTint="66"/>
              </w:rPr>
              <w:t>Lidgren</w:t>
            </w:r>
            <w:proofErr w:type="spellEnd"/>
            <w:r w:rsidRPr="002C3702">
              <w:rPr>
                <w:shd w:val="clear" w:color="auto" w:fill="B8CCE4" w:themeFill="accent1" w:themeFillTint="66"/>
              </w:rPr>
              <w:t xml:space="preserve"> 2007</w:t>
            </w:r>
            <w:r w:rsidRPr="002C3702">
              <w:rPr>
                <w:shd w:val="clear" w:color="auto" w:fill="B8CCE4" w:themeFill="accent1" w:themeFillTint="66"/>
                <w:vertAlign w:val="superscript"/>
              </w:rPr>
              <w:t>a</w:t>
            </w:r>
            <w:r w:rsidRPr="002C3702">
              <w:rPr>
                <w:shd w:val="clear" w:color="auto" w:fill="B8CCE4" w:themeFill="accent1" w:themeFillTint="66"/>
              </w:rPr>
              <w:t xml:space="preserve"> and Lloyd 2006</w:t>
            </w:r>
            <w:r w:rsidRPr="002C3702">
              <w:rPr>
                <w:shd w:val="clear" w:color="auto" w:fill="B8CCE4" w:themeFill="accent1" w:themeFillTint="66"/>
                <w:vertAlign w:val="superscript"/>
              </w:rPr>
              <w:t>b</w:t>
            </w:r>
            <w:r w:rsidRPr="002C3702">
              <w:rPr>
                <w:shd w:val="clear" w:color="auto" w:fill="B8CCE4" w:themeFill="accent1" w:themeFillTint="66"/>
              </w:rPr>
              <w:t>).</w:t>
            </w:r>
            <w:r w:rsidRPr="002C3702">
              <w:t xml:space="preserve"> </w:t>
            </w:r>
          </w:p>
        </w:tc>
      </w:tr>
      <w:tr w:rsidR="00030CC5" w:rsidRPr="002C3702" w14:paraId="6831D623" w14:textId="77777777" w:rsidTr="006E7D62">
        <w:tc>
          <w:tcPr>
            <w:tcW w:w="1396" w:type="pct"/>
            <w:shd w:val="clear" w:color="auto" w:fill="auto"/>
            <w:vAlign w:val="center"/>
          </w:tcPr>
          <w:p w14:paraId="3AFD11A6" w14:textId="77777777" w:rsidR="00030CC5" w:rsidRPr="002C3702" w:rsidRDefault="00030CC5" w:rsidP="006E7D62">
            <w:pPr>
              <w:pStyle w:val="TableText0"/>
            </w:pPr>
            <w:r w:rsidRPr="002C3702">
              <w:t xml:space="preserve">Cohort start age </w:t>
            </w:r>
          </w:p>
        </w:tc>
        <w:tc>
          <w:tcPr>
            <w:tcW w:w="3604" w:type="pct"/>
            <w:shd w:val="clear" w:color="auto" w:fill="auto"/>
            <w:vAlign w:val="center"/>
          </w:tcPr>
          <w:p w14:paraId="199AF190" w14:textId="77777777" w:rsidR="00030CC5" w:rsidRPr="002C3702" w:rsidRDefault="00030CC5" w:rsidP="006E7D62">
            <w:pPr>
              <w:pStyle w:val="TableText0"/>
            </w:pPr>
            <w:r w:rsidRPr="002C3702">
              <w:t>56 years.</w:t>
            </w:r>
            <w:r w:rsidRPr="002C3702">
              <w:rPr>
                <w:iCs/>
              </w:rPr>
              <w:t xml:space="preserve"> </w:t>
            </w:r>
          </w:p>
        </w:tc>
      </w:tr>
    </w:tbl>
    <w:p w14:paraId="5AF0D8BA" w14:textId="4E3E69B5" w:rsidR="00030CC5" w:rsidRPr="002C3702" w:rsidRDefault="00030CC5" w:rsidP="00030CC5">
      <w:pPr>
        <w:pStyle w:val="FooterTableFigure"/>
      </w:pPr>
      <w:r w:rsidRPr="002C3702">
        <w:t xml:space="preserve">Source: </w:t>
      </w:r>
      <w:r w:rsidRPr="002C3702">
        <w:rPr>
          <w:iCs/>
        </w:rPr>
        <w:t xml:space="preserve">Compiled during evaluation from Section 3 of the current </w:t>
      </w:r>
      <w:r w:rsidR="23AAC2D8" w:rsidRPr="002C3702">
        <w:rPr>
          <w:iCs/>
        </w:rPr>
        <w:t>submission</w:t>
      </w:r>
      <w:r w:rsidRPr="002C3702">
        <w:rPr>
          <w:iCs/>
        </w:rPr>
        <w:t xml:space="preserve"> and Table 3-2, p182 of the March 2023 resubmission.</w:t>
      </w:r>
    </w:p>
    <w:p w14:paraId="64B73381" w14:textId="77777777" w:rsidR="00030CC5" w:rsidRPr="002C3702" w:rsidRDefault="00030CC5" w:rsidP="00030CC5">
      <w:pPr>
        <w:pStyle w:val="FooterTableFigure"/>
      </w:pPr>
      <w:r w:rsidRPr="002C3702">
        <w:t>ABE= abemaciclib, AFU2 = additional follow-up 2, ET= endocrine therapy, ESC= Economic Sub Committee, ICER= Incremental Cost Effectiveness Ratio, IDFS = invasive disease-free survival, K-M = Kaplan Meier, LY = life years, OS = overall survival, PBAC= Pharmaceutical Benefits Advisory Committee, PFS= progression-free survival, QALY = quality-adjusted life year, TTD = time to treatment discontinuation.</w:t>
      </w:r>
    </w:p>
    <w:p w14:paraId="633FD732" w14:textId="77777777" w:rsidR="00030CC5" w:rsidRPr="002C3702" w:rsidRDefault="00030CC5" w:rsidP="00030CC5">
      <w:pPr>
        <w:pStyle w:val="FooterTableFigure"/>
      </w:pPr>
      <w:r w:rsidRPr="002C3702">
        <w:rPr>
          <w:vertAlign w:val="superscript"/>
        </w:rPr>
        <w:t xml:space="preserve">a </w:t>
      </w:r>
      <w:r w:rsidRPr="002C3702">
        <w:t xml:space="preserve"> Modelled as absorbing health states. </w:t>
      </w:r>
    </w:p>
    <w:p w14:paraId="232F7242" w14:textId="77777777" w:rsidR="00030CC5" w:rsidRPr="002C3702" w:rsidRDefault="00030CC5" w:rsidP="00030CC5">
      <w:pPr>
        <w:pStyle w:val="FooterTableFigure"/>
      </w:pPr>
      <w:r w:rsidRPr="002C3702">
        <w:rPr>
          <w:vertAlign w:val="superscript"/>
        </w:rPr>
        <w:t>b</w:t>
      </w:r>
      <w:r w:rsidRPr="002C3702">
        <w:t xml:space="preserve"> The Cohort 1 patient criteria matches the proposed PBS patient criteria. This represents 91% of the ITT population.</w:t>
      </w:r>
    </w:p>
    <w:p w14:paraId="6E3F0053" w14:textId="446081F6" w:rsidR="00030CC5" w:rsidRPr="002C3702" w:rsidRDefault="00030CC5" w:rsidP="00030CC5">
      <w:pPr>
        <w:pStyle w:val="FooterTableFigure"/>
        <w:rPr>
          <w:iCs/>
        </w:rPr>
      </w:pPr>
      <w:r w:rsidRPr="002C3702">
        <w:rPr>
          <w:iCs/>
          <w:shd w:val="clear" w:color="auto" w:fill="B8CCE4" w:themeFill="accent1" w:themeFillTint="66"/>
        </w:rPr>
        <w:t>Blue shading</w:t>
      </w:r>
      <w:r w:rsidRPr="002C3702">
        <w:rPr>
          <w:iCs/>
        </w:rPr>
        <w:t xml:space="preserve"> indicates these data sources and key inputs were unchanged from the March 2023 resubmission</w:t>
      </w:r>
      <w:r w:rsidR="002C3702">
        <w:rPr>
          <w:iCs/>
        </w:rPr>
        <w:t xml:space="preserve">. </w:t>
      </w:r>
    </w:p>
    <w:p w14:paraId="20E07B69" w14:textId="7C61F994" w:rsidR="003C57CE" w:rsidRPr="002C3702" w:rsidRDefault="008D7878" w:rsidP="00BC5B92">
      <w:pPr>
        <w:pStyle w:val="3-BodyText"/>
      </w:pPr>
      <w:r w:rsidRPr="002C3702">
        <w:lastRenderedPageBreak/>
        <w:t xml:space="preserve">The </w:t>
      </w:r>
      <w:r w:rsidR="00D2181F" w:rsidRPr="002C3702">
        <w:t xml:space="preserve">economic model presented in the </w:t>
      </w:r>
      <w:r w:rsidR="004E7A11" w:rsidRPr="002C3702">
        <w:t xml:space="preserve">current submission </w:t>
      </w:r>
      <w:r w:rsidR="00C14677" w:rsidRPr="002C3702">
        <w:t xml:space="preserve">was </w:t>
      </w:r>
      <w:r w:rsidR="002E7332" w:rsidRPr="002C3702">
        <w:t xml:space="preserve">informed by </w:t>
      </w:r>
      <w:r w:rsidRPr="002C3702">
        <w:t xml:space="preserve">updated clinical inputs from </w:t>
      </w:r>
      <w:r w:rsidR="000D7AE8" w:rsidRPr="002C3702">
        <w:t xml:space="preserve">the </w:t>
      </w:r>
      <w:r w:rsidRPr="002C3702">
        <w:t xml:space="preserve">monarchE trial </w:t>
      </w:r>
      <w:r w:rsidR="00775171" w:rsidRPr="002C3702">
        <w:t>(July 2022 data cut)</w:t>
      </w:r>
      <w:r w:rsidR="00023FD4" w:rsidRPr="002C3702">
        <w:t xml:space="preserve">. It applied </w:t>
      </w:r>
      <w:r w:rsidR="00BC5B92" w:rsidRPr="002C3702">
        <w:t>p</w:t>
      </w:r>
      <w:r w:rsidR="008E7433" w:rsidRPr="002C3702">
        <w:t>arametric</w:t>
      </w:r>
      <w:r w:rsidR="00C01159" w:rsidRPr="002C3702">
        <w:t xml:space="preserve"> extrapolation </w:t>
      </w:r>
      <w:r w:rsidR="000252B0" w:rsidRPr="002C3702">
        <w:t xml:space="preserve">for </w:t>
      </w:r>
      <w:r w:rsidR="00C01159" w:rsidRPr="002C3702">
        <w:t>IDFS, TTD, and OS without distant recurrence</w:t>
      </w:r>
      <w:r w:rsidR="003C57CE" w:rsidRPr="002C3702">
        <w:t>;</w:t>
      </w:r>
      <w:r w:rsidR="00BC5B92" w:rsidRPr="002C3702">
        <w:t xml:space="preserve"> </w:t>
      </w:r>
      <w:r w:rsidR="00F033C6" w:rsidRPr="002C3702">
        <w:t xml:space="preserve">the </w:t>
      </w:r>
      <w:r w:rsidR="00BC5B92" w:rsidRPr="002C3702">
        <w:t>p</w:t>
      </w:r>
      <w:r w:rsidR="00484EEE" w:rsidRPr="002C3702">
        <w:t xml:space="preserve">roportion of IDFS events that are </w:t>
      </w:r>
      <w:r w:rsidR="003C57CE" w:rsidRPr="002C3702">
        <w:t>metastatic</w:t>
      </w:r>
      <w:r w:rsidR="00484EEE" w:rsidRPr="002C3702">
        <w:t>;</w:t>
      </w:r>
      <w:r w:rsidR="00BC5B92" w:rsidRPr="002C3702">
        <w:t xml:space="preserve"> d</w:t>
      </w:r>
      <w:r w:rsidR="003C57CE" w:rsidRPr="002C3702">
        <w:t xml:space="preserve">istribution of types of </w:t>
      </w:r>
      <w:r w:rsidR="00D047BF" w:rsidRPr="002C3702">
        <w:t>non-metastatic recurren</w:t>
      </w:r>
      <w:r w:rsidR="005559C3" w:rsidRPr="002C3702">
        <w:t>ce (</w:t>
      </w:r>
      <w:r w:rsidR="003C57CE" w:rsidRPr="002C3702">
        <w:t>NMR</w:t>
      </w:r>
      <w:r w:rsidR="005559C3" w:rsidRPr="002C3702">
        <w:t>)</w:t>
      </w:r>
      <w:r w:rsidR="003C57CE" w:rsidRPr="002C3702">
        <w:t xml:space="preserve"> events;</w:t>
      </w:r>
      <w:r w:rsidR="00BC5B92" w:rsidRPr="002C3702">
        <w:t xml:space="preserve"> and a</w:t>
      </w:r>
      <w:r w:rsidR="00A4003F" w:rsidRPr="002C3702">
        <w:t>dverse event incidence.</w:t>
      </w:r>
    </w:p>
    <w:p w14:paraId="2DD55F04" w14:textId="297B5F60" w:rsidR="000C15D8" w:rsidRPr="002C3702" w:rsidRDefault="00030CC5" w:rsidP="009C3B47">
      <w:pPr>
        <w:pStyle w:val="3-BodyText"/>
        <w:rPr>
          <w:iCs/>
        </w:rPr>
      </w:pPr>
      <w:r w:rsidRPr="002C3702">
        <w:t xml:space="preserve">As with the March 2023 resubmission, the OS benefit of ABE was modelled indirectly through IDFS, where an improvement in IDFS was assumed to reduce the number of recurrences, in particular metastatic recurrences, and therefore mortality due to metastatic recurrence. </w:t>
      </w:r>
      <w:r w:rsidR="002227C3" w:rsidRPr="002C3702">
        <w:t>T</w:t>
      </w:r>
      <w:r w:rsidRPr="002C3702">
        <w:t xml:space="preserve">he current </w:t>
      </w:r>
      <w:r w:rsidR="23AAC2D8" w:rsidRPr="002C3702">
        <w:t>submission</w:t>
      </w:r>
      <w:r w:rsidRPr="002C3702">
        <w:t xml:space="preserve"> updated the economic model to incorporate additional </w:t>
      </w:r>
      <w:r w:rsidR="00A64B20" w:rsidRPr="002C3702">
        <w:t>data</w:t>
      </w:r>
      <w:r w:rsidR="006C1847" w:rsidRPr="002C3702">
        <w:t xml:space="preserve"> for </w:t>
      </w:r>
      <w:r w:rsidRPr="002C3702">
        <w:t>OS</w:t>
      </w:r>
      <w:r w:rsidR="000E116A" w:rsidRPr="002C3702">
        <w:t xml:space="preserve">, </w:t>
      </w:r>
      <w:r w:rsidR="002227C3" w:rsidRPr="002C3702">
        <w:t xml:space="preserve">however </w:t>
      </w:r>
      <w:r w:rsidRPr="002C3702">
        <w:t xml:space="preserve">no OS benefit was observed </w:t>
      </w:r>
      <w:r w:rsidR="00AA554E" w:rsidRPr="002C3702">
        <w:t>at</w:t>
      </w:r>
      <w:r w:rsidRPr="002C3702">
        <w:t xml:space="preserve"> the July 2022 data cut of </w:t>
      </w:r>
      <w:r w:rsidR="00E302FA" w:rsidRPr="002C3702">
        <w:t xml:space="preserve">the </w:t>
      </w:r>
      <w:r w:rsidRPr="002C3702">
        <w:t>monarchE trial. At the March 2023 meeting, the PBAC noted that the economic model assumed that treatment with ABE would reduce the risk of recurrence and that this would result in an increase in OS (</w:t>
      </w:r>
      <w:r w:rsidR="00263145" w:rsidRPr="002C3702">
        <w:t>para</w:t>
      </w:r>
      <w:r w:rsidRPr="002C3702">
        <w:t xml:space="preserve"> 7.9, </w:t>
      </w:r>
      <w:r w:rsidR="00B3218C" w:rsidRPr="002C3702">
        <w:t>a</w:t>
      </w:r>
      <w:r w:rsidRPr="002C3702">
        <w:t xml:space="preserve">bemaciclib, PSD, March 2023 PBAC meeting). The PBAC also considered that it is unclear if treatment with ABE results in recurrence being avoided in a proportion of patients and hence a permanent cure as claimed, or if </w:t>
      </w:r>
      <w:r w:rsidR="00263145" w:rsidRPr="002C3702">
        <w:t xml:space="preserve">ABE </w:t>
      </w:r>
      <w:r w:rsidRPr="002C3702">
        <w:t>delays micro-metastases progressing to macro-metastases and hence delays when recurrence occurs (</w:t>
      </w:r>
      <w:r w:rsidR="00263145" w:rsidRPr="002C3702">
        <w:t>para</w:t>
      </w:r>
      <w:r w:rsidRPr="002C3702">
        <w:t xml:space="preserve"> 7.9, </w:t>
      </w:r>
      <w:r w:rsidR="00B3218C" w:rsidRPr="002C3702">
        <w:t>a</w:t>
      </w:r>
      <w:r w:rsidRPr="002C3702">
        <w:t>bemaciclib, PSD, March 2023 PBAC meeting). The PBAC further noted that a relationship between IDFS and OS had not been consistently demonstrated with other treatments for HR+ EBC, and overall, the PBAC considered the modelled OS gain to be highly uncertain (</w:t>
      </w:r>
      <w:r w:rsidR="00263145" w:rsidRPr="002C3702">
        <w:t>para</w:t>
      </w:r>
      <w:r w:rsidRPr="002C3702">
        <w:t xml:space="preserve"> 7.9, </w:t>
      </w:r>
      <w:r w:rsidR="00B3218C" w:rsidRPr="002C3702">
        <w:t>a</w:t>
      </w:r>
      <w:r w:rsidRPr="002C3702">
        <w:t>bemaciclib, PSD, March 2023 PBAC meeting). These issues remain despite the addition of the updated July 2022 data cut from monarchE.</w:t>
      </w:r>
      <w:r w:rsidR="006104CF" w:rsidRPr="002C3702">
        <w:t xml:space="preserve"> </w:t>
      </w:r>
      <w:r w:rsidR="00C21F95" w:rsidRPr="002C3702">
        <w:rPr>
          <w:iCs/>
        </w:rPr>
        <w:t xml:space="preserve">The ESC noted no new data reporting an OS benefit was provided in the current submission </w:t>
      </w:r>
      <w:r w:rsidR="006104CF" w:rsidRPr="002C3702">
        <w:rPr>
          <w:iCs/>
          <w:color w:val="000000" w:themeColor="text1"/>
        </w:rPr>
        <w:t xml:space="preserve">and </w:t>
      </w:r>
      <w:r w:rsidR="006104CF" w:rsidRPr="002C3702">
        <w:rPr>
          <w:iCs/>
        </w:rPr>
        <w:t>considered the modelled OS gain remained highly uncertain.</w:t>
      </w:r>
      <w:bookmarkStart w:id="45" w:name="_Ref147924221"/>
    </w:p>
    <w:p w14:paraId="5CF8E71E" w14:textId="0A58443B" w:rsidR="009C3B47" w:rsidRPr="002C3702" w:rsidRDefault="009C3B47" w:rsidP="009C3B47">
      <w:pPr>
        <w:pStyle w:val="3-BodyText"/>
        <w:rPr>
          <w:iCs/>
        </w:rPr>
      </w:pPr>
      <w:r w:rsidRPr="002C3702">
        <w:rPr>
          <w:iCs/>
        </w:rPr>
        <w:t>The ESC considered</w:t>
      </w:r>
      <w:r w:rsidRPr="002C3702">
        <w:t xml:space="preserve"> </w:t>
      </w:r>
      <w:r w:rsidRPr="002C3702">
        <w:rPr>
          <w:iCs/>
        </w:rPr>
        <w:t>issues previously raised by the PBAC remain unaddressed, including the model time horizon (para</w:t>
      </w:r>
      <w:r w:rsidR="00C21F95" w:rsidRPr="002C3702">
        <w:rPr>
          <w:iCs/>
        </w:rPr>
        <w:t xml:space="preserve"> </w:t>
      </w:r>
      <w:r w:rsidR="00C21F95" w:rsidRPr="002C3702">
        <w:rPr>
          <w:iCs/>
        </w:rPr>
        <w:fldChar w:fldCharType="begin"/>
      </w:r>
      <w:r w:rsidR="00C21F95" w:rsidRPr="002C3702">
        <w:rPr>
          <w:iCs/>
        </w:rPr>
        <w:instrText xml:space="preserve"> REF _Ref147935040 \r \h </w:instrText>
      </w:r>
      <w:r w:rsidR="00C21F95" w:rsidRPr="002C3702">
        <w:rPr>
          <w:iCs/>
        </w:rPr>
      </w:r>
      <w:r w:rsidR="00C21F95" w:rsidRPr="002C3702">
        <w:rPr>
          <w:iCs/>
        </w:rPr>
        <w:fldChar w:fldCharType="separate"/>
      </w:r>
      <w:r w:rsidR="00676505">
        <w:rPr>
          <w:iCs/>
        </w:rPr>
        <w:t>6.37</w:t>
      </w:r>
      <w:r w:rsidR="00C21F95" w:rsidRPr="002C3702">
        <w:rPr>
          <w:iCs/>
        </w:rPr>
        <w:fldChar w:fldCharType="end"/>
      </w:r>
      <w:r w:rsidRPr="002C3702">
        <w:rPr>
          <w:iCs/>
        </w:rPr>
        <w:t xml:space="preserve">), treatment waning (para </w:t>
      </w:r>
      <w:r w:rsidRPr="002C3702">
        <w:rPr>
          <w:iCs/>
        </w:rPr>
        <w:fldChar w:fldCharType="begin"/>
      </w:r>
      <w:r w:rsidRPr="002C3702">
        <w:rPr>
          <w:iCs/>
        </w:rPr>
        <w:instrText xml:space="preserve"> REF _Ref147924271 \r \h </w:instrText>
      </w:r>
      <w:r w:rsidRPr="002C3702">
        <w:rPr>
          <w:iCs/>
        </w:rPr>
      </w:r>
      <w:r w:rsidRPr="002C3702">
        <w:rPr>
          <w:iCs/>
        </w:rPr>
        <w:fldChar w:fldCharType="separate"/>
      </w:r>
      <w:r w:rsidR="00676505">
        <w:rPr>
          <w:iCs/>
        </w:rPr>
        <w:t>6.38</w:t>
      </w:r>
      <w:r w:rsidRPr="002C3702">
        <w:rPr>
          <w:iCs/>
        </w:rPr>
        <w:fldChar w:fldCharType="end"/>
      </w:r>
      <w:r w:rsidR="00BA3C80" w:rsidRPr="002C3702">
        <w:rPr>
          <w:rFonts w:cstheme="minorHAnsi"/>
          <w:iCs/>
        </w:rPr>
        <w:t>−</w:t>
      </w:r>
      <w:r w:rsidR="00BA3C80" w:rsidRPr="002C3702">
        <w:rPr>
          <w:iCs/>
        </w:rPr>
        <w:fldChar w:fldCharType="begin"/>
      </w:r>
      <w:r w:rsidR="00BA3C80" w:rsidRPr="002C3702">
        <w:rPr>
          <w:iCs/>
        </w:rPr>
        <w:instrText xml:space="preserve"> REF _Ref147926866 \r \h </w:instrText>
      </w:r>
      <w:r w:rsidR="00BA3C80" w:rsidRPr="002C3702">
        <w:rPr>
          <w:iCs/>
        </w:rPr>
      </w:r>
      <w:r w:rsidR="00BA3C80" w:rsidRPr="002C3702">
        <w:rPr>
          <w:iCs/>
        </w:rPr>
        <w:fldChar w:fldCharType="separate"/>
      </w:r>
      <w:r w:rsidR="00676505">
        <w:rPr>
          <w:iCs/>
        </w:rPr>
        <w:t>6.39</w:t>
      </w:r>
      <w:r w:rsidR="00BA3C80" w:rsidRPr="002C3702">
        <w:rPr>
          <w:iCs/>
        </w:rPr>
        <w:fldChar w:fldCharType="end"/>
      </w:r>
      <w:r w:rsidRPr="002C3702">
        <w:rPr>
          <w:iCs/>
        </w:rPr>
        <w:t>) and the cohort starting age (para</w:t>
      </w:r>
      <w:r w:rsidR="00EB11CE" w:rsidRPr="002C3702">
        <w:rPr>
          <w:iCs/>
        </w:rPr>
        <w:t>s</w:t>
      </w:r>
      <w:r w:rsidRPr="002C3702">
        <w:rPr>
          <w:iCs/>
        </w:rPr>
        <w:t xml:space="preserve"> </w:t>
      </w:r>
      <w:r w:rsidRPr="002C3702">
        <w:rPr>
          <w:iCs/>
        </w:rPr>
        <w:fldChar w:fldCharType="begin"/>
      </w:r>
      <w:r w:rsidRPr="002C3702">
        <w:rPr>
          <w:iCs/>
        </w:rPr>
        <w:instrText xml:space="preserve"> REF _Ref147924264 \r \h </w:instrText>
      </w:r>
      <w:r w:rsidRPr="002C3702">
        <w:rPr>
          <w:iCs/>
        </w:rPr>
      </w:r>
      <w:r w:rsidRPr="002C3702">
        <w:rPr>
          <w:iCs/>
        </w:rPr>
        <w:fldChar w:fldCharType="separate"/>
      </w:r>
      <w:r w:rsidR="00676505">
        <w:rPr>
          <w:iCs/>
        </w:rPr>
        <w:t>6.40</w:t>
      </w:r>
      <w:r w:rsidRPr="002C3702">
        <w:rPr>
          <w:iCs/>
        </w:rPr>
        <w:fldChar w:fldCharType="end"/>
      </w:r>
      <w:r w:rsidRPr="002C3702">
        <w:rPr>
          <w:iCs/>
        </w:rPr>
        <w:t>), detailed below.</w:t>
      </w:r>
    </w:p>
    <w:p w14:paraId="27B10FB3" w14:textId="585A377E" w:rsidR="00030CC5" w:rsidRPr="002C3702" w:rsidRDefault="00030CC5" w:rsidP="00030CC5">
      <w:pPr>
        <w:pStyle w:val="3-BodyText"/>
      </w:pPr>
      <w:bookmarkStart w:id="46" w:name="_Ref147935040"/>
      <w:r w:rsidRPr="002C3702">
        <w:t xml:space="preserve">The current </w:t>
      </w:r>
      <w:r w:rsidR="23AAC2D8" w:rsidRPr="002C3702">
        <w:t>submission</w:t>
      </w:r>
      <w:r w:rsidRPr="002C3702">
        <w:t xml:space="preserve"> nominated a time horizon of 30 years. This remained unchanged from </w:t>
      </w:r>
      <w:r w:rsidR="00E302FA" w:rsidRPr="002C3702">
        <w:t xml:space="preserve">the </w:t>
      </w:r>
      <w:r w:rsidRPr="002C3702">
        <w:t xml:space="preserve">March 2023 resubmission. </w:t>
      </w:r>
      <w:r w:rsidR="00AD4ECF" w:rsidRPr="002C3702">
        <w:rPr>
          <w:iCs/>
        </w:rPr>
        <w:t xml:space="preserve">The PBAC previously considered that a 20-year time horizon would be more reasonable, however, the 30-year time horizon would be reasonable in the context of a more conservative treatment waning (4 to 7 years) and older age at model entry (61.4 years) (para 7.13, </w:t>
      </w:r>
      <w:r w:rsidR="00B3218C" w:rsidRPr="002C3702">
        <w:rPr>
          <w:iCs/>
        </w:rPr>
        <w:t>a</w:t>
      </w:r>
      <w:r w:rsidR="00AD4ECF" w:rsidRPr="002C3702">
        <w:rPr>
          <w:iCs/>
        </w:rPr>
        <w:t>bemaciclib, PSD, March 2023 PBAC Meeting).</w:t>
      </w:r>
      <w:r w:rsidR="00AD4ECF" w:rsidRPr="002C3702">
        <w:t xml:space="preserve"> </w:t>
      </w:r>
      <w:r w:rsidR="0081689F" w:rsidRPr="002C3702">
        <w:rPr>
          <w:iCs/>
        </w:rPr>
        <w:t>T</w:t>
      </w:r>
      <w:r w:rsidR="00AD4ECF" w:rsidRPr="002C3702">
        <w:rPr>
          <w:iCs/>
        </w:rPr>
        <w:t>he submission neither applied the 20-year time horizon nor a 30-year time horizon with more conservative assumptions regarding treatment waning and the model starting age. T</w:t>
      </w:r>
      <w:r w:rsidR="00817277" w:rsidRPr="002C3702">
        <w:rPr>
          <w:iCs/>
        </w:rPr>
        <w:t>he PSCR argued that the</w:t>
      </w:r>
      <w:r w:rsidR="00AD4ECF" w:rsidRPr="002C3702">
        <w:rPr>
          <w:iCs/>
        </w:rPr>
        <w:t xml:space="preserve"> time horizon remains unchanged </w:t>
      </w:r>
      <w:r w:rsidR="00817277" w:rsidRPr="002C3702">
        <w:rPr>
          <w:iCs/>
        </w:rPr>
        <w:t xml:space="preserve">as the PBAC considered that a 30-year time horizon was reasonable given the aim of treatment in the EBC setting is cure (para 7.13, </w:t>
      </w:r>
      <w:r w:rsidR="00B3218C" w:rsidRPr="002C3702">
        <w:rPr>
          <w:iCs/>
        </w:rPr>
        <w:t>a</w:t>
      </w:r>
      <w:r w:rsidR="00817277" w:rsidRPr="002C3702">
        <w:rPr>
          <w:iCs/>
        </w:rPr>
        <w:t>bemaciclib PSD, March 2023 PBAC Meeting)</w:t>
      </w:r>
      <w:r w:rsidR="00AD4ECF" w:rsidRPr="002C3702">
        <w:rPr>
          <w:iCs/>
        </w:rPr>
        <w:t xml:space="preserve">. The </w:t>
      </w:r>
      <w:r w:rsidR="00817277" w:rsidRPr="002C3702">
        <w:rPr>
          <w:iCs/>
        </w:rPr>
        <w:t>PSCR argue</w:t>
      </w:r>
      <w:r w:rsidR="00BA3C80" w:rsidRPr="002C3702">
        <w:rPr>
          <w:iCs/>
        </w:rPr>
        <w:t>d</w:t>
      </w:r>
      <w:r w:rsidR="00817277" w:rsidRPr="002C3702">
        <w:rPr>
          <w:iCs/>
        </w:rPr>
        <w:t xml:space="preserve"> that based on</w:t>
      </w:r>
      <w:r w:rsidR="00AD4ECF" w:rsidRPr="002C3702">
        <w:rPr>
          <w:iCs/>
        </w:rPr>
        <w:t xml:space="preserve"> model</w:t>
      </w:r>
      <w:r w:rsidR="00817277" w:rsidRPr="002C3702">
        <w:rPr>
          <w:iCs/>
        </w:rPr>
        <w:t>led</w:t>
      </w:r>
      <w:r w:rsidR="00AD4ECF" w:rsidRPr="002C3702">
        <w:rPr>
          <w:iCs/>
        </w:rPr>
        <w:t xml:space="preserve"> estimates 27% of ABE + ET patients and 23% of E</w:t>
      </w:r>
      <w:r w:rsidR="00817277" w:rsidRPr="002C3702">
        <w:rPr>
          <w:iCs/>
        </w:rPr>
        <w:t>T</w:t>
      </w:r>
      <w:r w:rsidR="00AD4ECF" w:rsidRPr="002C3702">
        <w:rPr>
          <w:iCs/>
        </w:rPr>
        <w:t xml:space="preserve"> patients remain in IDFS </w:t>
      </w:r>
      <w:r w:rsidR="00817277" w:rsidRPr="002C3702">
        <w:rPr>
          <w:iCs/>
        </w:rPr>
        <w:t>at</w:t>
      </w:r>
      <w:r w:rsidR="00AD4ECF" w:rsidRPr="002C3702">
        <w:rPr>
          <w:iCs/>
        </w:rPr>
        <w:t xml:space="preserve"> </w:t>
      </w:r>
      <w:r w:rsidR="00817277" w:rsidRPr="002C3702">
        <w:rPr>
          <w:iCs/>
        </w:rPr>
        <w:t>y</w:t>
      </w:r>
      <w:r w:rsidR="00AD4ECF" w:rsidRPr="002C3702">
        <w:rPr>
          <w:iCs/>
        </w:rPr>
        <w:t>ear 30</w:t>
      </w:r>
      <w:r w:rsidR="00BA3C80" w:rsidRPr="002C3702">
        <w:rPr>
          <w:iCs/>
        </w:rPr>
        <w:t xml:space="preserve"> and</w:t>
      </w:r>
      <w:r w:rsidR="00AD4ECF" w:rsidRPr="002C3702">
        <w:rPr>
          <w:iCs/>
        </w:rPr>
        <w:t xml:space="preserve"> </w:t>
      </w:r>
      <w:r w:rsidR="00817277" w:rsidRPr="002C3702">
        <w:rPr>
          <w:iCs/>
        </w:rPr>
        <w:t>a</w:t>
      </w:r>
      <w:r w:rsidR="00AD4ECF" w:rsidRPr="002C3702">
        <w:rPr>
          <w:iCs/>
        </w:rPr>
        <w:t xml:space="preserve">pplying a 30-year time horizon </w:t>
      </w:r>
      <w:r w:rsidR="00817277" w:rsidRPr="002C3702">
        <w:rPr>
          <w:iCs/>
        </w:rPr>
        <w:t xml:space="preserve">is considered conservative, as it </w:t>
      </w:r>
      <w:r w:rsidR="00AD4ECF" w:rsidRPr="002C3702">
        <w:rPr>
          <w:iCs/>
        </w:rPr>
        <w:t>does not represent</w:t>
      </w:r>
      <w:r w:rsidR="00817277" w:rsidRPr="002C3702">
        <w:rPr>
          <w:iCs/>
        </w:rPr>
        <w:t xml:space="preserve"> a</w:t>
      </w:r>
      <w:r w:rsidR="00AD4ECF" w:rsidRPr="002C3702">
        <w:rPr>
          <w:iCs/>
        </w:rPr>
        <w:t xml:space="preserve"> lifetime for this patient cohort</w:t>
      </w:r>
      <w:r w:rsidR="00817277" w:rsidRPr="002C3702">
        <w:rPr>
          <w:iCs/>
        </w:rPr>
        <w:t>.</w:t>
      </w:r>
      <w:bookmarkEnd w:id="45"/>
      <w:bookmarkEnd w:id="46"/>
    </w:p>
    <w:p w14:paraId="1C406EFE" w14:textId="045DD9C8" w:rsidR="00B71269" w:rsidRPr="002C3702" w:rsidRDefault="00943852" w:rsidP="00B71269">
      <w:pPr>
        <w:pStyle w:val="3-BodyText"/>
      </w:pPr>
      <w:bookmarkStart w:id="47" w:name="_Ref147924271"/>
      <w:r w:rsidRPr="002C3702">
        <w:lastRenderedPageBreak/>
        <w:t>T</w:t>
      </w:r>
      <w:r w:rsidR="00B71269" w:rsidRPr="002C3702">
        <w:t xml:space="preserve">he current submission applied a waning of the treatment effect from Year 7 to Year 10 (reduced from Year 7 to Year 28.9 previously). No new evidence was provided </w:t>
      </w:r>
      <w:r w:rsidRPr="002C3702">
        <w:t xml:space="preserve">in the submission </w:t>
      </w:r>
      <w:r w:rsidR="00B71269" w:rsidRPr="002C3702">
        <w:t>to support the applied treatment waning period from Year 7 to Year 10.</w:t>
      </w:r>
      <w:r w:rsidR="00B71269" w:rsidRPr="002C3702">
        <w:rPr>
          <w:iCs/>
        </w:rPr>
        <w:t xml:space="preserve"> </w:t>
      </w:r>
      <w:r w:rsidR="00B71269" w:rsidRPr="002C3702">
        <w:t xml:space="preserve">The submission justified the applied treatment waning period based on the PBAC’s consideration of trastuzumab emtansine (T-DM1; </w:t>
      </w:r>
      <w:proofErr w:type="spellStart"/>
      <w:r w:rsidR="00B71269" w:rsidRPr="002C3702">
        <w:t>Kadcyla</w:t>
      </w:r>
      <w:proofErr w:type="spellEnd"/>
      <w:r w:rsidR="00B71269" w:rsidRPr="002C3702">
        <w:t>®) in EBC. The submission argued that:</w:t>
      </w:r>
      <w:bookmarkEnd w:id="47"/>
    </w:p>
    <w:p w14:paraId="6EEEC0DD" w14:textId="77777777" w:rsidR="00B71269" w:rsidRPr="002C3702" w:rsidRDefault="00B71269" w:rsidP="002D7B8E">
      <w:pPr>
        <w:pStyle w:val="3-BodyText"/>
        <w:numPr>
          <w:ilvl w:val="0"/>
          <w:numId w:val="12"/>
        </w:numPr>
      </w:pPr>
      <w:r w:rsidRPr="002C3702">
        <w:t>Evidence from the pivotal trial, KATHERINE, demonstrated a reduction in the magnitude of benefit of T-DM1 treatment on IDFS as early as Year 2 and continuing to reduce through Year 4 of the study. However, the patient populations eligible for TDM-1 and ABE differ. T-DM1 was recommended by the PBAC for the treatment of adjuvant therapy of patients with HER2 positive EBC with residual disease following HER2-targeted neoadjuvant therapy (para 7.1, trastuzumab emtansine, PSD, November 2019 PBAC meeting). As such, the duration and treatment effect of TDM-1 does not provide a basis for ABE.</w:t>
      </w:r>
    </w:p>
    <w:p w14:paraId="165049B7" w14:textId="39F87098" w:rsidR="00B71269" w:rsidRPr="002C3702" w:rsidRDefault="00B71269" w:rsidP="002D7B8E">
      <w:pPr>
        <w:pStyle w:val="3-BodyText"/>
        <w:numPr>
          <w:ilvl w:val="0"/>
          <w:numId w:val="12"/>
        </w:numPr>
      </w:pPr>
      <w:r w:rsidRPr="002C3702">
        <w:t>Results of monarchE did not indicate a reduction in the benefit of ABE based on the annual HR over the first 3 years. However, data from KATHERINE indicated a reduction in benefit starting as early as Year 2 and continuing to reduce through Year 4. These arguments were made previously by the sponsor (para 6.37, abemaciclib, PSD, March 2023). The ongoing treatment effect of T-DM1 beyond the observed data was supported by longer-term trials (HERA and BCIRG-006). In contrast, the current submission did not provide further evidence to support the maintenance of ABE treatment effect beyond the observed data at 48 months (approximately 4 years). Annualised hazard rates over a short period of time, as provided by the submission, may not adequately represent a long-term maintenance of treatment effect.</w:t>
      </w:r>
    </w:p>
    <w:p w14:paraId="1253A037" w14:textId="4EBBA5BE" w:rsidR="0081689F" w:rsidRPr="002C3702" w:rsidRDefault="00EB11CE" w:rsidP="00EB11CE">
      <w:pPr>
        <w:pStyle w:val="3-BodyText"/>
      </w:pPr>
      <w:bookmarkStart w:id="48" w:name="_Ref147926866"/>
      <w:bookmarkStart w:id="49" w:name="_Ref150427577"/>
      <w:r w:rsidRPr="002C3702">
        <w:t>The PBAC previously noted the piecewise hazard ratios for IDFS and DRFS suggested that the magnitude of relative treatment effect appears to be maintained to approximately 4 years</w:t>
      </w:r>
      <w:r w:rsidR="000B6B40" w:rsidRPr="002C3702">
        <w:t>, however</w:t>
      </w:r>
      <w:r w:rsidRPr="002C3702">
        <w:t xml:space="preserve"> agreed with ESC that using 4 years of data to predict the next 25 years of treatment effect is highly uncertain. The PBAC previously agreed with the ESC and considered that the waning of the treatment effect from Year 4 to Year 7 would be a more reasonable assumption (para 7.11, abemaciclib, PSD, March 2023 PBAC Meeting). The evaluation </w:t>
      </w:r>
      <w:r w:rsidR="00BA3C80" w:rsidRPr="002C3702">
        <w:t>noted</w:t>
      </w:r>
      <w:r w:rsidRPr="002C3702">
        <w:t xml:space="preserve"> that the start of the treatment effect waning period (from Year 7 to Year 10) applied in the current economic model extends beyond that recommended (from Year 4 to Year 7). </w:t>
      </w:r>
      <w:r w:rsidR="00943852" w:rsidRPr="002C3702">
        <w:rPr>
          <w:iCs/>
        </w:rPr>
        <w:t xml:space="preserve">The PSCR </w:t>
      </w:r>
      <w:r w:rsidR="0081689F" w:rsidRPr="002C3702">
        <w:rPr>
          <w:iCs/>
        </w:rPr>
        <w:t xml:space="preserve">argued that treatment waning should not start earlier than the timepoint of the latest clinical data. </w:t>
      </w:r>
      <w:r w:rsidR="006145A7" w:rsidRPr="002C3702">
        <w:rPr>
          <w:iCs/>
        </w:rPr>
        <w:t>The PSCR stated that a</w:t>
      </w:r>
      <w:r w:rsidR="0081689F" w:rsidRPr="002C3702">
        <w:rPr>
          <w:iCs/>
        </w:rPr>
        <w:t>t the July 2023 data-cut, a continued benefit of ABE treatment on IDFS (n = 141 patients) and DRFS (n = 147 patients) is demonstrated at 66 months of follow-up, with KM data available up to 72 months</w:t>
      </w:r>
      <w:r w:rsidR="006145A7" w:rsidRPr="002C3702">
        <w:rPr>
          <w:iCs/>
        </w:rPr>
        <w:t xml:space="preserve"> (6 years)</w:t>
      </w:r>
      <w:r w:rsidR="0081689F" w:rsidRPr="002C3702">
        <w:rPr>
          <w:iCs/>
        </w:rPr>
        <w:t>. Therefore,</w:t>
      </w:r>
      <w:r w:rsidR="006145A7" w:rsidRPr="002C3702">
        <w:rPr>
          <w:iCs/>
        </w:rPr>
        <w:t xml:space="preserve"> the PSCR considered that </w:t>
      </w:r>
      <w:r w:rsidR="0081689F" w:rsidRPr="002C3702">
        <w:rPr>
          <w:iCs/>
        </w:rPr>
        <w:t xml:space="preserve">starting treatment waning at </w:t>
      </w:r>
      <w:r w:rsidR="00BA3C80" w:rsidRPr="002C3702">
        <w:rPr>
          <w:iCs/>
        </w:rPr>
        <w:t>Y</w:t>
      </w:r>
      <w:r w:rsidR="0081689F" w:rsidRPr="002C3702">
        <w:rPr>
          <w:iCs/>
        </w:rPr>
        <w:t xml:space="preserve">ear 7 </w:t>
      </w:r>
      <w:r w:rsidR="00BA3C80" w:rsidRPr="002C3702">
        <w:rPr>
          <w:iCs/>
        </w:rPr>
        <w:t>wa</w:t>
      </w:r>
      <w:r w:rsidR="0081689F" w:rsidRPr="002C3702">
        <w:rPr>
          <w:iCs/>
        </w:rPr>
        <w:t>s a conservative approach</w:t>
      </w:r>
      <w:r w:rsidR="006145A7" w:rsidRPr="002C3702">
        <w:rPr>
          <w:iCs/>
        </w:rPr>
        <w:t>, as a</w:t>
      </w:r>
      <w:r w:rsidR="0081689F" w:rsidRPr="002C3702">
        <w:rPr>
          <w:iCs/>
        </w:rPr>
        <w:t xml:space="preserve"> rapid decline in treatment benefit </w:t>
      </w:r>
      <w:r w:rsidR="006145A7" w:rsidRPr="002C3702">
        <w:rPr>
          <w:iCs/>
        </w:rPr>
        <w:t>was not likely.</w:t>
      </w:r>
      <w:r w:rsidR="0081689F" w:rsidRPr="002C3702">
        <w:rPr>
          <w:iCs/>
        </w:rPr>
        <w:t xml:space="preserve"> </w:t>
      </w:r>
      <w:r w:rsidR="006145A7" w:rsidRPr="002C3702">
        <w:rPr>
          <w:iCs/>
        </w:rPr>
        <w:t>The PSCR argued that t</w:t>
      </w:r>
      <w:r w:rsidR="0081689F" w:rsidRPr="002C3702">
        <w:rPr>
          <w:iCs/>
        </w:rPr>
        <w:t xml:space="preserve">he results from the latest July 2023 data-cut provides evidence of a continued benefit and thus additional certainty </w:t>
      </w:r>
      <w:r w:rsidR="006145A7" w:rsidRPr="002C3702">
        <w:rPr>
          <w:iCs/>
        </w:rPr>
        <w:t>of the</w:t>
      </w:r>
      <w:r w:rsidR="0081689F" w:rsidRPr="002C3702">
        <w:rPr>
          <w:iCs/>
        </w:rPr>
        <w:t xml:space="preserve"> magnitude and duration of treatment benefit beyond 5 years.</w:t>
      </w:r>
      <w:bookmarkEnd w:id="48"/>
      <w:r w:rsidR="00AB4ADA" w:rsidRPr="002C3702">
        <w:rPr>
          <w:iCs/>
        </w:rPr>
        <w:t xml:space="preserve"> The </w:t>
      </w:r>
      <w:r w:rsidR="004C162F">
        <w:rPr>
          <w:iCs/>
        </w:rPr>
        <w:t>p</w:t>
      </w:r>
      <w:r w:rsidR="00AB4ADA" w:rsidRPr="002C3702">
        <w:rPr>
          <w:iCs/>
        </w:rPr>
        <w:t>re-</w:t>
      </w:r>
      <w:r w:rsidR="00AB4ADA" w:rsidRPr="002C3702">
        <w:rPr>
          <w:iCs/>
        </w:rPr>
        <w:lastRenderedPageBreak/>
        <w:t xml:space="preserve">PBAC response maintained </w:t>
      </w:r>
      <w:r w:rsidR="00213D98" w:rsidRPr="002C3702">
        <w:rPr>
          <w:iCs/>
        </w:rPr>
        <w:t xml:space="preserve">that </w:t>
      </w:r>
      <w:r w:rsidR="00AB4ADA" w:rsidRPr="002C3702">
        <w:rPr>
          <w:iCs/>
        </w:rPr>
        <w:t>the</w:t>
      </w:r>
      <w:r w:rsidR="00213D98" w:rsidRPr="002C3702">
        <w:rPr>
          <w:iCs/>
        </w:rPr>
        <w:t xml:space="preserve"> treatment waning</w:t>
      </w:r>
      <w:r w:rsidR="00AB4ADA" w:rsidRPr="002C3702">
        <w:rPr>
          <w:iCs/>
        </w:rPr>
        <w:t xml:space="preserve"> </w:t>
      </w:r>
      <w:r w:rsidR="00213D98" w:rsidRPr="002C3702">
        <w:rPr>
          <w:iCs/>
        </w:rPr>
        <w:t>assumed in the submission</w:t>
      </w:r>
      <w:r w:rsidR="00AB4ADA" w:rsidRPr="002C3702">
        <w:rPr>
          <w:iCs/>
        </w:rPr>
        <w:t xml:space="preserve"> w</w:t>
      </w:r>
      <w:r w:rsidR="00213D98" w:rsidRPr="002C3702">
        <w:rPr>
          <w:iCs/>
        </w:rPr>
        <w:t>as</w:t>
      </w:r>
      <w:r w:rsidR="00AB4ADA" w:rsidRPr="002C3702">
        <w:rPr>
          <w:iCs/>
        </w:rPr>
        <w:t xml:space="preserve"> appropriate, however </w:t>
      </w:r>
      <w:r w:rsidR="00A8184B" w:rsidRPr="002C3702">
        <w:rPr>
          <w:iCs/>
        </w:rPr>
        <w:t xml:space="preserve">in order </w:t>
      </w:r>
      <w:r w:rsidR="00AB4ADA" w:rsidRPr="002C3702">
        <w:rPr>
          <w:iCs/>
        </w:rPr>
        <w:t>to reduce uncertainty beyond the last clinical datapoint reported, the sponsor stated it would accept reducing the treatment waning period from 7</w:t>
      </w:r>
      <w:r w:rsidR="00213D98" w:rsidRPr="002C3702">
        <w:rPr>
          <w:rFonts w:cstheme="minorHAnsi"/>
          <w:iCs/>
        </w:rPr>
        <w:t>−</w:t>
      </w:r>
      <w:r w:rsidR="00AB4ADA" w:rsidRPr="002C3702">
        <w:rPr>
          <w:iCs/>
        </w:rPr>
        <w:t>10 years to 6</w:t>
      </w:r>
      <w:r w:rsidR="00213D98" w:rsidRPr="002C3702">
        <w:rPr>
          <w:rFonts w:cstheme="minorHAnsi"/>
          <w:iCs/>
        </w:rPr>
        <w:t>−</w:t>
      </w:r>
      <w:r w:rsidR="00AB4ADA" w:rsidRPr="002C3702">
        <w:rPr>
          <w:iCs/>
        </w:rPr>
        <w:t>9 years over a 30-year time horizon.</w:t>
      </w:r>
      <w:bookmarkEnd w:id="49"/>
    </w:p>
    <w:p w14:paraId="04FD0E67" w14:textId="5157FF7B" w:rsidR="005B54C1" w:rsidRPr="002C3702" w:rsidRDefault="00030CC5" w:rsidP="005B54C1">
      <w:pPr>
        <w:pStyle w:val="3-BodyText"/>
      </w:pPr>
      <w:bookmarkStart w:id="50" w:name="_Ref147924264"/>
      <w:r w:rsidRPr="002C3702">
        <w:t xml:space="preserve">The current </w:t>
      </w:r>
      <w:r w:rsidR="23AAC2D8" w:rsidRPr="002C3702">
        <w:t>submission</w:t>
      </w:r>
      <w:r w:rsidRPr="002C3702">
        <w:t xml:space="preserve"> revised the cohort start</w:t>
      </w:r>
      <w:r w:rsidR="002F7177" w:rsidRPr="002C3702">
        <w:t>ing</w:t>
      </w:r>
      <w:r w:rsidRPr="002C3702">
        <w:t xml:space="preserve"> age by increasing the mean age presented in March 2023 resubmission (52.2 years) to 56 years.</w:t>
      </w:r>
      <w:r w:rsidR="003B5A5F" w:rsidRPr="002C3702">
        <w:t xml:space="preserve"> </w:t>
      </w:r>
      <w:r w:rsidR="00435FAB" w:rsidRPr="002C3702">
        <w:t>The submission noted that the PBAC previously considered the starting age for the modelled cohort should be approximately 60 years based on data from the Chan et al. (2021) study</w:t>
      </w:r>
      <w:r w:rsidR="006A1D3F" w:rsidRPr="002C3702">
        <w:t>, which reported a mean age of 61.4 years between 2012 and 2016</w:t>
      </w:r>
      <w:r w:rsidR="00435FAB" w:rsidRPr="002C3702">
        <w:t xml:space="preserve">. </w:t>
      </w:r>
      <w:r w:rsidR="00263145" w:rsidRPr="002C3702">
        <w:t>The</w:t>
      </w:r>
      <w:r w:rsidR="00435FAB" w:rsidRPr="002C3702">
        <w:t xml:space="preserve"> submission </w:t>
      </w:r>
      <w:r w:rsidR="00D03059" w:rsidRPr="002C3702">
        <w:t>reiterated</w:t>
      </w:r>
      <w:r w:rsidR="00435FAB" w:rsidRPr="002C3702">
        <w:t xml:space="preserve"> that this study did not distinguish by molecular sub-type of EBC or risk profile, therefore is not representative of the proposed PBS population for ABE. </w:t>
      </w:r>
      <w:r w:rsidR="00D03059" w:rsidRPr="002C3702">
        <w:t>However, the</w:t>
      </w:r>
      <w:r w:rsidR="00023FD4" w:rsidRPr="002C3702">
        <w:t xml:space="preserve"> PBAC previously noted the mean age reported by Chan et al</w:t>
      </w:r>
      <w:r w:rsidR="00D03059" w:rsidRPr="002C3702">
        <w:t>.</w:t>
      </w:r>
      <w:r w:rsidR="00023FD4" w:rsidRPr="002C3702">
        <w:t xml:space="preserve"> </w:t>
      </w:r>
      <w:r w:rsidR="00D03059" w:rsidRPr="002C3702">
        <w:t>(</w:t>
      </w:r>
      <w:r w:rsidR="00023FD4" w:rsidRPr="002C3702">
        <w:t>2021</w:t>
      </w:r>
      <w:r w:rsidR="00D03059" w:rsidRPr="002C3702">
        <w:t>)</w:t>
      </w:r>
      <w:r w:rsidR="00023FD4" w:rsidRPr="002C3702">
        <w:t xml:space="preserve"> was based on approximately 100,000 patients diagnosed with EBC from January 2002 to December 2016 and that it included patient with triple negative breast cancer who are approximately 10 years younger at diagnosis</w:t>
      </w:r>
      <w:r w:rsidR="00D03059" w:rsidRPr="002C3702">
        <w:rPr>
          <w:iCs/>
        </w:rPr>
        <w:t xml:space="preserve">. </w:t>
      </w:r>
      <w:r w:rsidR="00D03059" w:rsidRPr="002C3702">
        <w:t xml:space="preserve">In addition, the PBAC previously noted the sponsor’s analysis of Scottish Registry data reported a median age of diagnosis of 59 years (para 7.12, </w:t>
      </w:r>
      <w:r w:rsidR="00B3218C" w:rsidRPr="002C3702">
        <w:t>a</w:t>
      </w:r>
      <w:r w:rsidR="00D03059" w:rsidRPr="002C3702">
        <w:t>bemaciclib, PSD, March 2023 PBAC Meeting).</w:t>
      </w:r>
      <w:r w:rsidR="00D03059" w:rsidRPr="002C3702">
        <w:rPr>
          <w:iCs/>
        </w:rPr>
        <w:t xml:space="preserve"> </w:t>
      </w:r>
      <w:r w:rsidR="002227C3" w:rsidRPr="002C3702">
        <w:t>T</w:t>
      </w:r>
      <w:r w:rsidR="003B5A5F" w:rsidRPr="002C3702">
        <w:t xml:space="preserve">he </w:t>
      </w:r>
      <w:r w:rsidR="00D03059" w:rsidRPr="002C3702">
        <w:t xml:space="preserve">current </w:t>
      </w:r>
      <w:r w:rsidR="003B5A5F" w:rsidRPr="002C3702">
        <w:t xml:space="preserve">submission </w:t>
      </w:r>
      <w:r w:rsidR="0089067B" w:rsidRPr="002C3702">
        <w:t xml:space="preserve">did not justify why 56 years was chosen and </w:t>
      </w:r>
      <w:r w:rsidR="003B5A5F" w:rsidRPr="002C3702">
        <w:t>did not provide any new data or evidence to support the proposed start</w:t>
      </w:r>
      <w:r w:rsidR="00D03059" w:rsidRPr="002C3702">
        <w:t>ing</w:t>
      </w:r>
      <w:r w:rsidR="003B5A5F" w:rsidRPr="002C3702">
        <w:t xml:space="preserve"> age. The PBAC previously considered that the starting age for the modelled cohort should be approximately 60 years (para 7.12, </w:t>
      </w:r>
      <w:r w:rsidR="00B3218C" w:rsidRPr="002C3702">
        <w:t>a</w:t>
      </w:r>
      <w:r w:rsidR="003B5A5F" w:rsidRPr="002C3702">
        <w:t xml:space="preserve">bemaciclib, PSD, March 2023 PBAC Meeting). </w:t>
      </w:r>
      <w:r w:rsidRPr="002C3702">
        <w:t xml:space="preserve">The PBAC noted in their previous consideration that no evidence or biological rationale was provided to support that high-risk patients are on average younger (para 7.12, </w:t>
      </w:r>
      <w:r w:rsidR="00B3218C" w:rsidRPr="002C3702">
        <w:t>a</w:t>
      </w:r>
      <w:r w:rsidRPr="002C3702">
        <w:t xml:space="preserve">bemaciclib, PSD, March 2023 PBAC Meeting). </w:t>
      </w:r>
      <w:r w:rsidR="002304CD" w:rsidRPr="002C3702">
        <w:rPr>
          <w:iCs/>
        </w:rPr>
        <w:t>The PSCR maintain</w:t>
      </w:r>
      <w:r w:rsidR="009D5292" w:rsidRPr="002C3702">
        <w:rPr>
          <w:iCs/>
        </w:rPr>
        <w:t xml:space="preserve">ed </w:t>
      </w:r>
      <w:r w:rsidR="005B54C1" w:rsidRPr="002C3702">
        <w:rPr>
          <w:iCs/>
        </w:rPr>
        <w:t>that a</w:t>
      </w:r>
      <w:r w:rsidR="009D5292" w:rsidRPr="002C3702">
        <w:rPr>
          <w:iCs/>
        </w:rPr>
        <w:t xml:space="preserve"> starting age </w:t>
      </w:r>
      <w:r w:rsidR="005B54C1" w:rsidRPr="002C3702">
        <w:rPr>
          <w:iCs/>
        </w:rPr>
        <w:t xml:space="preserve">of 56 years was appropriate </w:t>
      </w:r>
      <w:r w:rsidR="009D5292" w:rsidRPr="002C3702">
        <w:rPr>
          <w:iCs/>
        </w:rPr>
        <w:t>and</w:t>
      </w:r>
      <w:r w:rsidR="002304CD" w:rsidRPr="002C3702">
        <w:rPr>
          <w:iCs/>
        </w:rPr>
        <w:t xml:space="preserve"> </w:t>
      </w:r>
      <w:r w:rsidR="009D5292" w:rsidRPr="002C3702">
        <w:rPr>
          <w:iCs/>
        </w:rPr>
        <w:t>argued that</w:t>
      </w:r>
      <w:r w:rsidR="002304CD" w:rsidRPr="002C3702">
        <w:rPr>
          <w:iCs/>
        </w:rPr>
        <w:t xml:space="preserve"> the estimates </w:t>
      </w:r>
      <w:r w:rsidR="00E41B79" w:rsidRPr="002C3702">
        <w:rPr>
          <w:iCs/>
        </w:rPr>
        <w:t>from</w:t>
      </w:r>
      <w:r w:rsidR="002304CD" w:rsidRPr="002C3702">
        <w:rPr>
          <w:iCs/>
        </w:rPr>
        <w:t xml:space="preserve"> Australian patients enrolled in the monarchE trial (</w:t>
      </w:r>
      <w:r w:rsidR="002304CD" w:rsidRPr="003700CF">
        <w:rPr>
          <w:iCs/>
        </w:rPr>
        <w:t xml:space="preserve">n = 217, mean age = 52.5 years) and the Verzenio Patient Familiarisation Program (n = </w:t>
      </w:r>
      <w:r w:rsidR="00A70C06" w:rsidRPr="003700CF">
        <w:rPr>
          <w:iCs/>
        </w:rPr>
        <w:t>&lt; 500</w:t>
      </w:r>
      <w:r w:rsidR="002304CD" w:rsidRPr="003700CF">
        <w:rPr>
          <w:iCs/>
        </w:rPr>
        <w:t xml:space="preserve">, mean age = </w:t>
      </w:r>
      <w:r w:rsidR="008129BD">
        <w:rPr>
          <w:iCs/>
        </w:rPr>
        <w:t xml:space="preserve"> </w:t>
      </w:r>
      <w:r w:rsidR="008129BD" w:rsidRPr="00676505">
        <w:rPr>
          <w:iCs/>
          <w:color w:val="000000"/>
          <w:w w:val="15"/>
          <w:shd w:val="solid" w:color="000000" w:fill="000000"/>
          <w:fitText w:val="-20" w:id="-1032093424"/>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4"/>
          <w14:textFill>
            <w14:solidFill>
              <w14:srgbClr w14:val="000000">
                <w14:alpha w14:val="100000"/>
              </w14:srgbClr>
            </w14:solidFill>
          </w14:textFill>
        </w:rPr>
        <w:t>|</w:t>
      </w:r>
      <w:r w:rsidR="002304CD" w:rsidRPr="003700CF">
        <w:rPr>
          <w:iCs/>
        </w:rPr>
        <w:t xml:space="preserve">, </w:t>
      </w:r>
      <w:r w:rsidR="009D5292" w:rsidRPr="003700CF">
        <w:rPr>
          <w:iCs/>
        </w:rPr>
        <w:t>‘d</w:t>
      </w:r>
      <w:r w:rsidR="002304CD" w:rsidRPr="003700CF">
        <w:rPr>
          <w:iCs/>
        </w:rPr>
        <w:t xml:space="preserve">ata on </w:t>
      </w:r>
      <w:r w:rsidR="009D5292" w:rsidRPr="003700CF">
        <w:rPr>
          <w:iCs/>
        </w:rPr>
        <w:t>f</w:t>
      </w:r>
      <w:r w:rsidR="002304CD" w:rsidRPr="003700CF">
        <w:rPr>
          <w:iCs/>
        </w:rPr>
        <w:t>ile</w:t>
      </w:r>
      <w:r w:rsidR="009D5292" w:rsidRPr="003700CF">
        <w:rPr>
          <w:iCs/>
        </w:rPr>
        <w:t>’</w:t>
      </w:r>
      <w:r w:rsidR="002304CD" w:rsidRPr="003700CF">
        <w:rPr>
          <w:iCs/>
        </w:rPr>
        <w:t>)</w:t>
      </w:r>
      <w:r w:rsidR="002304CD" w:rsidRPr="002C3702">
        <w:rPr>
          <w:iCs/>
        </w:rPr>
        <w:t xml:space="preserve"> represent the most valid sources of evidence to inform the starting age of patients in the economic model.</w:t>
      </w:r>
      <w:r w:rsidR="002304CD" w:rsidRPr="002C3702">
        <w:t xml:space="preserve"> </w:t>
      </w:r>
      <w:r w:rsidR="009D5292" w:rsidRPr="002C3702">
        <w:rPr>
          <w:iCs/>
        </w:rPr>
        <w:t>The PSCR argued that</w:t>
      </w:r>
      <w:r w:rsidR="002304CD" w:rsidRPr="002C3702">
        <w:rPr>
          <w:iCs/>
        </w:rPr>
        <w:t xml:space="preserve"> </w:t>
      </w:r>
      <w:r w:rsidR="009D5292" w:rsidRPr="002C3702">
        <w:rPr>
          <w:iCs/>
        </w:rPr>
        <w:t>t</w:t>
      </w:r>
      <w:r w:rsidR="002304CD" w:rsidRPr="002C3702">
        <w:rPr>
          <w:iCs/>
        </w:rPr>
        <w:t xml:space="preserve">he study period </w:t>
      </w:r>
      <w:r w:rsidR="009D5292" w:rsidRPr="002C3702">
        <w:rPr>
          <w:iCs/>
        </w:rPr>
        <w:t xml:space="preserve">of Chan </w:t>
      </w:r>
      <w:r w:rsidR="00BA3C80" w:rsidRPr="002C3702">
        <w:rPr>
          <w:iCs/>
        </w:rPr>
        <w:t xml:space="preserve">et al. </w:t>
      </w:r>
      <w:r w:rsidR="009D5292" w:rsidRPr="002C3702">
        <w:rPr>
          <w:iCs/>
        </w:rPr>
        <w:t xml:space="preserve">2021 </w:t>
      </w:r>
      <w:r w:rsidR="002304CD" w:rsidRPr="002C3702">
        <w:rPr>
          <w:iCs/>
        </w:rPr>
        <w:t xml:space="preserve">includes </w:t>
      </w:r>
      <w:r w:rsidR="009D5292" w:rsidRPr="002C3702">
        <w:rPr>
          <w:iCs/>
        </w:rPr>
        <w:t xml:space="preserve">a time </w:t>
      </w:r>
      <w:r w:rsidR="00BA3C80" w:rsidRPr="002C3702">
        <w:rPr>
          <w:iCs/>
        </w:rPr>
        <w:t xml:space="preserve">period </w:t>
      </w:r>
      <w:r w:rsidR="009D5292" w:rsidRPr="002C3702">
        <w:rPr>
          <w:iCs/>
        </w:rPr>
        <w:t>when</w:t>
      </w:r>
      <w:r w:rsidR="002304CD" w:rsidRPr="002C3702">
        <w:rPr>
          <w:iCs/>
        </w:rPr>
        <w:t xml:space="preserve"> treatment</w:t>
      </w:r>
      <w:r w:rsidR="009D5292" w:rsidRPr="002C3702">
        <w:rPr>
          <w:iCs/>
        </w:rPr>
        <w:t xml:space="preserve">s such as </w:t>
      </w:r>
      <w:r w:rsidR="002304CD" w:rsidRPr="002C3702">
        <w:rPr>
          <w:iCs/>
        </w:rPr>
        <w:t xml:space="preserve">CDK4/6 inhibitors were </w:t>
      </w:r>
      <w:r w:rsidR="009D5292" w:rsidRPr="002C3702">
        <w:rPr>
          <w:iCs/>
        </w:rPr>
        <w:t xml:space="preserve">not </w:t>
      </w:r>
      <w:r w:rsidR="002304CD" w:rsidRPr="002C3702">
        <w:rPr>
          <w:iCs/>
        </w:rPr>
        <w:t xml:space="preserve">available. </w:t>
      </w:r>
      <w:r w:rsidR="00AD69AB" w:rsidRPr="002C3702">
        <w:rPr>
          <w:iCs/>
        </w:rPr>
        <w:t>The PSCR also argued that m</w:t>
      </w:r>
      <w:r w:rsidR="002304CD" w:rsidRPr="002C3702">
        <w:rPr>
          <w:iCs/>
        </w:rPr>
        <w:t xml:space="preserve">ost patients recorded in this database were node-negative, with </w:t>
      </w:r>
      <w:r w:rsidR="00BA3C80" w:rsidRPr="002C3702">
        <w:rPr>
          <w:iCs/>
        </w:rPr>
        <w:t>a</w:t>
      </w:r>
      <w:r w:rsidR="002304CD" w:rsidRPr="002C3702">
        <w:rPr>
          <w:iCs/>
        </w:rPr>
        <w:t xml:space="preserve"> median number of positive lymph nodes being zero</w:t>
      </w:r>
      <w:r w:rsidR="00AD69AB" w:rsidRPr="002C3702">
        <w:rPr>
          <w:iCs/>
        </w:rPr>
        <w:t xml:space="preserve"> and </w:t>
      </w:r>
      <w:r w:rsidR="00E41B79" w:rsidRPr="002C3702">
        <w:rPr>
          <w:iCs/>
        </w:rPr>
        <w:t xml:space="preserve">were </w:t>
      </w:r>
      <w:r w:rsidR="00AD69AB" w:rsidRPr="002C3702">
        <w:rPr>
          <w:iCs/>
        </w:rPr>
        <w:t>t</w:t>
      </w:r>
      <w:r w:rsidR="002304CD" w:rsidRPr="002C3702">
        <w:rPr>
          <w:iCs/>
        </w:rPr>
        <w:t>herefore</w:t>
      </w:r>
      <w:r w:rsidR="00AD69AB" w:rsidRPr="002C3702">
        <w:rPr>
          <w:iCs/>
        </w:rPr>
        <w:t xml:space="preserve"> </w:t>
      </w:r>
      <w:r w:rsidR="002304CD" w:rsidRPr="002C3702">
        <w:rPr>
          <w:iCs/>
        </w:rPr>
        <w:t>not reflective of the proposed high risk target population</w:t>
      </w:r>
      <w:r w:rsidR="00E41B79" w:rsidRPr="002C3702">
        <w:rPr>
          <w:iCs/>
        </w:rPr>
        <w:t>.</w:t>
      </w:r>
      <w:bookmarkEnd w:id="50"/>
      <w:r w:rsidR="002304CD" w:rsidRPr="002C3702">
        <w:rPr>
          <w:iCs/>
        </w:rPr>
        <w:t xml:space="preserve"> </w:t>
      </w:r>
    </w:p>
    <w:p w14:paraId="4EB40CC2" w14:textId="41FEC2D7" w:rsidR="00030CC5" w:rsidRPr="002C3702" w:rsidRDefault="005B54C1" w:rsidP="00A8184B">
      <w:pPr>
        <w:pStyle w:val="3-BodyText"/>
        <w:rPr>
          <w:rFonts w:ascii="Helvetica" w:hAnsi="Helvetica" w:cs="Helvetica"/>
          <w:sz w:val="19"/>
          <w:szCs w:val="19"/>
        </w:rPr>
      </w:pPr>
      <w:r w:rsidRPr="002C3702">
        <w:t>The PSCR further argued that based on the evidence, that patients with high risk EBC may be younger than the proposed age of 56 years</w:t>
      </w:r>
      <w:r w:rsidR="007812BD" w:rsidRPr="002C3702">
        <w:t xml:space="preserve">. The PSCR </w:t>
      </w:r>
      <w:r w:rsidR="00E41B79" w:rsidRPr="002C3702">
        <w:t>noted a</w:t>
      </w:r>
      <w:r w:rsidR="007812BD" w:rsidRPr="002C3702">
        <w:t xml:space="preserve"> </w:t>
      </w:r>
      <w:r w:rsidR="002304CD" w:rsidRPr="002C3702">
        <w:t xml:space="preserve">registry of Australian patients receiving first-line treatment with ribociclib and </w:t>
      </w:r>
      <w:r w:rsidR="007812BD" w:rsidRPr="002C3702">
        <w:t xml:space="preserve">an </w:t>
      </w:r>
      <w:r w:rsidR="002304CD" w:rsidRPr="002C3702">
        <w:t>aromatase inhibitor for HR+, HER2- metastatic breast cancer (KARMA;</w:t>
      </w:r>
      <w:r w:rsidR="00E02D8F" w:rsidRPr="002C3702">
        <w:t xml:space="preserve"> Wong et al 2022</w:t>
      </w:r>
      <w:r w:rsidR="007812BD" w:rsidRPr="002C3702">
        <w:rPr>
          <w:vertAlign w:val="superscript"/>
        </w:rPr>
        <w:footnoteReference w:id="11"/>
      </w:r>
      <w:r w:rsidR="002304CD" w:rsidRPr="002C3702">
        <w:t xml:space="preserve">). The average age of patients in the KARMA registry was 54.3 years. </w:t>
      </w:r>
      <w:r w:rsidR="007812BD" w:rsidRPr="002C3702">
        <w:t>The PSCR argued</w:t>
      </w:r>
      <w:r w:rsidR="002304CD" w:rsidRPr="002C3702">
        <w:t xml:space="preserve"> that</w:t>
      </w:r>
      <w:r w:rsidR="007812BD" w:rsidRPr="002C3702">
        <w:t xml:space="preserve"> </w:t>
      </w:r>
      <w:r w:rsidR="007812BD" w:rsidRPr="002C3702">
        <w:lastRenderedPageBreak/>
        <w:t>given</w:t>
      </w:r>
      <w:r w:rsidR="002304CD" w:rsidRPr="002C3702">
        <w:t xml:space="preserve"> patients must have had EBC prior to developing metastatic disease, it </w:t>
      </w:r>
      <w:r w:rsidR="00920E4C" w:rsidRPr="002C3702">
        <w:t>considered that based on this data it is</w:t>
      </w:r>
      <w:r w:rsidR="002304CD" w:rsidRPr="002C3702">
        <w:t xml:space="preserve"> implausible </w:t>
      </w:r>
      <w:r w:rsidR="00920E4C" w:rsidRPr="002C3702">
        <w:t>for EBC</w:t>
      </w:r>
      <w:r w:rsidR="002304CD" w:rsidRPr="002C3702">
        <w:t xml:space="preserve"> patients </w:t>
      </w:r>
      <w:r w:rsidR="00920E4C" w:rsidRPr="002C3702">
        <w:t>to</w:t>
      </w:r>
      <w:r w:rsidR="002304CD" w:rsidRPr="002C3702">
        <w:t xml:space="preserve"> be approximately 60 years of ag</w:t>
      </w:r>
      <w:r w:rsidR="007812BD" w:rsidRPr="002C3702">
        <w:t>e</w:t>
      </w:r>
      <w:r w:rsidR="002304CD" w:rsidRPr="002C3702">
        <w:t xml:space="preserve">. </w:t>
      </w:r>
      <w:r w:rsidR="002A7EDF" w:rsidRPr="002C3702">
        <w:t xml:space="preserve">The </w:t>
      </w:r>
      <w:r w:rsidR="004C162F">
        <w:t>p</w:t>
      </w:r>
      <w:r w:rsidR="002A7EDF" w:rsidRPr="002C3702">
        <w:t xml:space="preserve">re-PBAC response maintained that data from Australian patients enrolled in monarchE and in the Verzenio Patient Familiarisation Program represent the most valid sources of evidence to inform the starting age of patients in the economic model. </w:t>
      </w:r>
      <w:r w:rsidR="003604BB" w:rsidRPr="002C3702">
        <w:t xml:space="preserve">The Response also stated that </w:t>
      </w:r>
      <w:r w:rsidR="003604BB" w:rsidRPr="002C3702">
        <w:rPr>
          <w:color w:val="000000" w:themeColor="text1"/>
        </w:rPr>
        <w:t>o</w:t>
      </w:r>
      <w:r w:rsidR="002A7EDF" w:rsidRPr="002C3702">
        <w:rPr>
          <w:color w:val="000000" w:themeColor="text1"/>
        </w:rPr>
        <w:t xml:space="preserve">f the 342,149 patients with EBC (Stage I–IIIC) in </w:t>
      </w:r>
      <w:r w:rsidR="002A7EDF" w:rsidRPr="002C3702">
        <w:t xml:space="preserve">the </w:t>
      </w:r>
      <w:r w:rsidR="0035610E" w:rsidRPr="002C3702">
        <w:rPr>
          <w:rFonts w:ascii="Calibri" w:hAnsi="Calibri"/>
        </w:rPr>
        <w:t>Surveillance, Epidemiology, and End Results</w:t>
      </w:r>
      <w:r w:rsidR="0035610E" w:rsidRPr="002C3702">
        <w:t xml:space="preserve"> (</w:t>
      </w:r>
      <w:r w:rsidR="002A7EDF" w:rsidRPr="002C3702">
        <w:t>SEER</w:t>
      </w:r>
      <w:r w:rsidR="0035610E" w:rsidRPr="002C3702">
        <w:t>)</w:t>
      </w:r>
      <w:r w:rsidR="002A7EDF" w:rsidRPr="002C3702">
        <w:t xml:space="preserve"> </w:t>
      </w:r>
      <w:r w:rsidR="003604BB" w:rsidRPr="002C3702">
        <w:t>database</w:t>
      </w:r>
      <w:r w:rsidR="002A7EDF" w:rsidRPr="002C3702">
        <w:t>, 238,222 (69.6%) patients had HR+</w:t>
      </w:r>
      <w:r w:rsidR="00BF5A60" w:rsidRPr="002C3702">
        <w:t>/</w:t>
      </w:r>
      <w:r w:rsidR="002A7EDF" w:rsidRPr="002C3702">
        <w:t>HER2- EBC</w:t>
      </w:r>
      <w:r w:rsidR="003604BB" w:rsidRPr="002C3702">
        <w:t xml:space="preserve"> and a</w:t>
      </w:r>
      <w:r w:rsidR="002A7EDF" w:rsidRPr="002C3702">
        <w:t>mong patients who met the monarchE clinicopathologic high-risk criteria</w:t>
      </w:r>
      <w:r w:rsidR="002E03DF" w:rsidRPr="002C3702">
        <w:t xml:space="preserve">, the </w:t>
      </w:r>
      <w:r w:rsidR="002A7EDF" w:rsidRPr="002C3702">
        <w:rPr>
          <w:color w:val="000000" w:themeColor="text1"/>
        </w:rPr>
        <w:t>mean age reported was 58.5 years (Nelson 2022</w:t>
      </w:r>
      <w:r w:rsidR="00E005BA" w:rsidRPr="002C3702">
        <w:rPr>
          <w:rStyle w:val="FootnoteReference"/>
          <w:color w:val="000000" w:themeColor="text1"/>
        </w:rPr>
        <w:footnoteReference w:id="12"/>
      </w:r>
      <w:r w:rsidR="002A7EDF" w:rsidRPr="002C3702">
        <w:rPr>
          <w:color w:val="000000" w:themeColor="text1"/>
        </w:rPr>
        <w:t xml:space="preserve">, Table 3). </w:t>
      </w:r>
      <w:r w:rsidR="002A7EDF" w:rsidRPr="002C3702">
        <w:t xml:space="preserve">Based on the totality of evidence presented and for the purpose of finding a path forward, </w:t>
      </w:r>
      <w:r w:rsidR="003604BB" w:rsidRPr="002C3702">
        <w:rPr>
          <w:color w:val="000000" w:themeColor="text1"/>
        </w:rPr>
        <w:t xml:space="preserve">the </w:t>
      </w:r>
      <w:r w:rsidR="004C162F">
        <w:rPr>
          <w:color w:val="000000" w:themeColor="text1"/>
        </w:rPr>
        <w:t>p</w:t>
      </w:r>
      <w:r w:rsidR="003604BB" w:rsidRPr="002C3702">
        <w:rPr>
          <w:color w:val="000000" w:themeColor="text1"/>
        </w:rPr>
        <w:t xml:space="preserve">re-PBAC </w:t>
      </w:r>
      <w:r w:rsidR="002E03DF" w:rsidRPr="002C3702">
        <w:rPr>
          <w:color w:val="000000" w:themeColor="text1"/>
        </w:rPr>
        <w:t>r</w:t>
      </w:r>
      <w:r w:rsidR="003604BB" w:rsidRPr="002C3702">
        <w:rPr>
          <w:color w:val="000000" w:themeColor="text1"/>
        </w:rPr>
        <w:t>esponse</w:t>
      </w:r>
      <w:r w:rsidR="002A7EDF" w:rsidRPr="002C3702">
        <w:rPr>
          <w:color w:val="000000" w:themeColor="text1"/>
        </w:rPr>
        <w:t xml:space="preserve"> </w:t>
      </w:r>
      <w:r w:rsidR="003604BB" w:rsidRPr="002C3702">
        <w:rPr>
          <w:color w:val="000000" w:themeColor="text1"/>
        </w:rPr>
        <w:t>stated</w:t>
      </w:r>
      <w:r w:rsidR="002A7EDF" w:rsidRPr="002C3702">
        <w:rPr>
          <w:color w:val="000000" w:themeColor="text1"/>
        </w:rPr>
        <w:t xml:space="preserve"> that the starting age of the modelled cohort should be no more than 58.5 years.</w:t>
      </w:r>
    </w:p>
    <w:p w14:paraId="6C5A5A4C" w14:textId="4FF0986C" w:rsidR="00030CC5" w:rsidRPr="002C3702" w:rsidRDefault="00030CC5" w:rsidP="00030CC5">
      <w:pPr>
        <w:pStyle w:val="3-BodyText"/>
      </w:pPr>
      <w:r w:rsidRPr="002C3702">
        <w:t xml:space="preserve">A summary of the key drivers of the model is </w:t>
      </w:r>
      <w:r w:rsidR="00DC1587" w:rsidRPr="002C3702">
        <w:t xml:space="preserve">described </w:t>
      </w:r>
      <w:r w:rsidR="00E005BA" w:rsidRPr="002C3702">
        <w:t xml:space="preserve">in </w:t>
      </w:r>
      <w:r w:rsidR="00E005BA" w:rsidRPr="002C3702">
        <w:fldChar w:fldCharType="begin"/>
      </w:r>
      <w:r w:rsidR="00E005BA" w:rsidRPr="002C3702">
        <w:instrText xml:space="preserve"> REF _Ref150244611 \h </w:instrText>
      </w:r>
      <w:r w:rsidR="00E005BA" w:rsidRPr="002C3702">
        <w:fldChar w:fldCharType="separate"/>
      </w:r>
      <w:r w:rsidR="00676505" w:rsidRPr="002C3702">
        <w:t xml:space="preserve">Table </w:t>
      </w:r>
      <w:r w:rsidR="00676505">
        <w:rPr>
          <w:noProof/>
        </w:rPr>
        <w:t>9</w:t>
      </w:r>
      <w:r w:rsidR="00E005BA" w:rsidRPr="002C3702">
        <w:fldChar w:fldCharType="end"/>
      </w:r>
      <w:r w:rsidRPr="002C3702">
        <w:t xml:space="preserve">. </w:t>
      </w:r>
    </w:p>
    <w:p w14:paraId="6146FE0F" w14:textId="22F4650B" w:rsidR="00030CC5" w:rsidRPr="002C3702" w:rsidRDefault="00030CC5" w:rsidP="00030CC5">
      <w:pPr>
        <w:pStyle w:val="Caption"/>
        <w:rPr>
          <w:rStyle w:val="CommentReference"/>
          <w:b/>
          <w:bCs w:val="0"/>
          <w:snapToGrid w:val="0"/>
          <w:szCs w:val="24"/>
        </w:rPr>
      </w:pPr>
      <w:bookmarkStart w:id="51" w:name="_Ref150244611"/>
      <w:r w:rsidRPr="002C3702">
        <w:lastRenderedPageBreak/>
        <w:t xml:space="preserve">Table </w:t>
      </w:r>
      <w:r w:rsidRPr="002C3702">
        <w:fldChar w:fldCharType="begin"/>
      </w:r>
      <w:r w:rsidRPr="002C3702">
        <w:instrText>SEQ Table \* ARABIC</w:instrText>
      </w:r>
      <w:r w:rsidRPr="002C3702">
        <w:fldChar w:fldCharType="separate"/>
      </w:r>
      <w:r w:rsidR="00676505">
        <w:rPr>
          <w:noProof/>
        </w:rPr>
        <w:t>9</w:t>
      </w:r>
      <w:r w:rsidRPr="002C3702">
        <w:fldChar w:fldCharType="end"/>
      </w:r>
      <w:bookmarkEnd w:id="51"/>
      <w:r w:rsidRPr="002C3702">
        <w:t xml:space="preserve">: </w:t>
      </w:r>
      <w:r w:rsidRPr="002C3702">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030CC5" w:rsidRPr="002C3702" w14:paraId="06C06F9F" w14:textId="77777777" w:rsidTr="006E7D62">
        <w:trPr>
          <w:tblHeader/>
        </w:trPr>
        <w:tc>
          <w:tcPr>
            <w:tcW w:w="626" w:type="pct"/>
            <w:shd w:val="clear" w:color="auto" w:fill="auto"/>
            <w:vAlign w:val="center"/>
          </w:tcPr>
          <w:p w14:paraId="7B8D6761" w14:textId="77777777" w:rsidR="00030CC5" w:rsidRPr="002C3702" w:rsidRDefault="00030CC5" w:rsidP="006E7D62">
            <w:pPr>
              <w:pStyle w:val="In-tableHeading"/>
              <w:jc w:val="center"/>
              <w:rPr>
                <w:lang w:val="en-AU"/>
              </w:rPr>
            </w:pPr>
            <w:r w:rsidRPr="002C3702">
              <w:rPr>
                <w:lang w:val="en-AU"/>
              </w:rPr>
              <w:t>Description</w:t>
            </w:r>
          </w:p>
        </w:tc>
        <w:tc>
          <w:tcPr>
            <w:tcW w:w="2830" w:type="pct"/>
            <w:shd w:val="clear" w:color="auto" w:fill="auto"/>
            <w:vAlign w:val="center"/>
          </w:tcPr>
          <w:p w14:paraId="7AC3DD96" w14:textId="77777777" w:rsidR="00030CC5" w:rsidRPr="002C3702" w:rsidRDefault="00030CC5" w:rsidP="006E7D62">
            <w:pPr>
              <w:pStyle w:val="In-tableHeading"/>
              <w:jc w:val="center"/>
              <w:rPr>
                <w:lang w:val="en-AU"/>
              </w:rPr>
            </w:pPr>
            <w:r w:rsidRPr="002C3702">
              <w:rPr>
                <w:lang w:val="en-AU"/>
              </w:rPr>
              <w:t>Method/Value</w:t>
            </w:r>
          </w:p>
        </w:tc>
        <w:tc>
          <w:tcPr>
            <w:tcW w:w="1544" w:type="pct"/>
            <w:shd w:val="clear" w:color="auto" w:fill="auto"/>
            <w:vAlign w:val="center"/>
          </w:tcPr>
          <w:p w14:paraId="4718AC51" w14:textId="77777777" w:rsidR="00030CC5" w:rsidRPr="002C3702" w:rsidRDefault="00030CC5" w:rsidP="006E7D62">
            <w:pPr>
              <w:pStyle w:val="In-tableHeading"/>
              <w:jc w:val="center"/>
              <w:rPr>
                <w:lang w:val="en-AU"/>
              </w:rPr>
            </w:pPr>
            <w:r w:rsidRPr="002C3702">
              <w:rPr>
                <w:lang w:val="en-AU"/>
              </w:rPr>
              <w:t>Impact</w:t>
            </w:r>
          </w:p>
          <w:p w14:paraId="18977DC3" w14:textId="334832EE" w:rsidR="00030CC5" w:rsidRPr="002C3702" w:rsidRDefault="00030CC5" w:rsidP="006E7D62">
            <w:pPr>
              <w:pStyle w:val="In-tableHeading"/>
              <w:jc w:val="center"/>
              <w:rPr>
                <w:lang w:val="en-AU"/>
              </w:rPr>
            </w:pPr>
            <w:r w:rsidRPr="002C3702">
              <w:rPr>
                <w:rFonts w:cs="Arial"/>
                <w:szCs w:val="20"/>
                <w:lang w:val="en-AU"/>
              </w:rPr>
              <w:t>Base case: $</w:t>
            </w:r>
            <w:r w:rsidR="008129BD">
              <w:rPr>
                <w:rFonts w:cs="Arial"/>
                <w:szCs w:val="20"/>
                <w:lang w:val="en-AU"/>
              </w:rPr>
              <w:t xml:space="preserve"> </w:t>
            </w:r>
            <w:r w:rsidR="008129BD" w:rsidRPr="008129BD">
              <w:rPr>
                <w:rFonts w:cs="Arial"/>
                <w:color w:val="000000"/>
                <w:spacing w:val="42"/>
                <w:szCs w:val="20"/>
                <w:shd w:val="solid" w:color="000000" w:fill="000000"/>
                <w:fitText w:val="310" w:id="-1032093440"/>
                <w:lang w:val="en-AU"/>
                <w14:textFill>
                  <w14:solidFill>
                    <w14:srgbClr w14:val="000000">
                      <w14:alpha w14:val="100000"/>
                    </w14:srgbClr>
                  </w14:solidFill>
                </w14:textFill>
              </w:rPr>
              <w:t>|||</w:t>
            </w:r>
            <w:r w:rsidR="008129BD" w:rsidRPr="008129BD">
              <w:rPr>
                <w:rFonts w:cs="Arial"/>
                <w:color w:val="000000"/>
                <w:spacing w:val="1"/>
                <w:szCs w:val="20"/>
                <w:shd w:val="solid" w:color="000000" w:fill="000000"/>
                <w:fitText w:val="310" w:id="-1032093440"/>
                <w:lang w:val="en-AU"/>
                <w14:textFill>
                  <w14:solidFill>
                    <w14:srgbClr w14:val="000000">
                      <w14:alpha w14:val="100000"/>
                    </w14:srgbClr>
                  </w14:solidFill>
                </w14:textFill>
              </w:rPr>
              <w:t>|</w:t>
            </w:r>
            <w:r w:rsidR="00DA3A5A" w:rsidRPr="00DA3A5A">
              <w:rPr>
                <w:rFonts w:cs="Arial"/>
                <w:szCs w:val="20"/>
                <w:vertAlign w:val="superscript"/>
                <w:lang w:val="en-AU"/>
              </w:rPr>
              <w:t>1</w:t>
            </w:r>
            <w:r w:rsidRPr="002C3702">
              <w:rPr>
                <w:rFonts w:cs="Arial"/>
                <w:szCs w:val="20"/>
                <w:lang w:val="en-AU"/>
              </w:rPr>
              <w:t>/QALY gained</w:t>
            </w:r>
          </w:p>
        </w:tc>
      </w:tr>
      <w:tr w:rsidR="00030CC5" w:rsidRPr="002C3702" w14:paraId="06D4D759" w14:textId="77777777" w:rsidTr="006E7D62">
        <w:tc>
          <w:tcPr>
            <w:tcW w:w="626" w:type="pct"/>
            <w:shd w:val="clear" w:color="auto" w:fill="auto"/>
            <w:vAlign w:val="center"/>
          </w:tcPr>
          <w:p w14:paraId="1F86C8B5" w14:textId="65922156" w:rsidR="00030CC5" w:rsidRPr="002C3702" w:rsidRDefault="00AA5AD8" w:rsidP="006E7D62">
            <w:pPr>
              <w:pStyle w:val="TableText0"/>
            </w:pPr>
            <w:r w:rsidRPr="002C3702">
              <w:t>Duration of treatment effect</w:t>
            </w:r>
          </w:p>
        </w:tc>
        <w:tc>
          <w:tcPr>
            <w:tcW w:w="2830" w:type="pct"/>
            <w:shd w:val="clear" w:color="auto" w:fill="auto"/>
            <w:vAlign w:val="center"/>
          </w:tcPr>
          <w:p w14:paraId="10CE8619" w14:textId="0D9ABC5C" w:rsidR="00030CC5" w:rsidRPr="002C3702" w:rsidRDefault="00030CC5" w:rsidP="006E7D62">
            <w:pPr>
              <w:pStyle w:val="TableText0"/>
            </w:pPr>
            <w:r w:rsidRPr="002C3702">
              <w:t xml:space="preserve">The treatment effect based on the jointly-fitted parametric model extrapolations was assumed to continue beyond the trial period (median follow-up of 42 months) until Year 7. A waning of the treatment effect was implemented until the extrapolated comparator IDFS hazard rate equalled background mortality (at Year 10). This approach is not well justified. </w:t>
            </w:r>
            <w:r w:rsidR="000416F1" w:rsidRPr="002C3702">
              <w:t>The PBAC previously considered the treatment waning effect should be from Year 4 to Year 7 (</w:t>
            </w:r>
            <w:r w:rsidR="00D65447" w:rsidRPr="002C3702">
              <w:t>p</w:t>
            </w:r>
            <w:r w:rsidR="000416F1" w:rsidRPr="002C3702">
              <w:t xml:space="preserve">ara 7.11, </w:t>
            </w:r>
            <w:r w:rsidR="00B3218C" w:rsidRPr="002C3702">
              <w:t>a</w:t>
            </w:r>
            <w:r w:rsidR="00FD0723" w:rsidRPr="002C3702">
              <w:t>bemaciclib, PSD, March 2023 PBAC Meeting).</w:t>
            </w:r>
          </w:p>
        </w:tc>
        <w:tc>
          <w:tcPr>
            <w:tcW w:w="1544" w:type="pct"/>
            <w:shd w:val="clear" w:color="auto" w:fill="auto"/>
            <w:vAlign w:val="center"/>
          </w:tcPr>
          <w:p w14:paraId="5DFB255A" w14:textId="7D5158F7" w:rsidR="00030CC5" w:rsidRPr="002C3702" w:rsidRDefault="00030CC5" w:rsidP="006E7D62">
            <w:pPr>
              <w:pStyle w:val="TableText0"/>
            </w:pPr>
            <w:r w:rsidRPr="002C3702">
              <w:t>High, favours ABE. Assuming that the treatment effect wanes over the period from the end of the observed data (Year 4) to Year 7 increases the ICER to $</w:t>
            </w:r>
            <w:r w:rsidR="008129BD">
              <w:t xml:space="preserve"> </w:t>
            </w:r>
            <w:r w:rsidR="008129BD" w:rsidRPr="008129BD">
              <w:rPr>
                <w:color w:val="000000"/>
                <w:spacing w:val="49"/>
                <w:shd w:val="solid" w:color="000000" w:fill="000000"/>
                <w:fitText w:val="320" w:id="-1032093439"/>
                <w14:textFill>
                  <w14:solidFill>
                    <w14:srgbClr w14:val="000000">
                      <w14:alpha w14:val="100000"/>
                    </w14:srgbClr>
                  </w14:solidFill>
                </w14:textFill>
              </w:rPr>
              <w:t>|||</w:t>
            </w:r>
            <w:r w:rsidR="008129BD" w:rsidRPr="008129BD">
              <w:rPr>
                <w:color w:val="000000"/>
                <w:spacing w:val="3"/>
                <w:shd w:val="solid" w:color="000000" w:fill="000000"/>
                <w:fitText w:val="320" w:id="-1032093439"/>
                <w14:textFill>
                  <w14:solidFill>
                    <w14:srgbClr w14:val="000000">
                      <w14:alpha w14:val="100000"/>
                    </w14:srgbClr>
                  </w14:solidFill>
                </w14:textFill>
              </w:rPr>
              <w:t>|</w:t>
            </w:r>
            <w:r w:rsidR="00DA3A5A">
              <w:rPr>
                <w:rFonts w:cs="Arial"/>
                <w:szCs w:val="20"/>
                <w:vertAlign w:val="superscript"/>
              </w:rPr>
              <w:t>2</w:t>
            </w:r>
            <w:r w:rsidRPr="002C3702">
              <w:t xml:space="preserve">. </w:t>
            </w:r>
          </w:p>
        </w:tc>
      </w:tr>
      <w:tr w:rsidR="00030CC5" w:rsidRPr="002C3702" w14:paraId="5484D767" w14:textId="77777777" w:rsidTr="006E7D62">
        <w:tc>
          <w:tcPr>
            <w:tcW w:w="626" w:type="pct"/>
            <w:shd w:val="clear" w:color="auto" w:fill="auto"/>
            <w:vAlign w:val="center"/>
          </w:tcPr>
          <w:p w14:paraId="2E562928" w14:textId="77777777" w:rsidR="00030CC5" w:rsidRPr="002C3702" w:rsidRDefault="00030CC5" w:rsidP="006E7D62">
            <w:pPr>
              <w:pStyle w:val="TableText0"/>
            </w:pPr>
            <w:r w:rsidRPr="002C3702">
              <w:t>Time horizon</w:t>
            </w:r>
          </w:p>
        </w:tc>
        <w:tc>
          <w:tcPr>
            <w:tcW w:w="2830" w:type="pct"/>
            <w:shd w:val="clear" w:color="auto" w:fill="auto"/>
            <w:vAlign w:val="center"/>
          </w:tcPr>
          <w:p w14:paraId="3A75A35F" w14:textId="2B0EF091" w:rsidR="00030CC5" w:rsidRPr="002C3702" w:rsidRDefault="00030CC5" w:rsidP="006E7D62">
            <w:pPr>
              <w:pStyle w:val="TableText0"/>
            </w:pPr>
            <w:r w:rsidRPr="002C3702">
              <w:t xml:space="preserve">30 years in the base case. The PBAC previously considered that a 20-year time horizon would be more reasonable, however, the 30-year time horizon would be reasonable in the context of a more conservative treatment waning (4 to 7 years) and older age at model entry (61.4 years) (para 7.13, </w:t>
            </w:r>
            <w:r w:rsidR="00B3218C" w:rsidRPr="002C3702">
              <w:t>a</w:t>
            </w:r>
            <w:r w:rsidRPr="002C3702">
              <w:t>bemaciclib, PSD, March 2023 PBAC Meeting).</w:t>
            </w:r>
          </w:p>
        </w:tc>
        <w:tc>
          <w:tcPr>
            <w:tcW w:w="1544" w:type="pct"/>
            <w:shd w:val="clear" w:color="auto" w:fill="auto"/>
            <w:vAlign w:val="center"/>
          </w:tcPr>
          <w:p w14:paraId="4E09440F" w14:textId="2C5FCB1D" w:rsidR="00030CC5" w:rsidRPr="002C3702" w:rsidRDefault="00030CC5" w:rsidP="006E7D62">
            <w:pPr>
              <w:pStyle w:val="TableText0"/>
            </w:pPr>
            <w:r w:rsidRPr="002C3702">
              <w:t>High, favours ABE. Reducing the time horizon to 20 years increases the ICER to $</w:t>
            </w:r>
            <w:r w:rsidR="008129BD">
              <w:t xml:space="preserve"> </w:t>
            </w:r>
            <w:r w:rsidR="008129BD" w:rsidRPr="008129BD">
              <w:rPr>
                <w:color w:val="000000"/>
                <w:spacing w:val="53"/>
                <w:shd w:val="solid" w:color="000000" w:fill="000000"/>
                <w:fitText w:val="330" w:id="-1032093438"/>
                <w14:textFill>
                  <w14:solidFill>
                    <w14:srgbClr w14:val="000000">
                      <w14:alpha w14:val="100000"/>
                    </w14:srgbClr>
                  </w14:solidFill>
                </w14:textFill>
              </w:rPr>
              <w:t>|||</w:t>
            </w:r>
            <w:r w:rsidR="008129BD" w:rsidRPr="008129BD">
              <w:rPr>
                <w:color w:val="000000"/>
                <w:spacing w:val="1"/>
                <w:shd w:val="solid" w:color="000000" w:fill="000000"/>
                <w:fitText w:val="330" w:id="-1032093438"/>
                <w14:textFill>
                  <w14:solidFill>
                    <w14:srgbClr w14:val="000000">
                      <w14:alpha w14:val="100000"/>
                    </w14:srgbClr>
                  </w14:solidFill>
                </w14:textFill>
              </w:rPr>
              <w:t>|</w:t>
            </w:r>
            <w:r w:rsidR="00CA0CD8">
              <w:rPr>
                <w:rFonts w:cs="Arial"/>
                <w:szCs w:val="20"/>
                <w:vertAlign w:val="superscript"/>
              </w:rPr>
              <w:t>2</w:t>
            </w:r>
            <w:r w:rsidRPr="002C3702">
              <w:t>.</w:t>
            </w:r>
          </w:p>
        </w:tc>
      </w:tr>
      <w:tr w:rsidR="00030CC5" w:rsidRPr="002C3702" w14:paraId="4C6A40ED" w14:textId="77777777" w:rsidTr="006E7D62">
        <w:tc>
          <w:tcPr>
            <w:tcW w:w="626" w:type="pct"/>
            <w:shd w:val="clear" w:color="auto" w:fill="auto"/>
            <w:vAlign w:val="center"/>
          </w:tcPr>
          <w:p w14:paraId="07487019" w14:textId="77777777" w:rsidR="00030CC5" w:rsidRPr="002C3702" w:rsidRDefault="00030CC5" w:rsidP="006E7D62">
            <w:pPr>
              <w:pStyle w:val="TableText0"/>
            </w:pPr>
            <w:r w:rsidRPr="002C3702">
              <w:t>Age of modelled patients</w:t>
            </w:r>
          </w:p>
        </w:tc>
        <w:tc>
          <w:tcPr>
            <w:tcW w:w="2830" w:type="pct"/>
            <w:shd w:val="clear" w:color="auto" w:fill="auto"/>
            <w:vAlign w:val="center"/>
          </w:tcPr>
          <w:p w14:paraId="01013538" w14:textId="0CD7B894" w:rsidR="00030CC5" w:rsidRPr="002C3702" w:rsidRDefault="00030CC5" w:rsidP="006E7D62">
            <w:pPr>
              <w:pStyle w:val="TableText0"/>
            </w:pPr>
            <w:r w:rsidRPr="002C3702">
              <w:t xml:space="preserve">56 years. This is </w:t>
            </w:r>
            <w:r w:rsidR="003968DB" w:rsidRPr="002C3702">
              <w:t>low</w:t>
            </w:r>
            <w:r w:rsidRPr="002C3702">
              <w:t xml:space="preserve">er than the mean age of diagnosis </w:t>
            </w:r>
            <w:r w:rsidR="006F15F5" w:rsidRPr="002C3702">
              <w:t xml:space="preserve">of </w:t>
            </w:r>
            <w:r w:rsidRPr="002C3702">
              <w:t>early breast cancer</w:t>
            </w:r>
            <w:r w:rsidR="00FC30D4" w:rsidRPr="002C3702">
              <w:t xml:space="preserve"> </w:t>
            </w:r>
            <w:r w:rsidR="009F45BE" w:rsidRPr="002C3702">
              <w:t xml:space="preserve">in Australia </w:t>
            </w:r>
            <w:r w:rsidRPr="002C3702">
              <w:t>(61.4 years)</w:t>
            </w:r>
            <w:r w:rsidR="009F45BE" w:rsidRPr="002C3702">
              <w:t xml:space="preserve"> reported by Chen et al 2021</w:t>
            </w:r>
            <w:r w:rsidR="009F45BE" w:rsidRPr="002C3702">
              <w:rPr>
                <w:rStyle w:val="FootnoteReference"/>
              </w:rPr>
              <w:footnoteReference w:id="13"/>
            </w:r>
            <w:r w:rsidR="009F45BE" w:rsidRPr="002C3702">
              <w:t xml:space="preserve">. </w:t>
            </w:r>
            <w:r w:rsidRPr="002C3702">
              <w:t xml:space="preserve">The PBAC previously considered that the starting age for the modelled cohort should be approximately 60 years (para 7.12, </w:t>
            </w:r>
            <w:r w:rsidR="00B3218C" w:rsidRPr="002C3702">
              <w:t>a</w:t>
            </w:r>
            <w:r w:rsidRPr="002C3702">
              <w:t xml:space="preserve">bemaciclib, PSD, March 2023 PBAC Meeting). </w:t>
            </w:r>
          </w:p>
        </w:tc>
        <w:tc>
          <w:tcPr>
            <w:tcW w:w="1544" w:type="pct"/>
            <w:shd w:val="clear" w:color="auto" w:fill="auto"/>
            <w:vAlign w:val="center"/>
          </w:tcPr>
          <w:p w14:paraId="2663596C" w14:textId="72265098" w:rsidR="00030CC5" w:rsidRPr="002C3702" w:rsidRDefault="00030CC5" w:rsidP="006E7D62">
            <w:pPr>
              <w:pStyle w:val="TableText0"/>
            </w:pPr>
            <w:r w:rsidRPr="002C3702">
              <w:t>Moderate, favours ABE. Increasing the starting age of patients in the model to 61.4 years increases the ICER to $</w:t>
            </w:r>
            <w:r w:rsidR="008129BD">
              <w:t xml:space="preserve"> </w:t>
            </w:r>
            <w:r w:rsidR="008129BD" w:rsidRPr="008129BD">
              <w:rPr>
                <w:color w:val="000000"/>
                <w:spacing w:val="49"/>
                <w:shd w:val="solid" w:color="000000" w:fill="000000"/>
                <w:fitText w:val="320" w:id="-1032093437"/>
                <w14:textFill>
                  <w14:solidFill>
                    <w14:srgbClr w14:val="000000">
                      <w14:alpha w14:val="100000"/>
                    </w14:srgbClr>
                  </w14:solidFill>
                </w14:textFill>
              </w:rPr>
              <w:t>|||</w:t>
            </w:r>
            <w:r w:rsidR="008129BD" w:rsidRPr="008129BD">
              <w:rPr>
                <w:color w:val="000000"/>
                <w:spacing w:val="3"/>
                <w:shd w:val="solid" w:color="000000" w:fill="000000"/>
                <w:fitText w:val="320" w:id="-1032093437"/>
                <w14:textFill>
                  <w14:solidFill>
                    <w14:srgbClr w14:val="000000">
                      <w14:alpha w14:val="100000"/>
                    </w14:srgbClr>
                  </w14:solidFill>
                </w14:textFill>
              </w:rPr>
              <w:t>|</w:t>
            </w:r>
            <w:r w:rsidR="00CA0CD8">
              <w:rPr>
                <w:rFonts w:cs="Arial"/>
                <w:szCs w:val="20"/>
                <w:vertAlign w:val="superscript"/>
              </w:rPr>
              <w:t>3</w:t>
            </w:r>
            <w:r w:rsidRPr="002C3702">
              <w:t>.</w:t>
            </w:r>
          </w:p>
        </w:tc>
      </w:tr>
      <w:tr w:rsidR="00030CC5" w:rsidRPr="002C3702" w14:paraId="3ECAF746" w14:textId="77777777" w:rsidTr="006E7D62">
        <w:tc>
          <w:tcPr>
            <w:tcW w:w="626" w:type="pct"/>
            <w:shd w:val="clear" w:color="auto" w:fill="auto"/>
            <w:vAlign w:val="center"/>
          </w:tcPr>
          <w:p w14:paraId="3488A162" w14:textId="77777777" w:rsidR="00030CC5" w:rsidRPr="002C3702" w:rsidRDefault="00030CC5" w:rsidP="006E7D62">
            <w:pPr>
              <w:pStyle w:val="TableText0"/>
            </w:pPr>
            <w:r w:rsidRPr="002C3702">
              <w:t>Extrapolation of IDFS</w:t>
            </w:r>
          </w:p>
        </w:tc>
        <w:tc>
          <w:tcPr>
            <w:tcW w:w="2830" w:type="pct"/>
            <w:shd w:val="clear" w:color="auto" w:fill="auto"/>
            <w:vAlign w:val="center"/>
          </w:tcPr>
          <w:p w14:paraId="78A3F594" w14:textId="77777777" w:rsidR="00030CC5" w:rsidRPr="002C3702" w:rsidRDefault="00030CC5" w:rsidP="006E7D62">
            <w:pPr>
              <w:pStyle w:val="TableText0"/>
            </w:pPr>
            <w:r w:rsidRPr="002C3702">
              <w:t>Jointly-fitted log-logistic extrapolation from month 48. The monarchE IDFS data were immature and may not provide a reliable basis for extrapolation. For both the intervention arm (ABE+ET) and comparator arm (ET), all curves appear to fit the observed data reasonably well within the trial data period, however, there is substantial variation in the curves over the time horizon. There is also a significant difference in log-logistic curves (the best-fitting curve by AIC/BIC) and Weibull curves (the second-best fitting curve by AIC/BIC).</w:t>
            </w:r>
          </w:p>
        </w:tc>
        <w:tc>
          <w:tcPr>
            <w:tcW w:w="1544" w:type="pct"/>
            <w:shd w:val="clear" w:color="auto" w:fill="auto"/>
            <w:vAlign w:val="center"/>
          </w:tcPr>
          <w:p w14:paraId="45112BD2" w14:textId="08215A8D" w:rsidR="00030CC5" w:rsidRPr="002C3702" w:rsidRDefault="00290173" w:rsidP="006E7D62">
            <w:pPr>
              <w:pStyle w:val="TableText0"/>
            </w:pPr>
            <w:r w:rsidRPr="002C3702">
              <w:t>Unknown, due to immaturity of the data</w:t>
            </w:r>
            <w:r w:rsidR="00BA5F83" w:rsidRPr="002C3702">
              <w:t xml:space="preserve"> and resultant</w:t>
            </w:r>
            <w:r w:rsidRPr="002C3702">
              <w:t xml:space="preserve"> variation in the curves</w:t>
            </w:r>
            <w:r w:rsidR="00D73B3A" w:rsidRPr="002C3702">
              <w:t>,</w:t>
            </w:r>
            <w:r w:rsidRPr="002C3702">
              <w:t xml:space="preserve"> and </w:t>
            </w:r>
            <w:r w:rsidR="00F83A0B" w:rsidRPr="002C3702">
              <w:t>uncertainty related to the duration of treatment effect</w:t>
            </w:r>
            <w:r w:rsidRPr="002C3702">
              <w:t xml:space="preserve">. </w:t>
            </w:r>
          </w:p>
        </w:tc>
      </w:tr>
    </w:tbl>
    <w:p w14:paraId="0B7D060F" w14:textId="692483C7" w:rsidR="00030CC5" w:rsidRPr="002C3702" w:rsidRDefault="00030CC5" w:rsidP="00030CC5">
      <w:pPr>
        <w:pStyle w:val="TableFigureFooter"/>
      </w:pPr>
      <w:r w:rsidRPr="002C3702">
        <w:t>Source: Constructed during the evaluation using ‘A5.1_Abemaciclib Section 3 workbook November 2023.xlsm’ workbook of the submission</w:t>
      </w:r>
    </w:p>
    <w:p w14:paraId="565E27D1" w14:textId="5D960C05" w:rsidR="00030CC5" w:rsidRDefault="00030CC5" w:rsidP="00DE611F">
      <w:pPr>
        <w:pStyle w:val="TableFigureFooter"/>
        <w:spacing w:after="0"/>
      </w:pPr>
      <w:r w:rsidRPr="002C3702">
        <w:t xml:space="preserve">AIC = Akaike’s Information Criterion, ABE =abemaciclib, BIC = Bayesian Information Criterion, ET = endocrine therapy, ICER = incremental cost-effectiveness ratio, IDFS = invasive disease-free survival, OS = overall survival, PBAC= pharmaceutical benefits advisory committee, QALY= quality-adjusted life year. </w:t>
      </w:r>
    </w:p>
    <w:p w14:paraId="4EC994F3" w14:textId="77777777" w:rsidR="00DA3A5A" w:rsidRPr="009A6D58" w:rsidRDefault="00DA3A5A" w:rsidP="00DA3A5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663FD1B" w14:textId="77777777" w:rsidR="00DA3A5A" w:rsidRPr="009A6D58" w:rsidRDefault="00DA3A5A" w:rsidP="00DA3A5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A3A5A">
        <w:rPr>
          <w:rFonts w:ascii="Arial Narrow" w:hAnsi="Arial Narrow"/>
          <w:i/>
          <w:sz w:val="18"/>
          <w:szCs w:val="18"/>
        </w:rPr>
        <w:t>$15,000 to &lt; $25,000</w:t>
      </w:r>
    </w:p>
    <w:p w14:paraId="64F1AB94" w14:textId="77777777" w:rsidR="00DA3A5A" w:rsidRPr="009A6D58" w:rsidRDefault="00DA3A5A" w:rsidP="00DA3A5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A3A5A">
        <w:rPr>
          <w:rFonts w:ascii="Arial Narrow" w:hAnsi="Arial Narrow"/>
          <w:i/>
          <w:sz w:val="18"/>
          <w:szCs w:val="18"/>
        </w:rPr>
        <w:t>$35,000 to &lt; $45,000</w:t>
      </w:r>
    </w:p>
    <w:p w14:paraId="6058108E" w14:textId="4368F0E6" w:rsidR="00DA3A5A" w:rsidRPr="00DA3A5A" w:rsidRDefault="00DA3A5A" w:rsidP="00DA3A5A">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A3A5A">
        <w:rPr>
          <w:rFonts w:ascii="Arial Narrow" w:hAnsi="Arial Narrow"/>
          <w:i/>
          <w:sz w:val="18"/>
          <w:szCs w:val="18"/>
        </w:rPr>
        <w:t>$25,000 to &lt; $35,000</w:t>
      </w:r>
    </w:p>
    <w:p w14:paraId="752A69DE" w14:textId="380EF445" w:rsidR="00030CC5" w:rsidRPr="002C3702" w:rsidRDefault="00030CC5" w:rsidP="00CE4DD6">
      <w:pPr>
        <w:pStyle w:val="3-BodyText"/>
      </w:pPr>
      <w:r w:rsidRPr="002C3702">
        <w:t xml:space="preserve">The current </w:t>
      </w:r>
      <w:r w:rsidR="23AAC2D8" w:rsidRPr="002C3702">
        <w:t>submission</w:t>
      </w:r>
      <w:r w:rsidRPr="002C3702">
        <w:t xml:space="preserve">’s economic analysis utilised the patient-level </w:t>
      </w:r>
      <w:r w:rsidR="00FA603E" w:rsidRPr="002C3702">
        <w:t xml:space="preserve">IDFS </w:t>
      </w:r>
      <w:r w:rsidRPr="002C3702">
        <w:t xml:space="preserve">data </w:t>
      </w:r>
      <w:r w:rsidR="00A2681A" w:rsidRPr="002C3702">
        <w:t>(</w:t>
      </w:r>
      <w:r w:rsidR="0034510F" w:rsidRPr="002C3702">
        <w:t>up to 48 months</w:t>
      </w:r>
      <w:r w:rsidR="00A2681A" w:rsidRPr="002C3702">
        <w:t>)</w:t>
      </w:r>
      <w:r w:rsidRPr="002C3702">
        <w:t xml:space="preserve"> from the AFU2 (July 2022) data-cut </w:t>
      </w:r>
      <w:r w:rsidR="00276BA1" w:rsidRPr="002C3702">
        <w:t xml:space="preserve">from </w:t>
      </w:r>
      <w:r w:rsidRPr="002C3702">
        <w:t xml:space="preserve">Cohort 1 of </w:t>
      </w:r>
      <w:r w:rsidR="00276BA1" w:rsidRPr="002C3702">
        <w:t xml:space="preserve">the </w:t>
      </w:r>
      <w:r w:rsidRPr="002C3702">
        <w:t xml:space="preserve">monarchE trial. After this time, IDFS was extrapolated using </w:t>
      </w:r>
      <w:r w:rsidR="00CE44C5" w:rsidRPr="002C3702">
        <w:t xml:space="preserve">a </w:t>
      </w:r>
      <w:r w:rsidRPr="002C3702">
        <w:t>dependant parametric model</w:t>
      </w:r>
      <w:r w:rsidR="0013575F" w:rsidRPr="002C3702">
        <w:t xml:space="preserve"> (</w:t>
      </w:r>
      <w:r w:rsidR="0013575F" w:rsidRPr="002C3702">
        <w:fldChar w:fldCharType="begin"/>
      </w:r>
      <w:r w:rsidR="0013575F" w:rsidRPr="002C3702">
        <w:instrText xml:space="preserve"> REF _Ref144677752 \h </w:instrText>
      </w:r>
      <w:r w:rsidR="0013575F" w:rsidRPr="002C3702">
        <w:fldChar w:fldCharType="separate"/>
      </w:r>
      <w:r w:rsidR="00676505" w:rsidRPr="002C3702">
        <w:t xml:space="preserve">Figure </w:t>
      </w:r>
      <w:r w:rsidR="00676505">
        <w:rPr>
          <w:noProof/>
        </w:rPr>
        <w:t>7</w:t>
      </w:r>
      <w:r w:rsidR="0013575F" w:rsidRPr="002C3702">
        <w:fldChar w:fldCharType="end"/>
      </w:r>
      <w:r w:rsidR="0013575F" w:rsidRPr="002C3702">
        <w:t>)</w:t>
      </w:r>
      <w:r w:rsidRPr="002C3702">
        <w:t>.</w:t>
      </w:r>
      <w:r w:rsidR="006A57B1" w:rsidRPr="002C3702">
        <w:rPr>
          <w:iCs/>
        </w:rPr>
        <w:t xml:space="preserve"> </w:t>
      </w:r>
      <w:r w:rsidR="00CE4DD6" w:rsidRPr="002C3702">
        <w:t>T</w:t>
      </w:r>
      <w:r w:rsidR="006A57B1" w:rsidRPr="002C3702">
        <w:t xml:space="preserve">he modelled IDFS data were based on a small number of events (12.4% in the intervention arm and 18.5% in the comparator) and may not provide a reliable basis for extrapolation. </w:t>
      </w:r>
      <w:r w:rsidRPr="002C3702">
        <w:t xml:space="preserve">A </w:t>
      </w:r>
      <w:r w:rsidR="00276BA1" w:rsidRPr="002C3702">
        <w:t xml:space="preserve">jointly-fitted </w:t>
      </w:r>
      <w:r w:rsidRPr="002C3702">
        <w:t>log-logistic parametric model was chosen for IDFS extrapolation.</w:t>
      </w:r>
      <w:r w:rsidR="0049110A" w:rsidRPr="002C3702">
        <w:t xml:space="preserve"> </w:t>
      </w:r>
      <w:r w:rsidR="00AC3E37" w:rsidRPr="002C3702">
        <w:t>In the March 2023 resubmission, a jointly-fitted log-logistic parametric model was selected for IDFS extrapolation</w:t>
      </w:r>
      <w:r w:rsidR="00E749B5" w:rsidRPr="002C3702">
        <w:t>.</w:t>
      </w:r>
      <w:r w:rsidR="006D6063" w:rsidRPr="002C3702">
        <w:t xml:space="preserve"> </w:t>
      </w:r>
      <w:r w:rsidR="00D93B36" w:rsidRPr="002C3702">
        <w:t>The</w:t>
      </w:r>
      <w:r w:rsidR="00516CBA" w:rsidRPr="002C3702">
        <w:rPr>
          <w:iCs/>
        </w:rPr>
        <w:t xml:space="preserve"> </w:t>
      </w:r>
      <w:r w:rsidR="00516CBA" w:rsidRPr="002C3702">
        <w:t xml:space="preserve">log-logistic model is a reasonable </w:t>
      </w:r>
      <w:r w:rsidR="00516CBA" w:rsidRPr="002C3702">
        <w:lastRenderedPageBreak/>
        <w:t xml:space="preserve">choice </w:t>
      </w:r>
      <w:r w:rsidR="008059A6" w:rsidRPr="002C3702">
        <w:t>as this</w:t>
      </w:r>
      <w:r w:rsidR="0049110A" w:rsidRPr="002C3702">
        <w:t xml:space="preserve"> was based on an assessment of proportional hazards, goodness of fit statistics, clinical plausibility and previous PBAC consideration.</w:t>
      </w:r>
      <w:r w:rsidR="00C10362" w:rsidRPr="002C3702">
        <w:t xml:space="preserve"> </w:t>
      </w:r>
      <w:r w:rsidR="00F63761" w:rsidRPr="002C3702">
        <w:t>Furthermore</w:t>
      </w:r>
      <w:r w:rsidR="00876FB0" w:rsidRPr="002C3702">
        <w:t xml:space="preserve">, the projected </w:t>
      </w:r>
      <w:r w:rsidR="00F63761" w:rsidRPr="002C3702">
        <w:t xml:space="preserve">estimates in the ET arm were consistent with external studies for both IDFS at 5 years (Smith 2017), and metastatic recurrence at 5−20 years (Pan 2017). </w:t>
      </w:r>
    </w:p>
    <w:p w14:paraId="69F7A56F" w14:textId="4F91FEDD" w:rsidR="003E0518" w:rsidRPr="002C3702" w:rsidRDefault="003E0518" w:rsidP="003E0518">
      <w:pPr>
        <w:pStyle w:val="Caption"/>
      </w:pPr>
      <w:bookmarkStart w:id="52" w:name="_Ref144677752"/>
      <w:r w:rsidRPr="002C3702">
        <w:t xml:space="preserve">Figure </w:t>
      </w:r>
      <w:fldSimple w:instr=" SEQ Figure \* ARABIC ">
        <w:r w:rsidR="00676505">
          <w:rPr>
            <w:noProof/>
          </w:rPr>
          <w:t>7</w:t>
        </w:r>
      </w:fldSimple>
      <w:bookmarkEnd w:id="52"/>
      <w:r w:rsidRPr="002C3702">
        <w:t>: Long-term IDFS extrapolations – Cohort 1 (left panel ABE+ET – right panel ET)</w:t>
      </w:r>
    </w:p>
    <w:p w14:paraId="532CB267" w14:textId="77777777" w:rsidR="005A2B47" w:rsidRPr="002C3702" w:rsidRDefault="005A2B47" w:rsidP="005A2B47">
      <w:r w:rsidRPr="002C3702">
        <w:rPr>
          <w:noProof/>
        </w:rPr>
        <w:drawing>
          <wp:inline distT="0" distB="0" distL="0" distR="0" wp14:anchorId="748B2A1E" wp14:editId="5EEBFB05">
            <wp:extent cx="5765062" cy="2382977"/>
            <wp:effectExtent l="19050" t="19050" r="26670" b="17780"/>
            <wp:docPr id="1781371259" name="Picture 1781371259" descr="Figure 7: Long-term IDFS extrapolations – Cohort 1 (left panel ABE+ET – right panel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71259" name="Picture 1781371259" descr="Figure 7: Long-term IDFS extrapolations – Cohort 1 (left panel ABE+ET – right panel 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3557" cy="2394755"/>
                    </a:xfrm>
                    <a:prstGeom prst="rect">
                      <a:avLst/>
                    </a:prstGeom>
                    <a:noFill/>
                    <a:ln>
                      <a:solidFill>
                        <a:sysClr val="windowText" lastClr="000000"/>
                      </a:solidFill>
                    </a:ln>
                  </pic:spPr>
                </pic:pic>
              </a:graphicData>
            </a:graphic>
          </wp:inline>
        </w:drawing>
      </w:r>
    </w:p>
    <w:p w14:paraId="74C4ECBC" w14:textId="77777777" w:rsidR="005A2B47" w:rsidRPr="002C3702" w:rsidRDefault="005A2B47" w:rsidP="005A2B47">
      <w:pPr>
        <w:spacing w:after="120"/>
        <w:contextualSpacing/>
        <w:rPr>
          <w:rFonts w:ascii="Arial Narrow" w:hAnsi="Arial Narrow"/>
          <w:snapToGrid w:val="0"/>
          <w:sz w:val="18"/>
          <w:szCs w:val="22"/>
        </w:rPr>
      </w:pPr>
      <w:r w:rsidRPr="002C3702">
        <w:rPr>
          <w:rFonts w:ascii="Arial Narrow" w:hAnsi="Arial Narrow"/>
          <w:snapToGrid w:val="0"/>
          <w:sz w:val="18"/>
          <w:szCs w:val="22"/>
        </w:rPr>
        <w:t>Source: Figure 3-7, p20 of the submission.</w:t>
      </w:r>
    </w:p>
    <w:p w14:paraId="34870F7B" w14:textId="6E110084" w:rsidR="005A2B47" w:rsidRPr="002C3702" w:rsidRDefault="005A2B47" w:rsidP="003E0518">
      <w:pPr>
        <w:spacing w:after="120"/>
        <w:contextualSpacing/>
        <w:rPr>
          <w:rFonts w:ascii="Arial Narrow" w:hAnsi="Arial Narrow"/>
          <w:snapToGrid w:val="0"/>
          <w:sz w:val="18"/>
          <w:szCs w:val="22"/>
        </w:rPr>
      </w:pPr>
      <w:r w:rsidRPr="002C3702">
        <w:rPr>
          <w:rFonts w:ascii="Arial Narrow" w:hAnsi="Arial Narrow"/>
          <w:snapToGrid w:val="0"/>
          <w:sz w:val="18"/>
          <w:szCs w:val="22"/>
        </w:rPr>
        <w:t>ABE = abemaciclib, ET = endocrine therapy, IDFS = invasive disease-free survival.</w:t>
      </w:r>
    </w:p>
    <w:p w14:paraId="2583D0D2" w14:textId="5CEAAD3F" w:rsidR="008F1A45" w:rsidRPr="00DA3A5A" w:rsidRDefault="00EB11CE" w:rsidP="00DA3A5A">
      <w:pPr>
        <w:pStyle w:val="3-BodyText"/>
        <w:rPr>
          <w:b/>
          <w:bCs/>
        </w:rPr>
      </w:pPr>
      <w:r w:rsidRPr="002C3702">
        <w:rPr>
          <w:iCs/>
        </w:rPr>
        <w:t>The ESC agreed with the evaluation that</w:t>
      </w:r>
      <w:r w:rsidRPr="002C3702">
        <w:t xml:space="preserve"> f</w:t>
      </w:r>
      <w:r w:rsidR="008F1A45" w:rsidRPr="002C3702">
        <w:t>or both the intervention arm (ABE+ET) and comparator arm (ET), all curves appear to fit the observed data reasonably well within the trial data period</w:t>
      </w:r>
      <w:r w:rsidR="007B605A" w:rsidRPr="002C3702">
        <w:t>. H</w:t>
      </w:r>
      <w:r w:rsidR="008F1A45" w:rsidRPr="002C3702">
        <w:t xml:space="preserve">owever, </w:t>
      </w:r>
      <w:r w:rsidRPr="002C3702">
        <w:rPr>
          <w:iCs/>
        </w:rPr>
        <w:t xml:space="preserve">noted that </w:t>
      </w:r>
      <w:r w:rsidR="008F1A45" w:rsidRPr="002C3702">
        <w:t xml:space="preserve">there is substantial variation in the curves over the </w:t>
      </w:r>
      <w:r w:rsidR="00445FE3" w:rsidRPr="002C3702">
        <w:t xml:space="preserve">remaining </w:t>
      </w:r>
      <w:r w:rsidR="008F1A45" w:rsidRPr="002C3702">
        <w:t xml:space="preserve">time horizon. There is also a significant difference in log-logistic curves (the best-fitting curve by AIC/BIC) and Weibull curves (the second-best fitting curve by AIC/BIC). The current submission presented a scenario analysis employing the dependent Weibull curve, which lowered the incremental cost-effectiveness ratio (ICER) to </w:t>
      </w:r>
      <w:r w:rsidR="00DA3A5A" w:rsidRPr="00DA3A5A">
        <w:t>$15,000 to &lt; $25,000</w:t>
      </w:r>
      <w:r w:rsidR="008F1A45" w:rsidRPr="002C3702">
        <w:t>/quality adjusted life year (QALY) (27.2% reduction). The ICER is sensitive to the selection of the distribution model of IDFS extrapolation.</w:t>
      </w:r>
    </w:p>
    <w:p w14:paraId="2A4DD35D" w14:textId="49E07B05" w:rsidR="00B07FAC" w:rsidRPr="002C3702" w:rsidRDefault="00B62012" w:rsidP="00030CC5">
      <w:pPr>
        <w:pStyle w:val="3-BodyText"/>
      </w:pPr>
      <w:r w:rsidRPr="002C3702">
        <w:t xml:space="preserve">Comparison of modelled outcomes for IDFS and </w:t>
      </w:r>
      <w:r w:rsidR="00CE44C5" w:rsidRPr="002C3702">
        <w:t xml:space="preserve">metastatic recurrence (MR) </w:t>
      </w:r>
      <w:r w:rsidRPr="002C3702">
        <w:t xml:space="preserve">with external data is presented in </w:t>
      </w:r>
      <w:r w:rsidR="00493FEA" w:rsidRPr="002C3702">
        <w:fldChar w:fldCharType="begin"/>
      </w:r>
      <w:r w:rsidR="00493FEA" w:rsidRPr="002C3702">
        <w:instrText xml:space="preserve"> REF _Ref144508939 \h </w:instrText>
      </w:r>
      <w:r w:rsidR="00493FEA" w:rsidRPr="002C3702">
        <w:fldChar w:fldCharType="separate"/>
      </w:r>
      <w:r w:rsidR="00676505" w:rsidRPr="002C3702">
        <w:t xml:space="preserve">Table </w:t>
      </w:r>
      <w:r w:rsidR="00676505">
        <w:rPr>
          <w:noProof/>
        </w:rPr>
        <w:t>10</w:t>
      </w:r>
      <w:r w:rsidR="00493FEA" w:rsidRPr="002C3702">
        <w:fldChar w:fldCharType="end"/>
      </w:r>
      <w:r w:rsidR="00493FEA" w:rsidRPr="002C3702">
        <w:t xml:space="preserve">. </w:t>
      </w:r>
      <w:r w:rsidR="00B07FAC" w:rsidRPr="002C3702">
        <w:t>The submission compared 5-year and 10-year IDFS rates (in the comparator arm) between what was reported in the FACE trial and the Early Breast Cancer Trialists’ Collaborative Group (EBCTCG) 2022 meta-analysis</w:t>
      </w:r>
      <w:r w:rsidR="006927CB" w:rsidRPr="002C3702">
        <w:t xml:space="preserve">. </w:t>
      </w:r>
      <w:r w:rsidR="00CE44C5" w:rsidRPr="002C3702">
        <w:t xml:space="preserve">The </w:t>
      </w:r>
      <w:r w:rsidR="006927CB" w:rsidRPr="002C3702">
        <w:t>FACE trial compared letrozole to anastrozole in postmenopausal patients with HR+ node-positive early breast cancer, while the EBCTCG 2022 conducted a meta-analysis of individual patient data from randomised trials comparing aromatase inhibitors (anastrozole, exemestane, or letrozole) versus tamoxifen for 3 or 5 years in premenopausal women with oestrogen receptor (ER)-positive breast cancer receiving ovarian suppression (</w:t>
      </w:r>
      <w:proofErr w:type="spellStart"/>
      <w:r w:rsidR="006927CB" w:rsidRPr="002C3702">
        <w:t>goserelin</w:t>
      </w:r>
      <w:proofErr w:type="spellEnd"/>
      <w:r w:rsidR="006927CB" w:rsidRPr="002C3702">
        <w:t xml:space="preserve"> or triptorelin) or ablation. Results from studies were consistent with what was modelled for IDFS in the ET arm at 5 years in the submission’s base case (73.8%). The current submission also compared 5, 10, 15, and 20-year MR rates (in the comparator arm) to the risk of distant recurrence reported at 20 years in a population of</w:t>
      </w:r>
      <w:r w:rsidR="0088602F" w:rsidRPr="002C3702">
        <w:t xml:space="preserve"> patients who had completed 5 years of ET reported in </w:t>
      </w:r>
      <w:r w:rsidR="0088602F" w:rsidRPr="002C3702">
        <w:lastRenderedPageBreak/>
        <w:t>the Pan et al. 2017 study. This is also consistent with what was modelled in the current submission’s base case.</w:t>
      </w:r>
    </w:p>
    <w:p w14:paraId="28895CD2" w14:textId="3F89A1CA" w:rsidR="00734C77" w:rsidRPr="002C3702" w:rsidRDefault="00734C77" w:rsidP="00C03FCA">
      <w:pPr>
        <w:pStyle w:val="Caption"/>
      </w:pPr>
      <w:bookmarkStart w:id="53" w:name="_Ref144508939"/>
      <w:r w:rsidRPr="002C3702">
        <w:t xml:space="preserve">Table </w:t>
      </w:r>
      <w:fldSimple w:instr=" SEQ Table \* ARABIC ">
        <w:r w:rsidR="00676505">
          <w:rPr>
            <w:noProof/>
          </w:rPr>
          <w:t>10</w:t>
        </w:r>
      </w:fldSimple>
      <w:bookmarkEnd w:id="53"/>
      <w:r w:rsidRPr="002C3702">
        <w:t>: Comparison of modelled outcomes for IDFS and MR with external data</w:t>
      </w:r>
    </w:p>
    <w:tbl>
      <w:tblPr>
        <w:tblStyle w:val="RTIAMCPTable2"/>
        <w:tblW w:w="5000" w:type="pct"/>
        <w:tblLook w:val="04A0" w:firstRow="1" w:lastRow="0" w:firstColumn="1" w:lastColumn="0" w:noHBand="0" w:noVBand="1"/>
      </w:tblPr>
      <w:tblGrid>
        <w:gridCol w:w="3171"/>
        <w:gridCol w:w="1315"/>
        <w:gridCol w:w="887"/>
        <w:gridCol w:w="795"/>
        <w:gridCol w:w="1073"/>
        <w:gridCol w:w="887"/>
        <w:gridCol w:w="889"/>
      </w:tblGrid>
      <w:tr w:rsidR="00304021" w:rsidRPr="002C3702" w14:paraId="7D5F38CB" w14:textId="77777777" w:rsidTr="00304021">
        <w:tc>
          <w:tcPr>
            <w:tcW w:w="1758" w:type="pct"/>
          </w:tcPr>
          <w:p w14:paraId="2A555634" w14:textId="77777777" w:rsidR="00304021" w:rsidRPr="002C3702" w:rsidRDefault="00304021">
            <w:pPr>
              <w:keepNext/>
              <w:jc w:val="left"/>
              <w:rPr>
                <w:rFonts w:ascii="Arial Narrow" w:eastAsia="MS Gothic" w:hAnsi="Arial Narrow" w:cs="Times New Roman"/>
                <w:sz w:val="20"/>
                <w14:ligatures w14:val="none"/>
              </w:rPr>
            </w:pPr>
          </w:p>
        </w:tc>
        <w:tc>
          <w:tcPr>
            <w:tcW w:w="1221" w:type="pct"/>
            <w:gridSpan w:val="2"/>
          </w:tcPr>
          <w:p w14:paraId="002F99B0" w14:textId="7C3920EC" w:rsidR="00304021" w:rsidRPr="002C3702" w:rsidRDefault="00304021" w:rsidP="0033186F">
            <w:pPr>
              <w:keepNext/>
              <w:jc w:val="center"/>
              <w:rPr>
                <w:rFonts w:ascii="Arial Narrow" w:eastAsia="MS Gothic" w:hAnsi="Arial Narrow" w:cs="Times New Roman"/>
                <w:b/>
                <w:bCs/>
                <w:sz w:val="20"/>
              </w:rPr>
            </w:pPr>
            <w:r w:rsidRPr="002C3702">
              <w:rPr>
                <w:rFonts w:ascii="Arial Narrow" w:eastAsia="MS Gothic" w:hAnsi="Arial Narrow" w:cs="Times New Roman"/>
                <w:b/>
                <w:bCs/>
                <w:sz w:val="20"/>
                <w14:ligatures w14:val="none"/>
              </w:rPr>
              <w:t>IDFS ET</w:t>
            </w:r>
          </w:p>
        </w:tc>
        <w:tc>
          <w:tcPr>
            <w:tcW w:w="2021" w:type="pct"/>
            <w:gridSpan w:val="4"/>
          </w:tcPr>
          <w:p w14:paraId="67E6C3F8" w14:textId="236C9A06" w:rsidR="00304021" w:rsidRPr="002C3702" w:rsidRDefault="00304021"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MR ET</w:t>
            </w:r>
          </w:p>
        </w:tc>
      </w:tr>
      <w:tr w:rsidR="00A52C15" w:rsidRPr="002C3702" w14:paraId="3475BCFA" w14:textId="77777777" w:rsidTr="00304021">
        <w:tc>
          <w:tcPr>
            <w:tcW w:w="1758" w:type="pct"/>
          </w:tcPr>
          <w:p w14:paraId="59584475" w14:textId="77777777" w:rsidR="003F6847" w:rsidRPr="002C3702" w:rsidRDefault="003F6847">
            <w:pPr>
              <w:keepNext/>
              <w:jc w:val="left"/>
              <w:rPr>
                <w:rFonts w:ascii="Arial Narrow" w:eastAsia="MS Gothic" w:hAnsi="Arial Narrow" w:cs="Times New Roman"/>
                <w:sz w:val="20"/>
                <w14:ligatures w14:val="none"/>
              </w:rPr>
            </w:pPr>
          </w:p>
        </w:tc>
        <w:tc>
          <w:tcPr>
            <w:tcW w:w="729" w:type="pct"/>
          </w:tcPr>
          <w:p w14:paraId="2A472FF8"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5 years</w:t>
            </w:r>
          </w:p>
        </w:tc>
        <w:tc>
          <w:tcPr>
            <w:tcW w:w="492" w:type="pct"/>
          </w:tcPr>
          <w:p w14:paraId="0808136A"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10 years</w:t>
            </w:r>
          </w:p>
        </w:tc>
        <w:tc>
          <w:tcPr>
            <w:tcW w:w="441" w:type="pct"/>
          </w:tcPr>
          <w:p w14:paraId="38DD8693"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5 years</w:t>
            </w:r>
          </w:p>
        </w:tc>
        <w:tc>
          <w:tcPr>
            <w:tcW w:w="595" w:type="pct"/>
          </w:tcPr>
          <w:p w14:paraId="258090AB"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10 years</w:t>
            </w:r>
          </w:p>
        </w:tc>
        <w:tc>
          <w:tcPr>
            <w:tcW w:w="492" w:type="pct"/>
          </w:tcPr>
          <w:p w14:paraId="503AACBD"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15 years</w:t>
            </w:r>
          </w:p>
        </w:tc>
        <w:tc>
          <w:tcPr>
            <w:tcW w:w="493" w:type="pct"/>
          </w:tcPr>
          <w:p w14:paraId="7601A679"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20 years</w:t>
            </w:r>
          </w:p>
        </w:tc>
      </w:tr>
      <w:tr w:rsidR="00645AC4" w:rsidRPr="002C3702" w14:paraId="5EB09150" w14:textId="77777777" w:rsidTr="008436D9">
        <w:tc>
          <w:tcPr>
            <w:tcW w:w="5000" w:type="pct"/>
            <w:gridSpan w:val="7"/>
          </w:tcPr>
          <w:p w14:paraId="4C9B2E67" w14:textId="77777777" w:rsidR="003F6847" w:rsidRPr="002C3702" w:rsidRDefault="003F6847">
            <w:pPr>
              <w:keepNext/>
              <w:jc w:val="left"/>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External data</w:t>
            </w:r>
          </w:p>
        </w:tc>
      </w:tr>
      <w:tr w:rsidR="00A52C15" w:rsidRPr="002C3702" w14:paraId="5D7B2940" w14:textId="77777777" w:rsidTr="00304021">
        <w:tc>
          <w:tcPr>
            <w:tcW w:w="1758" w:type="pct"/>
          </w:tcPr>
          <w:p w14:paraId="2DCA1221"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A5.11_Study Report 2019-9068 Table 5</w:t>
            </w:r>
          </w:p>
        </w:tc>
        <w:tc>
          <w:tcPr>
            <w:tcW w:w="729" w:type="pct"/>
          </w:tcPr>
          <w:p w14:paraId="3C26354F"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76%</w:t>
            </w:r>
          </w:p>
        </w:tc>
        <w:tc>
          <w:tcPr>
            <w:tcW w:w="492" w:type="pct"/>
          </w:tcPr>
          <w:p w14:paraId="20D7EFD1"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59%</w:t>
            </w:r>
          </w:p>
        </w:tc>
        <w:tc>
          <w:tcPr>
            <w:tcW w:w="441" w:type="pct"/>
          </w:tcPr>
          <w:p w14:paraId="1717EFC8"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595" w:type="pct"/>
          </w:tcPr>
          <w:p w14:paraId="0C5690BE"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2" w:type="pct"/>
          </w:tcPr>
          <w:p w14:paraId="6FFB8EA1"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3" w:type="pct"/>
          </w:tcPr>
          <w:p w14:paraId="209BACE1"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r>
      <w:tr w:rsidR="00A52C15" w:rsidRPr="002C3702" w14:paraId="3B2B2788" w14:textId="77777777" w:rsidTr="00304021">
        <w:tc>
          <w:tcPr>
            <w:tcW w:w="1758" w:type="pct"/>
          </w:tcPr>
          <w:p w14:paraId="3AFE7B2C" w14:textId="07A1714F"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FACE*</w:t>
            </w:r>
            <w:r w:rsidR="0009330C" w:rsidRPr="002C3702">
              <w:rPr>
                <w:rFonts w:ascii="Arial Narrow" w:eastAsia="MS Gothic" w:hAnsi="Arial Narrow" w:cs="Times New Roman"/>
                <w:sz w:val="20"/>
                <w14:ligatures w14:val="none"/>
              </w:rPr>
              <w:t xml:space="preserve"> </w:t>
            </w:r>
            <w:r w:rsidR="0009330C" w:rsidRPr="002C3702">
              <w:rPr>
                <w:rFonts w:ascii="Arial Narrow" w:eastAsia="MS Gothic" w:hAnsi="Arial Narrow" w:cs="Times New Roman"/>
                <w:sz w:val="20"/>
              </w:rPr>
              <w:t>(Smith et al 2017)</w:t>
            </w:r>
            <w:r w:rsidRPr="002C3702">
              <w:rPr>
                <w:rFonts w:ascii="Arial Narrow" w:eastAsia="MS Gothic" w:hAnsi="Arial Narrow" w:cs="Times New Roman"/>
                <w:sz w:val="20"/>
                <w14:ligatures w14:val="none"/>
              </w:rPr>
              <w:t xml:space="preserve"> </w:t>
            </w:r>
          </w:p>
        </w:tc>
        <w:tc>
          <w:tcPr>
            <w:tcW w:w="729" w:type="pct"/>
          </w:tcPr>
          <w:p w14:paraId="4FC80A7E"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70.9% - 75.1%</w:t>
            </w:r>
          </w:p>
        </w:tc>
        <w:tc>
          <w:tcPr>
            <w:tcW w:w="492" w:type="pct"/>
          </w:tcPr>
          <w:p w14:paraId="484776DD"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41" w:type="pct"/>
          </w:tcPr>
          <w:p w14:paraId="78A7D61F"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595" w:type="pct"/>
          </w:tcPr>
          <w:p w14:paraId="59CE5B4C"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2" w:type="pct"/>
          </w:tcPr>
          <w:p w14:paraId="5C914C26"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3" w:type="pct"/>
          </w:tcPr>
          <w:p w14:paraId="4D2329F7"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r>
      <w:tr w:rsidR="00A52C15" w:rsidRPr="002C3702" w14:paraId="5F1B3FBF" w14:textId="77777777" w:rsidTr="00304021">
        <w:tc>
          <w:tcPr>
            <w:tcW w:w="1758" w:type="pct"/>
          </w:tcPr>
          <w:p w14:paraId="0255510A" w14:textId="596F162F"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 xml:space="preserve">Meta-analysis* </w:t>
            </w:r>
            <w:r w:rsidR="0009330C" w:rsidRPr="002C3702">
              <w:rPr>
                <w:rFonts w:ascii="Arial Narrow" w:eastAsia="MS Gothic" w:hAnsi="Arial Narrow" w:cs="Times New Roman"/>
                <w:sz w:val="20"/>
                <w14:ligatures w14:val="none"/>
              </w:rPr>
              <w:t>(</w:t>
            </w:r>
            <w:r w:rsidR="0009330C" w:rsidRPr="002C3702">
              <w:rPr>
                <w:rFonts w:ascii="Arial Narrow" w:eastAsia="MS Gothic" w:hAnsi="Arial Narrow" w:cs="Times New Roman"/>
                <w:sz w:val="20"/>
              </w:rPr>
              <w:t>EBCTCG, 2022)</w:t>
            </w:r>
          </w:p>
        </w:tc>
        <w:tc>
          <w:tcPr>
            <w:tcW w:w="729" w:type="pct"/>
          </w:tcPr>
          <w:p w14:paraId="1E12A01C" w14:textId="77777777" w:rsidR="003F6847" w:rsidRPr="002C3702" w:rsidRDefault="003F6847" w:rsidP="0055529F">
            <w:pPr>
              <w:keepNext/>
              <w:jc w:val="center"/>
              <w:rPr>
                <w:rFonts w:ascii="Arial Narrow" w:eastAsia="MS Gothic" w:hAnsi="Arial Narrow" w:cs="Times New Roman"/>
                <w:iCs/>
                <w:sz w:val="20"/>
                <w14:ligatures w14:val="none"/>
              </w:rPr>
            </w:pPr>
          </w:p>
          <w:p w14:paraId="4B9523D8"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~75%</w:t>
            </w:r>
          </w:p>
        </w:tc>
        <w:tc>
          <w:tcPr>
            <w:tcW w:w="492" w:type="pct"/>
          </w:tcPr>
          <w:p w14:paraId="338D05DD" w14:textId="77777777" w:rsidR="003F6847" w:rsidRPr="002C3702" w:rsidRDefault="003F6847" w:rsidP="0055529F">
            <w:pPr>
              <w:keepNext/>
              <w:jc w:val="center"/>
              <w:rPr>
                <w:rFonts w:ascii="Arial Narrow" w:eastAsia="MS Gothic" w:hAnsi="Arial Narrow" w:cs="Times New Roman"/>
                <w:iCs/>
                <w:sz w:val="20"/>
                <w14:ligatures w14:val="none"/>
              </w:rPr>
            </w:pPr>
          </w:p>
          <w:p w14:paraId="4426B472"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~60%</w:t>
            </w:r>
          </w:p>
        </w:tc>
        <w:tc>
          <w:tcPr>
            <w:tcW w:w="441" w:type="pct"/>
          </w:tcPr>
          <w:p w14:paraId="1BE545FE" w14:textId="77777777" w:rsidR="003F6847" w:rsidRPr="002C3702" w:rsidRDefault="003F6847" w:rsidP="0055529F">
            <w:pPr>
              <w:keepNext/>
              <w:jc w:val="center"/>
              <w:rPr>
                <w:rFonts w:ascii="Arial Narrow" w:eastAsia="MS Gothic" w:hAnsi="Arial Narrow" w:cs="Times New Roman"/>
                <w:iCs/>
                <w:sz w:val="20"/>
                <w14:ligatures w14:val="none"/>
              </w:rPr>
            </w:pPr>
          </w:p>
          <w:p w14:paraId="45BAED2D"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595" w:type="pct"/>
          </w:tcPr>
          <w:p w14:paraId="2F29B143"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 8 years</w:t>
            </w:r>
          </w:p>
          <w:p w14:paraId="6D822FFA"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b/>
                <w:iCs/>
                <w:sz w:val="20"/>
                <w14:ligatures w14:val="none"/>
              </w:rPr>
              <w:t>29.1-30.1%</w:t>
            </w:r>
          </w:p>
        </w:tc>
        <w:tc>
          <w:tcPr>
            <w:tcW w:w="492" w:type="pct"/>
          </w:tcPr>
          <w:p w14:paraId="36778574" w14:textId="77777777" w:rsidR="003F6847" w:rsidRPr="002C3702" w:rsidRDefault="003F6847" w:rsidP="0055529F">
            <w:pPr>
              <w:keepNext/>
              <w:jc w:val="center"/>
              <w:rPr>
                <w:rFonts w:ascii="Arial Narrow" w:eastAsia="MS Gothic" w:hAnsi="Arial Narrow" w:cs="Times New Roman"/>
                <w:iCs/>
                <w:sz w:val="20"/>
                <w14:ligatures w14:val="none"/>
              </w:rPr>
            </w:pPr>
          </w:p>
          <w:p w14:paraId="224781E4"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3" w:type="pct"/>
          </w:tcPr>
          <w:p w14:paraId="2C4EDDFF" w14:textId="77777777" w:rsidR="003F6847" w:rsidRPr="002C3702" w:rsidRDefault="003F6847" w:rsidP="0055529F">
            <w:pPr>
              <w:keepNext/>
              <w:jc w:val="center"/>
              <w:rPr>
                <w:rFonts w:ascii="Arial Narrow" w:eastAsia="MS Gothic" w:hAnsi="Arial Narrow" w:cs="Times New Roman"/>
                <w:iCs/>
                <w:sz w:val="20"/>
                <w14:ligatures w14:val="none"/>
              </w:rPr>
            </w:pPr>
          </w:p>
          <w:p w14:paraId="68A75521"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r>
      <w:tr w:rsidR="00A52C15" w:rsidRPr="002C3702" w14:paraId="5DAB1110" w14:textId="77777777" w:rsidTr="00304021">
        <w:tc>
          <w:tcPr>
            <w:tcW w:w="1758" w:type="pct"/>
          </w:tcPr>
          <w:p w14:paraId="365AE201" w14:textId="547E45FA" w:rsidR="003F6847" w:rsidRPr="002C3702" w:rsidRDefault="0009330C">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rPr>
              <w:t>Pan et al 2017</w:t>
            </w:r>
            <w:r w:rsidR="003F6847" w:rsidRPr="002C3702">
              <w:rPr>
                <w:rFonts w:ascii="Arial Narrow" w:eastAsia="MS Gothic" w:hAnsi="Arial Narrow" w:cs="Times New Roman"/>
                <w:sz w:val="20"/>
                <w14:ligatures w14:val="none"/>
              </w:rPr>
              <w:t>*</w:t>
            </w:r>
          </w:p>
        </w:tc>
        <w:tc>
          <w:tcPr>
            <w:tcW w:w="729" w:type="pct"/>
          </w:tcPr>
          <w:p w14:paraId="579D1F4C"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92" w:type="pct"/>
          </w:tcPr>
          <w:p w14:paraId="41C685C5" w14:textId="77777777" w:rsidR="003F6847" w:rsidRPr="002C3702" w:rsidRDefault="003F6847" w:rsidP="0055529F">
            <w:pPr>
              <w:keepNext/>
              <w:jc w:val="center"/>
              <w:rPr>
                <w:rFonts w:ascii="Arial Narrow" w:eastAsia="MS Gothic" w:hAnsi="Arial Narrow" w:cs="Times New Roman"/>
                <w:iCs/>
                <w:sz w:val="20"/>
                <w14:ligatures w14:val="none"/>
              </w:rPr>
            </w:pPr>
            <w:r w:rsidRPr="002C3702">
              <w:rPr>
                <w:rFonts w:ascii="Arial Narrow" w:eastAsia="MS Gothic" w:hAnsi="Arial Narrow" w:cs="Times New Roman"/>
                <w:iCs/>
                <w:sz w:val="20"/>
                <w14:ligatures w14:val="none"/>
              </w:rPr>
              <w:t>-</w:t>
            </w:r>
          </w:p>
        </w:tc>
        <w:tc>
          <w:tcPr>
            <w:tcW w:w="441" w:type="pct"/>
          </w:tcPr>
          <w:p w14:paraId="7806A444"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22%</w:t>
            </w:r>
          </w:p>
        </w:tc>
        <w:tc>
          <w:tcPr>
            <w:tcW w:w="595" w:type="pct"/>
          </w:tcPr>
          <w:p w14:paraId="31D8AC68"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36%</w:t>
            </w:r>
          </w:p>
        </w:tc>
        <w:tc>
          <w:tcPr>
            <w:tcW w:w="492" w:type="pct"/>
          </w:tcPr>
          <w:p w14:paraId="605AD43E"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45%</w:t>
            </w:r>
          </w:p>
        </w:tc>
        <w:tc>
          <w:tcPr>
            <w:tcW w:w="493" w:type="pct"/>
          </w:tcPr>
          <w:p w14:paraId="178D2CC9" w14:textId="77777777" w:rsidR="003F6847" w:rsidRPr="002C3702" w:rsidRDefault="003F6847" w:rsidP="0055529F">
            <w:pPr>
              <w:keepNext/>
              <w:jc w:val="center"/>
              <w:rPr>
                <w:rFonts w:ascii="Arial Narrow" w:eastAsia="MS Gothic" w:hAnsi="Arial Narrow" w:cs="Times New Roman"/>
                <w:b/>
                <w:iCs/>
                <w:sz w:val="20"/>
                <w14:ligatures w14:val="none"/>
              </w:rPr>
            </w:pPr>
            <w:r w:rsidRPr="002C3702">
              <w:rPr>
                <w:rFonts w:ascii="Arial Narrow" w:eastAsia="MS Gothic" w:hAnsi="Arial Narrow" w:cs="Times New Roman"/>
                <w:b/>
                <w:iCs/>
                <w:sz w:val="20"/>
                <w14:ligatures w14:val="none"/>
              </w:rPr>
              <w:t>52%</w:t>
            </w:r>
          </w:p>
        </w:tc>
      </w:tr>
      <w:tr w:rsidR="00645AC4" w:rsidRPr="002C3702" w14:paraId="6DFDD7A6" w14:textId="77777777" w:rsidTr="008436D9">
        <w:tc>
          <w:tcPr>
            <w:tcW w:w="5000" w:type="pct"/>
            <w:gridSpan w:val="7"/>
          </w:tcPr>
          <w:p w14:paraId="63134E71" w14:textId="77777777" w:rsidR="003F6847" w:rsidRPr="002C3702" w:rsidRDefault="003F6847">
            <w:pPr>
              <w:keepNext/>
              <w:jc w:val="left"/>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 xml:space="preserve">Modelled </w:t>
            </w:r>
          </w:p>
        </w:tc>
      </w:tr>
      <w:tr w:rsidR="00A52C15" w:rsidRPr="002C3702" w14:paraId="327FC6AA" w14:textId="77777777" w:rsidTr="00304021">
        <w:tc>
          <w:tcPr>
            <w:tcW w:w="1758" w:type="pct"/>
          </w:tcPr>
          <w:p w14:paraId="1F015066"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Exponential</w:t>
            </w:r>
          </w:p>
        </w:tc>
        <w:tc>
          <w:tcPr>
            <w:tcW w:w="729" w:type="pct"/>
          </w:tcPr>
          <w:p w14:paraId="10760ABC"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74.1%</w:t>
            </w:r>
          </w:p>
        </w:tc>
        <w:tc>
          <w:tcPr>
            <w:tcW w:w="492" w:type="pct"/>
          </w:tcPr>
          <w:p w14:paraId="1B86922F"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55.0%</w:t>
            </w:r>
          </w:p>
        </w:tc>
        <w:tc>
          <w:tcPr>
            <w:tcW w:w="441" w:type="pct"/>
          </w:tcPr>
          <w:p w14:paraId="14A2DE4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18.6%</w:t>
            </w:r>
          </w:p>
        </w:tc>
        <w:tc>
          <w:tcPr>
            <w:tcW w:w="595" w:type="pct"/>
          </w:tcPr>
          <w:p w14:paraId="47363564"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33.4%</w:t>
            </w:r>
          </w:p>
        </w:tc>
        <w:tc>
          <w:tcPr>
            <w:tcW w:w="492" w:type="pct"/>
          </w:tcPr>
          <w:p w14:paraId="05AB10E1"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44.7%</w:t>
            </w:r>
          </w:p>
        </w:tc>
        <w:tc>
          <w:tcPr>
            <w:tcW w:w="493" w:type="pct"/>
          </w:tcPr>
          <w:p w14:paraId="0EB32929"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53.0%</w:t>
            </w:r>
          </w:p>
        </w:tc>
      </w:tr>
      <w:tr w:rsidR="00A52C15" w:rsidRPr="002C3702" w14:paraId="0ACB873C" w14:textId="77777777" w:rsidTr="00304021">
        <w:tc>
          <w:tcPr>
            <w:tcW w:w="1758" w:type="pct"/>
          </w:tcPr>
          <w:p w14:paraId="2404F669"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Gamma</w:t>
            </w:r>
          </w:p>
        </w:tc>
        <w:tc>
          <w:tcPr>
            <w:tcW w:w="729" w:type="pct"/>
          </w:tcPr>
          <w:p w14:paraId="6D6DDACE"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73.6%</w:t>
            </w:r>
          </w:p>
        </w:tc>
        <w:tc>
          <w:tcPr>
            <w:tcW w:w="492" w:type="pct"/>
          </w:tcPr>
          <w:p w14:paraId="2A7007AD"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53.3%</w:t>
            </w:r>
          </w:p>
        </w:tc>
        <w:tc>
          <w:tcPr>
            <w:tcW w:w="441" w:type="pct"/>
          </w:tcPr>
          <w:p w14:paraId="26E32E9F"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18.9%</w:t>
            </w:r>
          </w:p>
        </w:tc>
        <w:tc>
          <w:tcPr>
            <w:tcW w:w="595" w:type="pct"/>
          </w:tcPr>
          <w:p w14:paraId="74805B22"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34.7%</w:t>
            </w:r>
          </w:p>
        </w:tc>
        <w:tc>
          <w:tcPr>
            <w:tcW w:w="492" w:type="pct"/>
          </w:tcPr>
          <w:p w14:paraId="7B350B3A"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46.4%</w:t>
            </w:r>
          </w:p>
        </w:tc>
        <w:tc>
          <w:tcPr>
            <w:tcW w:w="493" w:type="pct"/>
          </w:tcPr>
          <w:p w14:paraId="3CFCB53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54.6%</w:t>
            </w:r>
          </w:p>
        </w:tc>
      </w:tr>
      <w:tr w:rsidR="00A52C15" w:rsidRPr="002C3702" w14:paraId="06156C3A" w14:textId="77777777" w:rsidTr="00304021">
        <w:tc>
          <w:tcPr>
            <w:tcW w:w="1758" w:type="pct"/>
          </w:tcPr>
          <w:p w14:paraId="16C2CE7E"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Generalised gamma</w:t>
            </w:r>
          </w:p>
        </w:tc>
        <w:tc>
          <w:tcPr>
            <w:tcW w:w="729" w:type="pct"/>
          </w:tcPr>
          <w:p w14:paraId="4A78743E"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73.6%</w:t>
            </w:r>
          </w:p>
        </w:tc>
        <w:tc>
          <w:tcPr>
            <w:tcW w:w="492" w:type="pct"/>
          </w:tcPr>
          <w:p w14:paraId="0A10386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53.3%</w:t>
            </w:r>
          </w:p>
        </w:tc>
        <w:tc>
          <w:tcPr>
            <w:tcW w:w="441" w:type="pct"/>
          </w:tcPr>
          <w:p w14:paraId="2B50A501"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18.9%</w:t>
            </w:r>
          </w:p>
        </w:tc>
        <w:tc>
          <w:tcPr>
            <w:tcW w:w="595" w:type="pct"/>
          </w:tcPr>
          <w:p w14:paraId="4FD6EC2E"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34.7%</w:t>
            </w:r>
          </w:p>
        </w:tc>
        <w:tc>
          <w:tcPr>
            <w:tcW w:w="492" w:type="pct"/>
          </w:tcPr>
          <w:p w14:paraId="032F923B"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46.4%</w:t>
            </w:r>
          </w:p>
        </w:tc>
        <w:tc>
          <w:tcPr>
            <w:tcW w:w="493" w:type="pct"/>
          </w:tcPr>
          <w:p w14:paraId="53099C07"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54.6%</w:t>
            </w:r>
          </w:p>
        </w:tc>
      </w:tr>
      <w:tr w:rsidR="00A52C15" w:rsidRPr="002C3702" w14:paraId="51C83DB2" w14:textId="77777777" w:rsidTr="00304021">
        <w:tc>
          <w:tcPr>
            <w:tcW w:w="1758" w:type="pct"/>
          </w:tcPr>
          <w:p w14:paraId="2E42DF6F"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Gompertz</w:t>
            </w:r>
          </w:p>
        </w:tc>
        <w:tc>
          <w:tcPr>
            <w:tcW w:w="729" w:type="pct"/>
          </w:tcPr>
          <w:p w14:paraId="568267B6"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74.1%</w:t>
            </w:r>
          </w:p>
        </w:tc>
        <w:tc>
          <w:tcPr>
            <w:tcW w:w="492" w:type="pct"/>
          </w:tcPr>
          <w:p w14:paraId="63D1886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55.0%</w:t>
            </w:r>
          </w:p>
        </w:tc>
        <w:tc>
          <w:tcPr>
            <w:tcW w:w="441" w:type="pct"/>
          </w:tcPr>
          <w:p w14:paraId="786AEF12"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18.6%</w:t>
            </w:r>
          </w:p>
        </w:tc>
        <w:tc>
          <w:tcPr>
            <w:tcW w:w="595" w:type="pct"/>
          </w:tcPr>
          <w:p w14:paraId="396277F5"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33.4%</w:t>
            </w:r>
          </w:p>
        </w:tc>
        <w:tc>
          <w:tcPr>
            <w:tcW w:w="492" w:type="pct"/>
          </w:tcPr>
          <w:p w14:paraId="11A0B392"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44.7%</w:t>
            </w:r>
          </w:p>
        </w:tc>
        <w:tc>
          <w:tcPr>
            <w:tcW w:w="493" w:type="pct"/>
          </w:tcPr>
          <w:p w14:paraId="5D15990A"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53.0%</w:t>
            </w:r>
          </w:p>
        </w:tc>
      </w:tr>
      <w:tr w:rsidR="00A52C15" w:rsidRPr="002C3702" w14:paraId="5C288E4B" w14:textId="77777777" w:rsidTr="00304021">
        <w:tc>
          <w:tcPr>
            <w:tcW w:w="1758" w:type="pct"/>
          </w:tcPr>
          <w:p w14:paraId="4404751F" w14:textId="77777777" w:rsidR="003F6847" w:rsidRPr="002C3702" w:rsidRDefault="003F6847">
            <w:pPr>
              <w:keepNext/>
              <w:jc w:val="left"/>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Log-logistic</w:t>
            </w:r>
          </w:p>
        </w:tc>
        <w:tc>
          <w:tcPr>
            <w:tcW w:w="729" w:type="pct"/>
          </w:tcPr>
          <w:p w14:paraId="7A0E0E7C"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73.8%</w:t>
            </w:r>
          </w:p>
        </w:tc>
        <w:tc>
          <w:tcPr>
            <w:tcW w:w="492" w:type="pct"/>
          </w:tcPr>
          <w:p w14:paraId="084E9E4A"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55.0%</w:t>
            </w:r>
          </w:p>
        </w:tc>
        <w:tc>
          <w:tcPr>
            <w:tcW w:w="441" w:type="pct"/>
          </w:tcPr>
          <w:p w14:paraId="4B1B3E72"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18.8%</w:t>
            </w:r>
          </w:p>
        </w:tc>
        <w:tc>
          <w:tcPr>
            <w:tcW w:w="595" w:type="pct"/>
          </w:tcPr>
          <w:p w14:paraId="6F3772C7"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33.4%</w:t>
            </w:r>
          </w:p>
        </w:tc>
        <w:tc>
          <w:tcPr>
            <w:tcW w:w="492" w:type="pct"/>
          </w:tcPr>
          <w:p w14:paraId="3D3B348E"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43.1%</w:t>
            </w:r>
          </w:p>
        </w:tc>
        <w:tc>
          <w:tcPr>
            <w:tcW w:w="493" w:type="pct"/>
          </w:tcPr>
          <w:p w14:paraId="235BF398" w14:textId="77777777" w:rsidR="003F6847" w:rsidRPr="002C3702" w:rsidRDefault="003F6847" w:rsidP="0033186F">
            <w:pPr>
              <w:keepNext/>
              <w:jc w:val="center"/>
              <w:rPr>
                <w:rFonts w:ascii="Arial Narrow" w:eastAsia="MS Gothic" w:hAnsi="Arial Narrow" w:cs="Times New Roman"/>
                <w:b/>
                <w:bCs/>
                <w:sz w:val="20"/>
                <w14:ligatures w14:val="none"/>
              </w:rPr>
            </w:pPr>
            <w:r w:rsidRPr="002C3702">
              <w:rPr>
                <w:rFonts w:ascii="Arial Narrow" w:eastAsia="MS Gothic" w:hAnsi="Arial Narrow" w:cs="Times New Roman"/>
                <w:b/>
                <w:bCs/>
                <w:sz w:val="20"/>
                <w14:ligatures w14:val="none"/>
              </w:rPr>
              <w:t>49.4%</w:t>
            </w:r>
          </w:p>
        </w:tc>
      </w:tr>
      <w:tr w:rsidR="00A52C15" w:rsidRPr="002C3702" w14:paraId="572C6F23" w14:textId="77777777" w:rsidTr="00304021">
        <w:tc>
          <w:tcPr>
            <w:tcW w:w="1758" w:type="pct"/>
          </w:tcPr>
          <w:p w14:paraId="30F2D67B"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Log-normal</w:t>
            </w:r>
          </w:p>
        </w:tc>
        <w:tc>
          <w:tcPr>
            <w:tcW w:w="729" w:type="pct"/>
          </w:tcPr>
          <w:p w14:paraId="6F1AEE7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74.9%</w:t>
            </w:r>
          </w:p>
        </w:tc>
        <w:tc>
          <w:tcPr>
            <w:tcW w:w="492" w:type="pct"/>
          </w:tcPr>
          <w:p w14:paraId="773B5DDD"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61.3%</w:t>
            </w:r>
          </w:p>
        </w:tc>
        <w:tc>
          <w:tcPr>
            <w:tcW w:w="441" w:type="pct"/>
          </w:tcPr>
          <w:p w14:paraId="3B8CD342"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18.0%</w:t>
            </w:r>
          </w:p>
        </w:tc>
        <w:tc>
          <w:tcPr>
            <w:tcW w:w="595" w:type="pct"/>
          </w:tcPr>
          <w:p w14:paraId="24915B14"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28.4%</w:t>
            </w:r>
          </w:p>
        </w:tc>
        <w:tc>
          <w:tcPr>
            <w:tcW w:w="492" w:type="pct"/>
          </w:tcPr>
          <w:p w14:paraId="775FC868"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35.2%</w:t>
            </w:r>
          </w:p>
        </w:tc>
        <w:tc>
          <w:tcPr>
            <w:tcW w:w="493" w:type="pct"/>
          </w:tcPr>
          <w:p w14:paraId="30983C30"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39.2%</w:t>
            </w:r>
          </w:p>
        </w:tc>
      </w:tr>
      <w:tr w:rsidR="00A52C15" w:rsidRPr="002C3702" w14:paraId="5043AD2D" w14:textId="77777777" w:rsidTr="00304021">
        <w:tc>
          <w:tcPr>
            <w:tcW w:w="1758" w:type="pct"/>
          </w:tcPr>
          <w:p w14:paraId="378D363B"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Weibull</w:t>
            </w:r>
          </w:p>
        </w:tc>
        <w:tc>
          <w:tcPr>
            <w:tcW w:w="729" w:type="pct"/>
          </w:tcPr>
          <w:p w14:paraId="3F66368C"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73.2%</w:t>
            </w:r>
          </w:p>
        </w:tc>
        <w:tc>
          <w:tcPr>
            <w:tcW w:w="492" w:type="pct"/>
          </w:tcPr>
          <w:p w14:paraId="4F476CC7"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50.1%</w:t>
            </w:r>
          </w:p>
        </w:tc>
        <w:tc>
          <w:tcPr>
            <w:tcW w:w="441" w:type="pct"/>
          </w:tcPr>
          <w:p w14:paraId="0224F8EC"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19.2%</w:t>
            </w:r>
          </w:p>
        </w:tc>
        <w:tc>
          <w:tcPr>
            <w:tcW w:w="595" w:type="pct"/>
          </w:tcPr>
          <w:p w14:paraId="5F6E150E"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37.2%</w:t>
            </w:r>
          </w:p>
        </w:tc>
        <w:tc>
          <w:tcPr>
            <w:tcW w:w="492" w:type="pct"/>
          </w:tcPr>
          <w:p w14:paraId="1D2A9115"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51.1%</w:t>
            </w:r>
          </w:p>
        </w:tc>
        <w:tc>
          <w:tcPr>
            <w:tcW w:w="493" w:type="pct"/>
          </w:tcPr>
          <w:p w14:paraId="050C98B1"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60.9%</w:t>
            </w:r>
          </w:p>
        </w:tc>
      </w:tr>
      <w:tr w:rsidR="00A52C15" w:rsidRPr="002C3702" w14:paraId="163CDF8E" w14:textId="77777777" w:rsidTr="00304021">
        <w:tc>
          <w:tcPr>
            <w:tcW w:w="1758" w:type="pct"/>
          </w:tcPr>
          <w:p w14:paraId="75075BF4"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Hazard spline 1 knot</w:t>
            </w:r>
          </w:p>
        </w:tc>
        <w:tc>
          <w:tcPr>
            <w:tcW w:w="729" w:type="pct"/>
          </w:tcPr>
          <w:p w14:paraId="365FA46A"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73.5%</w:t>
            </w:r>
          </w:p>
        </w:tc>
        <w:tc>
          <w:tcPr>
            <w:tcW w:w="492" w:type="pct"/>
          </w:tcPr>
          <w:p w14:paraId="0E334B41"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51.8%</w:t>
            </w:r>
          </w:p>
        </w:tc>
        <w:tc>
          <w:tcPr>
            <w:tcW w:w="441" w:type="pct"/>
          </w:tcPr>
          <w:p w14:paraId="60DAC0CC"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19.0%</w:t>
            </w:r>
          </w:p>
        </w:tc>
        <w:tc>
          <w:tcPr>
            <w:tcW w:w="595" w:type="pct"/>
          </w:tcPr>
          <w:p w14:paraId="43233730"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35.9%</w:t>
            </w:r>
          </w:p>
        </w:tc>
        <w:tc>
          <w:tcPr>
            <w:tcW w:w="492" w:type="pct"/>
          </w:tcPr>
          <w:p w14:paraId="3909078D"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48.9%</w:t>
            </w:r>
          </w:p>
        </w:tc>
        <w:tc>
          <w:tcPr>
            <w:tcW w:w="493" w:type="pct"/>
          </w:tcPr>
          <w:p w14:paraId="2A738145"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58.2%</w:t>
            </w:r>
          </w:p>
        </w:tc>
      </w:tr>
      <w:tr w:rsidR="00A52C15" w:rsidRPr="002C3702" w14:paraId="331C11A4" w14:textId="77777777" w:rsidTr="00304021">
        <w:tc>
          <w:tcPr>
            <w:tcW w:w="1758" w:type="pct"/>
          </w:tcPr>
          <w:p w14:paraId="38D8266F" w14:textId="77777777" w:rsidR="003F6847" w:rsidRPr="002C3702" w:rsidRDefault="003F6847">
            <w:pPr>
              <w:keepNext/>
              <w:jc w:val="left"/>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Hazard spline 2 knots</w:t>
            </w:r>
          </w:p>
        </w:tc>
        <w:tc>
          <w:tcPr>
            <w:tcW w:w="729" w:type="pct"/>
          </w:tcPr>
          <w:p w14:paraId="57474CEF"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73.7%</w:t>
            </w:r>
          </w:p>
        </w:tc>
        <w:tc>
          <w:tcPr>
            <w:tcW w:w="492" w:type="pct"/>
          </w:tcPr>
          <w:p w14:paraId="655F5A25"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53.1%</w:t>
            </w:r>
          </w:p>
        </w:tc>
        <w:tc>
          <w:tcPr>
            <w:tcW w:w="441" w:type="pct"/>
          </w:tcPr>
          <w:p w14:paraId="161217CF"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18.8%</w:t>
            </w:r>
          </w:p>
        </w:tc>
        <w:tc>
          <w:tcPr>
            <w:tcW w:w="595" w:type="pct"/>
          </w:tcPr>
          <w:p w14:paraId="4F2815EC"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34.9%</w:t>
            </w:r>
          </w:p>
        </w:tc>
        <w:tc>
          <w:tcPr>
            <w:tcW w:w="492" w:type="pct"/>
          </w:tcPr>
          <w:p w14:paraId="4FDDE1A4"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47.3%</w:t>
            </w:r>
          </w:p>
        </w:tc>
        <w:tc>
          <w:tcPr>
            <w:tcW w:w="493" w:type="pct"/>
          </w:tcPr>
          <w:p w14:paraId="0E26216E" w14:textId="77777777" w:rsidR="003F6847" w:rsidRPr="002C3702" w:rsidRDefault="003F6847" w:rsidP="0033186F">
            <w:pPr>
              <w:keepNext/>
              <w:jc w:val="center"/>
              <w:rPr>
                <w:rFonts w:ascii="Arial Narrow" w:eastAsia="MS Gothic" w:hAnsi="Arial Narrow" w:cs="Times New Roman"/>
                <w:sz w:val="20"/>
                <w14:ligatures w14:val="none"/>
              </w:rPr>
            </w:pPr>
            <w:r w:rsidRPr="002C3702">
              <w:rPr>
                <w:rFonts w:ascii="Arial Narrow" w:eastAsia="MS Gothic" w:hAnsi="Arial Narrow" w:cs="Times New Roman"/>
                <w:sz w:val="20"/>
                <w14:ligatures w14:val="none"/>
              </w:rPr>
              <w:t>56.3%</w:t>
            </w:r>
          </w:p>
        </w:tc>
      </w:tr>
    </w:tbl>
    <w:p w14:paraId="2AF03702" w14:textId="77777777" w:rsidR="003F6847" w:rsidRPr="002C3702" w:rsidRDefault="003F6847" w:rsidP="003F6847">
      <w:pPr>
        <w:spacing w:after="120"/>
        <w:contextualSpacing/>
        <w:rPr>
          <w:rFonts w:ascii="Arial Narrow" w:hAnsi="Arial Narrow"/>
          <w:snapToGrid w:val="0"/>
          <w:sz w:val="18"/>
          <w:szCs w:val="22"/>
        </w:rPr>
      </w:pPr>
      <w:r w:rsidRPr="002C3702">
        <w:rPr>
          <w:rFonts w:ascii="Arial Narrow" w:hAnsi="Arial Narrow"/>
          <w:snapToGrid w:val="0"/>
          <w:sz w:val="18"/>
          <w:szCs w:val="22"/>
        </w:rPr>
        <w:t>Source: Table 3-6, p21 of the submission.</w:t>
      </w:r>
    </w:p>
    <w:p w14:paraId="5C7B0F5B" w14:textId="7DB107B0" w:rsidR="003F6847" w:rsidRPr="002C3702" w:rsidRDefault="003F6847" w:rsidP="003F6847">
      <w:pPr>
        <w:spacing w:after="120"/>
        <w:contextualSpacing/>
        <w:rPr>
          <w:rFonts w:ascii="Arial Narrow" w:hAnsi="Arial Narrow"/>
          <w:snapToGrid w:val="0"/>
          <w:sz w:val="18"/>
          <w:szCs w:val="22"/>
        </w:rPr>
      </w:pPr>
      <w:r w:rsidRPr="002C3702">
        <w:rPr>
          <w:rFonts w:ascii="Arial Narrow" w:hAnsi="Arial Narrow"/>
          <w:snapToGrid w:val="0"/>
          <w:sz w:val="18"/>
          <w:szCs w:val="22"/>
        </w:rPr>
        <w:t xml:space="preserve">EBCTCG= Early Breast Cancer Trialists’ Collaborative Group, ET= </w:t>
      </w:r>
      <w:r w:rsidR="00270A3F" w:rsidRPr="002C3702">
        <w:rPr>
          <w:rFonts w:ascii="Arial Narrow" w:hAnsi="Arial Narrow"/>
          <w:snapToGrid w:val="0"/>
          <w:sz w:val="18"/>
          <w:szCs w:val="22"/>
        </w:rPr>
        <w:t>endocrine</w:t>
      </w:r>
      <w:r w:rsidRPr="002C3702">
        <w:rPr>
          <w:rFonts w:ascii="Arial Narrow" w:hAnsi="Arial Narrow"/>
          <w:snapToGrid w:val="0"/>
          <w:sz w:val="18"/>
          <w:szCs w:val="22"/>
        </w:rPr>
        <w:t xml:space="preserve"> therapy, IDFS= invasive disease-free survival, MR-ET= metastatic recurrence endocrine therapy</w:t>
      </w:r>
    </w:p>
    <w:p w14:paraId="780908C5" w14:textId="77777777" w:rsidR="003F6847" w:rsidRPr="002C3702" w:rsidRDefault="003F6847" w:rsidP="003F6847">
      <w:pPr>
        <w:spacing w:after="120"/>
        <w:contextualSpacing/>
        <w:rPr>
          <w:rFonts w:ascii="Arial Narrow" w:hAnsi="Arial Narrow"/>
          <w:snapToGrid w:val="0"/>
          <w:sz w:val="18"/>
          <w:szCs w:val="22"/>
        </w:rPr>
      </w:pPr>
      <w:r w:rsidRPr="002C3702">
        <w:rPr>
          <w:rFonts w:ascii="Arial Narrow" w:hAnsi="Arial Narrow"/>
          <w:snapToGrid w:val="0"/>
          <w:sz w:val="18"/>
          <w:szCs w:val="22"/>
        </w:rPr>
        <w:t xml:space="preserve">Notes: Treatment waning not applied. </w:t>
      </w:r>
    </w:p>
    <w:p w14:paraId="62B28ED7" w14:textId="7E317FCC" w:rsidR="00594C44" w:rsidRPr="002C3702" w:rsidRDefault="003F6847" w:rsidP="0014397D">
      <w:pPr>
        <w:spacing w:after="120"/>
        <w:contextualSpacing/>
        <w:rPr>
          <w:rFonts w:ascii="Arial Narrow" w:hAnsi="Arial Narrow"/>
          <w:snapToGrid w:val="0"/>
          <w:sz w:val="18"/>
          <w:szCs w:val="22"/>
        </w:rPr>
      </w:pPr>
      <w:r w:rsidRPr="002C3702">
        <w:rPr>
          <w:rFonts w:ascii="Arial Narrow" w:hAnsi="Arial Narrow"/>
          <w:snapToGrid w:val="0"/>
          <w:sz w:val="18"/>
          <w:szCs w:val="22"/>
        </w:rPr>
        <w:t xml:space="preserve">*subgroup results for N4-9. </w:t>
      </w:r>
    </w:p>
    <w:p w14:paraId="305CD115" w14:textId="5DBAD6A4" w:rsidR="00030CC5" w:rsidRPr="002C3702" w:rsidRDefault="00030CC5" w:rsidP="00030CC5">
      <w:pPr>
        <w:pStyle w:val="3-BodyText"/>
        <w:rPr>
          <w:iCs/>
        </w:rPr>
      </w:pPr>
      <w:r w:rsidRPr="002C3702">
        <w:t xml:space="preserve">As with the March 2023 resubmission, the current </w:t>
      </w:r>
      <w:r w:rsidR="23AAC2D8" w:rsidRPr="002C3702">
        <w:t>submission</w:t>
      </w:r>
      <w:r w:rsidRPr="002C3702">
        <w:t xml:space="preserve"> applied fixed payoffs that represent the expected costs and QALYs in metastatic disease on transition into the health state due to limited follow-up in monarchE. These were based on estimates of life years gained from analyses that explored the cost-effectiveness of ABE in the metastatic setting based on the MONARCH-2 and MONARCH-3 trials (and associated network meta-analyses). </w:t>
      </w:r>
      <w:r w:rsidRPr="002C3702">
        <w:rPr>
          <w:iCs/>
        </w:rPr>
        <w:t>The approach of assigning one-time costs and life years (LYs) upon the onset of metastatic disease is the same approach from the March 2023 resubmission. Consequently, previously raised concerns regarding the complexity and transitivity, due to differences in therapy types received and patient characteristics between monarchE and the MONARCH-2 and MONARCH-3 studies</w:t>
      </w:r>
      <w:r w:rsidR="00C203B5" w:rsidRPr="002C3702">
        <w:rPr>
          <w:iCs/>
        </w:rPr>
        <w:t xml:space="preserve"> (</w:t>
      </w:r>
      <w:r w:rsidR="00A53FC1" w:rsidRPr="002C3702">
        <w:rPr>
          <w:iCs/>
        </w:rPr>
        <w:t xml:space="preserve">para 6.38, </w:t>
      </w:r>
      <w:r w:rsidR="00B3218C" w:rsidRPr="002C3702">
        <w:rPr>
          <w:iCs/>
        </w:rPr>
        <w:t>a</w:t>
      </w:r>
      <w:r w:rsidR="00A53FC1" w:rsidRPr="002C3702">
        <w:rPr>
          <w:iCs/>
        </w:rPr>
        <w:t>bemaciclib, PSD, March 2023 PBAC Meeting)</w:t>
      </w:r>
      <w:r w:rsidRPr="002C3702">
        <w:rPr>
          <w:iCs/>
        </w:rPr>
        <w:t>, continue to be relevant. Transitivity issues had an unclear effect on the results of the analysis.</w:t>
      </w:r>
      <w:r w:rsidRPr="002C3702">
        <w:t xml:space="preserve"> </w:t>
      </w:r>
    </w:p>
    <w:p w14:paraId="73CDD1A4" w14:textId="05BE05A6" w:rsidR="00030CC5" w:rsidRPr="002C3702" w:rsidRDefault="00030CC5" w:rsidP="00030CC5">
      <w:pPr>
        <w:pStyle w:val="3-BodyText"/>
      </w:pPr>
      <w:r w:rsidRPr="002C3702">
        <w:t xml:space="preserve">The results of the economic analysis are presented in </w:t>
      </w:r>
      <w:r w:rsidR="00F23F14" w:rsidRPr="002C3702">
        <w:fldChar w:fldCharType="begin"/>
      </w:r>
      <w:r w:rsidR="00F23F14" w:rsidRPr="002C3702">
        <w:instrText xml:space="preserve"> REF _Ref142571121 \h </w:instrText>
      </w:r>
      <w:r w:rsidR="009548CB" w:rsidRPr="002C3702">
        <w:instrText xml:space="preserve"> \* MERGEFORMAT </w:instrText>
      </w:r>
      <w:r w:rsidR="00F23F14" w:rsidRPr="002C3702">
        <w:fldChar w:fldCharType="separate"/>
      </w:r>
      <w:r w:rsidR="00676505" w:rsidRPr="002C3702">
        <w:t xml:space="preserve">Table </w:t>
      </w:r>
      <w:r w:rsidR="00676505">
        <w:t>11</w:t>
      </w:r>
      <w:r w:rsidR="00F23F14" w:rsidRPr="002C3702">
        <w:fldChar w:fldCharType="end"/>
      </w:r>
      <w:r w:rsidRPr="002C3702">
        <w:t>.</w:t>
      </w:r>
    </w:p>
    <w:p w14:paraId="39F07791" w14:textId="70165B8D" w:rsidR="00030CC5" w:rsidRPr="002C3702" w:rsidRDefault="00030CC5" w:rsidP="005F7C44">
      <w:pPr>
        <w:pStyle w:val="Caption"/>
        <w:rPr>
          <w:rStyle w:val="CommentReference"/>
          <w:b/>
        </w:rPr>
      </w:pPr>
      <w:bookmarkStart w:id="54" w:name="_Ref142571121"/>
      <w:r w:rsidRPr="002C3702">
        <w:lastRenderedPageBreak/>
        <w:t xml:space="preserve">Table </w:t>
      </w:r>
      <w:r w:rsidRPr="002C3702">
        <w:fldChar w:fldCharType="begin"/>
      </w:r>
      <w:r w:rsidRPr="002C3702">
        <w:instrText>SEQ Table \* ARABIC</w:instrText>
      </w:r>
      <w:r w:rsidRPr="002C3702">
        <w:fldChar w:fldCharType="separate"/>
      </w:r>
      <w:r w:rsidR="00676505">
        <w:rPr>
          <w:noProof/>
        </w:rPr>
        <w:t>11</w:t>
      </w:r>
      <w:r w:rsidRPr="002C3702">
        <w:fldChar w:fldCharType="end"/>
      </w:r>
      <w:bookmarkEnd w:id="54"/>
      <w:r w:rsidRPr="002C3702">
        <w:rPr>
          <w:b w:val="0"/>
        </w:rPr>
        <w:t>:</w:t>
      </w:r>
      <w:r w:rsidRPr="002C3702">
        <w:rPr>
          <w:rStyle w:val="CommentReference"/>
          <w:b/>
          <w:szCs w:val="24"/>
        </w:rPr>
        <w:t xml:space="preserve">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37"/>
        <w:gridCol w:w="1099"/>
        <w:gridCol w:w="1098"/>
        <w:gridCol w:w="1098"/>
        <w:gridCol w:w="1098"/>
        <w:gridCol w:w="1098"/>
        <w:gridCol w:w="1089"/>
      </w:tblGrid>
      <w:tr w:rsidR="00030CC5" w:rsidRPr="002C3702" w14:paraId="3F366F98" w14:textId="77777777" w:rsidTr="006E7D62">
        <w:trPr>
          <w:tblHeader/>
        </w:trPr>
        <w:tc>
          <w:tcPr>
            <w:tcW w:w="1351" w:type="pct"/>
            <w:tcBorders>
              <w:bottom w:val="single" w:sz="4" w:space="0" w:color="auto"/>
            </w:tcBorders>
            <w:vAlign w:val="center"/>
          </w:tcPr>
          <w:p w14:paraId="5927BA3C" w14:textId="77777777" w:rsidR="00030CC5" w:rsidRPr="002C3702" w:rsidRDefault="00030CC5" w:rsidP="005F7C44">
            <w:pPr>
              <w:pStyle w:val="In-tableHeading"/>
              <w:keepLines/>
              <w:rPr>
                <w:lang w:val="en-AU"/>
              </w:rPr>
            </w:pPr>
          </w:p>
        </w:tc>
        <w:tc>
          <w:tcPr>
            <w:tcW w:w="1827" w:type="pct"/>
            <w:gridSpan w:val="3"/>
            <w:tcBorders>
              <w:bottom w:val="single" w:sz="4" w:space="0" w:color="auto"/>
            </w:tcBorders>
          </w:tcPr>
          <w:p w14:paraId="6420715A" w14:textId="77777777" w:rsidR="00030CC5" w:rsidRPr="002C3702" w:rsidRDefault="00030CC5" w:rsidP="005F7C44">
            <w:pPr>
              <w:pStyle w:val="In-tableHeading"/>
              <w:keepLines/>
              <w:jc w:val="center"/>
              <w:rPr>
                <w:lang w:val="en-AU"/>
              </w:rPr>
            </w:pPr>
            <w:r w:rsidRPr="002C3702">
              <w:rPr>
                <w:lang w:val="en-AU"/>
              </w:rPr>
              <w:t xml:space="preserve">March 2023 </w:t>
            </w:r>
            <w:proofErr w:type="spellStart"/>
            <w:r w:rsidRPr="002C3702">
              <w:rPr>
                <w:lang w:val="en-AU"/>
              </w:rPr>
              <w:t>resubmission</w:t>
            </w:r>
            <w:r w:rsidRPr="002C3702">
              <w:rPr>
                <w:vertAlign w:val="superscript"/>
                <w:lang w:val="en-AU"/>
              </w:rPr>
              <w:t>a</w:t>
            </w:r>
            <w:proofErr w:type="spellEnd"/>
          </w:p>
        </w:tc>
        <w:tc>
          <w:tcPr>
            <w:tcW w:w="1822" w:type="pct"/>
            <w:gridSpan w:val="3"/>
            <w:tcBorders>
              <w:bottom w:val="single" w:sz="4" w:space="0" w:color="auto"/>
            </w:tcBorders>
            <w:vAlign w:val="center"/>
          </w:tcPr>
          <w:p w14:paraId="4BA97691" w14:textId="36147BC4" w:rsidR="00030CC5" w:rsidRPr="002C3702" w:rsidRDefault="00030CC5" w:rsidP="005F7C44">
            <w:pPr>
              <w:pStyle w:val="In-tableHeading"/>
              <w:keepLines/>
              <w:jc w:val="center"/>
              <w:rPr>
                <w:lang w:val="en-AU"/>
              </w:rPr>
            </w:pPr>
            <w:r w:rsidRPr="002C3702">
              <w:rPr>
                <w:lang w:val="en-AU"/>
              </w:rPr>
              <w:t xml:space="preserve">Current </w:t>
            </w:r>
            <w:r w:rsidR="23AAC2D8" w:rsidRPr="002C3702">
              <w:rPr>
                <w:lang w:val="en-AU"/>
              </w:rPr>
              <w:t>submission</w:t>
            </w:r>
          </w:p>
        </w:tc>
      </w:tr>
      <w:tr w:rsidR="00030CC5" w:rsidRPr="002C3702" w14:paraId="35A52753" w14:textId="77777777" w:rsidTr="006E7D62">
        <w:trPr>
          <w:tblHeader/>
        </w:trPr>
        <w:tc>
          <w:tcPr>
            <w:tcW w:w="1351" w:type="pct"/>
            <w:tcBorders>
              <w:bottom w:val="single" w:sz="4" w:space="0" w:color="auto"/>
            </w:tcBorders>
            <w:vAlign w:val="center"/>
          </w:tcPr>
          <w:p w14:paraId="2663E8AC" w14:textId="77777777" w:rsidR="00030CC5" w:rsidRPr="002C3702" w:rsidRDefault="00030CC5" w:rsidP="005F7C44">
            <w:pPr>
              <w:pStyle w:val="In-tableHeading"/>
              <w:keepLines/>
              <w:rPr>
                <w:lang w:val="en-AU"/>
              </w:rPr>
            </w:pPr>
          </w:p>
        </w:tc>
        <w:tc>
          <w:tcPr>
            <w:tcW w:w="609" w:type="pct"/>
            <w:tcBorders>
              <w:bottom w:val="single" w:sz="4" w:space="0" w:color="auto"/>
            </w:tcBorders>
            <w:vAlign w:val="center"/>
          </w:tcPr>
          <w:p w14:paraId="61E1C8C7" w14:textId="77777777" w:rsidR="00030CC5" w:rsidRPr="002C3702" w:rsidRDefault="00030CC5" w:rsidP="005F7C44">
            <w:pPr>
              <w:pStyle w:val="In-tableHeading"/>
              <w:keepLines/>
              <w:jc w:val="center"/>
              <w:rPr>
                <w:vertAlign w:val="superscript"/>
                <w:lang w:val="en-AU"/>
              </w:rPr>
            </w:pPr>
            <w:r w:rsidRPr="002C3702">
              <w:rPr>
                <w:lang w:val="en-AU"/>
              </w:rPr>
              <w:t>ABE + ET</w:t>
            </w:r>
          </w:p>
        </w:tc>
        <w:tc>
          <w:tcPr>
            <w:tcW w:w="609" w:type="pct"/>
            <w:tcBorders>
              <w:bottom w:val="single" w:sz="4" w:space="0" w:color="auto"/>
            </w:tcBorders>
            <w:vAlign w:val="center"/>
          </w:tcPr>
          <w:p w14:paraId="2DE06046" w14:textId="77777777" w:rsidR="00030CC5" w:rsidRPr="002C3702" w:rsidRDefault="00030CC5" w:rsidP="005F7C44">
            <w:pPr>
              <w:pStyle w:val="In-tableHeading"/>
              <w:keepLines/>
              <w:jc w:val="center"/>
              <w:rPr>
                <w:vertAlign w:val="superscript"/>
                <w:lang w:val="en-AU"/>
              </w:rPr>
            </w:pPr>
            <w:r w:rsidRPr="002C3702">
              <w:rPr>
                <w:lang w:val="en-AU"/>
              </w:rPr>
              <w:t>ET</w:t>
            </w:r>
          </w:p>
        </w:tc>
        <w:tc>
          <w:tcPr>
            <w:tcW w:w="609" w:type="pct"/>
            <w:tcBorders>
              <w:bottom w:val="single" w:sz="4" w:space="0" w:color="auto"/>
            </w:tcBorders>
            <w:vAlign w:val="center"/>
          </w:tcPr>
          <w:p w14:paraId="13DA1913" w14:textId="77777777" w:rsidR="00030CC5" w:rsidRPr="002C3702" w:rsidRDefault="00030CC5" w:rsidP="005F7C44">
            <w:pPr>
              <w:pStyle w:val="In-tableHeading"/>
              <w:keepLines/>
              <w:jc w:val="center"/>
              <w:rPr>
                <w:vertAlign w:val="superscript"/>
                <w:lang w:val="en-AU"/>
              </w:rPr>
            </w:pPr>
            <w:r w:rsidRPr="002C3702">
              <w:rPr>
                <w:lang w:val="en-AU"/>
              </w:rPr>
              <w:t>Increment</w:t>
            </w:r>
          </w:p>
        </w:tc>
        <w:tc>
          <w:tcPr>
            <w:tcW w:w="609" w:type="pct"/>
            <w:tcBorders>
              <w:bottom w:val="single" w:sz="4" w:space="0" w:color="auto"/>
            </w:tcBorders>
            <w:vAlign w:val="center"/>
          </w:tcPr>
          <w:p w14:paraId="3100B7DC" w14:textId="77777777" w:rsidR="00030CC5" w:rsidRPr="002C3702" w:rsidRDefault="00030CC5" w:rsidP="005F7C44">
            <w:pPr>
              <w:pStyle w:val="In-tableHeading"/>
              <w:keepLines/>
              <w:jc w:val="center"/>
              <w:rPr>
                <w:lang w:val="en-AU"/>
              </w:rPr>
            </w:pPr>
            <w:r w:rsidRPr="002C3702">
              <w:rPr>
                <w:lang w:val="en-AU"/>
              </w:rPr>
              <w:t>ABE + ET</w:t>
            </w:r>
          </w:p>
        </w:tc>
        <w:tc>
          <w:tcPr>
            <w:tcW w:w="609" w:type="pct"/>
            <w:tcBorders>
              <w:bottom w:val="single" w:sz="4" w:space="0" w:color="auto"/>
            </w:tcBorders>
            <w:vAlign w:val="center"/>
          </w:tcPr>
          <w:p w14:paraId="039A311E" w14:textId="77777777" w:rsidR="00030CC5" w:rsidRPr="002C3702" w:rsidRDefault="00030CC5" w:rsidP="005F7C44">
            <w:pPr>
              <w:pStyle w:val="In-tableHeading"/>
              <w:keepLines/>
              <w:jc w:val="center"/>
              <w:rPr>
                <w:lang w:val="en-AU"/>
              </w:rPr>
            </w:pPr>
            <w:r w:rsidRPr="002C3702">
              <w:rPr>
                <w:lang w:val="en-AU"/>
              </w:rPr>
              <w:t>ET</w:t>
            </w:r>
          </w:p>
        </w:tc>
        <w:tc>
          <w:tcPr>
            <w:tcW w:w="604" w:type="pct"/>
            <w:tcBorders>
              <w:bottom w:val="single" w:sz="4" w:space="0" w:color="auto"/>
            </w:tcBorders>
            <w:vAlign w:val="center"/>
          </w:tcPr>
          <w:p w14:paraId="4D5AF63C" w14:textId="77777777" w:rsidR="00030CC5" w:rsidRPr="002C3702" w:rsidRDefault="00030CC5" w:rsidP="005F7C44">
            <w:pPr>
              <w:pStyle w:val="In-tableHeading"/>
              <w:keepLines/>
              <w:jc w:val="center"/>
              <w:rPr>
                <w:lang w:val="en-AU"/>
              </w:rPr>
            </w:pPr>
            <w:r w:rsidRPr="002C3702">
              <w:rPr>
                <w:lang w:val="en-AU"/>
              </w:rPr>
              <w:t>Increment</w:t>
            </w:r>
          </w:p>
        </w:tc>
      </w:tr>
      <w:tr w:rsidR="00030CC5" w:rsidRPr="002C3702" w14:paraId="458E948D" w14:textId="77777777" w:rsidTr="006E7D62">
        <w:tc>
          <w:tcPr>
            <w:tcW w:w="1351" w:type="pct"/>
            <w:tcBorders>
              <w:bottom w:val="nil"/>
            </w:tcBorders>
            <w:vAlign w:val="center"/>
          </w:tcPr>
          <w:p w14:paraId="1BE27897" w14:textId="77777777" w:rsidR="00030CC5" w:rsidRPr="002C3702" w:rsidRDefault="00030CC5" w:rsidP="005F7C44">
            <w:pPr>
              <w:pStyle w:val="TableText0"/>
              <w:keepLines/>
              <w:rPr>
                <w:rFonts w:ascii="Times" w:hAnsi="Times"/>
              </w:rPr>
            </w:pPr>
            <w:r w:rsidRPr="002C3702">
              <w:t>Costs</w:t>
            </w:r>
          </w:p>
        </w:tc>
        <w:tc>
          <w:tcPr>
            <w:tcW w:w="609" w:type="pct"/>
            <w:tcBorders>
              <w:bottom w:val="nil"/>
            </w:tcBorders>
            <w:shd w:val="clear" w:color="auto" w:fill="B8CCE4" w:themeFill="accent1" w:themeFillTint="66"/>
            <w:vAlign w:val="center"/>
          </w:tcPr>
          <w:p w14:paraId="5A38FFBD" w14:textId="1B147E10" w:rsidR="00030CC5" w:rsidRPr="002C3702" w:rsidRDefault="00030CC5" w:rsidP="005F7C44">
            <w:pPr>
              <w:pStyle w:val="TableText0"/>
              <w:keepLines/>
              <w:jc w:val="center"/>
            </w:pPr>
            <w:r w:rsidRPr="002C3702">
              <w:t>$</w:t>
            </w:r>
            <w:r w:rsidR="008129BD">
              <w:t xml:space="preserve"> </w:t>
            </w:r>
            <w:r w:rsidR="008129BD" w:rsidRPr="008129BD">
              <w:rPr>
                <w:rFonts w:hint="eastAsia"/>
                <w:color w:val="000000"/>
                <w:w w:val="22"/>
                <w:shd w:val="solid" w:color="000000" w:fill="000000"/>
                <w:fitText w:val="100" w:id="-1032093436"/>
                <w14:textFill>
                  <w14:solidFill>
                    <w14:srgbClr w14:val="000000">
                      <w14:alpha w14:val="100000"/>
                    </w14:srgbClr>
                  </w14:solidFill>
                </w14:textFill>
              </w:rPr>
              <w:t xml:space="preserve">　</w:t>
            </w:r>
            <w:r w:rsidR="008129BD" w:rsidRPr="008129BD">
              <w:rPr>
                <w:color w:val="000000"/>
                <w:w w:val="22"/>
                <w:shd w:val="solid" w:color="000000" w:fill="000000"/>
                <w:fitText w:val="100" w:id="-1032093436"/>
                <w14:textFill>
                  <w14:solidFill>
                    <w14:srgbClr w14:val="000000">
                      <w14:alpha w14:val="100000"/>
                    </w14:srgbClr>
                  </w14:solidFill>
                </w14:textFill>
              </w:rPr>
              <w:t>|</w:t>
            </w:r>
            <w:r w:rsidR="008129BD" w:rsidRPr="008129BD">
              <w:rPr>
                <w:rFonts w:hint="eastAsia"/>
                <w:color w:val="000000"/>
                <w:spacing w:val="3"/>
                <w:w w:val="22"/>
                <w:shd w:val="solid" w:color="000000" w:fill="000000"/>
                <w:fitText w:val="100" w:id="-1032093436"/>
                <w14:textFill>
                  <w14:solidFill>
                    <w14:srgbClr w14:val="000000">
                      <w14:alpha w14:val="100000"/>
                    </w14:srgbClr>
                  </w14:solidFill>
                </w14:textFill>
              </w:rPr>
              <w:t xml:space="preserve">　</w:t>
            </w:r>
          </w:p>
        </w:tc>
        <w:tc>
          <w:tcPr>
            <w:tcW w:w="609" w:type="pct"/>
            <w:tcBorders>
              <w:bottom w:val="nil"/>
            </w:tcBorders>
            <w:shd w:val="clear" w:color="auto" w:fill="B8CCE4" w:themeFill="accent1" w:themeFillTint="66"/>
            <w:vAlign w:val="center"/>
          </w:tcPr>
          <w:p w14:paraId="57B7C90E" w14:textId="77777777" w:rsidR="00030CC5" w:rsidRPr="002C3702" w:rsidRDefault="00030CC5" w:rsidP="005F7C44">
            <w:pPr>
              <w:pStyle w:val="TableText0"/>
              <w:keepLines/>
              <w:jc w:val="center"/>
            </w:pPr>
            <w:r w:rsidRPr="002C3702">
              <w:t>$39,238</w:t>
            </w:r>
          </w:p>
        </w:tc>
        <w:tc>
          <w:tcPr>
            <w:tcW w:w="609" w:type="pct"/>
            <w:tcBorders>
              <w:bottom w:val="nil"/>
            </w:tcBorders>
            <w:shd w:val="clear" w:color="auto" w:fill="B8CCE4" w:themeFill="accent1" w:themeFillTint="66"/>
            <w:vAlign w:val="center"/>
          </w:tcPr>
          <w:p w14:paraId="40A8FE4B" w14:textId="6B686E54" w:rsidR="00030CC5" w:rsidRPr="002C3702" w:rsidRDefault="00030CC5" w:rsidP="005F7C44">
            <w:pPr>
              <w:pStyle w:val="TableText0"/>
              <w:keepLines/>
              <w:jc w:val="center"/>
            </w:pPr>
            <w:r w:rsidRPr="002C3702">
              <w:t>$</w:t>
            </w:r>
            <w:r w:rsidR="008129BD">
              <w:t xml:space="preserve"> </w:t>
            </w:r>
            <w:r w:rsidR="008129BD" w:rsidRPr="008129BD">
              <w:rPr>
                <w:rFonts w:hint="eastAsia"/>
                <w:color w:val="000000"/>
                <w:w w:val="22"/>
                <w:shd w:val="solid" w:color="000000" w:fill="000000"/>
                <w:fitText w:val="100" w:id="-1032093435"/>
                <w14:textFill>
                  <w14:solidFill>
                    <w14:srgbClr w14:val="000000">
                      <w14:alpha w14:val="100000"/>
                    </w14:srgbClr>
                  </w14:solidFill>
                </w14:textFill>
              </w:rPr>
              <w:t xml:space="preserve">　</w:t>
            </w:r>
            <w:r w:rsidR="008129BD" w:rsidRPr="008129BD">
              <w:rPr>
                <w:color w:val="000000"/>
                <w:w w:val="22"/>
                <w:shd w:val="solid" w:color="000000" w:fill="000000"/>
                <w:fitText w:val="100" w:id="-1032093435"/>
                <w14:textFill>
                  <w14:solidFill>
                    <w14:srgbClr w14:val="000000">
                      <w14:alpha w14:val="100000"/>
                    </w14:srgbClr>
                  </w14:solidFill>
                </w14:textFill>
              </w:rPr>
              <w:t>|</w:t>
            </w:r>
            <w:r w:rsidR="008129BD" w:rsidRPr="008129BD">
              <w:rPr>
                <w:rFonts w:hint="eastAsia"/>
                <w:color w:val="000000"/>
                <w:spacing w:val="3"/>
                <w:w w:val="22"/>
                <w:shd w:val="solid" w:color="000000" w:fill="000000"/>
                <w:fitText w:val="100" w:id="-1032093435"/>
                <w14:textFill>
                  <w14:solidFill>
                    <w14:srgbClr w14:val="000000">
                      <w14:alpha w14:val="100000"/>
                    </w14:srgbClr>
                  </w14:solidFill>
                </w14:textFill>
              </w:rPr>
              <w:t xml:space="preserve">　</w:t>
            </w:r>
          </w:p>
        </w:tc>
        <w:tc>
          <w:tcPr>
            <w:tcW w:w="609" w:type="pct"/>
            <w:tcBorders>
              <w:bottom w:val="nil"/>
            </w:tcBorders>
            <w:vAlign w:val="center"/>
          </w:tcPr>
          <w:p w14:paraId="2E3065C7" w14:textId="797EC922" w:rsidR="00030CC5" w:rsidRPr="002C3702" w:rsidRDefault="00030CC5" w:rsidP="005F7C44">
            <w:pPr>
              <w:pStyle w:val="TableText0"/>
              <w:keepLines/>
              <w:jc w:val="center"/>
              <w:rPr>
                <w:rFonts w:ascii="Times" w:hAnsi="Times"/>
              </w:rPr>
            </w:pPr>
            <w:r w:rsidRPr="002C3702">
              <w:rPr>
                <w:rFonts w:eastAsia="Times New Roman" w:cs="Calibri"/>
                <w:szCs w:val="20"/>
              </w:rPr>
              <w:t>$</w:t>
            </w:r>
            <w:r w:rsidR="008129BD">
              <w:rPr>
                <w:rFonts w:eastAsia="Times New Roman" w:cs="Calibri"/>
                <w:szCs w:val="20"/>
              </w:rPr>
              <w:t xml:space="preserve"> </w:t>
            </w:r>
            <w:r w:rsidR="008129BD" w:rsidRPr="008129BD">
              <w:rPr>
                <w:rFonts w:eastAsia="Times New Roman" w:cs="Calibri" w:hint="eastAsia"/>
                <w:color w:val="000000"/>
                <w:w w:val="22"/>
                <w:szCs w:val="20"/>
                <w:shd w:val="solid" w:color="000000" w:fill="000000"/>
                <w:fitText w:val="100" w:id="-1032093434"/>
                <w14:textFill>
                  <w14:solidFill>
                    <w14:srgbClr w14:val="000000">
                      <w14:alpha w14:val="100000"/>
                    </w14:srgbClr>
                  </w14:solidFill>
                </w14:textFill>
              </w:rPr>
              <w:t xml:space="preserve">　</w:t>
            </w:r>
            <w:r w:rsidR="008129BD" w:rsidRPr="008129BD">
              <w:rPr>
                <w:rFonts w:eastAsia="Times New Roman" w:cs="Calibri"/>
                <w:color w:val="000000"/>
                <w:w w:val="22"/>
                <w:szCs w:val="20"/>
                <w:shd w:val="solid" w:color="000000" w:fill="000000"/>
                <w:fitText w:val="100" w:id="-1032093434"/>
                <w14:textFill>
                  <w14:solidFill>
                    <w14:srgbClr w14:val="000000">
                      <w14:alpha w14:val="100000"/>
                    </w14:srgbClr>
                  </w14:solidFill>
                </w14:textFill>
              </w:rPr>
              <w:t>|</w:t>
            </w:r>
            <w:r w:rsidR="008129BD" w:rsidRPr="008129BD">
              <w:rPr>
                <w:rFonts w:eastAsia="Times New Roman" w:cs="Calibri" w:hint="eastAsia"/>
                <w:color w:val="000000"/>
                <w:spacing w:val="3"/>
                <w:w w:val="22"/>
                <w:szCs w:val="20"/>
                <w:shd w:val="solid" w:color="000000" w:fill="000000"/>
                <w:fitText w:val="100" w:id="-1032093434"/>
                <w14:textFill>
                  <w14:solidFill>
                    <w14:srgbClr w14:val="000000">
                      <w14:alpha w14:val="100000"/>
                    </w14:srgbClr>
                  </w14:solidFill>
                </w14:textFill>
              </w:rPr>
              <w:t xml:space="preserve">　</w:t>
            </w:r>
          </w:p>
        </w:tc>
        <w:tc>
          <w:tcPr>
            <w:tcW w:w="609" w:type="pct"/>
            <w:tcBorders>
              <w:bottom w:val="nil"/>
            </w:tcBorders>
            <w:vAlign w:val="center"/>
          </w:tcPr>
          <w:p w14:paraId="11BD57AA" w14:textId="77777777" w:rsidR="00030CC5" w:rsidRPr="002C3702" w:rsidRDefault="00030CC5" w:rsidP="005F7C44">
            <w:pPr>
              <w:pStyle w:val="TableText0"/>
              <w:keepLines/>
              <w:jc w:val="center"/>
              <w:rPr>
                <w:rFonts w:ascii="Times" w:hAnsi="Times"/>
              </w:rPr>
            </w:pPr>
            <w:r w:rsidRPr="002C3702">
              <w:rPr>
                <w:rFonts w:eastAsia="Times New Roman" w:cs="Calibri"/>
                <w:szCs w:val="20"/>
              </w:rPr>
              <w:t>$39,783</w:t>
            </w:r>
          </w:p>
        </w:tc>
        <w:tc>
          <w:tcPr>
            <w:tcW w:w="604" w:type="pct"/>
            <w:tcBorders>
              <w:bottom w:val="nil"/>
            </w:tcBorders>
            <w:vAlign w:val="center"/>
          </w:tcPr>
          <w:p w14:paraId="27D8DC77" w14:textId="34FCF415" w:rsidR="00030CC5" w:rsidRPr="002C3702" w:rsidRDefault="00030CC5" w:rsidP="005F7C44">
            <w:pPr>
              <w:pStyle w:val="TableText0"/>
              <w:keepLines/>
              <w:jc w:val="center"/>
              <w:rPr>
                <w:rFonts w:ascii="Times" w:hAnsi="Times"/>
              </w:rPr>
            </w:pPr>
            <w:r w:rsidRPr="002C3702">
              <w:rPr>
                <w:rFonts w:eastAsia="Times New Roman" w:cs="Calibri"/>
                <w:szCs w:val="20"/>
              </w:rPr>
              <w:t>$</w:t>
            </w:r>
            <w:r w:rsidR="008129BD">
              <w:rPr>
                <w:rFonts w:eastAsia="Times New Roman" w:cs="Calibri"/>
                <w:szCs w:val="20"/>
              </w:rPr>
              <w:t xml:space="preserve"> </w:t>
            </w:r>
            <w:r w:rsidR="008129BD" w:rsidRPr="008129BD">
              <w:rPr>
                <w:rFonts w:eastAsia="Times New Roman" w:cs="Calibri" w:hint="eastAsia"/>
                <w:color w:val="000000"/>
                <w:w w:val="20"/>
                <w:szCs w:val="20"/>
                <w:shd w:val="solid" w:color="000000" w:fill="000000"/>
                <w:fitText w:val="90" w:id="-1032093433"/>
                <w14:textFill>
                  <w14:solidFill>
                    <w14:srgbClr w14:val="000000">
                      <w14:alpha w14:val="100000"/>
                    </w14:srgbClr>
                  </w14:solidFill>
                </w14:textFill>
              </w:rPr>
              <w:t xml:space="preserve">　</w:t>
            </w:r>
            <w:r w:rsidR="008129BD" w:rsidRPr="008129BD">
              <w:rPr>
                <w:rFonts w:eastAsia="Times New Roman" w:cs="Calibri"/>
                <w:color w:val="000000"/>
                <w:w w:val="20"/>
                <w:szCs w:val="20"/>
                <w:shd w:val="solid" w:color="000000" w:fill="000000"/>
                <w:fitText w:val="90" w:id="-1032093433"/>
                <w14:textFill>
                  <w14:solidFill>
                    <w14:srgbClr w14:val="000000">
                      <w14:alpha w14:val="100000"/>
                    </w14:srgbClr>
                  </w14:solidFill>
                </w14:textFill>
              </w:rPr>
              <w:t>|</w:t>
            </w:r>
            <w:r w:rsidR="008129BD" w:rsidRPr="008129BD">
              <w:rPr>
                <w:rFonts w:eastAsia="Times New Roman" w:cs="Calibri" w:hint="eastAsia"/>
                <w:color w:val="000000"/>
                <w:spacing w:val="3"/>
                <w:w w:val="20"/>
                <w:szCs w:val="20"/>
                <w:shd w:val="solid" w:color="000000" w:fill="000000"/>
                <w:fitText w:val="90" w:id="-1032093433"/>
                <w14:textFill>
                  <w14:solidFill>
                    <w14:srgbClr w14:val="000000">
                      <w14:alpha w14:val="100000"/>
                    </w14:srgbClr>
                  </w14:solidFill>
                </w14:textFill>
              </w:rPr>
              <w:t xml:space="preserve">　</w:t>
            </w:r>
          </w:p>
        </w:tc>
      </w:tr>
      <w:tr w:rsidR="00030CC5" w:rsidRPr="002C3702" w14:paraId="4F416255" w14:textId="77777777" w:rsidTr="006E7D62">
        <w:tc>
          <w:tcPr>
            <w:tcW w:w="1351" w:type="pct"/>
            <w:tcBorders>
              <w:bottom w:val="single" w:sz="4" w:space="0" w:color="auto"/>
            </w:tcBorders>
            <w:vAlign w:val="center"/>
          </w:tcPr>
          <w:p w14:paraId="09E5BE77" w14:textId="77777777" w:rsidR="00030CC5" w:rsidRPr="002C3702" w:rsidRDefault="00030CC5" w:rsidP="005F7C44">
            <w:pPr>
              <w:pStyle w:val="TableText0"/>
              <w:keepLines/>
            </w:pPr>
            <w:r w:rsidRPr="002C3702">
              <w:t>QALYs</w:t>
            </w:r>
          </w:p>
        </w:tc>
        <w:tc>
          <w:tcPr>
            <w:tcW w:w="609" w:type="pct"/>
            <w:tcBorders>
              <w:bottom w:val="single" w:sz="4" w:space="0" w:color="auto"/>
            </w:tcBorders>
            <w:shd w:val="clear" w:color="auto" w:fill="B8CCE4" w:themeFill="accent1" w:themeFillTint="66"/>
            <w:vAlign w:val="center"/>
          </w:tcPr>
          <w:p w14:paraId="4DC89B85" w14:textId="77777777" w:rsidR="00030CC5" w:rsidRPr="002C3702" w:rsidRDefault="00030CC5" w:rsidP="005F7C44">
            <w:pPr>
              <w:pStyle w:val="TableText0"/>
              <w:keepLines/>
              <w:jc w:val="center"/>
            </w:pPr>
            <w:r w:rsidRPr="002C3702">
              <w:t>9.317</w:t>
            </w:r>
          </w:p>
        </w:tc>
        <w:tc>
          <w:tcPr>
            <w:tcW w:w="609" w:type="pct"/>
            <w:tcBorders>
              <w:bottom w:val="single" w:sz="4" w:space="0" w:color="auto"/>
            </w:tcBorders>
            <w:shd w:val="clear" w:color="auto" w:fill="B8CCE4" w:themeFill="accent1" w:themeFillTint="66"/>
            <w:vAlign w:val="center"/>
          </w:tcPr>
          <w:p w14:paraId="24031150" w14:textId="77777777" w:rsidR="00030CC5" w:rsidRPr="002C3702" w:rsidRDefault="00030CC5" w:rsidP="005F7C44">
            <w:pPr>
              <w:pStyle w:val="TableText0"/>
              <w:keepLines/>
              <w:jc w:val="center"/>
            </w:pPr>
            <w:r w:rsidRPr="002C3702">
              <w:t>8.881</w:t>
            </w:r>
          </w:p>
        </w:tc>
        <w:tc>
          <w:tcPr>
            <w:tcW w:w="609" w:type="pct"/>
            <w:tcBorders>
              <w:bottom w:val="single" w:sz="4" w:space="0" w:color="auto"/>
            </w:tcBorders>
            <w:shd w:val="clear" w:color="auto" w:fill="B8CCE4" w:themeFill="accent1" w:themeFillTint="66"/>
            <w:vAlign w:val="center"/>
          </w:tcPr>
          <w:p w14:paraId="24BBF54B" w14:textId="77777777" w:rsidR="00030CC5" w:rsidRPr="002C3702" w:rsidRDefault="00030CC5" w:rsidP="005F7C44">
            <w:pPr>
              <w:pStyle w:val="TableText0"/>
              <w:keepLines/>
              <w:jc w:val="center"/>
            </w:pPr>
            <w:r w:rsidRPr="002C3702">
              <w:t>0.436</w:t>
            </w:r>
          </w:p>
        </w:tc>
        <w:tc>
          <w:tcPr>
            <w:tcW w:w="609" w:type="pct"/>
            <w:tcBorders>
              <w:bottom w:val="single" w:sz="4" w:space="0" w:color="auto"/>
            </w:tcBorders>
            <w:vAlign w:val="center"/>
          </w:tcPr>
          <w:p w14:paraId="59BDFFCF" w14:textId="77777777" w:rsidR="00030CC5" w:rsidRPr="002C3702" w:rsidRDefault="00030CC5" w:rsidP="005F7C44">
            <w:pPr>
              <w:pStyle w:val="TableText0"/>
              <w:keepLines/>
              <w:jc w:val="center"/>
            </w:pPr>
            <w:r w:rsidRPr="002C3702">
              <w:rPr>
                <w:rFonts w:eastAsia="Times New Roman" w:cs="Calibri"/>
                <w:szCs w:val="20"/>
              </w:rPr>
              <w:t>9.210</w:t>
            </w:r>
          </w:p>
        </w:tc>
        <w:tc>
          <w:tcPr>
            <w:tcW w:w="609" w:type="pct"/>
            <w:tcBorders>
              <w:bottom w:val="single" w:sz="4" w:space="0" w:color="auto"/>
            </w:tcBorders>
            <w:vAlign w:val="center"/>
          </w:tcPr>
          <w:p w14:paraId="690B7F90" w14:textId="77777777" w:rsidR="00030CC5" w:rsidRPr="002C3702" w:rsidRDefault="00030CC5" w:rsidP="005F7C44">
            <w:pPr>
              <w:pStyle w:val="TableText0"/>
              <w:keepLines/>
              <w:jc w:val="center"/>
            </w:pPr>
            <w:r w:rsidRPr="002C3702">
              <w:rPr>
                <w:rFonts w:eastAsia="Times New Roman" w:cs="Calibri"/>
                <w:szCs w:val="20"/>
              </w:rPr>
              <w:t>8.803</w:t>
            </w:r>
          </w:p>
        </w:tc>
        <w:tc>
          <w:tcPr>
            <w:tcW w:w="604" w:type="pct"/>
            <w:tcBorders>
              <w:bottom w:val="single" w:sz="4" w:space="0" w:color="auto"/>
            </w:tcBorders>
            <w:vAlign w:val="center"/>
          </w:tcPr>
          <w:p w14:paraId="7929AF92" w14:textId="77777777" w:rsidR="00030CC5" w:rsidRPr="002C3702" w:rsidRDefault="00030CC5" w:rsidP="005F7C44">
            <w:pPr>
              <w:pStyle w:val="TableText0"/>
              <w:keepLines/>
              <w:jc w:val="center"/>
            </w:pPr>
            <w:r w:rsidRPr="002C3702">
              <w:rPr>
                <w:rFonts w:eastAsia="Times New Roman" w:cs="Calibri"/>
                <w:szCs w:val="20"/>
              </w:rPr>
              <w:t>0.407</w:t>
            </w:r>
          </w:p>
        </w:tc>
      </w:tr>
      <w:tr w:rsidR="00030CC5" w:rsidRPr="002C3702" w14:paraId="068E47D2" w14:textId="77777777" w:rsidTr="006E7D62">
        <w:tc>
          <w:tcPr>
            <w:tcW w:w="1351" w:type="pct"/>
            <w:tcBorders>
              <w:bottom w:val="single" w:sz="4" w:space="0" w:color="auto"/>
              <w:right w:val="nil"/>
            </w:tcBorders>
            <w:vAlign w:val="center"/>
          </w:tcPr>
          <w:p w14:paraId="1A663F1B" w14:textId="77777777" w:rsidR="00030CC5" w:rsidRPr="002C3702" w:rsidRDefault="00030CC5" w:rsidP="005F7C44">
            <w:pPr>
              <w:pStyle w:val="TableText0"/>
              <w:keepLines/>
              <w:rPr>
                <w:rFonts w:ascii="Times" w:hAnsi="Times"/>
                <w:b/>
              </w:rPr>
            </w:pPr>
            <w:r w:rsidRPr="002C3702">
              <w:rPr>
                <w:b/>
              </w:rPr>
              <w:t>Incremental cost per additional QALY gained</w:t>
            </w:r>
          </w:p>
        </w:tc>
        <w:tc>
          <w:tcPr>
            <w:tcW w:w="1218" w:type="pct"/>
            <w:gridSpan w:val="2"/>
            <w:tcBorders>
              <w:bottom w:val="single" w:sz="4" w:space="0" w:color="auto"/>
            </w:tcBorders>
            <w:shd w:val="clear" w:color="auto" w:fill="B8CCE4" w:themeFill="accent1" w:themeFillTint="66"/>
            <w:vAlign w:val="center"/>
          </w:tcPr>
          <w:p w14:paraId="5F8FBBAF" w14:textId="77777777" w:rsidR="00030CC5" w:rsidRPr="002C3702" w:rsidRDefault="00030CC5" w:rsidP="005F7C44">
            <w:pPr>
              <w:pStyle w:val="TableText0"/>
              <w:keepLines/>
              <w:jc w:val="center"/>
              <w:rPr>
                <w:rFonts w:ascii="Times" w:hAnsi="Times"/>
                <w:b/>
              </w:rPr>
            </w:pPr>
          </w:p>
        </w:tc>
        <w:tc>
          <w:tcPr>
            <w:tcW w:w="609" w:type="pct"/>
            <w:tcBorders>
              <w:bottom w:val="single" w:sz="4" w:space="0" w:color="auto"/>
              <w:right w:val="single" w:sz="4" w:space="0" w:color="auto"/>
            </w:tcBorders>
            <w:shd w:val="clear" w:color="auto" w:fill="B8CCE4" w:themeFill="accent1" w:themeFillTint="66"/>
            <w:vAlign w:val="center"/>
          </w:tcPr>
          <w:p w14:paraId="2820105A" w14:textId="4A13C82E" w:rsidR="00030CC5" w:rsidRPr="002C3702" w:rsidRDefault="00030CC5" w:rsidP="005F7C44">
            <w:pPr>
              <w:pStyle w:val="TableText0"/>
              <w:keepLines/>
              <w:jc w:val="center"/>
              <w:rPr>
                <w:rFonts w:ascii="Times" w:hAnsi="Times"/>
                <w:b/>
              </w:rPr>
            </w:pPr>
            <w:r w:rsidRPr="002C3702">
              <w:rPr>
                <w:b/>
              </w:rPr>
              <w:t>$</w:t>
            </w:r>
            <w:r w:rsidR="008129BD">
              <w:rPr>
                <w:b/>
              </w:rPr>
              <w:t xml:space="preserve"> </w:t>
            </w:r>
            <w:r w:rsidR="008129BD" w:rsidRPr="008129BD">
              <w:rPr>
                <w:b/>
                <w:color w:val="000000"/>
                <w:spacing w:val="78"/>
                <w:shd w:val="solid" w:color="000000" w:fill="000000"/>
                <w:fitText w:val="170" w:id="-1032093432"/>
                <w14:textFill>
                  <w14:solidFill>
                    <w14:srgbClr w14:val="000000">
                      <w14:alpha w14:val="100000"/>
                    </w14:srgbClr>
                  </w14:solidFill>
                </w14:textFill>
              </w:rPr>
              <w:t>|</w:t>
            </w:r>
            <w:r w:rsidR="008129BD" w:rsidRPr="008129BD">
              <w:rPr>
                <w:b/>
                <w:color w:val="000000"/>
                <w:spacing w:val="1"/>
                <w:shd w:val="solid" w:color="000000" w:fill="000000"/>
                <w:fitText w:val="170" w:id="-1032093432"/>
                <w14:textFill>
                  <w14:solidFill>
                    <w14:srgbClr w14:val="000000">
                      <w14:alpha w14:val="100000"/>
                    </w14:srgbClr>
                  </w14:solidFill>
                </w14:textFill>
              </w:rPr>
              <w:t>|</w:t>
            </w:r>
            <w:r w:rsidR="00DA3A5A" w:rsidRPr="00DA3A5A">
              <w:rPr>
                <w:bCs w:val="0"/>
                <w:vertAlign w:val="superscript"/>
              </w:rPr>
              <w:t>1</w:t>
            </w:r>
          </w:p>
        </w:tc>
        <w:tc>
          <w:tcPr>
            <w:tcW w:w="609" w:type="pct"/>
            <w:tcBorders>
              <w:left w:val="single" w:sz="4" w:space="0" w:color="auto"/>
              <w:bottom w:val="single" w:sz="4" w:space="0" w:color="auto"/>
              <w:right w:val="nil"/>
            </w:tcBorders>
            <w:vAlign w:val="center"/>
          </w:tcPr>
          <w:p w14:paraId="7120161F" w14:textId="77777777" w:rsidR="00030CC5" w:rsidRPr="002C3702" w:rsidRDefault="00030CC5" w:rsidP="005F7C44">
            <w:pPr>
              <w:pStyle w:val="TableText0"/>
              <w:keepLines/>
              <w:jc w:val="center"/>
              <w:rPr>
                <w:rFonts w:ascii="Times" w:hAnsi="Times"/>
                <w:b/>
              </w:rPr>
            </w:pPr>
          </w:p>
        </w:tc>
        <w:tc>
          <w:tcPr>
            <w:tcW w:w="609" w:type="pct"/>
            <w:tcBorders>
              <w:left w:val="nil"/>
              <w:bottom w:val="single" w:sz="4" w:space="0" w:color="auto"/>
            </w:tcBorders>
            <w:vAlign w:val="center"/>
          </w:tcPr>
          <w:p w14:paraId="76FDA3C3" w14:textId="77777777" w:rsidR="00030CC5" w:rsidRPr="002C3702" w:rsidRDefault="00030CC5" w:rsidP="005F7C44">
            <w:pPr>
              <w:pStyle w:val="TableText0"/>
              <w:keepLines/>
              <w:jc w:val="center"/>
              <w:rPr>
                <w:rFonts w:ascii="Times" w:hAnsi="Times"/>
                <w:b/>
              </w:rPr>
            </w:pPr>
          </w:p>
        </w:tc>
        <w:tc>
          <w:tcPr>
            <w:tcW w:w="604" w:type="pct"/>
            <w:tcBorders>
              <w:bottom w:val="single" w:sz="4" w:space="0" w:color="auto"/>
            </w:tcBorders>
            <w:vAlign w:val="center"/>
          </w:tcPr>
          <w:p w14:paraId="7B805D75" w14:textId="025C1635" w:rsidR="00030CC5" w:rsidRPr="002C3702" w:rsidRDefault="00030CC5" w:rsidP="005F7C44">
            <w:pPr>
              <w:pStyle w:val="TableText0"/>
              <w:keepLines/>
              <w:jc w:val="center"/>
              <w:rPr>
                <w:rFonts w:ascii="Times" w:hAnsi="Times"/>
                <w:b/>
                <w:bCs w:val="0"/>
              </w:rPr>
            </w:pPr>
            <w:r w:rsidRPr="002C3702">
              <w:rPr>
                <w:rFonts w:eastAsia="Times New Roman" w:cs="Calibri"/>
                <w:b/>
                <w:bCs w:val="0"/>
                <w:szCs w:val="20"/>
              </w:rPr>
              <w:t>$</w:t>
            </w:r>
            <w:r w:rsidR="008129BD">
              <w:rPr>
                <w:rFonts w:eastAsia="Times New Roman" w:cs="Calibri"/>
                <w:b/>
                <w:bCs w:val="0"/>
                <w:szCs w:val="20"/>
              </w:rPr>
              <w:t xml:space="preserve"> </w:t>
            </w:r>
            <w:r w:rsidR="008129BD" w:rsidRPr="008129BD">
              <w:rPr>
                <w:rFonts w:eastAsia="Times New Roman" w:cs="Calibri"/>
                <w:b/>
                <w:bCs w:val="0"/>
                <w:color w:val="000000"/>
                <w:spacing w:val="78"/>
                <w:szCs w:val="20"/>
                <w:shd w:val="solid" w:color="000000" w:fill="000000"/>
                <w:fitText w:val="170" w:id="-1032093431"/>
                <w14:textFill>
                  <w14:solidFill>
                    <w14:srgbClr w14:val="000000">
                      <w14:alpha w14:val="100000"/>
                    </w14:srgbClr>
                  </w14:solidFill>
                </w14:textFill>
              </w:rPr>
              <w:t>|</w:t>
            </w:r>
            <w:r w:rsidR="008129BD" w:rsidRPr="008129BD">
              <w:rPr>
                <w:rFonts w:eastAsia="Times New Roman" w:cs="Calibri"/>
                <w:b/>
                <w:bCs w:val="0"/>
                <w:color w:val="000000"/>
                <w:spacing w:val="1"/>
                <w:szCs w:val="20"/>
                <w:shd w:val="solid" w:color="000000" w:fill="000000"/>
                <w:fitText w:val="170" w:id="-1032093431"/>
                <w14:textFill>
                  <w14:solidFill>
                    <w14:srgbClr w14:val="000000">
                      <w14:alpha w14:val="100000"/>
                    </w14:srgbClr>
                  </w14:solidFill>
                </w14:textFill>
              </w:rPr>
              <w:t>|</w:t>
            </w:r>
            <w:r w:rsidR="00DA3A5A">
              <w:rPr>
                <w:bCs w:val="0"/>
                <w:vertAlign w:val="superscript"/>
              </w:rPr>
              <w:t>2</w:t>
            </w:r>
          </w:p>
        </w:tc>
      </w:tr>
    </w:tbl>
    <w:p w14:paraId="1B65EF93" w14:textId="7D66A191" w:rsidR="00030CC5" w:rsidRPr="002C3702" w:rsidRDefault="00030CC5" w:rsidP="005F7C44">
      <w:pPr>
        <w:pStyle w:val="TableFigureFooter"/>
        <w:keepNext/>
        <w:keepLines/>
      </w:pPr>
      <w:r w:rsidRPr="002C3702">
        <w:t xml:space="preserve">Source: Table 3−14, p28 of the submission, Table 3−66, p275 of the March 2023 resubmission, and Table 12, p27 of </w:t>
      </w:r>
      <w:r w:rsidR="00B3218C" w:rsidRPr="002C3702">
        <w:t>a</w:t>
      </w:r>
      <w:r w:rsidRPr="002C3702">
        <w:t xml:space="preserve">bemaciclib PSD, March 2023 PBAC Meeting. </w:t>
      </w:r>
    </w:p>
    <w:p w14:paraId="30A49B4B" w14:textId="77777777" w:rsidR="00030CC5" w:rsidRPr="002C3702" w:rsidRDefault="00030CC5" w:rsidP="005F7C44">
      <w:pPr>
        <w:pStyle w:val="TableFigureFooter"/>
        <w:keepNext/>
        <w:keepLines/>
      </w:pPr>
      <w:r w:rsidRPr="002C3702">
        <w:t>ABE = abemaciclib, ET = endocrine therapy, QALY = quality-adjusted life year.</w:t>
      </w:r>
    </w:p>
    <w:p w14:paraId="35E64B43" w14:textId="4566927C" w:rsidR="00030CC5" w:rsidRPr="002C3702" w:rsidRDefault="00030CC5" w:rsidP="005F7C44">
      <w:pPr>
        <w:pStyle w:val="TableFigureFooter"/>
        <w:keepNext/>
        <w:keepLines/>
      </w:pPr>
      <w:r w:rsidRPr="002C3702">
        <w:rPr>
          <w:vertAlign w:val="superscript"/>
        </w:rPr>
        <w:t>a</w:t>
      </w:r>
      <w:r w:rsidRPr="002C3702">
        <w:t xml:space="preserve"> Obtained from the ‘A6.1_Abemaciclib Section 3 workbook 2022.xlsm’ corrected workbook of the March 2023 resubmission.</w:t>
      </w:r>
      <w:r w:rsidR="00E325E1" w:rsidRPr="002C3702">
        <w:t xml:space="preserve"> Included correction of errors identified during the March 2023 resubmission evaluation</w:t>
      </w:r>
      <w:r w:rsidR="002C3702">
        <w:t xml:space="preserve">. </w:t>
      </w:r>
    </w:p>
    <w:p w14:paraId="3E123934" w14:textId="3C94BF4E" w:rsidR="00DA3A5A" w:rsidRDefault="00030CC5" w:rsidP="005F7C44">
      <w:pPr>
        <w:pStyle w:val="TableFigureFooter"/>
        <w:keepNext/>
        <w:keepLines/>
        <w:spacing w:after="0"/>
        <w:rPr>
          <w:iCs/>
        </w:rPr>
      </w:pPr>
      <w:r w:rsidRPr="002C3702">
        <w:rPr>
          <w:iCs/>
          <w:shd w:val="clear" w:color="auto" w:fill="B8CCE4" w:themeFill="accent1" w:themeFillTint="66"/>
        </w:rPr>
        <w:t>Blue shading</w:t>
      </w:r>
      <w:r w:rsidRPr="002C3702">
        <w:rPr>
          <w:iCs/>
        </w:rPr>
        <w:t xml:space="preserve"> indicates results previously seen by the PBAC</w:t>
      </w:r>
      <w:r w:rsidR="002C3702">
        <w:rPr>
          <w:iCs/>
        </w:rPr>
        <w:t xml:space="preserve">. </w:t>
      </w:r>
    </w:p>
    <w:p w14:paraId="7A4988E3" w14:textId="77777777" w:rsidR="00C86AFB" w:rsidRPr="009A6D58" w:rsidRDefault="00C86AFB" w:rsidP="005F7C44">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2156818" w14:textId="77777777" w:rsidR="00C86AFB" w:rsidRPr="009A6D58" w:rsidRDefault="00C86AFB" w:rsidP="00C86AF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A3A5A">
        <w:rPr>
          <w:rFonts w:ascii="Arial Narrow" w:hAnsi="Arial Narrow"/>
          <w:i/>
          <w:sz w:val="18"/>
          <w:szCs w:val="18"/>
        </w:rPr>
        <w:t>$35,000 to &lt; $45,000</w:t>
      </w:r>
    </w:p>
    <w:p w14:paraId="317BED40" w14:textId="43E17676" w:rsidR="00C86AFB" w:rsidRPr="00C86AFB" w:rsidRDefault="00C86AFB" w:rsidP="00C86AFB">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A3A5A">
        <w:rPr>
          <w:rFonts w:ascii="Arial Narrow" w:hAnsi="Arial Narrow"/>
          <w:i/>
          <w:sz w:val="18"/>
          <w:szCs w:val="18"/>
        </w:rPr>
        <w:t>$15,000 to &lt; $25,000</w:t>
      </w:r>
    </w:p>
    <w:p w14:paraId="44A01E99" w14:textId="30E48C84" w:rsidR="00030CC5" w:rsidRPr="002C3702" w:rsidRDefault="00030CC5" w:rsidP="00A62F24">
      <w:pPr>
        <w:pStyle w:val="3-BodyText"/>
        <w:rPr>
          <w:iCs/>
        </w:rPr>
      </w:pPr>
      <w:r w:rsidRPr="002C3702">
        <w:rPr>
          <w:iCs/>
        </w:rPr>
        <w:t>Traces for the model results were constructed during the evaluation and are presented in</w:t>
      </w:r>
      <w:r w:rsidR="00EE7763" w:rsidRPr="002C3702">
        <w:rPr>
          <w:iCs/>
        </w:rPr>
        <w:t xml:space="preserve"> </w:t>
      </w:r>
      <w:r w:rsidRPr="002C3702">
        <w:rPr>
          <w:iCs/>
        </w:rPr>
        <w:fldChar w:fldCharType="begin"/>
      </w:r>
      <w:r w:rsidRPr="002C3702">
        <w:rPr>
          <w:iCs/>
        </w:rPr>
        <w:instrText xml:space="preserve"> REF _Ref142841411 \h </w:instrText>
      </w:r>
      <w:r w:rsidR="004E60E4" w:rsidRPr="002C3702">
        <w:rPr>
          <w:iCs/>
        </w:rPr>
        <w:instrText xml:space="preserve"> \* MERGEFORMAT </w:instrText>
      </w:r>
      <w:r w:rsidRPr="002C3702">
        <w:rPr>
          <w:iCs/>
        </w:rPr>
      </w:r>
      <w:r w:rsidRPr="002C3702">
        <w:rPr>
          <w:iCs/>
        </w:rPr>
        <w:fldChar w:fldCharType="separate"/>
      </w:r>
      <w:r w:rsidR="00676505" w:rsidRPr="00676505">
        <w:rPr>
          <w:iCs/>
        </w:rPr>
        <w:t>Figure 8</w:t>
      </w:r>
      <w:r w:rsidRPr="002C3702">
        <w:rPr>
          <w:iCs/>
        </w:rPr>
        <w:fldChar w:fldCharType="end"/>
      </w:r>
      <w:r w:rsidRPr="002C3702">
        <w:rPr>
          <w:iCs/>
        </w:rPr>
        <w:t>. As with the March 2023 resubmission, time spent in IDFS is the key driver of the clinical benefits modelled.</w:t>
      </w:r>
    </w:p>
    <w:p w14:paraId="4DC29E6F" w14:textId="1D348A2A" w:rsidR="00030CC5" w:rsidRPr="002C3702" w:rsidRDefault="00030CC5" w:rsidP="00030CC5">
      <w:pPr>
        <w:pStyle w:val="Caption"/>
      </w:pPr>
      <w:bookmarkStart w:id="55" w:name="_Ref142841411"/>
      <w:bookmarkStart w:id="56" w:name="_Ref142572107"/>
      <w:r w:rsidRPr="002C3702">
        <w:t xml:space="preserve">Figure </w:t>
      </w:r>
      <w:fldSimple w:instr=" SEQ Figure \* ARABIC ">
        <w:r w:rsidR="00676505">
          <w:rPr>
            <w:noProof/>
          </w:rPr>
          <w:t>8</w:t>
        </w:r>
      </w:fldSimple>
      <w:bookmarkEnd w:id="55"/>
      <w:r w:rsidRPr="002C3702">
        <w:t>: Model traces over the time horizon</w:t>
      </w:r>
      <w:bookmarkEnd w:id="56"/>
    </w:p>
    <w:p w14:paraId="3E44F3C6" w14:textId="11FE2E41" w:rsidR="00030CC5" w:rsidRPr="002C3702" w:rsidRDefault="00E03BFA" w:rsidP="00030CC5">
      <w:r w:rsidRPr="002C3702">
        <w:rPr>
          <w:noProof/>
        </w:rPr>
        <w:drawing>
          <wp:inline distT="0" distB="0" distL="0" distR="0" wp14:anchorId="5F4141B0" wp14:editId="0C398855">
            <wp:extent cx="5096786" cy="3777844"/>
            <wp:effectExtent l="0" t="0" r="8890" b="0"/>
            <wp:docPr id="1" name="Picture 1" descr="Figure 8: Model traces over the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8: Model traces over the time horizon"/>
                    <pic:cNvPicPr/>
                  </pic:nvPicPr>
                  <pic:blipFill>
                    <a:blip r:embed="rId15"/>
                    <a:stretch>
                      <a:fillRect/>
                    </a:stretch>
                  </pic:blipFill>
                  <pic:spPr>
                    <a:xfrm>
                      <a:off x="0" y="0"/>
                      <a:ext cx="5112950" cy="3789825"/>
                    </a:xfrm>
                    <a:prstGeom prst="rect">
                      <a:avLst/>
                    </a:prstGeom>
                  </pic:spPr>
                </pic:pic>
              </a:graphicData>
            </a:graphic>
          </wp:inline>
        </w:drawing>
      </w:r>
    </w:p>
    <w:p w14:paraId="7648B889" w14:textId="1BB74CE9" w:rsidR="00030CC5" w:rsidRPr="002C3702" w:rsidRDefault="00030CC5" w:rsidP="00030CC5">
      <w:pPr>
        <w:pStyle w:val="TableFigureFooter"/>
      </w:pPr>
      <w:r w:rsidRPr="002C3702">
        <w:t xml:space="preserve">Source: Constructed during the evaluation from the submission’s base case parameters the ‘A5.1_Abemaciclib Section 3 workbook November 2023.xlsm’ workbook included in the current </w:t>
      </w:r>
      <w:r w:rsidR="23AAC2D8" w:rsidRPr="002C3702">
        <w:t>submission</w:t>
      </w:r>
      <w:r w:rsidRPr="002C3702">
        <w:t>.</w:t>
      </w:r>
    </w:p>
    <w:p w14:paraId="5EDC5628" w14:textId="77777777" w:rsidR="00030CC5" w:rsidRPr="002C3702" w:rsidRDefault="00030CC5" w:rsidP="00030CC5">
      <w:pPr>
        <w:pStyle w:val="TableFigureFooter"/>
      </w:pPr>
      <w:r w:rsidRPr="002C3702">
        <w:t>ABE = abemaciclib, ET = endocrine therapy, IDFS = invasive disease-free survival, NMR = non-metastatic recurrence, MR-ETR = metastatic recurrence endocrine therapy resistant, MR-ETS = metastatic recurrence endocrine therapy sensitive, REM = remission.</w:t>
      </w:r>
    </w:p>
    <w:p w14:paraId="118156C4" w14:textId="09F8232E" w:rsidR="00610712" w:rsidRPr="002C3702" w:rsidRDefault="00810691" w:rsidP="006E7D62">
      <w:pPr>
        <w:pStyle w:val="3-BodyText"/>
        <w:rPr>
          <w:iCs/>
        </w:rPr>
      </w:pPr>
      <w:r w:rsidRPr="002C3702">
        <w:t>As for</w:t>
      </w:r>
      <w:r w:rsidR="00030CC5" w:rsidRPr="002C3702">
        <w:t xml:space="preserve"> the March 2023 resubmission, the LYs and QALYs gained were predominantly accrued in the IDFS health state, with a reduction in QALYs related to non-metastatic and metastatic recurrences. </w:t>
      </w:r>
      <w:r w:rsidR="00030CC5" w:rsidRPr="002C3702">
        <w:rPr>
          <w:iCs/>
        </w:rPr>
        <w:t xml:space="preserve">This is consistent with the claim that ABE improves IDFS </w:t>
      </w:r>
      <w:r w:rsidR="00030CC5" w:rsidRPr="002C3702">
        <w:rPr>
          <w:iCs/>
        </w:rPr>
        <w:lastRenderedPageBreak/>
        <w:t xml:space="preserve">and leads to a reduction in metastatic recurrences. The LYs and QALYs gained with ABE treatment are likely to be an overestimate due to the approach used to wane the treatment effect of ABE beyond the observed period (from Year 7 to Year 10) and the time horizon chosen (30 years). Most of the life years gained with ABE treatment were accrued in the extrapolated period, beyond 4 years. The estimation of LYs in metastatic disease remains uncertain in the current </w:t>
      </w:r>
      <w:r w:rsidR="23AAC2D8" w:rsidRPr="002C3702">
        <w:rPr>
          <w:iCs/>
        </w:rPr>
        <w:t>submission</w:t>
      </w:r>
      <w:r w:rsidR="00030CC5" w:rsidRPr="002C3702">
        <w:rPr>
          <w:iCs/>
        </w:rPr>
        <w:t xml:space="preserve"> due to transitivity issues between the monarchE and the metastatic trials</w:t>
      </w:r>
      <w:r w:rsidR="00C9476D" w:rsidRPr="002C3702">
        <w:rPr>
          <w:iCs/>
        </w:rPr>
        <w:t>,</w:t>
      </w:r>
      <w:r w:rsidR="00030CC5" w:rsidRPr="002C3702">
        <w:rPr>
          <w:iCs/>
        </w:rPr>
        <w:t xml:space="preserve"> and the Australian population.</w:t>
      </w:r>
      <w:bookmarkStart w:id="57" w:name="_Ref142844874"/>
      <w:bookmarkStart w:id="58" w:name="_Ref142571258"/>
      <w:bookmarkStart w:id="59" w:name="_Ref122691221"/>
    </w:p>
    <w:bookmarkEnd w:id="57"/>
    <w:bookmarkEnd w:id="58"/>
    <w:bookmarkEnd w:id="59"/>
    <w:p w14:paraId="77186FF3" w14:textId="6C213A18" w:rsidR="00B365EE" w:rsidRPr="002C3702" w:rsidRDefault="00B365EE" w:rsidP="00920D1C">
      <w:pPr>
        <w:pStyle w:val="3-BodyText"/>
      </w:pPr>
      <w:r w:rsidRPr="002C3702">
        <w:t xml:space="preserve">The number of recurrence events and resulting number of recurrences avoided with </w:t>
      </w:r>
      <w:r w:rsidR="008F4C53" w:rsidRPr="002C3702">
        <w:t xml:space="preserve">ABE </w:t>
      </w:r>
      <w:r w:rsidRPr="002C3702">
        <w:t xml:space="preserve">treatment </w:t>
      </w:r>
      <w:r w:rsidR="004952C2" w:rsidRPr="002C3702">
        <w:t>in combination with ET</w:t>
      </w:r>
      <w:r w:rsidR="005E2BE4" w:rsidRPr="002C3702">
        <w:t xml:space="preserve"> compared with ET alone for the July 2022 data cut </w:t>
      </w:r>
      <w:r w:rsidR="00777AB2" w:rsidRPr="002C3702">
        <w:t xml:space="preserve">and the submission’s time horizon </w:t>
      </w:r>
      <w:r w:rsidRPr="002C3702">
        <w:t xml:space="preserve">are </w:t>
      </w:r>
      <w:r w:rsidR="00887AE5" w:rsidRPr="002C3702">
        <w:t xml:space="preserve">presented </w:t>
      </w:r>
      <w:r w:rsidRPr="002C3702">
        <w:t>in</w:t>
      </w:r>
      <w:r w:rsidR="00DD26C3" w:rsidRPr="002C3702">
        <w:t xml:space="preserve"> </w:t>
      </w:r>
      <w:r w:rsidR="00F44A2F" w:rsidRPr="002C3702">
        <w:fldChar w:fldCharType="begin"/>
      </w:r>
      <w:r w:rsidR="00F44A2F" w:rsidRPr="002C3702">
        <w:instrText xml:space="preserve"> REF _Ref145056258 \h </w:instrText>
      </w:r>
      <w:r w:rsidR="00F44A2F" w:rsidRPr="002C3702">
        <w:fldChar w:fldCharType="separate"/>
      </w:r>
      <w:r w:rsidR="00676505" w:rsidRPr="002C3702">
        <w:t>Table</w:t>
      </w:r>
      <w:r w:rsidR="00F44A2F" w:rsidRPr="002C3702">
        <w:fldChar w:fldCharType="end"/>
      </w:r>
      <w:r w:rsidR="00F44A2F" w:rsidRPr="002C3702">
        <w:t xml:space="preserve"> 13</w:t>
      </w:r>
      <w:r w:rsidR="00DD26C3" w:rsidRPr="002C3702">
        <w:t xml:space="preserve">. </w:t>
      </w:r>
      <w:r w:rsidR="00920D1C" w:rsidRPr="002C3702">
        <w:t xml:space="preserve">Consistent with the March 2023 resubmission, the submission’s ICER relies on avoiding metastatic recurrence in </w:t>
      </w:r>
      <w:r w:rsidR="00F40088" w:rsidRPr="002C3702">
        <w:t>6.</w:t>
      </w:r>
      <w:r w:rsidR="005F7C44">
        <w:t>1</w:t>
      </w:r>
      <w:r w:rsidR="00920D1C" w:rsidRPr="002C3702">
        <w:t xml:space="preserve">% of patients over the 30-year time horizon. Over the 30-year time horizon, patients treated with </w:t>
      </w:r>
      <w:r w:rsidR="00933042" w:rsidRPr="002C3702">
        <w:t>ABE</w:t>
      </w:r>
      <w:r w:rsidR="00920D1C" w:rsidRPr="002C3702">
        <w:t xml:space="preserve"> </w:t>
      </w:r>
      <w:r w:rsidR="00810691" w:rsidRPr="002C3702">
        <w:t xml:space="preserve">obtained </w:t>
      </w:r>
      <w:r w:rsidR="00920D1C" w:rsidRPr="002C3702">
        <w:t>an additional 1.</w:t>
      </w:r>
      <w:r w:rsidR="00AB3D0A" w:rsidRPr="002C3702">
        <w:t>175</w:t>
      </w:r>
      <w:r w:rsidR="00920D1C" w:rsidRPr="002C3702">
        <w:t xml:space="preserve"> life years which equates to 1</w:t>
      </w:r>
      <w:r w:rsidR="00A00A41" w:rsidRPr="002C3702">
        <w:t>6</w:t>
      </w:r>
      <w:r w:rsidR="00920D1C" w:rsidRPr="002C3702">
        <w:t>.</w:t>
      </w:r>
      <w:r w:rsidR="00A00A41" w:rsidRPr="002C3702">
        <w:t>8</w:t>
      </w:r>
      <w:r w:rsidR="00920D1C" w:rsidRPr="002C3702">
        <w:t xml:space="preserve"> (1</w:t>
      </w:r>
      <w:r w:rsidR="00E71077" w:rsidRPr="002C3702">
        <w:t>17</w:t>
      </w:r>
      <w:r w:rsidR="00920D1C" w:rsidRPr="002C3702">
        <w:t>.</w:t>
      </w:r>
      <w:r w:rsidR="00E71077" w:rsidRPr="002C3702">
        <w:t>5</w:t>
      </w:r>
      <w:r w:rsidR="00920D1C" w:rsidRPr="002C3702">
        <w:t>/</w:t>
      </w:r>
      <w:r w:rsidR="004B17E1" w:rsidRPr="002C3702">
        <w:t>7</w:t>
      </w:r>
      <w:r w:rsidR="00920D1C" w:rsidRPr="002C3702">
        <w:t xml:space="preserve">) life years gained per recurrence avoided (previously </w:t>
      </w:r>
      <w:r w:rsidR="0081191B" w:rsidRPr="002C3702">
        <w:t>15.9</w:t>
      </w:r>
      <w:r w:rsidR="00920D1C" w:rsidRPr="002C3702">
        <w:t>) or 1</w:t>
      </w:r>
      <w:r w:rsidR="000B02E2" w:rsidRPr="002C3702">
        <w:t>8</w:t>
      </w:r>
      <w:r w:rsidR="00920D1C" w:rsidRPr="002C3702">
        <w:t>.</w:t>
      </w:r>
      <w:r w:rsidR="000B02E2" w:rsidRPr="002C3702">
        <w:t>1</w:t>
      </w:r>
      <w:r w:rsidR="00920D1C" w:rsidRPr="002C3702">
        <w:t xml:space="preserve"> (1</w:t>
      </w:r>
      <w:r w:rsidR="00E71077" w:rsidRPr="002C3702">
        <w:t>17</w:t>
      </w:r>
      <w:r w:rsidR="00920D1C" w:rsidRPr="002C3702">
        <w:t>.</w:t>
      </w:r>
      <w:r w:rsidR="00E71077" w:rsidRPr="002C3702">
        <w:t>5</w:t>
      </w:r>
      <w:r w:rsidR="00920D1C" w:rsidRPr="002C3702">
        <w:t>/</w:t>
      </w:r>
      <w:r w:rsidR="00C14772" w:rsidRPr="002C3702">
        <w:t>6.5</w:t>
      </w:r>
      <w:r w:rsidR="00920D1C" w:rsidRPr="002C3702">
        <w:t xml:space="preserve">) life years gained per metastatic recurrence avoided (previously </w:t>
      </w:r>
      <w:r w:rsidR="0081191B" w:rsidRPr="002C3702">
        <w:t>16.2</w:t>
      </w:r>
      <w:r w:rsidR="00920D1C" w:rsidRPr="002C3702">
        <w:t xml:space="preserve">). </w:t>
      </w:r>
    </w:p>
    <w:p w14:paraId="4799E219" w14:textId="3E379CD6" w:rsidR="007B6850" w:rsidRPr="002C3702" w:rsidRDefault="007B6850" w:rsidP="007B6850">
      <w:pPr>
        <w:pStyle w:val="Caption"/>
      </w:pPr>
      <w:bookmarkStart w:id="60" w:name="_Ref145056258"/>
      <w:bookmarkStart w:id="61" w:name="_Ref144732888"/>
      <w:bookmarkStart w:id="62" w:name="_Ref144804519"/>
      <w:r w:rsidRPr="002C3702">
        <w:t>Table</w:t>
      </w:r>
      <w:bookmarkEnd w:id="60"/>
      <w:bookmarkEnd w:id="61"/>
      <w:r w:rsidR="00F44A2F" w:rsidRPr="002C3702">
        <w:t xml:space="preserve"> </w:t>
      </w:r>
      <w:fldSimple w:instr=" SEQ Table \* ARABIC ">
        <w:r w:rsidR="00676505">
          <w:rPr>
            <w:noProof/>
          </w:rPr>
          <w:t>12</w:t>
        </w:r>
      </w:fldSimple>
      <w:r w:rsidRPr="002C3702">
        <w:t>: Recurrence events (undiscounted)</w:t>
      </w:r>
      <w:bookmarkEnd w:id="62"/>
    </w:p>
    <w:tbl>
      <w:tblPr>
        <w:tblStyle w:val="TableGrid"/>
        <w:tblW w:w="9209" w:type="dxa"/>
        <w:tblLayout w:type="fixed"/>
        <w:tblLook w:val="04A0" w:firstRow="1" w:lastRow="0" w:firstColumn="1" w:lastColumn="0" w:noHBand="0" w:noVBand="1"/>
      </w:tblPr>
      <w:tblGrid>
        <w:gridCol w:w="1555"/>
        <w:gridCol w:w="1417"/>
        <w:gridCol w:w="1134"/>
        <w:gridCol w:w="1418"/>
        <w:gridCol w:w="1134"/>
        <w:gridCol w:w="1325"/>
        <w:gridCol w:w="1226"/>
      </w:tblGrid>
      <w:tr w:rsidR="00355830" w:rsidRPr="002C3702" w14:paraId="49CB34EE" w14:textId="77777777" w:rsidTr="0039488E">
        <w:tc>
          <w:tcPr>
            <w:tcW w:w="1555" w:type="dxa"/>
          </w:tcPr>
          <w:p w14:paraId="667D1439" w14:textId="77777777" w:rsidR="00355830" w:rsidRPr="002C3702" w:rsidRDefault="00355830" w:rsidP="000A1D2C">
            <w:pPr>
              <w:pStyle w:val="TableText0"/>
            </w:pPr>
          </w:p>
        </w:tc>
        <w:tc>
          <w:tcPr>
            <w:tcW w:w="2551" w:type="dxa"/>
            <w:gridSpan w:val="2"/>
            <w:vAlign w:val="center"/>
          </w:tcPr>
          <w:p w14:paraId="5F0A82BD" w14:textId="23A646C9" w:rsidR="00355830" w:rsidRPr="002C3702" w:rsidRDefault="00355830" w:rsidP="000A1D2C">
            <w:pPr>
              <w:pStyle w:val="TableText0"/>
              <w:jc w:val="center"/>
            </w:pPr>
            <w:r w:rsidRPr="002C3702">
              <w:rPr>
                <w:b/>
              </w:rPr>
              <w:t>ABE + ET</w:t>
            </w:r>
          </w:p>
        </w:tc>
        <w:tc>
          <w:tcPr>
            <w:tcW w:w="2552" w:type="dxa"/>
            <w:gridSpan w:val="2"/>
            <w:vAlign w:val="center"/>
          </w:tcPr>
          <w:p w14:paraId="78778465" w14:textId="05B437D9" w:rsidR="00355830" w:rsidRPr="002C3702" w:rsidRDefault="00355830" w:rsidP="000A1D2C">
            <w:pPr>
              <w:pStyle w:val="TableText0"/>
              <w:jc w:val="center"/>
            </w:pPr>
            <w:r w:rsidRPr="002C3702">
              <w:rPr>
                <w:b/>
              </w:rPr>
              <w:t>ET</w:t>
            </w:r>
          </w:p>
        </w:tc>
        <w:tc>
          <w:tcPr>
            <w:tcW w:w="2551" w:type="dxa"/>
            <w:gridSpan w:val="2"/>
            <w:vAlign w:val="center"/>
          </w:tcPr>
          <w:p w14:paraId="716A6D97" w14:textId="767E019C" w:rsidR="00355830" w:rsidRPr="002C3702" w:rsidRDefault="00355830" w:rsidP="000A1D2C">
            <w:pPr>
              <w:pStyle w:val="TableText0"/>
              <w:jc w:val="center"/>
            </w:pPr>
            <w:r w:rsidRPr="002C3702">
              <w:rPr>
                <w:b/>
              </w:rPr>
              <w:t xml:space="preserve">Incremental outcome </w:t>
            </w:r>
          </w:p>
        </w:tc>
      </w:tr>
      <w:tr w:rsidR="00355830" w:rsidRPr="002C3702" w14:paraId="78D26328" w14:textId="77777777" w:rsidTr="0039488E">
        <w:tc>
          <w:tcPr>
            <w:tcW w:w="1555" w:type="dxa"/>
          </w:tcPr>
          <w:p w14:paraId="3315FFBF" w14:textId="4E835AF5" w:rsidR="00355830" w:rsidRPr="002C3702" w:rsidRDefault="00355830" w:rsidP="00355830">
            <w:pPr>
              <w:pStyle w:val="TableText0"/>
            </w:pPr>
            <w:r w:rsidRPr="002C3702">
              <w:rPr>
                <w:b/>
              </w:rPr>
              <w:t>Recurrence event</w:t>
            </w:r>
          </w:p>
        </w:tc>
        <w:tc>
          <w:tcPr>
            <w:tcW w:w="1417" w:type="dxa"/>
            <w:shd w:val="clear" w:color="auto" w:fill="B8CCE4" w:themeFill="accent1" w:themeFillTint="66"/>
            <w:vAlign w:val="center"/>
          </w:tcPr>
          <w:p w14:paraId="6E010D9D" w14:textId="4E04AF87" w:rsidR="00355830" w:rsidRPr="002C3702" w:rsidRDefault="00355830" w:rsidP="00355830">
            <w:pPr>
              <w:pStyle w:val="TableText0"/>
              <w:jc w:val="center"/>
            </w:pPr>
            <w:r w:rsidRPr="002C3702">
              <w:rPr>
                <w:b/>
              </w:rPr>
              <w:t>March 2023 resubmission</w:t>
            </w:r>
          </w:p>
        </w:tc>
        <w:tc>
          <w:tcPr>
            <w:tcW w:w="1134" w:type="dxa"/>
          </w:tcPr>
          <w:p w14:paraId="397427F6" w14:textId="78C862D3" w:rsidR="00355830" w:rsidRPr="002C3702" w:rsidRDefault="00355830" w:rsidP="00355830">
            <w:pPr>
              <w:pStyle w:val="TableText0"/>
              <w:jc w:val="center"/>
              <w:rPr>
                <w:b/>
                <w:bCs w:val="0"/>
              </w:rPr>
            </w:pPr>
            <w:r w:rsidRPr="002C3702">
              <w:rPr>
                <w:b/>
                <w:bCs w:val="0"/>
              </w:rPr>
              <w:t>Current submission</w:t>
            </w:r>
          </w:p>
        </w:tc>
        <w:tc>
          <w:tcPr>
            <w:tcW w:w="1418" w:type="dxa"/>
            <w:shd w:val="clear" w:color="auto" w:fill="B8CCE4" w:themeFill="accent1" w:themeFillTint="66"/>
            <w:vAlign w:val="center"/>
          </w:tcPr>
          <w:p w14:paraId="382DDFCF" w14:textId="3E0C073D" w:rsidR="00355830" w:rsidRPr="002C3702" w:rsidRDefault="00355830" w:rsidP="00355830">
            <w:pPr>
              <w:pStyle w:val="TableText0"/>
              <w:jc w:val="center"/>
            </w:pPr>
            <w:r w:rsidRPr="002C3702">
              <w:rPr>
                <w:b/>
              </w:rPr>
              <w:t>March 2023 resubmission</w:t>
            </w:r>
          </w:p>
        </w:tc>
        <w:tc>
          <w:tcPr>
            <w:tcW w:w="1134" w:type="dxa"/>
          </w:tcPr>
          <w:p w14:paraId="52EFE110" w14:textId="6E7E9463" w:rsidR="00355830" w:rsidRPr="002C3702" w:rsidRDefault="00355830" w:rsidP="00355830">
            <w:pPr>
              <w:pStyle w:val="TableText0"/>
              <w:jc w:val="center"/>
            </w:pPr>
            <w:r w:rsidRPr="002C3702">
              <w:rPr>
                <w:b/>
                <w:bCs w:val="0"/>
              </w:rPr>
              <w:t>Current submission</w:t>
            </w:r>
          </w:p>
        </w:tc>
        <w:tc>
          <w:tcPr>
            <w:tcW w:w="1325" w:type="dxa"/>
            <w:shd w:val="clear" w:color="auto" w:fill="B8CCE4" w:themeFill="accent1" w:themeFillTint="66"/>
            <w:vAlign w:val="center"/>
          </w:tcPr>
          <w:p w14:paraId="579A0CFC" w14:textId="055DE72A" w:rsidR="00355830" w:rsidRPr="002C3702" w:rsidRDefault="00355830" w:rsidP="00355830">
            <w:pPr>
              <w:pStyle w:val="TableText0"/>
              <w:jc w:val="center"/>
            </w:pPr>
            <w:r w:rsidRPr="002C3702">
              <w:rPr>
                <w:b/>
              </w:rPr>
              <w:t>March 2023 resubmission</w:t>
            </w:r>
          </w:p>
        </w:tc>
        <w:tc>
          <w:tcPr>
            <w:tcW w:w="1226" w:type="dxa"/>
          </w:tcPr>
          <w:p w14:paraId="4BF10825" w14:textId="7E79E349" w:rsidR="00355830" w:rsidRPr="002C3702" w:rsidRDefault="00355830" w:rsidP="00355830">
            <w:pPr>
              <w:pStyle w:val="TableText0"/>
              <w:jc w:val="center"/>
            </w:pPr>
            <w:r w:rsidRPr="002C3702">
              <w:rPr>
                <w:b/>
                <w:bCs w:val="0"/>
              </w:rPr>
              <w:t>Current submission</w:t>
            </w:r>
          </w:p>
        </w:tc>
      </w:tr>
      <w:tr w:rsidR="0039488E" w:rsidRPr="002C3702" w14:paraId="46D3DED3" w14:textId="6115182D" w:rsidTr="00E02E7B">
        <w:tc>
          <w:tcPr>
            <w:tcW w:w="1555" w:type="dxa"/>
          </w:tcPr>
          <w:p w14:paraId="63FDF525" w14:textId="5B10C2AB" w:rsidR="002C4C4D" w:rsidRPr="002C3702" w:rsidRDefault="002C4C4D" w:rsidP="000A1D2C">
            <w:pPr>
              <w:pStyle w:val="TableText0"/>
            </w:pPr>
            <w:r w:rsidRPr="002C3702">
              <w:t>LYG (base case)</w:t>
            </w:r>
          </w:p>
        </w:tc>
        <w:tc>
          <w:tcPr>
            <w:tcW w:w="1417" w:type="dxa"/>
            <w:shd w:val="clear" w:color="auto" w:fill="B8CCE4" w:themeFill="accent1" w:themeFillTint="66"/>
            <w:vAlign w:val="center"/>
          </w:tcPr>
          <w:p w14:paraId="20B26D8D" w14:textId="77777777" w:rsidR="002C4C4D" w:rsidRPr="002C3702" w:rsidRDefault="002C4C4D" w:rsidP="00E02E7B">
            <w:pPr>
              <w:pStyle w:val="TableText0"/>
              <w:jc w:val="center"/>
            </w:pPr>
            <w:r w:rsidRPr="002C3702">
              <w:t>20.127</w:t>
            </w:r>
          </w:p>
        </w:tc>
        <w:tc>
          <w:tcPr>
            <w:tcW w:w="1134" w:type="dxa"/>
            <w:vAlign w:val="center"/>
          </w:tcPr>
          <w:p w14:paraId="7FCC9EF6" w14:textId="1330665C" w:rsidR="002C4C4D" w:rsidRPr="002C3702" w:rsidRDefault="00DE29D5" w:rsidP="00E02E7B">
            <w:pPr>
              <w:pStyle w:val="TableText0"/>
              <w:jc w:val="center"/>
            </w:pPr>
            <w:r w:rsidRPr="002C3702">
              <w:t>19.875</w:t>
            </w:r>
          </w:p>
        </w:tc>
        <w:tc>
          <w:tcPr>
            <w:tcW w:w="1418" w:type="dxa"/>
            <w:shd w:val="clear" w:color="auto" w:fill="B8CCE4" w:themeFill="accent1" w:themeFillTint="66"/>
            <w:vAlign w:val="center"/>
          </w:tcPr>
          <w:p w14:paraId="78217D48" w14:textId="77777777" w:rsidR="002C4C4D" w:rsidRPr="002C3702" w:rsidRDefault="002C4C4D" w:rsidP="00E02E7B">
            <w:pPr>
              <w:pStyle w:val="TableText0"/>
              <w:jc w:val="center"/>
            </w:pPr>
            <w:r w:rsidRPr="002C3702">
              <w:t>18.795</w:t>
            </w:r>
          </w:p>
        </w:tc>
        <w:tc>
          <w:tcPr>
            <w:tcW w:w="1134" w:type="dxa"/>
            <w:vAlign w:val="center"/>
          </w:tcPr>
          <w:p w14:paraId="12F95168" w14:textId="47E2566B" w:rsidR="002C4C4D" w:rsidRPr="002C3702" w:rsidRDefault="00DE29D5" w:rsidP="00E02E7B">
            <w:pPr>
              <w:pStyle w:val="TableText0"/>
              <w:jc w:val="center"/>
            </w:pPr>
            <w:r w:rsidRPr="002C3702">
              <w:t>18.700</w:t>
            </w:r>
          </w:p>
        </w:tc>
        <w:tc>
          <w:tcPr>
            <w:tcW w:w="1325" w:type="dxa"/>
            <w:shd w:val="clear" w:color="auto" w:fill="B8CCE4" w:themeFill="accent1" w:themeFillTint="66"/>
            <w:vAlign w:val="center"/>
          </w:tcPr>
          <w:p w14:paraId="5241ABD1" w14:textId="77777777" w:rsidR="00A23FEB" w:rsidRPr="002C3702" w:rsidRDefault="002C4C4D" w:rsidP="00E02E7B">
            <w:pPr>
              <w:pStyle w:val="TableText0"/>
              <w:jc w:val="center"/>
            </w:pPr>
            <w:r w:rsidRPr="002C3702">
              <w:t xml:space="preserve">1.332 </w:t>
            </w:r>
          </w:p>
          <w:p w14:paraId="37D022CD" w14:textId="37A50F1D" w:rsidR="002C4C4D" w:rsidRPr="002C3702" w:rsidRDefault="002C4C4D" w:rsidP="00E02E7B">
            <w:pPr>
              <w:pStyle w:val="TableText0"/>
              <w:jc w:val="center"/>
            </w:pPr>
            <w:r w:rsidRPr="002C3702">
              <w:t>(133.2 per 100 patients)</w:t>
            </w:r>
          </w:p>
        </w:tc>
        <w:tc>
          <w:tcPr>
            <w:tcW w:w="1226" w:type="dxa"/>
            <w:vAlign w:val="center"/>
          </w:tcPr>
          <w:p w14:paraId="1120F008" w14:textId="77777777" w:rsidR="00A23FEB" w:rsidRPr="002C3702" w:rsidRDefault="00557E6B" w:rsidP="00E02E7B">
            <w:pPr>
              <w:pStyle w:val="TableText0"/>
              <w:jc w:val="center"/>
            </w:pPr>
            <w:r w:rsidRPr="002C3702">
              <w:t>1.175</w:t>
            </w:r>
            <w:r w:rsidR="0050700C" w:rsidRPr="002C3702">
              <w:t xml:space="preserve"> </w:t>
            </w:r>
          </w:p>
          <w:p w14:paraId="014D6C10" w14:textId="0E87F725" w:rsidR="002C4C4D" w:rsidRPr="002C3702" w:rsidRDefault="0050700C" w:rsidP="00E02E7B">
            <w:pPr>
              <w:pStyle w:val="TableText0"/>
              <w:jc w:val="center"/>
            </w:pPr>
            <w:r w:rsidRPr="002C3702">
              <w:t>(117.5 per 100 patients)</w:t>
            </w:r>
          </w:p>
        </w:tc>
      </w:tr>
      <w:tr w:rsidR="00355830" w:rsidRPr="002C3702" w14:paraId="17916FFC" w14:textId="65C9E377" w:rsidTr="0039488E">
        <w:tc>
          <w:tcPr>
            <w:tcW w:w="9209" w:type="dxa"/>
            <w:gridSpan w:val="7"/>
          </w:tcPr>
          <w:p w14:paraId="0D284757" w14:textId="2D0903D9" w:rsidR="00355830" w:rsidRPr="002C3702" w:rsidRDefault="00355830" w:rsidP="00355830">
            <w:pPr>
              <w:pStyle w:val="TableText0"/>
            </w:pPr>
            <w:r w:rsidRPr="002C3702">
              <w:rPr>
                <w:b/>
              </w:rPr>
              <w:t>Cohort 1, monarchE</w:t>
            </w:r>
          </w:p>
        </w:tc>
      </w:tr>
      <w:tr w:rsidR="0039488E" w:rsidRPr="002C3702" w14:paraId="4AAAD574" w14:textId="66E523FA" w:rsidTr="00A0460A">
        <w:tc>
          <w:tcPr>
            <w:tcW w:w="1555" w:type="dxa"/>
          </w:tcPr>
          <w:p w14:paraId="4181E020" w14:textId="7BD9D6CE" w:rsidR="002C4C4D" w:rsidRPr="002C3702" w:rsidRDefault="002C4C4D" w:rsidP="000A1D2C">
            <w:pPr>
              <w:pStyle w:val="TableText0"/>
            </w:pPr>
            <w:r w:rsidRPr="002C3702">
              <w:t>Non-metastatic recurrence</w:t>
            </w:r>
            <w:r w:rsidR="00EB246A" w:rsidRPr="002C3702">
              <w:t xml:space="preserve"> </w:t>
            </w:r>
            <w:r w:rsidR="00EB246A" w:rsidRPr="002C3702">
              <w:rPr>
                <w:vertAlign w:val="superscript"/>
              </w:rPr>
              <w:t>a</w:t>
            </w:r>
          </w:p>
        </w:tc>
        <w:tc>
          <w:tcPr>
            <w:tcW w:w="1417" w:type="dxa"/>
            <w:shd w:val="clear" w:color="auto" w:fill="B8CCE4" w:themeFill="accent1" w:themeFillTint="66"/>
            <w:vAlign w:val="center"/>
          </w:tcPr>
          <w:p w14:paraId="2E8013B4" w14:textId="77777777" w:rsidR="002C4C4D" w:rsidRPr="002C3702" w:rsidRDefault="002C4C4D" w:rsidP="00A0460A">
            <w:pPr>
              <w:pStyle w:val="TableText0"/>
              <w:jc w:val="center"/>
            </w:pPr>
            <w:r w:rsidRPr="002C3702">
              <w:t>2.4%</w:t>
            </w:r>
          </w:p>
        </w:tc>
        <w:tc>
          <w:tcPr>
            <w:tcW w:w="1134" w:type="dxa"/>
            <w:vAlign w:val="center"/>
          </w:tcPr>
          <w:p w14:paraId="1E0E17C6" w14:textId="16601C28" w:rsidR="002C4C4D" w:rsidRPr="002C3702" w:rsidRDefault="00722EE8" w:rsidP="00A0460A">
            <w:pPr>
              <w:pStyle w:val="TableText0"/>
              <w:jc w:val="center"/>
            </w:pPr>
            <w:r w:rsidRPr="002C3702">
              <w:t>2.2%</w:t>
            </w:r>
          </w:p>
        </w:tc>
        <w:tc>
          <w:tcPr>
            <w:tcW w:w="1418" w:type="dxa"/>
            <w:shd w:val="clear" w:color="auto" w:fill="B8CCE4" w:themeFill="accent1" w:themeFillTint="66"/>
            <w:vAlign w:val="center"/>
          </w:tcPr>
          <w:p w14:paraId="02809F56" w14:textId="77777777" w:rsidR="002C4C4D" w:rsidRPr="002C3702" w:rsidRDefault="002C4C4D" w:rsidP="00A0460A">
            <w:pPr>
              <w:pStyle w:val="TableText0"/>
              <w:jc w:val="center"/>
            </w:pPr>
            <w:r w:rsidRPr="002C3702">
              <w:t>3.2%</w:t>
            </w:r>
          </w:p>
        </w:tc>
        <w:tc>
          <w:tcPr>
            <w:tcW w:w="1134" w:type="dxa"/>
            <w:vAlign w:val="center"/>
          </w:tcPr>
          <w:p w14:paraId="4D5B49B9" w14:textId="6162320A" w:rsidR="002C4C4D" w:rsidRPr="002C3702" w:rsidRDefault="002C7783" w:rsidP="00A0460A">
            <w:pPr>
              <w:pStyle w:val="TableText0"/>
              <w:jc w:val="center"/>
            </w:pPr>
            <w:r w:rsidRPr="002C3702">
              <w:t>3.2%</w:t>
            </w:r>
          </w:p>
        </w:tc>
        <w:tc>
          <w:tcPr>
            <w:tcW w:w="1325" w:type="dxa"/>
            <w:shd w:val="clear" w:color="auto" w:fill="B8CCE4" w:themeFill="accent1" w:themeFillTint="66"/>
            <w:vAlign w:val="center"/>
          </w:tcPr>
          <w:p w14:paraId="1B6D4989" w14:textId="77777777" w:rsidR="002C4C4D" w:rsidRPr="002C3702" w:rsidRDefault="002C4C4D" w:rsidP="00A0460A">
            <w:pPr>
              <w:pStyle w:val="TableText0"/>
              <w:jc w:val="center"/>
            </w:pPr>
            <w:r w:rsidRPr="002C3702">
              <w:t>−0.8</w:t>
            </w:r>
          </w:p>
        </w:tc>
        <w:tc>
          <w:tcPr>
            <w:tcW w:w="1226" w:type="dxa"/>
            <w:vAlign w:val="center"/>
          </w:tcPr>
          <w:p w14:paraId="7FA22939" w14:textId="763643AF" w:rsidR="002C4C4D" w:rsidRPr="002C3702" w:rsidRDefault="00E375BB" w:rsidP="00A0460A">
            <w:pPr>
              <w:pStyle w:val="TableText0"/>
              <w:jc w:val="center"/>
            </w:pPr>
            <w:r w:rsidRPr="002C3702">
              <w:t>-1.0</w:t>
            </w:r>
          </w:p>
        </w:tc>
      </w:tr>
      <w:tr w:rsidR="0039488E" w:rsidRPr="002C3702" w14:paraId="085E7036" w14:textId="6C30847B" w:rsidTr="00A0460A">
        <w:tc>
          <w:tcPr>
            <w:tcW w:w="1555" w:type="dxa"/>
          </w:tcPr>
          <w:p w14:paraId="16CB94F7" w14:textId="77777777" w:rsidR="002C4C4D" w:rsidRPr="002C3702" w:rsidRDefault="002C4C4D" w:rsidP="000A1D2C">
            <w:pPr>
              <w:pStyle w:val="TableText0"/>
            </w:pPr>
            <w:r w:rsidRPr="002C3702">
              <w:t>Metastatic recurrence</w:t>
            </w:r>
          </w:p>
        </w:tc>
        <w:tc>
          <w:tcPr>
            <w:tcW w:w="1417" w:type="dxa"/>
            <w:shd w:val="clear" w:color="auto" w:fill="B8CCE4" w:themeFill="accent1" w:themeFillTint="66"/>
            <w:vAlign w:val="center"/>
          </w:tcPr>
          <w:p w14:paraId="1B1E88B2" w14:textId="77777777" w:rsidR="002C4C4D" w:rsidRPr="002C3702" w:rsidRDefault="002C4C4D" w:rsidP="00A0460A">
            <w:pPr>
              <w:pStyle w:val="TableText0"/>
              <w:jc w:val="center"/>
            </w:pPr>
            <w:r w:rsidRPr="002C3702">
              <w:t>5.7%</w:t>
            </w:r>
          </w:p>
        </w:tc>
        <w:tc>
          <w:tcPr>
            <w:tcW w:w="1134" w:type="dxa"/>
            <w:vAlign w:val="center"/>
          </w:tcPr>
          <w:p w14:paraId="10791F07" w14:textId="1A3EABD9" w:rsidR="002C4C4D" w:rsidRPr="002C3702" w:rsidRDefault="001D46EE" w:rsidP="00A0460A">
            <w:pPr>
              <w:pStyle w:val="TableText0"/>
              <w:jc w:val="center"/>
            </w:pPr>
            <w:r w:rsidRPr="002C3702">
              <w:t>8.4</w:t>
            </w:r>
            <w:r w:rsidR="00815313" w:rsidRPr="002C3702">
              <w:t>%</w:t>
            </w:r>
          </w:p>
        </w:tc>
        <w:tc>
          <w:tcPr>
            <w:tcW w:w="1418" w:type="dxa"/>
            <w:shd w:val="clear" w:color="auto" w:fill="B8CCE4" w:themeFill="accent1" w:themeFillTint="66"/>
            <w:vAlign w:val="center"/>
          </w:tcPr>
          <w:p w14:paraId="7D6EDAA5" w14:textId="77777777" w:rsidR="002C4C4D" w:rsidRPr="002C3702" w:rsidRDefault="002C4C4D" w:rsidP="00A0460A">
            <w:pPr>
              <w:pStyle w:val="TableText0"/>
              <w:jc w:val="center"/>
            </w:pPr>
            <w:r w:rsidRPr="002C3702">
              <w:t>9.1%</w:t>
            </w:r>
          </w:p>
        </w:tc>
        <w:tc>
          <w:tcPr>
            <w:tcW w:w="1134" w:type="dxa"/>
            <w:vAlign w:val="center"/>
          </w:tcPr>
          <w:p w14:paraId="69D4358A" w14:textId="2F15AA63" w:rsidR="002C4C4D" w:rsidRPr="002C3702" w:rsidRDefault="001D46EE" w:rsidP="00A0460A">
            <w:pPr>
              <w:pStyle w:val="TableText0"/>
              <w:jc w:val="center"/>
            </w:pPr>
            <w:r w:rsidRPr="002C3702">
              <w:t>13.5</w:t>
            </w:r>
            <w:r w:rsidR="00815313" w:rsidRPr="002C3702">
              <w:t>%</w:t>
            </w:r>
          </w:p>
        </w:tc>
        <w:tc>
          <w:tcPr>
            <w:tcW w:w="1325" w:type="dxa"/>
            <w:shd w:val="clear" w:color="auto" w:fill="B8CCE4" w:themeFill="accent1" w:themeFillTint="66"/>
            <w:vAlign w:val="center"/>
          </w:tcPr>
          <w:p w14:paraId="20C6DECF" w14:textId="77777777" w:rsidR="002C4C4D" w:rsidRPr="002C3702" w:rsidRDefault="002C4C4D" w:rsidP="00A0460A">
            <w:pPr>
              <w:pStyle w:val="TableText0"/>
              <w:jc w:val="center"/>
            </w:pPr>
            <w:r w:rsidRPr="002C3702">
              <w:t>−3.4</w:t>
            </w:r>
          </w:p>
        </w:tc>
        <w:tc>
          <w:tcPr>
            <w:tcW w:w="1226" w:type="dxa"/>
            <w:vAlign w:val="center"/>
          </w:tcPr>
          <w:p w14:paraId="1C5747C4" w14:textId="67382279" w:rsidR="002C4C4D" w:rsidRPr="002C3702" w:rsidRDefault="00222A66" w:rsidP="00A0460A">
            <w:pPr>
              <w:pStyle w:val="TableText0"/>
              <w:jc w:val="center"/>
            </w:pPr>
            <w:r w:rsidRPr="002C3702">
              <w:t>-5.1</w:t>
            </w:r>
          </w:p>
        </w:tc>
      </w:tr>
      <w:tr w:rsidR="0039488E" w:rsidRPr="002C3702" w14:paraId="5E4FCF45" w14:textId="12998287" w:rsidTr="00A0460A">
        <w:tc>
          <w:tcPr>
            <w:tcW w:w="1555" w:type="dxa"/>
          </w:tcPr>
          <w:p w14:paraId="2A038642" w14:textId="77777777" w:rsidR="002C4C4D" w:rsidRPr="002C3702" w:rsidRDefault="002C4C4D" w:rsidP="000A1D2C">
            <w:pPr>
              <w:pStyle w:val="TableText0"/>
            </w:pPr>
            <w:r w:rsidRPr="002C3702">
              <w:t>Any recurrence</w:t>
            </w:r>
          </w:p>
        </w:tc>
        <w:tc>
          <w:tcPr>
            <w:tcW w:w="1417" w:type="dxa"/>
            <w:shd w:val="clear" w:color="auto" w:fill="B8CCE4" w:themeFill="accent1" w:themeFillTint="66"/>
            <w:vAlign w:val="center"/>
          </w:tcPr>
          <w:p w14:paraId="6442661F" w14:textId="77777777" w:rsidR="002C4C4D" w:rsidRPr="002C3702" w:rsidRDefault="002C4C4D" w:rsidP="00A0460A">
            <w:pPr>
              <w:pStyle w:val="TableText0"/>
              <w:jc w:val="center"/>
            </w:pPr>
            <w:r w:rsidRPr="002C3702">
              <w:t>7.9%</w:t>
            </w:r>
          </w:p>
        </w:tc>
        <w:tc>
          <w:tcPr>
            <w:tcW w:w="1134" w:type="dxa"/>
            <w:vAlign w:val="center"/>
          </w:tcPr>
          <w:p w14:paraId="2BA5A1C2" w14:textId="766C6D9A" w:rsidR="002C4C4D" w:rsidRPr="002C3702" w:rsidRDefault="00C76E27" w:rsidP="00A0460A">
            <w:pPr>
              <w:pStyle w:val="TableText0"/>
              <w:jc w:val="center"/>
            </w:pPr>
            <w:r w:rsidRPr="002C3702">
              <w:t>11.4</w:t>
            </w:r>
            <w:r w:rsidR="00815313" w:rsidRPr="002C3702">
              <w:t>%</w:t>
            </w:r>
          </w:p>
        </w:tc>
        <w:tc>
          <w:tcPr>
            <w:tcW w:w="1418" w:type="dxa"/>
            <w:shd w:val="clear" w:color="auto" w:fill="B8CCE4" w:themeFill="accent1" w:themeFillTint="66"/>
            <w:vAlign w:val="center"/>
          </w:tcPr>
          <w:p w14:paraId="62548C6D" w14:textId="77777777" w:rsidR="002C4C4D" w:rsidRPr="002C3702" w:rsidRDefault="002C4C4D" w:rsidP="00A0460A">
            <w:pPr>
              <w:pStyle w:val="TableText0"/>
              <w:jc w:val="center"/>
            </w:pPr>
            <w:r w:rsidRPr="002C3702">
              <w:t>12.0%</w:t>
            </w:r>
          </w:p>
        </w:tc>
        <w:tc>
          <w:tcPr>
            <w:tcW w:w="1134" w:type="dxa"/>
            <w:vAlign w:val="center"/>
          </w:tcPr>
          <w:p w14:paraId="521FD9CF" w14:textId="29342465" w:rsidR="002C4C4D" w:rsidRPr="002C3702" w:rsidRDefault="00AA042E" w:rsidP="00A0460A">
            <w:pPr>
              <w:pStyle w:val="TableText0"/>
              <w:jc w:val="center"/>
            </w:pPr>
            <w:r w:rsidRPr="002C3702">
              <w:t>17.7</w:t>
            </w:r>
            <w:r w:rsidR="00815313" w:rsidRPr="002C3702">
              <w:t>%</w:t>
            </w:r>
          </w:p>
        </w:tc>
        <w:tc>
          <w:tcPr>
            <w:tcW w:w="1325" w:type="dxa"/>
            <w:shd w:val="clear" w:color="auto" w:fill="B8CCE4" w:themeFill="accent1" w:themeFillTint="66"/>
            <w:vAlign w:val="center"/>
          </w:tcPr>
          <w:p w14:paraId="609C1148" w14:textId="77777777" w:rsidR="002C4C4D" w:rsidRPr="002C3702" w:rsidRDefault="002C4C4D" w:rsidP="00A0460A">
            <w:pPr>
              <w:pStyle w:val="TableText0"/>
              <w:jc w:val="center"/>
            </w:pPr>
            <w:r w:rsidRPr="002C3702">
              <w:t>−4.1</w:t>
            </w:r>
          </w:p>
        </w:tc>
        <w:tc>
          <w:tcPr>
            <w:tcW w:w="1226" w:type="dxa"/>
            <w:vAlign w:val="center"/>
          </w:tcPr>
          <w:p w14:paraId="263123A6" w14:textId="7C060E32" w:rsidR="002C4C4D" w:rsidRPr="002C3702" w:rsidRDefault="00B9441C" w:rsidP="00A0460A">
            <w:pPr>
              <w:pStyle w:val="TableText0"/>
              <w:jc w:val="center"/>
            </w:pPr>
            <w:r w:rsidRPr="002C3702">
              <w:t>-6.3</w:t>
            </w:r>
          </w:p>
        </w:tc>
      </w:tr>
      <w:tr w:rsidR="0039488E" w:rsidRPr="002C3702" w14:paraId="15DDB23C" w14:textId="48099105" w:rsidTr="0039488E">
        <w:tc>
          <w:tcPr>
            <w:tcW w:w="9209" w:type="dxa"/>
            <w:gridSpan w:val="7"/>
          </w:tcPr>
          <w:p w14:paraId="320D375F" w14:textId="56190EC4" w:rsidR="0039488E" w:rsidRPr="002C3702" w:rsidRDefault="0039488E" w:rsidP="0039488E">
            <w:pPr>
              <w:pStyle w:val="TableText0"/>
            </w:pPr>
            <w:r w:rsidRPr="002C3702">
              <w:rPr>
                <w:b/>
              </w:rPr>
              <w:t>Model time horizon (30 years)</w:t>
            </w:r>
          </w:p>
        </w:tc>
      </w:tr>
      <w:tr w:rsidR="0039488E" w:rsidRPr="002C3702" w14:paraId="17D37B2E" w14:textId="2B4AF385" w:rsidTr="007D4069">
        <w:tc>
          <w:tcPr>
            <w:tcW w:w="1555" w:type="dxa"/>
          </w:tcPr>
          <w:p w14:paraId="750B5D98" w14:textId="517A1CB9" w:rsidR="002C4C4D" w:rsidRPr="002C3702" w:rsidRDefault="002C4C4D" w:rsidP="000A1D2C">
            <w:pPr>
              <w:pStyle w:val="TableText0"/>
            </w:pPr>
            <w:r w:rsidRPr="002C3702">
              <w:t>Non-metastatic recurrence</w:t>
            </w:r>
            <w:r w:rsidR="00EB246A" w:rsidRPr="002C3702">
              <w:t xml:space="preserve"> </w:t>
            </w:r>
            <w:r w:rsidR="00EB246A" w:rsidRPr="002C3702">
              <w:rPr>
                <w:vertAlign w:val="superscript"/>
              </w:rPr>
              <w:t>a</w:t>
            </w:r>
          </w:p>
        </w:tc>
        <w:tc>
          <w:tcPr>
            <w:tcW w:w="1417" w:type="dxa"/>
            <w:shd w:val="clear" w:color="auto" w:fill="B8CCE4" w:themeFill="accent1" w:themeFillTint="66"/>
            <w:vAlign w:val="center"/>
          </w:tcPr>
          <w:p w14:paraId="50127A17" w14:textId="2E768CA3" w:rsidR="002C4C4D" w:rsidRPr="00D8041A" w:rsidRDefault="000752BB" w:rsidP="007D4069">
            <w:pPr>
              <w:pStyle w:val="TableText0"/>
              <w:jc w:val="center"/>
            </w:pPr>
            <w:r w:rsidRPr="00D8041A">
              <w:t>17.2</w:t>
            </w:r>
            <w:r w:rsidR="00DB49AF" w:rsidRPr="00D8041A">
              <w:t>%</w:t>
            </w:r>
          </w:p>
        </w:tc>
        <w:tc>
          <w:tcPr>
            <w:tcW w:w="1134" w:type="dxa"/>
            <w:vAlign w:val="center"/>
          </w:tcPr>
          <w:p w14:paraId="70BE2BF2" w14:textId="70FBCB24" w:rsidR="002C4C4D" w:rsidRPr="00D8041A" w:rsidRDefault="000311B5" w:rsidP="007D4069">
            <w:pPr>
              <w:pStyle w:val="TableText0"/>
              <w:jc w:val="center"/>
            </w:pPr>
            <w:r w:rsidRPr="00D8041A">
              <w:t>15.4</w:t>
            </w:r>
            <w:r w:rsidR="006878D4" w:rsidRPr="00D8041A">
              <w:t>%</w:t>
            </w:r>
          </w:p>
        </w:tc>
        <w:tc>
          <w:tcPr>
            <w:tcW w:w="1418" w:type="dxa"/>
            <w:shd w:val="clear" w:color="auto" w:fill="B8CCE4" w:themeFill="accent1" w:themeFillTint="66"/>
            <w:vAlign w:val="center"/>
          </w:tcPr>
          <w:p w14:paraId="6FE2B785" w14:textId="06AD0BDC" w:rsidR="002C4C4D" w:rsidRPr="00D8041A" w:rsidRDefault="000752BB" w:rsidP="007D4069">
            <w:pPr>
              <w:pStyle w:val="TableText0"/>
              <w:jc w:val="center"/>
            </w:pPr>
            <w:r w:rsidRPr="00D8041A">
              <w:t>17.4</w:t>
            </w:r>
            <w:r w:rsidR="0008600D" w:rsidRPr="00D8041A">
              <w:t>%</w:t>
            </w:r>
          </w:p>
        </w:tc>
        <w:tc>
          <w:tcPr>
            <w:tcW w:w="1134" w:type="dxa"/>
            <w:vAlign w:val="center"/>
          </w:tcPr>
          <w:p w14:paraId="7372BEFF" w14:textId="739F38EB" w:rsidR="002C4C4D" w:rsidRPr="00D8041A" w:rsidRDefault="000311B5" w:rsidP="007D4069">
            <w:pPr>
              <w:pStyle w:val="TableText0"/>
              <w:jc w:val="center"/>
            </w:pPr>
            <w:r w:rsidRPr="00D8041A">
              <w:t>16.2</w:t>
            </w:r>
            <w:r w:rsidR="00CD1354" w:rsidRPr="00D8041A">
              <w:t>%</w:t>
            </w:r>
          </w:p>
        </w:tc>
        <w:tc>
          <w:tcPr>
            <w:tcW w:w="1325" w:type="dxa"/>
            <w:shd w:val="clear" w:color="auto" w:fill="B8CCE4" w:themeFill="accent1" w:themeFillTint="66"/>
            <w:vAlign w:val="center"/>
          </w:tcPr>
          <w:p w14:paraId="67A74A1F" w14:textId="3E5778CC" w:rsidR="002C4C4D" w:rsidRPr="00D8041A" w:rsidRDefault="002C4C4D" w:rsidP="007D4069">
            <w:pPr>
              <w:pStyle w:val="TableText0"/>
              <w:jc w:val="center"/>
            </w:pPr>
            <w:r w:rsidRPr="00D8041A">
              <w:t>−0.</w:t>
            </w:r>
            <w:r w:rsidR="000752BB" w:rsidRPr="00D8041A">
              <w:t>2</w:t>
            </w:r>
          </w:p>
        </w:tc>
        <w:tc>
          <w:tcPr>
            <w:tcW w:w="1226" w:type="dxa"/>
            <w:vAlign w:val="center"/>
          </w:tcPr>
          <w:p w14:paraId="756CF693" w14:textId="3CC1F377" w:rsidR="002C4C4D" w:rsidRPr="002C3702" w:rsidRDefault="00AC28C7" w:rsidP="007D4069">
            <w:pPr>
              <w:pStyle w:val="TableText0"/>
              <w:jc w:val="center"/>
            </w:pPr>
            <w:r w:rsidRPr="002C3702">
              <w:t>-0.</w:t>
            </w:r>
            <w:r w:rsidR="00AC3785">
              <w:t>8</w:t>
            </w:r>
          </w:p>
        </w:tc>
      </w:tr>
      <w:tr w:rsidR="0039488E" w:rsidRPr="002C3702" w14:paraId="2C0AE585" w14:textId="795CC4B0" w:rsidTr="007D4069">
        <w:tc>
          <w:tcPr>
            <w:tcW w:w="1555" w:type="dxa"/>
          </w:tcPr>
          <w:p w14:paraId="2729471D" w14:textId="77777777" w:rsidR="002C4C4D" w:rsidRPr="002C3702" w:rsidRDefault="002C4C4D" w:rsidP="000A1D2C">
            <w:pPr>
              <w:pStyle w:val="TableText0"/>
            </w:pPr>
            <w:r w:rsidRPr="002C3702">
              <w:t>Metastatic recurrence</w:t>
            </w:r>
          </w:p>
        </w:tc>
        <w:tc>
          <w:tcPr>
            <w:tcW w:w="1417" w:type="dxa"/>
            <w:shd w:val="clear" w:color="auto" w:fill="B8CCE4" w:themeFill="accent1" w:themeFillTint="66"/>
            <w:vAlign w:val="center"/>
          </w:tcPr>
          <w:p w14:paraId="7599EE3C" w14:textId="77A5EF66" w:rsidR="002C4C4D" w:rsidRPr="00D8041A" w:rsidRDefault="000752BB" w:rsidP="007D4069">
            <w:pPr>
              <w:pStyle w:val="TableText0"/>
              <w:jc w:val="center"/>
            </w:pPr>
            <w:r w:rsidRPr="00D8041A">
              <w:t>51.1</w:t>
            </w:r>
            <w:r w:rsidR="002C4C4D" w:rsidRPr="00D8041A">
              <w:t>%</w:t>
            </w:r>
          </w:p>
        </w:tc>
        <w:tc>
          <w:tcPr>
            <w:tcW w:w="1134" w:type="dxa"/>
            <w:vAlign w:val="center"/>
          </w:tcPr>
          <w:p w14:paraId="1F8831AE" w14:textId="33DE0DB9" w:rsidR="002C4C4D" w:rsidRPr="00D8041A" w:rsidRDefault="00AC3785" w:rsidP="007D4069">
            <w:pPr>
              <w:pStyle w:val="TableText0"/>
              <w:jc w:val="center"/>
            </w:pPr>
            <w:r w:rsidRPr="00D8041A">
              <w:t>49.0</w:t>
            </w:r>
            <w:r w:rsidR="005C68F1" w:rsidRPr="00D8041A">
              <w:t>%</w:t>
            </w:r>
          </w:p>
        </w:tc>
        <w:tc>
          <w:tcPr>
            <w:tcW w:w="1418" w:type="dxa"/>
            <w:shd w:val="clear" w:color="auto" w:fill="B8CCE4" w:themeFill="accent1" w:themeFillTint="66"/>
            <w:vAlign w:val="center"/>
          </w:tcPr>
          <w:p w14:paraId="2D5577AC" w14:textId="68C13ACF" w:rsidR="002C4C4D" w:rsidRPr="00D8041A" w:rsidRDefault="0047552C" w:rsidP="007D4069">
            <w:pPr>
              <w:pStyle w:val="TableText0"/>
              <w:jc w:val="center"/>
            </w:pPr>
            <w:r w:rsidRPr="00D8041A">
              <w:t>59.3</w:t>
            </w:r>
            <w:r w:rsidR="002C4C4D" w:rsidRPr="00D8041A">
              <w:t>%</w:t>
            </w:r>
          </w:p>
        </w:tc>
        <w:tc>
          <w:tcPr>
            <w:tcW w:w="1134" w:type="dxa"/>
            <w:vAlign w:val="center"/>
          </w:tcPr>
          <w:p w14:paraId="1CDEF17F" w14:textId="57FA17C6" w:rsidR="002C4C4D" w:rsidRPr="00D8041A" w:rsidRDefault="005E1670" w:rsidP="007D4069">
            <w:pPr>
              <w:pStyle w:val="TableText0"/>
              <w:jc w:val="center"/>
            </w:pPr>
            <w:r w:rsidRPr="00D8041A">
              <w:t>55.1</w:t>
            </w:r>
            <w:r w:rsidR="006878D4" w:rsidRPr="00D8041A">
              <w:t>%</w:t>
            </w:r>
          </w:p>
        </w:tc>
        <w:tc>
          <w:tcPr>
            <w:tcW w:w="1325" w:type="dxa"/>
            <w:shd w:val="clear" w:color="auto" w:fill="B8CCE4" w:themeFill="accent1" w:themeFillTint="66"/>
            <w:vAlign w:val="center"/>
          </w:tcPr>
          <w:p w14:paraId="42DCCF56" w14:textId="306EFB72" w:rsidR="002C4C4D" w:rsidRPr="00D8041A" w:rsidRDefault="002C4C4D" w:rsidP="007D4069">
            <w:pPr>
              <w:pStyle w:val="TableText0"/>
              <w:jc w:val="center"/>
            </w:pPr>
            <w:r w:rsidRPr="00D8041A">
              <w:t>−</w:t>
            </w:r>
            <w:r w:rsidR="0047552C" w:rsidRPr="00D8041A">
              <w:t>8.2</w:t>
            </w:r>
          </w:p>
        </w:tc>
        <w:tc>
          <w:tcPr>
            <w:tcW w:w="1226" w:type="dxa"/>
            <w:vAlign w:val="center"/>
          </w:tcPr>
          <w:p w14:paraId="76F288F9" w14:textId="2CB10933" w:rsidR="002C4C4D" w:rsidRPr="002C3702" w:rsidRDefault="00161239" w:rsidP="007D4069">
            <w:pPr>
              <w:pStyle w:val="TableText0"/>
              <w:jc w:val="center"/>
            </w:pPr>
            <w:r w:rsidRPr="002C3702">
              <w:t>-6.</w:t>
            </w:r>
            <w:r w:rsidR="005E1670">
              <w:t>1</w:t>
            </w:r>
          </w:p>
        </w:tc>
      </w:tr>
      <w:tr w:rsidR="0039488E" w:rsidRPr="002C3702" w14:paraId="4EBECAA3" w14:textId="677745BE" w:rsidTr="007D4069">
        <w:tc>
          <w:tcPr>
            <w:tcW w:w="1555" w:type="dxa"/>
          </w:tcPr>
          <w:p w14:paraId="3913D989" w14:textId="77777777" w:rsidR="002C4C4D" w:rsidRPr="002C3702" w:rsidRDefault="002C4C4D" w:rsidP="000A1D2C">
            <w:pPr>
              <w:pStyle w:val="TableText0"/>
            </w:pPr>
            <w:r w:rsidRPr="002C3702">
              <w:t xml:space="preserve">  From IDFS</w:t>
            </w:r>
          </w:p>
        </w:tc>
        <w:tc>
          <w:tcPr>
            <w:tcW w:w="1417" w:type="dxa"/>
            <w:shd w:val="clear" w:color="auto" w:fill="B8CCE4" w:themeFill="accent1" w:themeFillTint="66"/>
            <w:vAlign w:val="center"/>
          </w:tcPr>
          <w:p w14:paraId="498D3BC7" w14:textId="1EBAB9A1" w:rsidR="002C4C4D" w:rsidRPr="00D8041A" w:rsidRDefault="0047552C" w:rsidP="007D4069">
            <w:pPr>
              <w:pStyle w:val="TableText0"/>
              <w:jc w:val="center"/>
            </w:pPr>
            <w:r w:rsidRPr="00D8041A">
              <w:t>41.9</w:t>
            </w:r>
            <w:r w:rsidR="002C4C4D" w:rsidRPr="00D8041A">
              <w:t>%</w:t>
            </w:r>
          </w:p>
        </w:tc>
        <w:tc>
          <w:tcPr>
            <w:tcW w:w="1134" w:type="dxa"/>
            <w:vAlign w:val="center"/>
          </w:tcPr>
          <w:p w14:paraId="71225791" w14:textId="7C700FA1" w:rsidR="002C4C4D" w:rsidRPr="00D8041A" w:rsidRDefault="005E1670" w:rsidP="007D4069">
            <w:pPr>
              <w:pStyle w:val="TableText0"/>
              <w:jc w:val="center"/>
            </w:pPr>
            <w:r w:rsidRPr="00D8041A">
              <w:t>41.4</w:t>
            </w:r>
            <w:r w:rsidR="00E312A8" w:rsidRPr="00D8041A">
              <w:t>%</w:t>
            </w:r>
          </w:p>
        </w:tc>
        <w:tc>
          <w:tcPr>
            <w:tcW w:w="1418" w:type="dxa"/>
            <w:shd w:val="clear" w:color="auto" w:fill="B8CCE4" w:themeFill="accent1" w:themeFillTint="66"/>
            <w:vAlign w:val="center"/>
          </w:tcPr>
          <w:p w14:paraId="4A3B276C" w14:textId="721491E4" w:rsidR="002C4C4D" w:rsidRPr="00D8041A" w:rsidRDefault="0047552C" w:rsidP="007D4069">
            <w:pPr>
              <w:pStyle w:val="TableText0"/>
              <w:jc w:val="center"/>
            </w:pPr>
            <w:r w:rsidRPr="00D8041A">
              <w:t>50.0</w:t>
            </w:r>
            <w:r w:rsidR="002C4C4D" w:rsidRPr="00D8041A">
              <w:t>%</w:t>
            </w:r>
          </w:p>
        </w:tc>
        <w:tc>
          <w:tcPr>
            <w:tcW w:w="1134" w:type="dxa"/>
            <w:vAlign w:val="center"/>
          </w:tcPr>
          <w:p w14:paraId="5603A230" w14:textId="1A2DC227" w:rsidR="002C4C4D" w:rsidRPr="00D8041A" w:rsidRDefault="005E1670" w:rsidP="007D4069">
            <w:pPr>
              <w:pStyle w:val="TableText0"/>
              <w:jc w:val="center"/>
            </w:pPr>
            <w:r w:rsidRPr="00D8041A">
              <w:t>4</w:t>
            </w:r>
            <w:r w:rsidR="00C456C6" w:rsidRPr="00D8041A">
              <w:t>6</w:t>
            </w:r>
            <w:r w:rsidRPr="00D8041A">
              <w:t>.8</w:t>
            </w:r>
            <w:r w:rsidR="00FF0092" w:rsidRPr="00D8041A">
              <w:t>%</w:t>
            </w:r>
          </w:p>
        </w:tc>
        <w:tc>
          <w:tcPr>
            <w:tcW w:w="1325" w:type="dxa"/>
            <w:shd w:val="clear" w:color="auto" w:fill="B8CCE4" w:themeFill="accent1" w:themeFillTint="66"/>
            <w:vAlign w:val="center"/>
          </w:tcPr>
          <w:p w14:paraId="5A6423D0" w14:textId="687E226A" w:rsidR="002C4C4D" w:rsidRPr="00D8041A" w:rsidRDefault="002C4C4D" w:rsidP="007D4069">
            <w:pPr>
              <w:pStyle w:val="TableText0"/>
              <w:jc w:val="center"/>
            </w:pPr>
            <w:r w:rsidRPr="00D8041A">
              <w:t>−</w:t>
            </w:r>
            <w:r w:rsidR="0047552C" w:rsidRPr="00D8041A">
              <w:t>8.1</w:t>
            </w:r>
          </w:p>
        </w:tc>
        <w:tc>
          <w:tcPr>
            <w:tcW w:w="1226" w:type="dxa"/>
            <w:vAlign w:val="center"/>
          </w:tcPr>
          <w:p w14:paraId="65BB6C67" w14:textId="43ABA270" w:rsidR="002C4C4D" w:rsidRPr="002C3702" w:rsidRDefault="00E312A8" w:rsidP="007D4069">
            <w:pPr>
              <w:pStyle w:val="TableText0"/>
              <w:jc w:val="center"/>
            </w:pPr>
            <w:r w:rsidRPr="002C3702">
              <w:t>-</w:t>
            </w:r>
            <w:r w:rsidR="00C456C6">
              <w:t>5.4</w:t>
            </w:r>
          </w:p>
        </w:tc>
      </w:tr>
      <w:tr w:rsidR="0039488E" w:rsidRPr="002C3702" w14:paraId="4733ACA9" w14:textId="5BFD8E08" w:rsidTr="007D4069">
        <w:tc>
          <w:tcPr>
            <w:tcW w:w="1555" w:type="dxa"/>
          </w:tcPr>
          <w:p w14:paraId="0870B486" w14:textId="77777777" w:rsidR="002C4C4D" w:rsidRPr="002C3702" w:rsidRDefault="002C4C4D" w:rsidP="000A1D2C">
            <w:pPr>
              <w:pStyle w:val="TableText0"/>
            </w:pPr>
            <w:r w:rsidRPr="002C3702">
              <w:t xml:space="preserve">  From Remission</w:t>
            </w:r>
          </w:p>
        </w:tc>
        <w:tc>
          <w:tcPr>
            <w:tcW w:w="1417" w:type="dxa"/>
            <w:shd w:val="clear" w:color="auto" w:fill="B8CCE4" w:themeFill="accent1" w:themeFillTint="66"/>
            <w:vAlign w:val="center"/>
          </w:tcPr>
          <w:p w14:paraId="66CA1BF8" w14:textId="2A838DB0" w:rsidR="002C4C4D" w:rsidRPr="00D8041A" w:rsidRDefault="0047552C" w:rsidP="007D4069">
            <w:pPr>
              <w:pStyle w:val="TableText0"/>
              <w:jc w:val="center"/>
            </w:pPr>
            <w:r w:rsidRPr="00D8041A">
              <w:t>9.2</w:t>
            </w:r>
            <w:r w:rsidR="002C4C4D" w:rsidRPr="00D8041A">
              <w:t>%</w:t>
            </w:r>
          </w:p>
        </w:tc>
        <w:tc>
          <w:tcPr>
            <w:tcW w:w="1134" w:type="dxa"/>
            <w:vAlign w:val="center"/>
          </w:tcPr>
          <w:p w14:paraId="7EDB2E02" w14:textId="13DF5B1A" w:rsidR="002C4C4D" w:rsidRPr="00D8041A" w:rsidRDefault="00C456C6" w:rsidP="007D4069">
            <w:pPr>
              <w:pStyle w:val="TableText0"/>
              <w:jc w:val="center"/>
            </w:pPr>
            <w:r w:rsidRPr="00D8041A">
              <w:t>7.7</w:t>
            </w:r>
            <w:r w:rsidR="00D206E9" w:rsidRPr="00D8041A">
              <w:t>%</w:t>
            </w:r>
          </w:p>
        </w:tc>
        <w:tc>
          <w:tcPr>
            <w:tcW w:w="1418" w:type="dxa"/>
            <w:shd w:val="clear" w:color="auto" w:fill="B8CCE4" w:themeFill="accent1" w:themeFillTint="66"/>
            <w:vAlign w:val="center"/>
          </w:tcPr>
          <w:p w14:paraId="729FE822" w14:textId="4E90E0AB" w:rsidR="002C4C4D" w:rsidRPr="00D8041A" w:rsidRDefault="0047552C" w:rsidP="007D4069">
            <w:pPr>
              <w:pStyle w:val="TableText0"/>
              <w:jc w:val="center"/>
            </w:pPr>
            <w:r w:rsidRPr="00D8041A">
              <w:t>9.7</w:t>
            </w:r>
            <w:r w:rsidR="002C4C4D" w:rsidRPr="00D8041A">
              <w:t>%</w:t>
            </w:r>
          </w:p>
        </w:tc>
        <w:tc>
          <w:tcPr>
            <w:tcW w:w="1134" w:type="dxa"/>
            <w:vAlign w:val="center"/>
          </w:tcPr>
          <w:p w14:paraId="052DD4E3" w14:textId="2707F17D" w:rsidR="002C4C4D" w:rsidRPr="00D8041A" w:rsidRDefault="00A65F6C" w:rsidP="007D4069">
            <w:pPr>
              <w:pStyle w:val="TableText0"/>
              <w:jc w:val="center"/>
            </w:pPr>
            <w:r w:rsidRPr="00D8041A">
              <w:t>8.4</w:t>
            </w:r>
            <w:r w:rsidR="00010ABB" w:rsidRPr="00D8041A">
              <w:t>%</w:t>
            </w:r>
          </w:p>
        </w:tc>
        <w:tc>
          <w:tcPr>
            <w:tcW w:w="1325" w:type="dxa"/>
            <w:shd w:val="clear" w:color="auto" w:fill="B8CCE4" w:themeFill="accent1" w:themeFillTint="66"/>
            <w:vAlign w:val="center"/>
          </w:tcPr>
          <w:p w14:paraId="7B9967E5" w14:textId="76C81B6D" w:rsidR="002C4C4D" w:rsidRPr="00D8041A" w:rsidRDefault="00836C6D" w:rsidP="007D4069">
            <w:pPr>
              <w:pStyle w:val="TableText0"/>
              <w:jc w:val="center"/>
            </w:pPr>
            <w:r w:rsidRPr="00D8041A">
              <w:t>-0.5</w:t>
            </w:r>
          </w:p>
        </w:tc>
        <w:tc>
          <w:tcPr>
            <w:tcW w:w="1226" w:type="dxa"/>
            <w:vAlign w:val="center"/>
          </w:tcPr>
          <w:p w14:paraId="293EA957" w14:textId="75D12EB0" w:rsidR="002C4C4D" w:rsidRPr="002C3702" w:rsidRDefault="00A65F6C" w:rsidP="007D4069">
            <w:pPr>
              <w:pStyle w:val="TableText0"/>
              <w:jc w:val="center"/>
            </w:pPr>
            <w:r>
              <w:t>-</w:t>
            </w:r>
            <w:r w:rsidR="00010ABB" w:rsidRPr="002C3702">
              <w:t>0.</w:t>
            </w:r>
            <w:r>
              <w:t>7</w:t>
            </w:r>
          </w:p>
        </w:tc>
      </w:tr>
      <w:tr w:rsidR="0039488E" w:rsidRPr="002C3702" w14:paraId="1AFF9688" w14:textId="4D34332C" w:rsidTr="007D4069">
        <w:tc>
          <w:tcPr>
            <w:tcW w:w="1555" w:type="dxa"/>
          </w:tcPr>
          <w:p w14:paraId="24739B99" w14:textId="6CA9CE03" w:rsidR="002C4C4D" w:rsidRPr="002C3702" w:rsidRDefault="002C4C4D" w:rsidP="000A1D2C">
            <w:pPr>
              <w:pStyle w:val="TableText0"/>
            </w:pPr>
            <w:r w:rsidRPr="002C3702">
              <w:t xml:space="preserve">Any recurrence </w:t>
            </w:r>
          </w:p>
        </w:tc>
        <w:tc>
          <w:tcPr>
            <w:tcW w:w="1417" w:type="dxa"/>
            <w:shd w:val="clear" w:color="auto" w:fill="B8CCE4" w:themeFill="accent1" w:themeFillTint="66"/>
            <w:vAlign w:val="center"/>
          </w:tcPr>
          <w:p w14:paraId="02250C03" w14:textId="74F90D25" w:rsidR="002C4C4D" w:rsidRPr="00D8041A" w:rsidRDefault="00836C6D" w:rsidP="007D4069">
            <w:pPr>
              <w:pStyle w:val="TableText0"/>
              <w:jc w:val="center"/>
            </w:pPr>
            <w:r w:rsidRPr="00D8041A">
              <w:t>68.3</w:t>
            </w:r>
            <w:r w:rsidR="002C4C4D" w:rsidRPr="00D8041A">
              <w:t>%</w:t>
            </w:r>
          </w:p>
        </w:tc>
        <w:tc>
          <w:tcPr>
            <w:tcW w:w="1134" w:type="dxa"/>
            <w:vAlign w:val="center"/>
          </w:tcPr>
          <w:p w14:paraId="45C06A02" w14:textId="117A4459" w:rsidR="002C4C4D" w:rsidRPr="00D8041A" w:rsidRDefault="00A65F6C" w:rsidP="007D4069">
            <w:pPr>
              <w:pStyle w:val="TableText0"/>
              <w:jc w:val="center"/>
            </w:pPr>
            <w:r w:rsidRPr="00D8041A">
              <w:t>64.4</w:t>
            </w:r>
            <w:r w:rsidR="00382F2F" w:rsidRPr="00D8041A">
              <w:t>%</w:t>
            </w:r>
          </w:p>
        </w:tc>
        <w:tc>
          <w:tcPr>
            <w:tcW w:w="1418" w:type="dxa"/>
            <w:shd w:val="clear" w:color="auto" w:fill="B8CCE4" w:themeFill="accent1" w:themeFillTint="66"/>
            <w:vAlign w:val="center"/>
          </w:tcPr>
          <w:p w14:paraId="624A70E1" w14:textId="1A9CC035" w:rsidR="002C4C4D" w:rsidRPr="00D8041A" w:rsidRDefault="00836C6D" w:rsidP="007D4069">
            <w:pPr>
              <w:pStyle w:val="TableText0"/>
              <w:jc w:val="center"/>
            </w:pPr>
            <w:r w:rsidRPr="00D8041A">
              <w:t>76.7</w:t>
            </w:r>
            <w:r w:rsidR="002C4C4D" w:rsidRPr="00D8041A">
              <w:t>%</w:t>
            </w:r>
          </w:p>
        </w:tc>
        <w:tc>
          <w:tcPr>
            <w:tcW w:w="1134" w:type="dxa"/>
            <w:vAlign w:val="center"/>
          </w:tcPr>
          <w:p w14:paraId="3039CBA4" w14:textId="0A867BBC" w:rsidR="002C4C4D" w:rsidRPr="00D8041A" w:rsidRDefault="00A65F6C" w:rsidP="007D4069">
            <w:pPr>
              <w:pStyle w:val="TableText0"/>
              <w:jc w:val="center"/>
            </w:pPr>
            <w:r w:rsidRPr="00D8041A">
              <w:t>71.4</w:t>
            </w:r>
            <w:r w:rsidR="00094C44" w:rsidRPr="00D8041A">
              <w:t>%</w:t>
            </w:r>
          </w:p>
        </w:tc>
        <w:tc>
          <w:tcPr>
            <w:tcW w:w="1325" w:type="dxa"/>
            <w:shd w:val="clear" w:color="auto" w:fill="B8CCE4" w:themeFill="accent1" w:themeFillTint="66"/>
            <w:vAlign w:val="center"/>
          </w:tcPr>
          <w:p w14:paraId="5CD964DF" w14:textId="6445A3E7" w:rsidR="002C4C4D" w:rsidRPr="00D8041A" w:rsidRDefault="002C4C4D" w:rsidP="007D4069">
            <w:pPr>
              <w:pStyle w:val="TableText0"/>
              <w:jc w:val="center"/>
            </w:pPr>
            <w:r w:rsidRPr="00D8041A">
              <w:t>−8.</w:t>
            </w:r>
            <w:r w:rsidR="00836C6D" w:rsidRPr="00D8041A">
              <w:t>4</w:t>
            </w:r>
          </w:p>
        </w:tc>
        <w:tc>
          <w:tcPr>
            <w:tcW w:w="1226" w:type="dxa"/>
            <w:vAlign w:val="center"/>
          </w:tcPr>
          <w:p w14:paraId="669C0E1A" w14:textId="12F8D389" w:rsidR="002C4C4D" w:rsidRPr="002C3702" w:rsidRDefault="007D4069" w:rsidP="007D4069">
            <w:pPr>
              <w:pStyle w:val="TableText0"/>
              <w:jc w:val="center"/>
            </w:pPr>
            <w:r w:rsidRPr="002C3702">
              <w:t>-7.0</w:t>
            </w:r>
          </w:p>
        </w:tc>
      </w:tr>
    </w:tbl>
    <w:p w14:paraId="5A3E98E0" w14:textId="77049F2B" w:rsidR="007B6850" w:rsidRPr="002C3702" w:rsidRDefault="007B6850" w:rsidP="005E6C44">
      <w:pPr>
        <w:pStyle w:val="TableFigureFooter"/>
      </w:pPr>
      <w:r w:rsidRPr="002C3702">
        <w:t xml:space="preserve">Source: Constructed from the ‘A6.1_Abemaciclib Section 3 workbook 2022.xlsm’ workbook included with the </w:t>
      </w:r>
      <w:r w:rsidR="005E6C44" w:rsidRPr="002C3702">
        <w:t xml:space="preserve">March 2023 </w:t>
      </w:r>
      <w:r w:rsidRPr="002C3702">
        <w:t>resubmission</w:t>
      </w:r>
      <w:r w:rsidR="005E6C44" w:rsidRPr="002C3702">
        <w:t xml:space="preserve"> and </w:t>
      </w:r>
      <w:r w:rsidR="005E6C44" w:rsidRPr="002C3702">
        <w:rPr>
          <w:iCs/>
        </w:rPr>
        <w:t>the ‘A5.1_Abemaciclib Section 3 workbook November 2023.xlsm’ workbook of the submission.</w:t>
      </w:r>
    </w:p>
    <w:p w14:paraId="2E7BAF6E" w14:textId="77777777" w:rsidR="007B6850" w:rsidRPr="002C3702" w:rsidRDefault="007B6850" w:rsidP="007B6850">
      <w:pPr>
        <w:pStyle w:val="TableFigureFooter"/>
        <w:keepNext/>
      </w:pPr>
      <w:r w:rsidRPr="002C3702">
        <w:t>ABE = abemaciclib; ET = endocrine therapy; IDFS = invasive disease-free survival; LYG = lie years gained.</w:t>
      </w:r>
    </w:p>
    <w:p w14:paraId="7FB507D6" w14:textId="26D5E7C4" w:rsidR="00B365EE" w:rsidRPr="002C3702" w:rsidRDefault="007B6850" w:rsidP="00D83F27">
      <w:pPr>
        <w:pStyle w:val="TableFigureFooter"/>
        <w:keepNext/>
      </w:pPr>
      <w:r w:rsidRPr="002C3702">
        <w:rPr>
          <w:vertAlign w:val="superscript"/>
        </w:rPr>
        <w:t xml:space="preserve">a </w:t>
      </w:r>
      <w:r w:rsidR="00516FBB" w:rsidRPr="002C3702">
        <w:t>Combining the occurrences of</w:t>
      </w:r>
      <w:r w:rsidR="00EB246A" w:rsidRPr="002C3702">
        <w:t xml:space="preserve"> </w:t>
      </w:r>
      <w:r w:rsidR="00951461" w:rsidRPr="002C3702">
        <w:t>l</w:t>
      </w:r>
      <w:r w:rsidR="0065240A" w:rsidRPr="002C3702">
        <w:t>ocal/</w:t>
      </w:r>
      <w:r w:rsidR="00951461" w:rsidRPr="002C3702">
        <w:t>r</w:t>
      </w:r>
      <w:r w:rsidR="0065240A" w:rsidRPr="002C3702">
        <w:t xml:space="preserve">egional </w:t>
      </w:r>
      <w:r w:rsidR="00951461" w:rsidRPr="002C3702">
        <w:t>r</w:t>
      </w:r>
      <w:r w:rsidR="0065240A" w:rsidRPr="002C3702">
        <w:t>ecurrence</w:t>
      </w:r>
      <w:r w:rsidR="00951461" w:rsidRPr="002C3702">
        <w:t xml:space="preserve"> and </w:t>
      </w:r>
      <w:r w:rsidR="00F3296E" w:rsidRPr="002C3702">
        <w:t>c</w:t>
      </w:r>
      <w:r w:rsidR="00951461" w:rsidRPr="002C3702">
        <w:t xml:space="preserve">ontralateral </w:t>
      </w:r>
      <w:r w:rsidR="00F3296E" w:rsidRPr="002C3702">
        <w:t>r</w:t>
      </w:r>
      <w:r w:rsidR="00951461" w:rsidRPr="002C3702">
        <w:t>ecurrence</w:t>
      </w:r>
      <w:r w:rsidR="00F3296E" w:rsidRPr="002C3702">
        <w:t>.</w:t>
      </w:r>
    </w:p>
    <w:p w14:paraId="34DAE425" w14:textId="249A4962" w:rsidR="00E477EF" w:rsidRPr="00766EA9" w:rsidRDefault="00030CC5" w:rsidP="00766EA9">
      <w:pPr>
        <w:pStyle w:val="3-BodyText"/>
        <w:rPr>
          <w:rFonts w:ascii="Arial Narrow" w:hAnsi="Arial Narrow"/>
          <w:b/>
          <w:bCs/>
          <w:sz w:val="20"/>
          <w:szCs w:val="18"/>
        </w:rPr>
      </w:pPr>
      <w:r w:rsidRPr="002C3702">
        <w:t>The results of key univariate and multivariate sensitivity analyses are summarised i</w:t>
      </w:r>
      <w:r w:rsidR="00146261" w:rsidRPr="002C3702">
        <w:t>n</w:t>
      </w:r>
      <w:r w:rsidR="00766EA9">
        <w:rPr>
          <w:rFonts w:ascii="Calibri" w:hAnsi="Calibri"/>
          <w:snapToGrid/>
        </w:rPr>
        <w:t xml:space="preserve"> </w:t>
      </w:r>
      <w:r w:rsidR="00766EA9">
        <w:rPr>
          <w:rFonts w:ascii="Calibri" w:hAnsi="Calibri"/>
          <w:snapToGrid/>
        </w:rPr>
        <w:fldChar w:fldCharType="begin"/>
      </w:r>
      <w:r w:rsidR="00766EA9">
        <w:rPr>
          <w:rFonts w:ascii="Calibri" w:hAnsi="Calibri"/>
          <w:snapToGrid/>
        </w:rPr>
        <w:instrText xml:space="preserve"> REF _Ref160182428 \h </w:instrText>
      </w:r>
      <w:r w:rsidR="00766EA9">
        <w:rPr>
          <w:rFonts w:ascii="Calibri" w:hAnsi="Calibri"/>
          <w:snapToGrid/>
        </w:rPr>
      </w:r>
      <w:r w:rsidR="00766EA9">
        <w:rPr>
          <w:rFonts w:ascii="Calibri" w:hAnsi="Calibri"/>
          <w:snapToGrid/>
        </w:rPr>
        <w:fldChar w:fldCharType="separate"/>
      </w:r>
      <w:r w:rsidR="00676505" w:rsidRPr="002C3702">
        <w:t xml:space="preserve">Table </w:t>
      </w:r>
      <w:r w:rsidR="00676505">
        <w:rPr>
          <w:noProof/>
        </w:rPr>
        <w:t>13</w:t>
      </w:r>
      <w:r w:rsidR="00766EA9">
        <w:rPr>
          <w:rFonts w:ascii="Calibri" w:hAnsi="Calibri"/>
          <w:snapToGrid/>
        </w:rPr>
        <w:fldChar w:fldCharType="end"/>
      </w:r>
      <w:r w:rsidR="00763AC5" w:rsidRPr="002C3702">
        <w:t xml:space="preserve">. </w:t>
      </w:r>
      <w:bookmarkStart w:id="63" w:name="_Ref145056307"/>
      <w:bookmarkStart w:id="64" w:name="_Ref144891820"/>
    </w:p>
    <w:p w14:paraId="13408CD4" w14:textId="08D3A233" w:rsidR="00146261" w:rsidRPr="002C3702" w:rsidRDefault="00146261" w:rsidP="00766EA9">
      <w:pPr>
        <w:pStyle w:val="Caption"/>
      </w:pPr>
      <w:bookmarkStart w:id="65" w:name="_Ref160182428"/>
      <w:r w:rsidRPr="002C3702">
        <w:lastRenderedPageBreak/>
        <w:t>Table</w:t>
      </w:r>
      <w:bookmarkEnd w:id="63"/>
      <w:bookmarkEnd w:id="64"/>
      <w:r w:rsidR="003A045F" w:rsidRPr="002C3702">
        <w:t xml:space="preserve"> </w:t>
      </w:r>
      <w:fldSimple w:instr=" SEQ Table \* ARABIC ">
        <w:r w:rsidR="00676505">
          <w:rPr>
            <w:noProof/>
          </w:rPr>
          <w:t>13</w:t>
        </w:r>
      </w:fldSimple>
      <w:bookmarkEnd w:id="65"/>
      <w:r w:rsidRPr="002C3702">
        <w:t>:</w:t>
      </w:r>
      <w:r w:rsidRPr="002C3702">
        <w:rPr>
          <w:rStyle w:val="TableFigureHeadingChar"/>
          <w:b/>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401"/>
        <w:gridCol w:w="1401"/>
        <w:gridCol w:w="1717"/>
        <w:gridCol w:w="1082"/>
      </w:tblGrid>
      <w:tr w:rsidR="00030CC5" w:rsidRPr="002C3702" w14:paraId="4C670F2D" w14:textId="77777777" w:rsidTr="00146261">
        <w:trPr>
          <w:tblHeader/>
        </w:trPr>
        <w:tc>
          <w:tcPr>
            <w:tcW w:w="1894" w:type="pct"/>
          </w:tcPr>
          <w:p w14:paraId="1BDA5C8B" w14:textId="77777777" w:rsidR="00030CC5" w:rsidRPr="002C3702" w:rsidRDefault="00030CC5" w:rsidP="00766EA9">
            <w:pPr>
              <w:pStyle w:val="In-tableHeading"/>
              <w:widowControl w:val="0"/>
              <w:rPr>
                <w:lang w:val="en-AU"/>
              </w:rPr>
            </w:pPr>
            <w:r w:rsidRPr="002C3702">
              <w:rPr>
                <w:lang w:val="en-AU"/>
              </w:rPr>
              <w:t>Analyses</w:t>
            </w:r>
          </w:p>
        </w:tc>
        <w:tc>
          <w:tcPr>
            <w:tcW w:w="777" w:type="pct"/>
          </w:tcPr>
          <w:p w14:paraId="231D13E5" w14:textId="1B22F30D" w:rsidR="00030CC5" w:rsidRPr="002C3702" w:rsidRDefault="00030CC5" w:rsidP="00766EA9">
            <w:pPr>
              <w:pStyle w:val="In-tableHeading"/>
              <w:widowControl w:val="0"/>
              <w:jc w:val="center"/>
              <w:rPr>
                <w:lang w:val="en-AU"/>
              </w:rPr>
            </w:pPr>
            <w:r w:rsidRPr="002C3702">
              <w:rPr>
                <w:lang w:val="en-AU"/>
              </w:rPr>
              <w:t>Incremental cost</w:t>
            </w:r>
            <w:r w:rsidR="00C86AFB">
              <w:rPr>
                <w:lang w:val="en-AU"/>
              </w:rPr>
              <w:t xml:space="preserve"> ($)</w:t>
            </w:r>
          </w:p>
        </w:tc>
        <w:tc>
          <w:tcPr>
            <w:tcW w:w="777" w:type="pct"/>
          </w:tcPr>
          <w:p w14:paraId="2D90F20A" w14:textId="77777777" w:rsidR="00030CC5" w:rsidRPr="002C3702" w:rsidRDefault="00030CC5" w:rsidP="00766EA9">
            <w:pPr>
              <w:pStyle w:val="In-tableHeading"/>
              <w:widowControl w:val="0"/>
              <w:jc w:val="center"/>
              <w:rPr>
                <w:lang w:val="en-AU"/>
              </w:rPr>
            </w:pPr>
            <w:r w:rsidRPr="002C3702">
              <w:rPr>
                <w:lang w:val="en-AU"/>
              </w:rPr>
              <w:t>Incremental QALY</w:t>
            </w:r>
          </w:p>
        </w:tc>
        <w:tc>
          <w:tcPr>
            <w:tcW w:w="952" w:type="pct"/>
          </w:tcPr>
          <w:p w14:paraId="2CA225CD" w14:textId="77777777" w:rsidR="00030CC5" w:rsidRPr="002C3702" w:rsidRDefault="00030CC5" w:rsidP="00766EA9">
            <w:pPr>
              <w:pStyle w:val="In-tableHeading"/>
              <w:widowControl w:val="0"/>
              <w:jc w:val="center"/>
              <w:rPr>
                <w:lang w:val="en-AU"/>
              </w:rPr>
            </w:pPr>
            <w:r w:rsidRPr="002C3702">
              <w:rPr>
                <w:lang w:val="en-AU"/>
              </w:rPr>
              <w:t>ICER</w:t>
            </w:r>
          </w:p>
        </w:tc>
        <w:tc>
          <w:tcPr>
            <w:tcW w:w="600" w:type="pct"/>
          </w:tcPr>
          <w:p w14:paraId="6390FDD7" w14:textId="77777777" w:rsidR="00030CC5" w:rsidRPr="002C3702" w:rsidRDefault="00030CC5" w:rsidP="00766EA9">
            <w:pPr>
              <w:pStyle w:val="In-tableHeading"/>
              <w:widowControl w:val="0"/>
              <w:jc w:val="center"/>
              <w:rPr>
                <w:lang w:val="en-AU"/>
              </w:rPr>
            </w:pPr>
            <w:r w:rsidRPr="002C3702">
              <w:rPr>
                <w:lang w:val="en-AU"/>
              </w:rPr>
              <w:t>% change to ICER</w:t>
            </w:r>
          </w:p>
        </w:tc>
      </w:tr>
      <w:tr w:rsidR="00030CC5" w:rsidRPr="002C3702" w14:paraId="5565B387" w14:textId="77777777" w:rsidTr="006E7D62">
        <w:trPr>
          <w:cantSplit/>
        </w:trPr>
        <w:tc>
          <w:tcPr>
            <w:tcW w:w="1894" w:type="pct"/>
          </w:tcPr>
          <w:p w14:paraId="28BE04AB" w14:textId="77777777" w:rsidR="00030CC5" w:rsidRPr="002C3702" w:rsidRDefault="00030CC5" w:rsidP="00766EA9">
            <w:pPr>
              <w:pStyle w:val="TableText0"/>
              <w:widowControl w:val="0"/>
              <w:rPr>
                <w:b/>
              </w:rPr>
            </w:pPr>
            <w:r w:rsidRPr="002C3702">
              <w:rPr>
                <w:b/>
              </w:rPr>
              <w:t>Base case</w:t>
            </w:r>
          </w:p>
        </w:tc>
        <w:tc>
          <w:tcPr>
            <w:tcW w:w="777" w:type="pct"/>
          </w:tcPr>
          <w:p w14:paraId="1CC5ED5D" w14:textId="5C606A44" w:rsidR="00030CC5" w:rsidRPr="00C86AFB" w:rsidRDefault="008129BD" w:rsidP="00766EA9">
            <w:pPr>
              <w:pStyle w:val="TableText0"/>
              <w:widowControl w:val="0"/>
              <w:jc w:val="center"/>
              <w:rPr>
                <w:b/>
                <w:highlight w:val="darkGray"/>
              </w:rPr>
            </w:pPr>
            <w:r>
              <w:rPr>
                <w:rFonts w:eastAsia="Calibri"/>
                <w:b/>
                <w:szCs w:val="20"/>
              </w:rPr>
              <w:t xml:space="preserve"> </w:t>
            </w:r>
            <w:r w:rsidRPr="00676505">
              <w:rPr>
                <w:rFonts w:eastAsia="Calibri" w:hint="eastAsia"/>
                <w:b/>
                <w:color w:val="000000"/>
                <w:w w:val="15"/>
                <w:szCs w:val="20"/>
                <w:shd w:val="solid" w:color="000000" w:fill="000000"/>
                <w:fitText w:val="20" w:id="-1032093430"/>
                <w14:textFill>
                  <w14:solidFill>
                    <w14:srgbClr w14:val="000000">
                      <w14:alpha w14:val="100000"/>
                    </w14:srgbClr>
                  </w14:solidFill>
                </w14:textFill>
              </w:rPr>
              <w:t xml:space="preserve">　</w:t>
            </w:r>
            <w:r w:rsidRPr="00676505">
              <w:rPr>
                <w:rFonts w:eastAsia="Calibri"/>
                <w:b/>
                <w:color w:val="000000"/>
                <w:w w:val="15"/>
                <w:szCs w:val="20"/>
                <w:shd w:val="solid" w:color="000000" w:fill="000000"/>
                <w:fitText w:val="20" w:id="-1032093430"/>
                <w14:textFill>
                  <w14:solidFill>
                    <w14:srgbClr w14:val="000000">
                      <w14:alpha w14:val="100000"/>
                    </w14:srgbClr>
                  </w14:solidFill>
                </w14:textFill>
              </w:rPr>
              <w:t>|</w:t>
            </w:r>
            <w:r w:rsidRPr="00676505">
              <w:rPr>
                <w:rFonts w:eastAsia="Calibri" w:hint="eastAsia"/>
                <w:b/>
                <w:color w:val="000000"/>
                <w:spacing w:val="-46"/>
                <w:w w:val="15"/>
                <w:szCs w:val="20"/>
                <w:shd w:val="solid" w:color="000000" w:fill="000000"/>
                <w:fitText w:val="20" w:id="-1032093430"/>
                <w14:textFill>
                  <w14:solidFill>
                    <w14:srgbClr w14:val="000000">
                      <w14:alpha w14:val="100000"/>
                    </w14:srgbClr>
                  </w14:solidFill>
                </w14:textFill>
              </w:rPr>
              <w:t xml:space="preserve">　</w:t>
            </w:r>
          </w:p>
        </w:tc>
        <w:tc>
          <w:tcPr>
            <w:tcW w:w="777" w:type="pct"/>
          </w:tcPr>
          <w:p w14:paraId="702FC912" w14:textId="77777777" w:rsidR="00030CC5" w:rsidRPr="002C3702" w:rsidRDefault="00030CC5" w:rsidP="00766EA9">
            <w:pPr>
              <w:pStyle w:val="TableText0"/>
              <w:widowControl w:val="0"/>
              <w:jc w:val="center"/>
              <w:rPr>
                <w:b/>
              </w:rPr>
            </w:pPr>
            <w:r w:rsidRPr="002C3702">
              <w:rPr>
                <w:rFonts w:eastAsia="Calibri"/>
                <w:b/>
                <w:szCs w:val="20"/>
              </w:rPr>
              <w:t>0.407</w:t>
            </w:r>
          </w:p>
        </w:tc>
        <w:tc>
          <w:tcPr>
            <w:tcW w:w="952" w:type="pct"/>
          </w:tcPr>
          <w:p w14:paraId="7441B1E5" w14:textId="609C801B" w:rsidR="00030CC5" w:rsidRPr="002C3702" w:rsidRDefault="008129BD" w:rsidP="00766EA9">
            <w:pPr>
              <w:pStyle w:val="TableText0"/>
              <w:widowControl w:val="0"/>
              <w:jc w:val="center"/>
              <w:rPr>
                <w:b/>
                <w:highlight w:val="black"/>
              </w:rPr>
            </w:pPr>
            <w:r>
              <w:rPr>
                <w:rFonts w:eastAsia="Times New Roman" w:cs="Calibri"/>
                <w:b/>
                <w:bCs w:val="0"/>
                <w:szCs w:val="20"/>
              </w:rPr>
              <w:t xml:space="preserve"> </w:t>
            </w:r>
            <w:r w:rsidRPr="008129BD">
              <w:rPr>
                <w:rFonts w:eastAsia="Times New Roman" w:cs="Calibri"/>
                <w:b/>
                <w:bCs w:val="0"/>
                <w:color w:val="000000"/>
                <w:szCs w:val="2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17528FDC" w14:textId="48EC521A" w:rsidR="00030CC5" w:rsidRPr="002C3702" w:rsidRDefault="008129BD" w:rsidP="00766EA9">
            <w:pPr>
              <w:pStyle w:val="TableText0"/>
              <w:widowControl w:val="0"/>
              <w:jc w:val="center"/>
              <w:rPr>
                <w:rFonts w:eastAsia="Calibri"/>
                <w:b/>
                <w:szCs w:val="20"/>
              </w:rPr>
            </w:pPr>
            <w:r>
              <w:rPr>
                <w:rFonts w:eastAsia="Calibri"/>
                <w:b/>
                <w:szCs w:val="20"/>
              </w:rPr>
              <w:t xml:space="preserve"> </w:t>
            </w:r>
            <w:r w:rsidRPr="008129BD">
              <w:rPr>
                <w:rFonts w:eastAsia="Calibri"/>
                <w:b/>
                <w:color w:val="000000"/>
                <w:spacing w:val="168"/>
                <w:szCs w:val="20"/>
                <w:shd w:val="solid" w:color="000000" w:fill="000000"/>
                <w:fitText w:val="260" w:id="-1032093429"/>
                <w14:textFill>
                  <w14:solidFill>
                    <w14:srgbClr w14:val="000000">
                      <w14:alpha w14:val="100000"/>
                    </w14:srgbClr>
                  </w14:solidFill>
                </w14:textFill>
              </w:rPr>
              <w:t>|</w:t>
            </w:r>
            <w:r w:rsidRPr="008129BD">
              <w:rPr>
                <w:rFonts w:eastAsia="Calibri"/>
                <w:b/>
                <w:color w:val="000000"/>
                <w:spacing w:val="1"/>
                <w:szCs w:val="20"/>
                <w:shd w:val="solid" w:color="000000" w:fill="000000"/>
                <w:fitText w:val="260" w:id="-1032093429"/>
                <w14:textFill>
                  <w14:solidFill>
                    <w14:srgbClr w14:val="000000">
                      <w14:alpha w14:val="100000"/>
                    </w14:srgbClr>
                  </w14:solidFill>
                </w14:textFill>
              </w:rPr>
              <w:t>|</w:t>
            </w:r>
            <w:r w:rsidR="00030CC5" w:rsidRPr="002C3702">
              <w:rPr>
                <w:rFonts w:eastAsia="Calibri"/>
                <w:b/>
                <w:szCs w:val="20"/>
              </w:rPr>
              <w:t>%</w:t>
            </w:r>
          </w:p>
        </w:tc>
      </w:tr>
      <w:tr w:rsidR="00527D34" w:rsidRPr="002C3702" w14:paraId="67288443" w14:textId="77777777" w:rsidTr="00527D34">
        <w:trPr>
          <w:cantSplit/>
        </w:trPr>
        <w:tc>
          <w:tcPr>
            <w:tcW w:w="5000" w:type="pct"/>
            <w:gridSpan w:val="5"/>
          </w:tcPr>
          <w:p w14:paraId="7CEE9073" w14:textId="6D326764" w:rsidR="00527D34" w:rsidRPr="002C3702" w:rsidRDefault="00527D34" w:rsidP="00766EA9">
            <w:pPr>
              <w:pStyle w:val="TableText0"/>
              <w:widowControl w:val="0"/>
              <w:rPr>
                <w:rFonts w:eastAsia="Calibri"/>
                <w:b/>
                <w:bCs w:val="0"/>
                <w:szCs w:val="20"/>
              </w:rPr>
            </w:pPr>
            <w:r w:rsidRPr="002C3702">
              <w:rPr>
                <w:b/>
                <w:bCs w:val="0"/>
              </w:rPr>
              <w:t>Time horizon (base case: 30 years)</w:t>
            </w:r>
          </w:p>
        </w:tc>
      </w:tr>
      <w:tr w:rsidR="009111BC" w:rsidRPr="002C3702" w14:paraId="0D004CEB" w14:textId="77777777" w:rsidTr="00527D34">
        <w:trPr>
          <w:cantSplit/>
        </w:trPr>
        <w:tc>
          <w:tcPr>
            <w:tcW w:w="1894" w:type="pct"/>
          </w:tcPr>
          <w:p w14:paraId="10E95852" w14:textId="41F429BA" w:rsidR="009111BC" w:rsidRPr="002C3702" w:rsidRDefault="009111BC" w:rsidP="00766EA9">
            <w:pPr>
              <w:pStyle w:val="TableText0"/>
              <w:widowControl w:val="0"/>
              <w:rPr>
                <w:b/>
              </w:rPr>
            </w:pPr>
            <w:r w:rsidRPr="002C3702">
              <w:t>25 years</w:t>
            </w:r>
          </w:p>
        </w:tc>
        <w:tc>
          <w:tcPr>
            <w:tcW w:w="777" w:type="pct"/>
            <w:vAlign w:val="center"/>
          </w:tcPr>
          <w:p w14:paraId="62EDF770" w14:textId="105A1B0F" w:rsidR="009111BC" w:rsidRPr="00C86AFB" w:rsidRDefault="008129BD" w:rsidP="00766EA9">
            <w:pPr>
              <w:pStyle w:val="TableText0"/>
              <w:widowControl w:val="0"/>
              <w:jc w:val="center"/>
              <w:rPr>
                <w:rFonts w:eastAsia="Calibri"/>
                <w:b/>
                <w:iCs/>
                <w:szCs w:val="20"/>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5E3A5F9F" w14:textId="24CA45AA" w:rsidR="009111BC" w:rsidRPr="002C3702" w:rsidRDefault="009111BC" w:rsidP="00766EA9">
            <w:pPr>
              <w:pStyle w:val="TableText0"/>
              <w:widowControl w:val="0"/>
              <w:jc w:val="center"/>
              <w:rPr>
                <w:rFonts w:eastAsia="Calibri"/>
                <w:b/>
                <w:iCs/>
                <w:szCs w:val="20"/>
              </w:rPr>
            </w:pPr>
            <w:r w:rsidRPr="002C3702">
              <w:rPr>
                <w:iCs/>
              </w:rPr>
              <w:t>0.363</w:t>
            </w:r>
          </w:p>
        </w:tc>
        <w:tc>
          <w:tcPr>
            <w:tcW w:w="952" w:type="pct"/>
            <w:vAlign w:val="center"/>
          </w:tcPr>
          <w:p w14:paraId="00735219" w14:textId="7A7B5C59" w:rsidR="009111BC" w:rsidRPr="00C86AFB" w:rsidRDefault="008129BD" w:rsidP="00766EA9">
            <w:pPr>
              <w:pStyle w:val="TableText0"/>
              <w:widowControl w:val="0"/>
              <w:jc w:val="center"/>
              <w:rPr>
                <w:rFonts w:eastAsia="Times New Roman" w:cs="Calibri"/>
                <w:b/>
                <w:bCs w:val="0"/>
                <w:iCs/>
                <w:szCs w:val="20"/>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Pr>
                <w:rFonts w:eastAsia="Times New Roman" w:cs="Calibri"/>
                <w:szCs w:val="20"/>
                <w:vertAlign w:val="superscript"/>
              </w:rPr>
              <w:t>2</w:t>
            </w:r>
          </w:p>
        </w:tc>
        <w:tc>
          <w:tcPr>
            <w:tcW w:w="600" w:type="pct"/>
            <w:vAlign w:val="center"/>
          </w:tcPr>
          <w:p w14:paraId="63213BCF" w14:textId="379F2D94" w:rsidR="009111BC"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28"/>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28"/>
                <w14:textFill>
                  <w14:solidFill>
                    <w14:srgbClr w14:val="000000">
                      <w14:alpha w14:val="100000"/>
                    </w14:srgbClr>
                  </w14:solidFill>
                </w14:textFill>
              </w:rPr>
              <w:t>|</w:t>
            </w:r>
            <w:r w:rsidR="009111BC" w:rsidRPr="002C3702">
              <w:rPr>
                <w:rFonts w:eastAsia="Calibri"/>
                <w:iCs/>
                <w:szCs w:val="20"/>
              </w:rPr>
              <w:t>%</w:t>
            </w:r>
          </w:p>
        </w:tc>
      </w:tr>
      <w:tr w:rsidR="009111BC" w:rsidRPr="002C3702" w14:paraId="104A8476" w14:textId="77777777" w:rsidTr="00527D34">
        <w:trPr>
          <w:cantSplit/>
        </w:trPr>
        <w:tc>
          <w:tcPr>
            <w:tcW w:w="1894" w:type="pct"/>
          </w:tcPr>
          <w:p w14:paraId="47954BD7" w14:textId="5A0F1FAB" w:rsidR="009111BC" w:rsidRPr="002C3702" w:rsidRDefault="009111BC" w:rsidP="00766EA9">
            <w:pPr>
              <w:pStyle w:val="TableText0"/>
              <w:widowControl w:val="0"/>
              <w:rPr>
                <w:b/>
              </w:rPr>
            </w:pPr>
            <w:r w:rsidRPr="002C3702">
              <w:t>40 years</w:t>
            </w:r>
          </w:p>
        </w:tc>
        <w:tc>
          <w:tcPr>
            <w:tcW w:w="777" w:type="pct"/>
            <w:vAlign w:val="center"/>
          </w:tcPr>
          <w:p w14:paraId="458B4089" w14:textId="719CEE8A" w:rsidR="009111BC" w:rsidRPr="00C86AFB" w:rsidRDefault="008129BD" w:rsidP="00766EA9">
            <w:pPr>
              <w:pStyle w:val="TableText0"/>
              <w:widowControl w:val="0"/>
              <w:jc w:val="center"/>
              <w:rPr>
                <w:rFonts w:eastAsia="Calibri"/>
                <w:b/>
                <w:iCs/>
                <w:szCs w:val="20"/>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0A37A1E9" w14:textId="30A466DE" w:rsidR="009111BC" w:rsidRPr="002C3702" w:rsidRDefault="009111BC" w:rsidP="00766EA9">
            <w:pPr>
              <w:pStyle w:val="TableText0"/>
              <w:widowControl w:val="0"/>
              <w:jc w:val="center"/>
              <w:rPr>
                <w:rFonts w:eastAsia="Calibri"/>
                <w:b/>
                <w:iCs/>
                <w:szCs w:val="20"/>
              </w:rPr>
            </w:pPr>
            <w:r w:rsidRPr="002C3702">
              <w:rPr>
                <w:iCs/>
              </w:rPr>
              <w:t>0.443</w:t>
            </w:r>
          </w:p>
        </w:tc>
        <w:tc>
          <w:tcPr>
            <w:tcW w:w="952" w:type="pct"/>
            <w:vAlign w:val="center"/>
          </w:tcPr>
          <w:p w14:paraId="134B2ED4" w14:textId="5A996100" w:rsidR="009111BC" w:rsidRPr="00C86AFB" w:rsidRDefault="008129BD" w:rsidP="00766EA9">
            <w:pPr>
              <w:pStyle w:val="TableText0"/>
              <w:widowControl w:val="0"/>
              <w:jc w:val="center"/>
              <w:rPr>
                <w:rFonts w:eastAsia="Times New Roman" w:cs="Calibri"/>
                <w:b/>
                <w:bCs w:val="0"/>
                <w:iCs/>
                <w:szCs w:val="20"/>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465043EC" w14:textId="7D4CE968" w:rsidR="009111BC" w:rsidRPr="002C3702" w:rsidRDefault="009111BC"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27"/>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27"/>
                <w14:textFill>
                  <w14:solidFill>
                    <w14:srgbClr w14:val="000000">
                      <w14:alpha w14:val="100000"/>
                    </w14:srgbClr>
                  </w14:solidFill>
                </w14:textFill>
              </w:rPr>
              <w:t>|</w:t>
            </w:r>
            <w:r w:rsidRPr="002C3702">
              <w:rPr>
                <w:rFonts w:eastAsia="Calibri"/>
                <w:iCs/>
                <w:szCs w:val="20"/>
              </w:rPr>
              <w:t>%</w:t>
            </w:r>
          </w:p>
        </w:tc>
      </w:tr>
      <w:tr w:rsidR="00BB1E84" w:rsidRPr="002C3702" w14:paraId="59A5EA4F" w14:textId="77777777" w:rsidTr="00BB1E84">
        <w:trPr>
          <w:cantSplit/>
        </w:trPr>
        <w:tc>
          <w:tcPr>
            <w:tcW w:w="5000" w:type="pct"/>
            <w:gridSpan w:val="5"/>
          </w:tcPr>
          <w:p w14:paraId="6FCAFF02" w14:textId="5703851F" w:rsidR="00BB1E84" w:rsidRPr="002C3702" w:rsidRDefault="00BB1E84" w:rsidP="00766EA9">
            <w:pPr>
              <w:pStyle w:val="TableText0"/>
              <w:widowControl w:val="0"/>
              <w:rPr>
                <w:rFonts w:eastAsia="Calibri"/>
                <w:b/>
                <w:bCs w:val="0"/>
                <w:szCs w:val="20"/>
              </w:rPr>
            </w:pPr>
            <w:r w:rsidRPr="002C3702">
              <w:rPr>
                <w:b/>
                <w:bCs w:val="0"/>
              </w:rPr>
              <w:t>Model start</w:t>
            </w:r>
            <w:r w:rsidR="00175C21" w:rsidRPr="002C3702">
              <w:rPr>
                <w:b/>
                <w:bCs w:val="0"/>
              </w:rPr>
              <w:t>ing</w:t>
            </w:r>
            <w:r w:rsidRPr="002C3702">
              <w:rPr>
                <w:b/>
                <w:bCs w:val="0"/>
              </w:rPr>
              <w:t xml:space="preserve"> age</w:t>
            </w:r>
            <w:r w:rsidR="00175C21" w:rsidRPr="002C3702">
              <w:rPr>
                <w:b/>
                <w:bCs w:val="0"/>
              </w:rPr>
              <w:t xml:space="preserve"> (base case: 56 years)</w:t>
            </w:r>
          </w:p>
        </w:tc>
      </w:tr>
      <w:tr w:rsidR="00BB1E84" w:rsidRPr="002C3702" w14:paraId="0280BEC8" w14:textId="77777777" w:rsidTr="00527D34">
        <w:trPr>
          <w:cantSplit/>
        </w:trPr>
        <w:tc>
          <w:tcPr>
            <w:tcW w:w="1894" w:type="pct"/>
          </w:tcPr>
          <w:p w14:paraId="38F1C41B" w14:textId="1C7531C8" w:rsidR="00BB1E84" w:rsidRPr="002C3702" w:rsidRDefault="00BB1E84" w:rsidP="00766EA9">
            <w:pPr>
              <w:pStyle w:val="TableText0"/>
              <w:widowControl w:val="0"/>
            </w:pPr>
            <w:r w:rsidRPr="002C3702">
              <w:t>61.4 years</w:t>
            </w:r>
          </w:p>
        </w:tc>
        <w:tc>
          <w:tcPr>
            <w:tcW w:w="777" w:type="pct"/>
            <w:vAlign w:val="center"/>
          </w:tcPr>
          <w:p w14:paraId="2DFCFF59" w14:textId="7C9D1D1A" w:rsidR="00BB1E84" w:rsidRPr="002C3702" w:rsidRDefault="008129BD" w:rsidP="00766EA9">
            <w:pPr>
              <w:pStyle w:val="TableText0"/>
              <w:widowControl w:val="0"/>
              <w:jc w:val="center"/>
            </w:pPr>
            <w:r>
              <w:t xml:space="preserve"> </w:t>
            </w:r>
            <w:r w:rsidRPr="008129BD">
              <w:rPr>
                <w:color w:val="000000"/>
                <w:shd w:val="solid" w:color="000000" w:fill="000000"/>
                <w14:textFill>
                  <w14:solidFill>
                    <w14:srgbClr w14:val="000000">
                      <w14:alpha w14:val="100000"/>
                    </w14:srgbClr>
                  </w14:solidFill>
                </w14:textFill>
              </w:rPr>
              <w:t>|</w:t>
            </w:r>
          </w:p>
        </w:tc>
        <w:tc>
          <w:tcPr>
            <w:tcW w:w="777" w:type="pct"/>
            <w:vAlign w:val="center"/>
          </w:tcPr>
          <w:p w14:paraId="5DDCD45E" w14:textId="6D33BF62" w:rsidR="00BB1E84" w:rsidRPr="002C3702" w:rsidRDefault="00BB1E84" w:rsidP="00766EA9">
            <w:pPr>
              <w:pStyle w:val="TableText0"/>
              <w:widowControl w:val="0"/>
              <w:jc w:val="center"/>
            </w:pPr>
            <w:r w:rsidRPr="002C3702">
              <w:t>0.387</w:t>
            </w:r>
          </w:p>
        </w:tc>
        <w:tc>
          <w:tcPr>
            <w:tcW w:w="952" w:type="pct"/>
            <w:vAlign w:val="center"/>
          </w:tcPr>
          <w:p w14:paraId="7BCC0E95" w14:textId="7593DC17" w:rsidR="00BB1E84" w:rsidRPr="00C86AFB" w:rsidRDefault="008129BD" w:rsidP="00766EA9">
            <w:pPr>
              <w:pStyle w:val="TableText0"/>
              <w:widowControl w:val="0"/>
              <w:jc w:val="center"/>
              <w:rPr>
                <w:highlight w:val="darkGray"/>
              </w:rPr>
            </w:pPr>
            <w:r>
              <w:t xml:space="preserve"> </w:t>
            </w:r>
            <w:r w:rsidRPr="008129BD">
              <w:rPr>
                <w:color w:val="000000"/>
                <w:shd w:val="solid" w:color="000000" w:fill="000000"/>
                <w14:textFill>
                  <w14:solidFill>
                    <w14:srgbClr w14:val="000000">
                      <w14:alpha w14:val="100000"/>
                    </w14:srgbClr>
                  </w14:solidFill>
                </w14:textFill>
              </w:rPr>
              <w:t>|</w:t>
            </w:r>
            <w:r w:rsidR="00C86AFB">
              <w:rPr>
                <w:rFonts w:eastAsia="Times New Roman" w:cs="Calibri"/>
                <w:szCs w:val="20"/>
                <w:vertAlign w:val="superscript"/>
              </w:rPr>
              <w:t>2</w:t>
            </w:r>
          </w:p>
        </w:tc>
        <w:tc>
          <w:tcPr>
            <w:tcW w:w="600" w:type="pct"/>
            <w:vAlign w:val="center"/>
          </w:tcPr>
          <w:p w14:paraId="5E5874AB" w14:textId="25F95A9C" w:rsidR="00BB1E84" w:rsidRPr="002C3702" w:rsidRDefault="008129BD" w:rsidP="00766EA9">
            <w:pPr>
              <w:pStyle w:val="TableText0"/>
              <w:widowControl w:val="0"/>
              <w:jc w:val="center"/>
              <w:rPr>
                <w:rFonts w:eastAsia="Calibri"/>
                <w:b/>
                <w:szCs w:val="20"/>
              </w:rPr>
            </w:pPr>
            <w:r>
              <w:rPr>
                <w:rFonts w:eastAsia="Calibri"/>
                <w:szCs w:val="20"/>
              </w:rPr>
              <w:t xml:space="preserve"> </w:t>
            </w:r>
            <w:r w:rsidRPr="008129BD">
              <w:rPr>
                <w:rFonts w:eastAsia="Calibri"/>
                <w:color w:val="000000"/>
                <w:spacing w:val="41"/>
                <w:szCs w:val="20"/>
                <w:shd w:val="solid" w:color="000000" w:fill="000000"/>
                <w:fitText w:val="210" w:id="-1032093426"/>
                <w14:textFill>
                  <w14:solidFill>
                    <w14:srgbClr w14:val="000000">
                      <w14:alpha w14:val="100000"/>
                    </w14:srgbClr>
                  </w14:solidFill>
                </w14:textFill>
              </w:rPr>
              <w:t>||</w:t>
            </w:r>
            <w:r w:rsidRPr="008129BD">
              <w:rPr>
                <w:rFonts w:eastAsia="Calibri"/>
                <w:color w:val="000000"/>
                <w:spacing w:val="1"/>
                <w:szCs w:val="20"/>
                <w:shd w:val="solid" w:color="000000" w:fill="000000"/>
                <w:fitText w:val="210" w:id="-1032093426"/>
                <w14:textFill>
                  <w14:solidFill>
                    <w14:srgbClr w14:val="000000">
                      <w14:alpha w14:val="100000"/>
                    </w14:srgbClr>
                  </w14:solidFill>
                </w14:textFill>
              </w:rPr>
              <w:t>|</w:t>
            </w:r>
            <w:r w:rsidR="00BB1E84" w:rsidRPr="002C3702">
              <w:rPr>
                <w:rFonts w:eastAsia="Calibri"/>
                <w:szCs w:val="20"/>
              </w:rPr>
              <w:t>%</w:t>
            </w:r>
          </w:p>
        </w:tc>
      </w:tr>
      <w:tr w:rsidR="00EA038A" w:rsidRPr="002C3702" w14:paraId="46713D54" w14:textId="77777777" w:rsidTr="00EA038A">
        <w:trPr>
          <w:cantSplit/>
        </w:trPr>
        <w:tc>
          <w:tcPr>
            <w:tcW w:w="5000" w:type="pct"/>
            <w:gridSpan w:val="5"/>
          </w:tcPr>
          <w:p w14:paraId="5054208A" w14:textId="660E9AC5" w:rsidR="00EA038A" w:rsidRPr="002C3702" w:rsidRDefault="00EA038A" w:rsidP="00766EA9">
            <w:pPr>
              <w:pStyle w:val="TableText0"/>
              <w:widowControl w:val="0"/>
              <w:rPr>
                <w:rFonts w:eastAsia="Calibri"/>
                <w:b/>
                <w:bCs w:val="0"/>
                <w:szCs w:val="20"/>
              </w:rPr>
            </w:pPr>
            <w:r w:rsidRPr="002C3702">
              <w:rPr>
                <w:b/>
                <w:bCs w:val="0"/>
              </w:rPr>
              <w:t>Discount rate (base case: 5% per annum)</w:t>
            </w:r>
          </w:p>
        </w:tc>
      </w:tr>
      <w:tr w:rsidR="008F5D27" w:rsidRPr="002C3702" w14:paraId="3A70BA2E" w14:textId="77777777" w:rsidTr="00527D34">
        <w:trPr>
          <w:cantSplit/>
        </w:trPr>
        <w:tc>
          <w:tcPr>
            <w:tcW w:w="1894" w:type="pct"/>
          </w:tcPr>
          <w:p w14:paraId="7677E5DF" w14:textId="4411A87B" w:rsidR="008F5D27" w:rsidRPr="002C3702" w:rsidRDefault="008F5D27" w:rsidP="00766EA9">
            <w:pPr>
              <w:pStyle w:val="TableText0"/>
              <w:widowControl w:val="0"/>
            </w:pPr>
            <w:r w:rsidRPr="002C3702">
              <w:t>0.0%</w:t>
            </w:r>
          </w:p>
        </w:tc>
        <w:tc>
          <w:tcPr>
            <w:tcW w:w="777" w:type="pct"/>
            <w:vAlign w:val="center"/>
          </w:tcPr>
          <w:p w14:paraId="70BA8FEC" w14:textId="120DB3F9" w:rsidR="008F5D27"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403050F0" w14:textId="6C9D1BA7" w:rsidR="008F5D27" w:rsidRPr="002C3702" w:rsidRDefault="008F5D27" w:rsidP="00766EA9">
            <w:pPr>
              <w:pStyle w:val="TableText0"/>
              <w:widowControl w:val="0"/>
              <w:jc w:val="center"/>
              <w:rPr>
                <w:iCs/>
              </w:rPr>
            </w:pPr>
            <w:r w:rsidRPr="002C3702">
              <w:rPr>
                <w:iCs/>
              </w:rPr>
              <w:t>0.927</w:t>
            </w:r>
          </w:p>
        </w:tc>
        <w:tc>
          <w:tcPr>
            <w:tcW w:w="952" w:type="pct"/>
            <w:vAlign w:val="center"/>
          </w:tcPr>
          <w:p w14:paraId="189DD8F0" w14:textId="379F49F8" w:rsidR="008F5D27"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3</w:t>
            </w:r>
          </w:p>
        </w:tc>
        <w:tc>
          <w:tcPr>
            <w:tcW w:w="600" w:type="pct"/>
            <w:vAlign w:val="center"/>
          </w:tcPr>
          <w:p w14:paraId="7A98292E" w14:textId="2A0FBA98" w:rsidR="008F5D27" w:rsidRPr="002C3702" w:rsidRDefault="008F5D27"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25"/>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25"/>
                <w14:textFill>
                  <w14:solidFill>
                    <w14:srgbClr w14:val="000000">
                      <w14:alpha w14:val="100000"/>
                    </w14:srgbClr>
                  </w14:solidFill>
                </w14:textFill>
              </w:rPr>
              <w:t>|</w:t>
            </w:r>
            <w:r w:rsidRPr="002C3702">
              <w:rPr>
                <w:rFonts w:eastAsia="Calibri"/>
                <w:iCs/>
                <w:szCs w:val="20"/>
              </w:rPr>
              <w:t>%</w:t>
            </w:r>
          </w:p>
        </w:tc>
      </w:tr>
      <w:tr w:rsidR="008F5D27" w:rsidRPr="002C3702" w14:paraId="6EB3A114" w14:textId="77777777" w:rsidTr="00527D34">
        <w:trPr>
          <w:cantSplit/>
        </w:trPr>
        <w:tc>
          <w:tcPr>
            <w:tcW w:w="1894" w:type="pct"/>
          </w:tcPr>
          <w:p w14:paraId="11B53BDE" w14:textId="02B085DB" w:rsidR="008F5D27" w:rsidRPr="002C3702" w:rsidRDefault="008F5D27" w:rsidP="00766EA9">
            <w:pPr>
              <w:pStyle w:val="TableText0"/>
              <w:widowControl w:val="0"/>
            </w:pPr>
            <w:r w:rsidRPr="002C3702">
              <w:t>3.5%</w:t>
            </w:r>
          </w:p>
        </w:tc>
        <w:tc>
          <w:tcPr>
            <w:tcW w:w="777" w:type="pct"/>
            <w:vAlign w:val="center"/>
          </w:tcPr>
          <w:p w14:paraId="70C66732" w14:textId="46E9564F" w:rsidR="008F5D27"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0671E82C" w14:textId="6313EBFD" w:rsidR="008F5D27" w:rsidRPr="002C3702" w:rsidRDefault="008F5D27" w:rsidP="00766EA9">
            <w:pPr>
              <w:pStyle w:val="TableText0"/>
              <w:widowControl w:val="0"/>
              <w:jc w:val="center"/>
              <w:rPr>
                <w:iCs/>
              </w:rPr>
            </w:pPr>
            <w:r w:rsidRPr="002C3702">
              <w:rPr>
                <w:iCs/>
              </w:rPr>
              <w:t>0.516</w:t>
            </w:r>
          </w:p>
        </w:tc>
        <w:tc>
          <w:tcPr>
            <w:tcW w:w="952" w:type="pct"/>
            <w:vAlign w:val="center"/>
          </w:tcPr>
          <w:p w14:paraId="5AE48EF7" w14:textId="7CE56E6A" w:rsidR="008F5D27"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0D4D6F4D" w14:textId="17E1EFBE" w:rsidR="008F5D27" w:rsidRPr="002C3702" w:rsidRDefault="008F5D27"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24"/>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24"/>
                <w14:textFill>
                  <w14:solidFill>
                    <w14:srgbClr w14:val="000000">
                      <w14:alpha w14:val="100000"/>
                    </w14:srgbClr>
                  </w14:solidFill>
                </w14:textFill>
              </w:rPr>
              <w:t>|</w:t>
            </w:r>
            <w:r w:rsidRPr="002C3702">
              <w:rPr>
                <w:rFonts w:eastAsia="Calibri"/>
                <w:iCs/>
                <w:szCs w:val="20"/>
              </w:rPr>
              <w:t>%</w:t>
            </w:r>
          </w:p>
        </w:tc>
      </w:tr>
      <w:tr w:rsidR="00BA641C" w:rsidRPr="002C3702" w14:paraId="64093045" w14:textId="77777777" w:rsidTr="00BA641C">
        <w:trPr>
          <w:cantSplit/>
        </w:trPr>
        <w:tc>
          <w:tcPr>
            <w:tcW w:w="5000" w:type="pct"/>
            <w:gridSpan w:val="5"/>
          </w:tcPr>
          <w:p w14:paraId="0CFD1487" w14:textId="51A2E3BB" w:rsidR="00BA641C" w:rsidRPr="002C3702" w:rsidRDefault="00BA641C" w:rsidP="00766EA9">
            <w:pPr>
              <w:pStyle w:val="TableText0"/>
              <w:widowControl w:val="0"/>
              <w:rPr>
                <w:rFonts w:eastAsia="Calibri"/>
                <w:b/>
                <w:bCs w:val="0"/>
                <w:szCs w:val="20"/>
              </w:rPr>
            </w:pPr>
            <w:r w:rsidRPr="002C3702">
              <w:rPr>
                <w:b/>
                <w:bCs w:val="0"/>
              </w:rPr>
              <w:t>Treatment waning (base case: from Year 7 to Year 10)</w:t>
            </w:r>
          </w:p>
        </w:tc>
      </w:tr>
      <w:tr w:rsidR="0050413E" w:rsidRPr="002C3702" w14:paraId="48014828" w14:textId="77777777" w:rsidTr="00527D34">
        <w:trPr>
          <w:cantSplit/>
        </w:trPr>
        <w:tc>
          <w:tcPr>
            <w:tcW w:w="1894" w:type="pct"/>
          </w:tcPr>
          <w:p w14:paraId="38726279" w14:textId="004720C3" w:rsidR="0050413E" w:rsidRPr="002C3702" w:rsidRDefault="0050413E" w:rsidP="00766EA9">
            <w:pPr>
              <w:pStyle w:val="TableText0"/>
              <w:widowControl w:val="0"/>
            </w:pPr>
            <w:r w:rsidRPr="002C3702">
              <w:t>No waning</w:t>
            </w:r>
          </w:p>
        </w:tc>
        <w:tc>
          <w:tcPr>
            <w:tcW w:w="777" w:type="pct"/>
            <w:vAlign w:val="center"/>
          </w:tcPr>
          <w:p w14:paraId="17388384" w14:textId="670D03EC"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6E1A2456" w14:textId="4BF0BB51" w:rsidR="0050413E" w:rsidRPr="002C3702" w:rsidRDefault="0050413E" w:rsidP="00766EA9">
            <w:pPr>
              <w:pStyle w:val="TableText0"/>
              <w:widowControl w:val="0"/>
              <w:jc w:val="center"/>
              <w:rPr>
                <w:iCs/>
              </w:rPr>
            </w:pPr>
            <w:r w:rsidRPr="002C3702">
              <w:rPr>
                <w:iCs/>
              </w:rPr>
              <w:t>0.547</w:t>
            </w:r>
          </w:p>
        </w:tc>
        <w:tc>
          <w:tcPr>
            <w:tcW w:w="952" w:type="pct"/>
            <w:vAlign w:val="center"/>
          </w:tcPr>
          <w:p w14:paraId="7BF0D8B8" w14:textId="3D4E5E7F"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61B7172F" w14:textId="60246F37" w:rsidR="0050413E" w:rsidRPr="002C3702" w:rsidRDefault="0050413E"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40"/>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40"/>
                <w14:textFill>
                  <w14:solidFill>
                    <w14:srgbClr w14:val="000000">
                      <w14:alpha w14:val="100000"/>
                    </w14:srgbClr>
                  </w14:solidFill>
                </w14:textFill>
              </w:rPr>
              <w:t>|</w:t>
            </w:r>
            <w:r w:rsidRPr="002C3702">
              <w:rPr>
                <w:rFonts w:eastAsia="Calibri"/>
                <w:iCs/>
                <w:szCs w:val="20"/>
              </w:rPr>
              <w:t>%</w:t>
            </w:r>
          </w:p>
        </w:tc>
      </w:tr>
      <w:tr w:rsidR="0050413E" w:rsidRPr="002C3702" w14:paraId="43B78CCA" w14:textId="77777777" w:rsidTr="00527D34">
        <w:trPr>
          <w:cantSplit/>
        </w:trPr>
        <w:tc>
          <w:tcPr>
            <w:tcW w:w="1894" w:type="pct"/>
          </w:tcPr>
          <w:p w14:paraId="3ECB920E" w14:textId="1BB0D05E" w:rsidR="0050413E" w:rsidRPr="002C3702" w:rsidRDefault="0050413E" w:rsidP="00766EA9">
            <w:pPr>
              <w:pStyle w:val="TableText0"/>
              <w:widowControl w:val="0"/>
            </w:pPr>
            <w:r w:rsidRPr="002C3702">
              <w:t>Year 4 to Year 7</w:t>
            </w:r>
          </w:p>
        </w:tc>
        <w:tc>
          <w:tcPr>
            <w:tcW w:w="777" w:type="pct"/>
            <w:vAlign w:val="center"/>
          </w:tcPr>
          <w:p w14:paraId="22AEFA61" w14:textId="38151759"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2DC8262B" w14:textId="6701CACF" w:rsidR="0050413E" w:rsidRPr="002C3702" w:rsidRDefault="0050413E" w:rsidP="00766EA9">
            <w:pPr>
              <w:pStyle w:val="TableText0"/>
              <w:widowControl w:val="0"/>
              <w:jc w:val="center"/>
              <w:rPr>
                <w:iCs/>
              </w:rPr>
            </w:pPr>
            <w:r w:rsidRPr="002C3702">
              <w:rPr>
                <w:iCs/>
              </w:rPr>
              <w:t>0.279</w:t>
            </w:r>
          </w:p>
        </w:tc>
        <w:tc>
          <w:tcPr>
            <w:tcW w:w="952" w:type="pct"/>
            <w:vAlign w:val="center"/>
          </w:tcPr>
          <w:p w14:paraId="726D0BAC" w14:textId="64CBE260"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4</w:t>
            </w:r>
          </w:p>
        </w:tc>
        <w:tc>
          <w:tcPr>
            <w:tcW w:w="600" w:type="pct"/>
            <w:vAlign w:val="center"/>
          </w:tcPr>
          <w:p w14:paraId="5C65AD55" w14:textId="12240E4A" w:rsidR="0050413E"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9"/>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9"/>
                <w14:textFill>
                  <w14:solidFill>
                    <w14:srgbClr w14:val="000000">
                      <w14:alpha w14:val="100000"/>
                    </w14:srgbClr>
                  </w14:solidFill>
                </w14:textFill>
              </w:rPr>
              <w:t>|</w:t>
            </w:r>
            <w:r w:rsidR="0050413E" w:rsidRPr="002C3702">
              <w:rPr>
                <w:rFonts w:eastAsia="Calibri"/>
                <w:iCs/>
                <w:szCs w:val="20"/>
              </w:rPr>
              <w:t>%</w:t>
            </w:r>
          </w:p>
        </w:tc>
      </w:tr>
      <w:tr w:rsidR="0050413E" w:rsidRPr="002C3702" w14:paraId="19063BE6" w14:textId="77777777" w:rsidTr="00527D34">
        <w:trPr>
          <w:cantSplit/>
        </w:trPr>
        <w:tc>
          <w:tcPr>
            <w:tcW w:w="1894" w:type="pct"/>
          </w:tcPr>
          <w:p w14:paraId="21D90D09" w14:textId="69CF3E31" w:rsidR="0050413E" w:rsidRPr="002C3702" w:rsidRDefault="0050413E" w:rsidP="00766EA9">
            <w:pPr>
              <w:pStyle w:val="TableText0"/>
              <w:widowControl w:val="0"/>
            </w:pPr>
            <w:r w:rsidRPr="002C3702">
              <w:t>No effect beyond the observed data (month 48)</w:t>
            </w:r>
          </w:p>
        </w:tc>
        <w:tc>
          <w:tcPr>
            <w:tcW w:w="777" w:type="pct"/>
            <w:vAlign w:val="center"/>
          </w:tcPr>
          <w:p w14:paraId="1ED5D39C" w14:textId="7BADF4A7"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0C23CA23" w14:textId="4D26DC39" w:rsidR="0050413E" w:rsidRPr="002C3702" w:rsidRDefault="0050413E" w:rsidP="00766EA9">
            <w:pPr>
              <w:pStyle w:val="TableText0"/>
              <w:widowControl w:val="0"/>
              <w:jc w:val="center"/>
              <w:rPr>
                <w:iCs/>
              </w:rPr>
            </w:pPr>
            <w:r w:rsidRPr="002C3702">
              <w:rPr>
                <w:iCs/>
              </w:rPr>
              <w:t>0.183</w:t>
            </w:r>
          </w:p>
        </w:tc>
        <w:tc>
          <w:tcPr>
            <w:tcW w:w="952" w:type="pct"/>
            <w:vAlign w:val="center"/>
          </w:tcPr>
          <w:p w14:paraId="540E589C" w14:textId="21B9987C" w:rsidR="0050413E"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5</w:t>
            </w:r>
          </w:p>
        </w:tc>
        <w:tc>
          <w:tcPr>
            <w:tcW w:w="600" w:type="pct"/>
            <w:vAlign w:val="center"/>
          </w:tcPr>
          <w:p w14:paraId="456A45D8" w14:textId="44239B44" w:rsidR="0050413E"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8"/>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8"/>
                <w14:textFill>
                  <w14:solidFill>
                    <w14:srgbClr w14:val="000000">
                      <w14:alpha w14:val="100000"/>
                    </w14:srgbClr>
                  </w14:solidFill>
                </w14:textFill>
              </w:rPr>
              <w:t>|</w:t>
            </w:r>
            <w:r w:rsidR="0050413E" w:rsidRPr="002C3702">
              <w:rPr>
                <w:rFonts w:eastAsia="Calibri"/>
                <w:iCs/>
                <w:szCs w:val="20"/>
              </w:rPr>
              <w:t>%</w:t>
            </w:r>
          </w:p>
        </w:tc>
      </w:tr>
      <w:tr w:rsidR="0018193E" w:rsidRPr="002C3702" w14:paraId="34439CD9" w14:textId="77777777" w:rsidTr="0018193E">
        <w:trPr>
          <w:cantSplit/>
        </w:trPr>
        <w:tc>
          <w:tcPr>
            <w:tcW w:w="5000" w:type="pct"/>
            <w:gridSpan w:val="5"/>
          </w:tcPr>
          <w:p w14:paraId="2ECE1D37" w14:textId="113C1CDC" w:rsidR="0018193E" w:rsidRPr="002C3702" w:rsidRDefault="0018193E" w:rsidP="00766EA9">
            <w:pPr>
              <w:pStyle w:val="TableText0"/>
              <w:widowControl w:val="0"/>
              <w:rPr>
                <w:rFonts w:eastAsia="Calibri"/>
                <w:b/>
                <w:bCs w:val="0"/>
                <w:szCs w:val="20"/>
              </w:rPr>
            </w:pPr>
            <w:r w:rsidRPr="002C3702">
              <w:rPr>
                <w:b/>
                <w:bCs w:val="0"/>
              </w:rPr>
              <w:t>IDFS extrapolation (base case: log-logistic in both arms)</w:t>
            </w:r>
          </w:p>
        </w:tc>
      </w:tr>
      <w:tr w:rsidR="000C4D90" w:rsidRPr="002C3702" w14:paraId="67621A08" w14:textId="77777777" w:rsidTr="006C712B">
        <w:trPr>
          <w:cantSplit/>
        </w:trPr>
        <w:tc>
          <w:tcPr>
            <w:tcW w:w="1894" w:type="pct"/>
          </w:tcPr>
          <w:p w14:paraId="6EC5BF98" w14:textId="23B78B11" w:rsidR="000C4D90" w:rsidRPr="002C3702" w:rsidRDefault="000C4D90" w:rsidP="00766EA9">
            <w:pPr>
              <w:pStyle w:val="TableText0"/>
              <w:widowControl w:val="0"/>
            </w:pPr>
            <w:r w:rsidRPr="002C3702">
              <w:t>Dependant Weibull (in both arms); second-best fitting</w:t>
            </w:r>
          </w:p>
        </w:tc>
        <w:tc>
          <w:tcPr>
            <w:tcW w:w="777" w:type="pct"/>
          </w:tcPr>
          <w:p w14:paraId="33541E6F" w14:textId="08E3A8B4"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tcPr>
          <w:p w14:paraId="3D2057AC" w14:textId="20F2AC0B" w:rsidR="000C4D90" w:rsidRPr="002C3702" w:rsidRDefault="000C4D90" w:rsidP="00766EA9">
            <w:pPr>
              <w:pStyle w:val="TableText0"/>
              <w:widowControl w:val="0"/>
              <w:jc w:val="center"/>
              <w:rPr>
                <w:iCs/>
              </w:rPr>
            </w:pPr>
            <w:r w:rsidRPr="002C3702">
              <w:rPr>
                <w:iCs/>
              </w:rPr>
              <w:t>0.372</w:t>
            </w:r>
          </w:p>
        </w:tc>
        <w:tc>
          <w:tcPr>
            <w:tcW w:w="952" w:type="pct"/>
          </w:tcPr>
          <w:p w14:paraId="1CD0490A" w14:textId="4EC6B9BF"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7D8EB927" w14:textId="27264191" w:rsidR="000C4D90" w:rsidRPr="002C3702" w:rsidRDefault="000C4D90"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37"/>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37"/>
                <w14:textFill>
                  <w14:solidFill>
                    <w14:srgbClr w14:val="000000">
                      <w14:alpha w14:val="100000"/>
                    </w14:srgbClr>
                  </w14:solidFill>
                </w14:textFill>
              </w:rPr>
              <w:t>|</w:t>
            </w:r>
            <w:r w:rsidRPr="002C3702">
              <w:rPr>
                <w:rFonts w:eastAsia="Calibri"/>
                <w:iCs/>
                <w:szCs w:val="20"/>
              </w:rPr>
              <w:t>%</w:t>
            </w:r>
          </w:p>
        </w:tc>
      </w:tr>
      <w:tr w:rsidR="000C4D90" w:rsidRPr="002C3702" w14:paraId="0B21CDB4" w14:textId="77777777" w:rsidTr="006C712B">
        <w:trPr>
          <w:cantSplit/>
        </w:trPr>
        <w:tc>
          <w:tcPr>
            <w:tcW w:w="1894" w:type="pct"/>
          </w:tcPr>
          <w:p w14:paraId="565160A0" w14:textId="2CEF2690" w:rsidR="000C4D90" w:rsidRPr="002C3702" w:rsidRDefault="000C4D90" w:rsidP="00766EA9">
            <w:pPr>
              <w:pStyle w:val="TableText0"/>
              <w:widowControl w:val="0"/>
            </w:pPr>
            <w:r w:rsidRPr="002C3702">
              <w:t>Dependent Exponential (in both arms); third-best fitting</w:t>
            </w:r>
          </w:p>
        </w:tc>
        <w:tc>
          <w:tcPr>
            <w:tcW w:w="777" w:type="pct"/>
          </w:tcPr>
          <w:p w14:paraId="0AF4BF35" w14:textId="5A3EAD7B"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tcPr>
          <w:p w14:paraId="6A580900" w14:textId="2B4D90DD" w:rsidR="000C4D90" w:rsidRPr="002C3702" w:rsidRDefault="000C4D90" w:rsidP="00766EA9">
            <w:pPr>
              <w:pStyle w:val="TableText0"/>
              <w:widowControl w:val="0"/>
              <w:jc w:val="center"/>
              <w:rPr>
                <w:iCs/>
              </w:rPr>
            </w:pPr>
            <w:r w:rsidRPr="002C3702">
              <w:rPr>
                <w:iCs/>
              </w:rPr>
              <w:t>0.412</w:t>
            </w:r>
          </w:p>
        </w:tc>
        <w:tc>
          <w:tcPr>
            <w:tcW w:w="952" w:type="pct"/>
          </w:tcPr>
          <w:p w14:paraId="4E5E4068" w14:textId="39A1EE41"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10D9B5D8" w14:textId="7D21567C" w:rsidR="000C4D90" w:rsidRPr="002C3702" w:rsidRDefault="000C4D90"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36"/>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36"/>
                <w14:textFill>
                  <w14:solidFill>
                    <w14:srgbClr w14:val="000000">
                      <w14:alpha w14:val="100000"/>
                    </w14:srgbClr>
                  </w14:solidFill>
                </w14:textFill>
              </w:rPr>
              <w:t>|</w:t>
            </w:r>
            <w:r w:rsidRPr="002C3702">
              <w:rPr>
                <w:rFonts w:eastAsia="Calibri"/>
                <w:iCs/>
                <w:szCs w:val="20"/>
              </w:rPr>
              <w:t>%</w:t>
            </w:r>
          </w:p>
        </w:tc>
      </w:tr>
      <w:tr w:rsidR="00645AC4" w:rsidRPr="002C3702" w14:paraId="7EA8BF9E" w14:textId="77777777" w:rsidTr="006C712B">
        <w:trPr>
          <w:cantSplit/>
        </w:trPr>
        <w:tc>
          <w:tcPr>
            <w:tcW w:w="1894" w:type="pct"/>
          </w:tcPr>
          <w:p w14:paraId="111FF878" w14:textId="4321537C" w:rsidR="000C4D90" w:rsidRPr="002C3702" w:rsidRDefault="000C4D90" w:rsidP="00766EA9">
            <w:pPr>
              <w:pStyle w:val="TableText0"/>
              <w:widowControl w:val="0"/>
            </w:pPr>
            <w:r w:rsidRPr="002C3702">
              <w:t>Independent Log-logistic (in both arms)</w:t>
            </w:r>
          </w:p>
        </w:tc>
        <w:tc>
          <w:tcPr>
            <w:tcW w:w="777" w:type="pct"/>
          </w:tcPr>
          <w:p w14:paraId="128BC0DB" w14:textId="1AD68C3C"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tcPr>
          <w:p w14:paraId="167239F3" w14:textId="02CEDF66" w:rsidR="000C4D90" w:rsidRPr="002C3702" w:rsidRDefault="000C4D90" w:rsidP="00766EA9">
            <w:pPr>
              <w:pStyle w:val="TableText0"/>
              <w:widowControl w:val="0"/>
              <w:jc w:val="center"/>
              <w:rPr>
                <w:iCs/>
              </w:rPr>
            </w:pPr>
            <w:r w:rsidRPr="002C3702">
              <w:rPr>
                <w:iCs/>
              </w:rPr>
              <w:t>0.488</w:t>
            </w:r>
          </w:p>
        </w:tc>
        <w:tc>
          <w:tcPr>
            <w:tcW w:w="952" w:type="pct"/>
          </w:tcPr>
          <w:p w14:paraId="3725CF15" w14:textId="0F8DDA6E" w:rsidR="000C4D90"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40862E1F" w14:textId="52BB23F0" w:rsidR="000C4D90" w:rsidRPr="002C3702" w:rsidRDefault="000C4D90"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35"/>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35"/>
                <w14:textFill>
                  <w14:solidFill>
                    <w14:srgbClr w14:val="000000">
                      <w14:alpha w14:val="100000"/>
                    </w14:srgbClr>
                  </w14:solidFill>
                </w14:textFill>
              </w:rPr>
              <w:t>|</w:t>
            </w:r>
            <w:r w:rsidRPr="002C3702">
              <w:rPr>
                <w:rFonts w:eastAsia="Calibri"/>
                <w:iCs/>
                <w:szCs w:val="20"/>
              </w:rPr>
              <w:t>%</w:t>
            </w:r>
          </w:p>
        </w:tc>
      </w:tr>
      <w:tr w:rsidR="001F1EDE" w:rsidRPr="002C3702" w14:paraId="56B16749" w14:textId="77777777" w:rsidTr="001F1EDE">
        <w:trPr>
          <w:cantSplit/>
        </w:trPr>
        <w:tc>
          <w:tcPr>
            <w:tcW w:w="5000" w:type="pct"/>
            <w:gridSpan w:val="5"/>
          </w:tcPr>
          <w:p w14:paraId="0C7DF1C9" w14:textId="6B46F74A" w:rsidR="001F1EDE" w:rsidRPr="002C3702" w:rsidRDefault="001F1EDE" w:rsidP="00766EA9">
            <w:pPr>
              <w:pStyle w:val="TableText0"/>
              <w:widowControl w:val="0"/>
              <w:rPr>
                <w:rFonts w:eastAsia="Calibri"/>
                <w:b/>
                <w:bCs w:val="0"/>
                <w:szCs w:val="20"/>
              </w:rPr>
            </w:pPr>
            <w:r w:rsidRPr="002C3702">
              <w:rPr>
                <w:b/>
                <w:bCs w:val="0"/>
              </w:rPr>
              <w:t>Proportion of NMR (base case: ABE+ET: 27.1%, ET: 25.8%)</w:t>
            </w:r>
          </w:p>
        </w:tc>
      </w:tr>
      <w:tr w:rsidR="0052474F" w:rsidRPr="002C3702" w14:paraId="6DEA0C7F" w14:textId="77777777" w:rsidTr="00527D34">
        <w:trPr>
          <w:cantSplit/>
        </w:trPr>
        <w:tc>
          <w:tcPr>
            <w:tcW w:w="1894" w:type="pct"/>
          </w:tcPr>
          <w:p w14:paraId="1571EBEB" w14:textId="12E6B867" w:rsidR="0052474F" w:rsidRPr="002C3702" w:rsidRDefault="0052474F" w:rsidP="00766EA9">
            <w:pPr>
              <w:pStyle w:val="TableText0"/>
              <w:widowControl w:val="0"/>
            </w:pPr>
            <w:r w:rsidRPr="002C3702">
              <w:t xml:space="preserve">28% (pooled trial data) in ABE + ET and ET </w:t>
            </w:r>
          </w:p>
        </w:tc>
        <w:tc>
          <w:tcPr>
            <w:tcW w:w="777" w:type="pct"/>
            <w:vAlign w:val="center"/>
          </w:tcPr>
          <w:p w14:paraId="4E744B32" w14:textId="2D3302D1"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5E75992D" w14:textId="154CC20F" w:rsidR="0052474F" w:rsidRPr="002C3702" w:rsidRDefault="0052474F" w:rsidP="00766EA9">
            <w:pPr>
              <w:pStyle w:val="TableText0"/>
              <w:widowControl w:val="0"/>
              <w:jc w:val="center"/>
              <w:rPr>
                <w:iCs/>
              </w:rPr>
            </w:pPr>
            <w:r w:rsidRPr="002C3702">
              <w:rPr>
                <w:iCs/>
              </w:rPr>
              <w:t>0.394</w:t>
            </w:r>
          </w:p>
        </w:tc>
        <w:tc>
          <w:tcPr>
            <w:tcW w:w="952" w:type="pct"/>
            <w:vAlign w:val="center"/>
          </w:tcPr>
          <w:p w14:paraId="60822F48" w14:textId="7D28DF0F"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Pr>
                <w:rFonts w:eastAsia="Times New Roman" w:cs="Calibri"/>
                <w:szCs w:val="20"/>
                <w:vertAlign w:val="superscript"/>
              </w:rPr>
              <w:t>2</w:t>
            </w:r>
          </w:p>
        </w:tc>
        <w:tc>
          <w:tcPr>
            <w:tcW w:w="600" w:type="pct"/>
            <w:vAlign w:val="center"/>
          </w:tcPr>
          <w:p w14:paraId="7D5CD87C" w14:textId="1C11B8FA" w:rsidR="0052474F"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4"/>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4"/>
                <w14:textFill>
                  <w14:solidFill>
                    <w14:srgbClr w14:val="000000">
                      <w14:alpha w14:val="100000"/>
                    </w14:srgbClr>
                  </w14:solidFill>
                </w14:textFill>
              </w:rPr>
              <w:t>|</w:t>
            </w:r>
            <w:r w:rsidR="0052474F" w:rsidRPr="002C3702">
              <w:rPr>
                <w:rFonts w:eastAsia="Calibri"/>
                <w:iCs/>
                <w:szCs w:val="20"/>
              </w:rPr>
              <w:t>%</w:t>
            </w:r>
          </w:p>
        </w:tc>
      </w:tr>
      <w:tr w:rsidR="0052474F" w:rsidRPr="002C3702" w14:paraId="1C17A34C" w14:textId="77777777" w:rsidTr="00527D34">
        <w:trPr>
          <w:cantSplit/>
        </w:trPr>
        <w:tc>
          <w:tcPr>
            <w:tcW w:w="1894" w:type="pct"/>
          </w:tcPr>
          <w:p w14:paraId="74E9EC60" w14:textId="49B81564" w:rsidR="0052474F" w:rsidRPr="002C3702" w:rsidRDefault="0052474F" w:rsidP="00766EA9">
            <w:pPr>
              <w:pStyle w:val="TableText0"/>
              <w:widowControl w:val="0"/>
            </w:pPr>
            <w:r w:rsidRPr="002C3702">
              <w:t>60% in both arms</w:t>
            </w:r>
          </w:p>
        </w:tc>
        <w:tc>
          <w:tcPr>
            <w:tcW w:w="777" w:type="pct"/>
            <w:vAlign w:val="center"/>
          </w:tcPr>
          <w:p w14:paraId="4D1E054D" w14:textId="69DDC339"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13BE4081" w14:textId="09F7BE8E" w:rsidR="0052474F" w:rsidRPr="002C3702" w:rsidRDefault="0052474F" w:rsidP="00766EA9">
            <w:pPr>
              <w:pStyle w:val="TableText0"/>
              <w:widowControl w:val="0"/>
              <w:jc w:val="center"/>
              <w:rPr>
                <w:iCs/>
              </w:rPr>
            </w:pPr>
            <w:r w:rsidRPr="002C3702">
              <w:rPr>
                <w:iCs/>
              </w:rPr>
              <w:t>0.358</w:t>
            </w:r>
          </w:p>
        </w:tc>
        <w:tc>
          <w:tcPr>
            <w:tcW w:w="952" w:type="pct"/>
            <w:vAlign w:val="center"/>
          </w:tcPr>
          <w:p w14:paraId="04BD4D10" w14:textId="57676BFC"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4</w:t>
            </w:r>
          </w:p>
        </w:tc>
        <w:tc>
          <w:tcPr>
            <w:tcW w:w="600" w:type="pct"/>
            <w:vAlign w:val="center"/>
          </w:tcPr>
          <w:p w14:paraId="6D421B21" w14:textId="3ECF39E2" w:rsidR="0052474F"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3"/>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3"/>
                <w14:textFill>
                  <w14:solidFill>
                    <w14:srgbClr w14:val="000000">
                      <w14:alpha w14:val="100000"/>
                    </w14:srgbClr>
                  </w14:solidFill>
                </w14:textFill>
              </w:rPr>
              <w:t>|</w:t>
            </w:r>
            <w:r w:rsidR="0052474F" w:rsidRPr="002C3702">
              <w:rPr>
                <w:rFonts w:eastAsia="Calibri"/>
                <w:iCs/>
                <w:szCs w:val="20"/>
              </w:rPr>
              <w:t>%</w:t>
            </w:r>
          </w:p>
        </w:tc>
      </w:tr>
      <w:tr w:rsidR="0052474F" w:rsidRPr="002C3702" w14:paraId="3AAF9148" w14:textId="77777777" w:rsidTr="00527D34">
        <w:trPr>
          <w:cantSplit/>
        </w:trPr>
        <w:tc>
          <w:tcPr>
            <w:tcW w:w="1894" w:type="pct"/>
          </w:tcPr>
          <w:p w14:paraId="6FD96B1E" w14:textId="7F9E8708" w:rsidR="0052474F" w:rsidRPr="002C3702" w:rsidRDefault="0052474F" w:rsidP="00766EA9">
            <w:pPr>
              <w:pStyle w:val="TableText0"/>
              <w:widowControl w:val="0"/>
            </w:pPr>
            <w:r w:rsidRPr="002C3702">
              <w:t>10% in both arms</w:t>
            </w:r>
          </w:p>
        </w:tc>
        <w:tc>
          <w:tcPr>
            <w:tcW w:w="777" w:type="pct"/>
            <w:vAlign w:val="center"/>
          </w:tcPr>
          <w:p w14:paraId="02EF5FE7" w14:textId="30FBDA5C"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343EDA17" w14:textId="7FE06475" w:rsidR="0052474F" w:rsidRPr="002C3702" w:rsidRDefault="0052474F" w:rsidP="00766EA9">
            <w:pPr>
              <w:pStyle w:val="TableText0"/>
              <w:widowControl w:val="0"/>
              <w:jc w:val="center"/>
              <w:rPr>
                <w:iCs/>
              </w:rPr>
            </w:pPr>
            <w:r w:rsidRPr="002C3702">
              <w:rPr>
                <w:iCs/>
              </w:rPr>
              <w:t>0.414</w:t>
            </w:r>
          </w:p>
        </w:tc>
        <w:tc>
          <w:tcPr>
            <w:tcW w:w="952" w:type="pct"/>
            <w:vAlign w:val="center"/>
          </w:tcPr>
          <w:p w14:paraId="6A416E89" w14:textId="66976052" w:rsidR="0052474F"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C86AFB" w:rsidRPr="00C86AFB">
              <w:rPr>
                <w:rFonts w:eastAsia="Times New Roman" w:cs="Calibri"/>
                <w:szCs w:val="20"/>
                <w:vertAlign w:val="superscript"/>
              </w:rPr>
              <w:t>1</w:t>
            </w:r>
          </w:p>
        </w:tc>
        <w:tc>
          <w:tcPr>
            <w:tcW w:w="600" w:type="pct"/>
            <w:vAlign w:val="center"/>
          </w:tcPr>
          <w:p w14:paraId="6B3A67DE" w14:textId="029D2F9F" w:rsidR="0052474F" w:rsidRPr="002C3702" w:rsidRDefault="0052474F" w:rsidP="00766EA9">
            <w:pPr>
              <w:pStyle w:val="TableText0"/>
              <w:widowControl w:val="0"/>
              <w:jc w:val="center"/>
              <w:rPr>
                <w:rFonts w:eastAsia="Calibri"/>
                <w:iCs/>
                <w:szCs w:val="20"/>
              </w:rPr>
            </w:pPr>
            <w:r w:rsidRPr="002C3702">
              <w:rPr>
                <w:rFonts w:eastAsia="Calibri"/>
                <w:iCs/>
                <w:szCs w:val="20"/>
              </w:rPr>
              <w:t>-</w:t>
            </w:r>
            <w:r w:rsidR="008129BD">
              <w:rPr>
                <w:rFonts w:eastAsia="Calibri"/>
                <w:iCs/>
                <w:szCs w:val="20"/>
              </w:rPr>
              <w:t xml:space="preserve"> </w:t>
            </w:r>
            <w:r w:rsidR="008129BD" w:rsidRPr="008129BD">
              <w:rPr>
                <w:rFonts w:eastAsia="Calibri"/>
                <w:iCs/>
                <w:color w:val="000000"/>
                <w:spacing w:val="154"/>
                <w:szCs w:val="20"/>
                <w:shd w:val="solid" w:color="000000" w:fill="000000"/>
                <w:fitText w:val="240" w:id="-1032093432"/>
                <w14:textFill>
                  <w14:solidFill>
                    <w14:srgbClr w14:val="000000">
                      <w14:alpha w14:val="100000"/>
                    </w14:srgbClr>
                  </w14:solidFill>
                </w14:textFill>
              </w:rPr>
              <w:t>|</w:t>
            </w:r>
            <w:r w:rsidR="008129BD" w:rsidRPr="008129BD">
              <w:rPr>
                <w:rFonts w:eastAsia="Calibri"/>
                <w:iCs/>
                <w:color w:val="000000"/>
                <w:spacing w:val="1"/>
                <w:szCs w:val="20"/>
                <w:shd w:val="solid" w:color="000000" w:fill="000000"/>
                <w:fitText w:val="240" w:id="-1032093432"/>
                <w14:textFill>
                  <w14:solidFill>
                    <w14:srgbClr w14:val="000000">
                      <w14:alpha w14:val="100000"/>
                    </w14:srgbClr>
                  </w14:solidFill>
                </w14:textFill>
              </w:rPr>
              <w:t>|</w:t>
            </w:r>
            <w:r w:rsidRPr="002C3702">
              <w:rPr>
                <w:rFonts w:eastAsia="Calibri"/>
                <w:iCs/>
                <w:szCs w:val="20"/>
              </w:rPr>
              <w:t>%</w:t>
            </w:r>
          </w:p>
        </w:tc>
      </w:tr>
      <w:tr w:rsidR="00106B9C" w:rsidRPr="002C3702" w14:paraId="1BB59597" w14:textId="77777777" w:rsidTr="00106B9C">
        <w:trPr>
          <w:cantSplit/>
        </w:trPr>
        <w:tc>
          <w:tcPr>
            <w:tcW w:w="5000" w:type="pct"/>
            <w:gridSpan w:val="5"/>
          </w:tcPr>
          <w:p w14:paraId="13A77EBB" w14:textId="7171FA2E" w:rsidR="00106B9C" w:rsidRPr="002C3702" w:rsidRDefault="00106B9C" w:rsidP="00766EA9">
            <w:pPr>
              <w:pStyle w:val="TableText0"/>
              <w:widowControl w:val="0"/>
              <w:rPr>
                <w:rFonts w:eastAsia="Calibri"/>
                <w:i/>
                <w:iCs/>
                <w:szCs w:val="20"/>
              </w:rPr>
            </w:pPr>
            <w:r w:rsidRPr="002C3702">
              <w:rPr>
                <w:b/>
                <w:bCs w:val="0"/>
              </w:rPr>
              <w:t>Proportion of NMRs that are second primary neoplasms (base case: 31.5% both arms)</w:t>
            </w:r>
          </w:p>
        </w:tc>
      </w:tr>
      <w:tr w:rsidR="00645AC4" w:rsidRPr="002C3702" w14:paraId="402A2F6A" w14:textId="77777777" w:rsidTr="00527D34">
        <w:trPr>
          <w:cantSplit/>
        </w:trPr>
        <w:tc>
          <w:tcPr>
            <w:tcW w:w="1894" w:type="pct"/>
          </w:tcPr>
          <w:p w14:paraId="2CF3CBD0" w14:textId="480DA3BE" w:rsidR="00741F88" w:rsidRPr="002C3702" w:rsidRDefault="001E4596" w:rsidP="00766EA9">
            <w:pPr>
              <w:pStyle w:val="TableText0"/>
              <w:widowControl w:val="0"/>
            </w:pPr>
            <w:r w:rsidRPr="002C3702">
              <w:t>33.7% in ABE + ET and 29.7% in ET (ITT trial data)</w:t>
            </w:r>
          </w:p>
        </w:tc>
        <w:tc>
          <w:tcPr>
            <w:tcW w:w="777" w:type="pct"/>
            <w:vAlign w:val="center"/>
          </w:tcPr>
          <w:p w14:paraId="1FDEB7BE" w14:textId="65E89750" w:rsidR="00741F88"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3E3BAAF2" w14:textId="22D25032" w:rsidR="00741F88" w:rsidRPr="002C3702" w:rsidRDefault="00E846F0" w:rsidP="00766EA9">
            <w:pPr>
              <w:pStyle w:val="TableText0"/>
              <w:widowControl w:val="0"/>
              <w:jc w:val="center"/>
              <w:rPr>
                <w:iCs/>
              </w:rPr>
            </w:pPr>
            <w:r w:rsidRPr="002C3702">
              <w:rPr>
                <w:iCs/>
              </w:rPr>
              <w:t>0.377</w:t>
            </w:r>
          </w:p>
        </w:tc>
        <w:tc>
          <w:tcPr>
            <w:tcW w:w="952" w:type="pct"/>
            <w:vAlign w:val="center"/>
          </w:tcPr>
          <w:p w14:paraId="1219E53A" w14:textId="5AC15378" w:rsidR="00741F88"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2</w:t>
            </w:r>
          </w:p>
        </w:tc>
        <w:tc>
          <w:tcPr>
            <w:tcW w:w="600" w:type="pct"/>
            <w:vAlign w:val="center"/>
          </w:tcPr>
          <w:p w14:paraId="067B9759" w14:textId="1CCD394F" w:rsidR="00741F88"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1"/>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1"/>
                <w14:textFill>
                  <w14:solidFill>
                    <w14:srgbClr w14:val="000000">
                      <w14:alpha w14:val="100000"/>
                    </w14:srgbClr>
                  </w14:solidFill>
                </w14:textFill>
              </w:rPr>
              <w:t>|</w:t>
            </w:r>
            <w:r w:rsidR="00660C97" w:rsidRPr="002C3702">
              <w:rPr>
                <w:rFonts w:eastAsia="Calibri"/>
                <w:iCs/>
                <w:szCs w:val="20"/>
              </w:rPr>
              <w:t>%</w:t>
            </w:r>
          </w:p>
        </w:tc>
      </w:tr>
      <w:tr w:rsidR="00741F88" w:rsidRPr="002C3702" w14:paraId="02505705" w14:textId="77777777" w:rsidTr="00AA335A">
        <w:trPr>
          <w:cantSplit/>
        </w:trPr>
        <w:tc>
          <w:tcPr>
            <w:tcW w:w="5000" w:type="pct"/>
            <w:gridSpan w:val="5"/>
          </w:tcPr>
          <w:p w14:paraId="3233A511" w14:textId="1B48DDDB" w:rsidR="00741F88" w:rsidRPr="002C3702" w:rsidRDefault="00810691" w:rsidP="00766EA9">
            <w:pPr>
              <w:pStyle w:val="TableText0"/>
              <w:widowControl w:val="0"/>
              <w:rPr>
                <w:rFonts w:eastAsia="Calibri"/>
                <w:b/>
                <w:bCs w:val="0"/>
                <w:szCs w:val="20"/>
              </w:rPr>
            </w:pPr>
            <w:r w:rsidRPr="002C3702">
              <w:rPr>
                <w:b/>
                <w:bCs w:val="0"/>
              </w:rPr>
              <w:t>ET treatment duration</w:t>
            </w:r>
          </w:p>
        </w:tc>
      </w:tr>
      <w:tr w:rsidR="00741F88" w:rsidRPr="002C3702" w14:paraId="3DDA8300" w14:textId="77777777" w:rsidTr="00527D34">
        <w:trPr>
          <w:cantSplit/>
        </w:trPr>
        <w:tc>
          <w:tcPr>
            <w:tcW w:w="1894" w:type="pct"/>
          </w:tcPr>
          <w:p w14:paraId="294C3751" w14:textId="255ADB48" w:rsidR="00741F88" w:rsidRPr="002C3702" w:rsidRDefault="00741F88" w:rsidP="00766EA9">
            <w:pPr>
              <w:pStyle w:val="TableText0"/>
              <w:widowControl w:val="0"/>
            </w:pPr>
            <w:r w:rsidRPr="002C3702">
              <w:t xml:space="preserve">ET </w:t>
            </w:r>
            <w:r w:rsidR="00810691" w:rsidRPr="002C3702">
              <w:t>treatment duration</w:t>
            </w:r>
            <w:r w:rsidRPr="002C3702">
              <w:t xml:space="preserve"> (base case: 5 years), 10 years</w:t>
            </w:r>
          </w:p>
        </w:tc>
        <w:tc>
          <w:tcPr>
            <w:tcW w:w="777" w:type="pct"/>
            <w:vAlign w:val="center"/>
          </w:tcPr>
          <w:p w14:paraId="6BF2F1F8" w14:textId="507FBFA3" w:rsidR="00741F88"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p>
        </w:tc>
        <w:tc>
          <w:tcPr>
            <w:tcW w:w="777" w:type="pct"/>
            <w:vAlign w:val="center"/>
          </w:tcPr>
          <w:p w14:paraId="6239A53D" w14:textId="5F617A18" w:rsidR="00741F88" w:rsidRPr="002C3702" w:rsidRDefault="00741F88" w:rsidP="00766EA9">
            <w:pPr>
              <w:pStyle w:val="TableText0"/>
              <w:widowControl w:val="0"/>
              <w:jc w:val="center"/>
              <w:rPr>
                <w:iCs/>
              </w:rPr>
            </w:pPr>
            <w:r w:rsidRPr="002C3702">
              <w:rPr>
                <w:iCs/>
              </w:rPr>
              <w:t>0.407</w:t>
            </w:r>
          </w:p>
        </w:tc>
        <w:tc>
          <w:tcPr>
            <w:tcW w:w="952" w:type="pct"/>
            <w:vAlign w:val="center"/>
          </w:tcPr>
          <w:p w14:paraId="5884EF99" w14:textId="31831FD5" w:rsidR="00741F88" w:rsidRPr="00C86AFB" w:rsidRDefault="008129BD" w:rsidP="00766EA9">
            <w:pPr>
              <w:pStyle w:val="TableText0"/>
              <w:widowControl w:val="0"/>
              <w:jc w:val="center"/>
              <w:rPr>
                <w:iCs/>
                <w:highlight w:val="darkGray"/>
              </w:rPr>
            </w:pPr>
            <w:r>
              <w:rPr>
                <w:iCs/>
              </w:rPr>
              <w:t xml:space="preserve"> </w:t>
            </w:r>
            <w:r w:rsidRPr="008129BD">
              <w:rPr>
                <w:iCs/>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2</w:t>
            </w:r>
          </w:p>
        </w:tc>
        <w:tc>
          <w:tcPr>
            <w:tcW w:w="600" w:type="pct"/>
            <w:vAlign w:val="center"/>
          </w:tcPr>
          <w:p w14:paraId="7EE8A3A2" w14:textId="6AB7EE35" w:rsidR="00741F88" w:rsidRPr="002C3702" w:rsidRDefault="008129BD" w:rsidP="00766EA9">
            <w:pPr>
              <w:pStyle w:val="TableText0"/>
              <w:widowControl w:val="0"/>
              <w:jc w:val="center"/>
              <w:rPr>
                <w:rFonts w:eastAsia="Calibri"/>
                <w:iCs/>
                <w:szCs w:val="20"/>
              </w:rPr>
            </w:pPr>
            <w:r>
              <w:rPr>
                <w:rFonts w:eastAsia="Calibri"/>
                <w:iCs/>
                <w:szCs w:val="20"/>
              </w:rPr>
              <w:t xml:space="preserve"> </w:t>
            </w:r>
            <w:r w:rsidRPr="008129BD">
              <w:rPr>
                <w:rFonts w:eastAsia="Calibri"/>
                <w:iCs/>
                <w:color w:val="000000"/>
                <w:spacing w:val="41"/>
                <w:szCs w:val="20"/>
                <w:shd w:val="solid" w:color="000000" w:fill="000000"/>
                <w:fitText w:val="210" w:id="-1032093430"/>
                <w14:textFill>
                  <w14:solidFill>
                    <w14:srgbClr w14:val="000000">
                      <w14:alpha w14:val="100000"/>
                    </w14:srgbClr>
                  </w14:solidFill>
                </w14:textFill>
              </w:rPr>
              <w:t>||</w:t>
            </w:r>
            <w:r w:rsidRPr="008129BD">
              <w:rPr>
                <w:rFonts w:eastAsia="Calibri"/>
                <w:iCs/>
                <w:color w:val="000000"/>
                <w:spacing w:val="1"/>
                <w:szCs w:val="20"/>
                <w:shd w:val="solid" w:color="000000" w:fill="000000"/>
                <w:fitText w:val="210" w:id="-1032093430"/>
                <w14:textFill>
                  <w14:solidFill>
                    <w14:srgbClr w14:val="000000">
                      <w14:alpha w14:val="100000"/>
                    </w14:srgbClr>
                  </w14:solidFill>
                </w14:textFill>
              </w:rPr>
              <w:t>|</w:t>
            </w:r>
            <w:r w:rsidR="00741F88" w:rsidRPr="002C3702">
              <w:rPr>
                <w:rFonts w:eastAsia="Calibri"/>
                <w:iCs/>
                <w:szCs w:val="20"/>
              </w:rPr>
              <w:t>%</w:t>
            </w:r>
          </w:p>
        </w:tc>
      </w:tr>
      <w:tr w:rsidR="00741F88" w:rsidRPr="002C3702" w14:paraId="5D0B5CC5" w14:textId="77777777" w:rsidTr="006E7D62">
        <w:trPr>
          <w:cantSplit/>
        </w:trPr>
        <w:tc>
          <w:tcPr>
            <w:tcW w:w="4400" w:type="pct"/>
            <w:gridSpan w:val="4"/>
          </w:tcPr>
          <w:p w14:paraId="39A51C42" w14:textId="77777777" w:rsidR="00741F88" w:rsidRPr="002C3702" w:rsidRDefault="00741F88" w:rsidP="00766EA9">
            <w:pPr>
              <w:pStyle w:val="TableText0"/>
              <w:widowControl w:val="0"/>
            </w:pPr>
            <w:r w:rsidRPr="002C3702">
              <w:rPr>
                <w:b/>
                <w:bCs w:val="0"/>
              </w:rPr>
              <w:t>Sensitivity analyses based on assumptions suggested by PBAC</w:t>
            </w:r>
          </w:p>
        </w:tc>
        <w:tc>
          <w:tcPr>
            <w:tcW w:w="600" w:type="pct"/>
            <w:vAlign w:val="center"/>
          </w:tcPr>
          <w:p w14:paraId="0E39DE21" w14:textId="77777777" w:rsidR="00741F88" w:rsidRPr="002C3702" w:rsidRDefault="00741F88" w:rsidP="00766EA9">
            <w:pPr>
              <w:pStyle w:val="TableText0"/>
              <w:widowControl w:val="0"/>
              <w:jc w:val="center"/>
            </w:pPr>
          </w:p>
        </w:tc>
      </w:tr>
      <w:tr w:rsidR="00741F88" w:rsidRPr="002C3702" w14:paraId="43672E19" w14:textId="77777777" w:rsidTr="006E7D62">
        <w:trPr>
          <w:cantSplit/>
          <w:trHeight w:val="283"/>
        </w:trPr>
        <w:tc>
          <w:tcPr>
            <w:tcW w:w="1894" w:type="pct"/>
            <w:vAlign w:val="center"/>
          </w:tcPr>
          <w:p w14:paraId="58E3631C" w14:textId="0A504277" w:rsidR="00741F88" w:rsidRPr="002C3702" w:rsidRDefault="00175C21" w:rsidP="00766EA9">
            <w:pPr>
              <w:pStyle w:val="TableText0"/>
              <w:widowControl w:val="0"/>
            </w:pPr>
            <w:r w:rsidRPr="002C3702">
              <w:t>T</w:t>
            </w:r>
            <w:r w:rsidR="00741F88" w:rsidRPr="002C3702">
              <w:t>ime horizon 30 years + treatment waning from Year 4 to Year 7 + starting age of 61.4 years</w:t>
            </w:r>
          </w:p>
        </w:tc>
        <w:tc>
          <w:tcPr>
            <w:tcW w:w="777" w:type="pct"/>
            <w:vAlign w:val="center"/>
          </w:tcPr>
          <w:p w14:paraId="265DFCB8" w14:textId="79EB8058" w:rsidR="00741F88" w:rsidRPr="00C86AFB" w:rsidRDefault="008129BD" w:rsidP="00766EA9">
            <w:pPr>
              <w:pStyle w:val="TableText0"/>
              <w:widowControl w:val="0"/>
              <w:jc w:val="center"/>
              <w:rPr>
                <w:rFonts w:eastAsia="Calibri"/>
                <w:szCs w:val="20"/>
                <w:highlight w:val="darkGray"/>
              </w:rPr>
            </w:pPr>
            <w:r>
              <w:t xml:space="preserve"> </w:t>
            </w:r>
            <w:r w:rsidRPr="008129BD">
              <w:rPr>
                <w:color w:val="000000"/>
                <w:shd w:val="solid" w:color="000000" w:fill="000000"/>
                <w14:textFill>
                  <w14:solidFill>
                    <w14:srgbClr w14:val="000000">
                      <w14:alpha w14:val="100000"/>
                    </w14:srgbClr>
                  </w14:solidFill>
                </w14:textFill>
              </w:rPr>
              <w:t>|</w:t>
            </w:r>
          </w:p>
        </w:tc>
        <w:tc>
          <w:tcPr>
            <w:tcW w:w="777" w:type="pct"/>
            <w:vAlign w:val="center"/>
          </w:tcPr>
          <w:p w14:paraId="7EB4E69F" w14:textId="77777777" w:rsidR="00741F88" w:rsidRPr="002C3702" w:rsidRDefault="00741F88" w:rsidP="00766EA9">
            <w:pPr>
              <w:pStyle w:val="TableText0"/>
              <w:widowControl w:val="0"/>
              <w:jc w:val="center"/>
              <w:rPr>
                <w:rFonts w:eastAsia="Calibri"/>
                <w:szCs w:val="20"/>
              </w:rPr>
            </w:pPr>
            <w:r w:rsidRPr="002C3702">
              <w:t>0.266</w:t>
            </w:r>
          </w:p>
        </w:tc>
        <w:tc>
          <w:tcPr>
            <w:tcW w:w="952" w:type="pct"/>
            <w:vAlign w:val="center"/>
          </w:tcPr>
          <w:p w14:paraId="7D006269" w14:textId="4AF6A3E7" w:rsidR="00741F88" w:rsidRPr="002C3702" w:rsidRDefault="008129BD" w:rsidP="00766EA9">
            <w:pPr>
              <w:pStyle w:val="TableText0"/>
              <w:widowControl w:val="0"/>
              <w:jc w:val="center"/>
              <w:rPr>
                <w:rFonts w:eastAsia="Calibri"/>
                <w:szCs w:val="20"/>
              </w:rPr>
            </w:pPr>
            <w:r>
              <w:t xml:space="preserve"> </w:t>
            </w:r>
            <w:r w:rsidRPr="008129BD">
              <w:rPr>
                <w:color w:val="000000"/>
                <w:shd w:val="solid" w:color="000000" w:fill="000000"/>
                <w14:textFill>
                  <w14:solidFill>
                    <w14:srgbClr w14:val="000000">
                      <w14:alpha w14:val="100000"/>
                    </w14:srgbClr>
                  </w14:solidFill>
                </w14:textFill>
              </w:rPr>
              <w:t>|</w:t>
            </w:r>
            <w:r w:rsidR="00F135BE">
              <w:rPr>
                <w:rFonts w:eastAsia="Times New Roman" w:cs="Calibri"/>
                <w:szCs w:val="20"/>
                <w:vertAlign w:val="superscript"/>
              </w:rPr>
              <w:t>4</w:t>
            </w:r>
          </w:p>
        </w:tc>
        <w:tc>
          <w:tcPr>
            <w:tcW w:w="600" w:type="pct"/>
            <w:vAlign w:val="center"/>
          </w:tcPr>
          <w:p w14:paraId="12CC51B4" w14:textId="6D9E0DDF" w:rsidR="00741F88" w:rsidRPr="002C3702" w:rsidRDefault="008129BD" w:rsidP="00766EA9">
            <w:pPr>
              <w:pStyle w:val="TableText0"/>
              <w:widowControl w:val="0"/>
              <w:jc w:val="center"/>
              <w:rPr>
                <w:rFonts w:eastAsia="Calibri"/>
                <w:szCs w:val="20"/>
              </w:rPr>
            </w:pPr>
            <w:r>
              <w:rPr>
                <w:rFonts w:eastAsia="Calibri"/>
                <w:szCs w:val="20"/>
              </w:rPr>
              <w:t xml:space="preserve"> </w:t>
            </w:r>
            <w:r w:rsidRPr="008129BD">
              <w:rPr>
                <w:rFonts w:eastAsia="Calibri"/>
                <w:color w:val="000000"/>
                <w:spacing w:val="41"/>
                <w:szCs w:val="20"/>
                <w:shd w:val="solid" w:color="000000" w:fill="000000"/>
                <w:fitText w:val="210" w:id="-1032093429"/>
                <w14:textFill>
                  <w14:solidFill>
                    <w14:srgbClr w14:val="000000">
                      <w14:alpha w14:val="100000"/>
                    </w14:srgbClr>
                  </w14:solidFill>
                </w14:textFill>
              </w:rPr>
              <w:t>||</w:t>
            </w:r>
            <w:r w:rsidRPr="008129BD">
              <w:rPr>
                <w:rFonts w:eastAsia="Calibri"/>
                <w:color w:val="000000"/>
                <w:spacing w:val="1"/>
                <w:szCs w:val="20"/>
                <w:shd w:val="solid" w:color="000000" w:fill="000000"/>
                <w:fitText w:val="210" w:id="-1032093429"/>
                <w14:textFill>
                  <w14:solidFill>
                    <w14:srgbClr w14:val="000000">
                      <w14:alpha w14:val="100000"/>
                    </w14:srgbClr>
                  </w14:solidFill>
                </w14:textFill>
              </w:rPr>
              <w:t>|</w:t>
            </w:r>
            <w:r w:rsidR="00741F88" w:rsidRPr="002C3702">
              <w:rPr>
                <w:rFonts w:eastAsia="Calibri"/>
                <w:szCs w:val="20"/>
              </w:rPr>
              <w:t>%</w:t>
            </w:r>
          </w:p>
        </w:tc>
      </w:tr>
    </w:tbl>
    <w:p w14:paraId="11AD6E70" w14:textId="77777777" w:rsidR="00030CC5" w:rsidRPr="002C3702" w:rsidRDefault="00030CC5" w:rsidP="00766EA9">
      <w:pPr>
        <w:pStyle w:val="TableFigureFooter"/>
        <w:keepNext/>
        <w:widowControl w:val="0"/>
      </w:pPr>
      <w:bookmarkStart w:id="66" w:name="_Toc22897646"/>
      <w:r w:rsidRPr="002C3702">
        <w:t>Source: Constructed during the evaluation from the ‘A5.1_Abemaciclib Section 3 workbook November 2023.xlsm’ workbook of the submission.</w:t>
      </w:r>
    </w:p>
    <w:p w14:paraId="4572808D" w14:textId="3A221C2B" w:rsidR="00030CC5" w:rsidRDefault="00030CC5" w:rsidP="00766EA9">
      <w:pPr>
        <w:pStyle w:val="TableFigureFooter"/>
        <w:keepNext/>
        <w:widowControl w:val="0"/>
        <w:spacing w:after="0"/>
      </w:pPr>
      <w:r w:rsidRPr="002C3702">
        <w:t xml:space="preserve">ABE = abemaciclib, </w:t>
      </w:r>
      <w:r w:rsidR="00A53071" w:rsidRPr="002C3702">
        <w:t xml:space="preserve">ET = endocrine therapy; </w:t>
      </w:r>
      <w:r w:rsidRPr="002C3702">
        <w:t xml:space="preserve">DPMQ = dispensed price for maximum quantity, ICER = incremental cost-effectiveness ratio, </w:t>
      </w:r>
      <w:r w:rsidR="00A53071" w:rsidRPr="002C3702">
        <w:t xml:space="preserve">IDFS = invasive disease-free survival, </w:t>
      </w:r>
      <w:r w:rsidR="00A53071" w:rsidRPr="002C3702">
        <w:rPr>
          <w:rFonts w:cs="Segoe UI"/>
          <w:color w:val="000000"/>
          <w:szCs w:val="18"/>
        </w:rPr>
        <w:t xml:space="preserve">ITT= intention-to-treat, </w:t>
      </w:r>
      <w:r w:rsidRPr="002C3702">
        <w:t xml:space="preserve">N/A = not </w:t>
      </w:r>
      <w:r w:rsidR="001E1C29" w:rsidRPr="002C3702">
        <w:t xml:space="preserve">applicable, </w:t>
      </w:r>
      <w:r w:rsidR="00A53071" w:rsidRPr="002C3702">
        <w:t xml:space="preserve">NMR = non-metastatic recurrence, </w:t>
      </w:r>
      <w:r w:rsidR="001E1C29" w:rsidRPr="002C3702">
        <w:t>PBAC</w:t>
      </w:r>
      <w:r w:rsidRPr="002C3702">
        <w:t xml:space="preserve"> = Pharmaceutical Benefits Advisory Committee, QALY = quality-adjusted life year.</w:t>
      </w:r>
    </w:p>
    <w:p w14:paraId="38E59EE1" w14:textId="77777777" w:rsidR="00F135BE" w:rsidRPr="009A6D58" w:rsidRDefault="00F135BE" w:rsidP="00766EA9">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C0CE67E" w14:textId="77777777" w:rsidR="00F135BE" w:rsidRPr="009A6D58" w:rsidRDefault="00F135BE" w:rsidP="00766EA9">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86AFB">
        <w:rPr>
          <w:rFonts w:ascii="Arial Narrow" w:hAnsi="Arial Narrow"/>
          <w:i/>
          <w:sz w:val="18"/>
          <w:szCs w:val="18"/>
        </w:rPr>
        <w:t>$15,000 to &lt; $25,000</w:t>
      </w:r>
    </w:p>
    <w:p w14:paraId="75F357EC" w14:textId="77777777" w:rsidR="00F135BE" w:rsidRPr="009A6D58" w:rsidRDefault="00F135BE" w:rsidP="00766EA9">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135BE">
        <w:rPr>
          <w:rFonts w:ascii="Arial Narrow" w:hAnsi="Arial Narrow"/>
          <w:i/>
          <w:sz w:val="18"/>
          <w:szCs w:val="18"/>
        </w:rPr>
        <w:t>$25,000 to &lt; $35,000</w:t>
      </w:r>
    </w:p>
    <w:p w14:paraId="1380E502" w14:textId="77777777" w:rsidR="00F135BE" w:rsidRDefault="00F135BE" w:rsidP="00766EA9">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135BE">
        <w:rPr>
          <w:rFonts w:ascii="Arial Narrow" w:hAnsi="Arial Narrow"/>
          <w:i/>
          <w:sz w:val="18"/>
          <w:szCs w:val="18"/>
        </w:rPr>
        <w:t>$0 to &lt; $5,000</w:t>
      </w:r>
    </w:p>
    <w:p w14:paraId="52DE4356" w14:textId="77777777" w:rsidR="00F135BE" w:rsidRDefault="00F135BE" w:rsidP="00766EA9">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135BE">
        <w:rPr>
          <w:rFonts w:ascii="Arial Narrow" w:hAnsi="Arial Narrow"/>
          <w:i/>
          <w:sz w:val="18"/>
          <w:szCs w:val="18"/>
        </w:rPr>
        <w:t>$35,000 to &lt; $45,000</w:t>
      </w:r>
    </w:p>
    <w:p w14:paraId="499F76B6" w14:textId="044163F4" w:rsidR="00F135BE" w:rsidRPr="00F135BE" w:rsidRDefault="00F135BE" w:rsidP="00766EA9">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135BE">
        <w:rPr>
          <w:rFonts w:ascii="Arial Narrow" w:hAnsi="Arial Narrow"/>
          <w:i/>
          <w:sz w:val="18"/>
          <w:szCs w:val="18"/>
        </w:rPr>
        <w:t>$55,000 to &lt; $75,000</w:t>
      </w:r>
    </w:p>
    <w:p w14:paraId="19CFDCA5" w14:textId="0D54A46C" w:rsidR="002152CA" w:rsidRPr="00F135BE" w:rsidRDefault="00CC59FB" w:rsidP="00766EA9">
      <w:pPr>
        <w:pStyle w:val="3-BodyText"/>
        <w:rPr>
          <w:b/>
          <w:bCs/>
          <w:iCs/>
        </w:rPr>
      </w:pPr>
      <w:bookmarkStart w:id="67" w:name="_Toc145422845"/>
      <w:r w:rsidRPr="002C3702">
        <w:rPr>
          <w:iCs/>
        </w:rPr>
        <w:t xml:space="preserve">A multivariate analysis conducted during the evaluation including a 30-year time horizon, treatment waning from Year 4 to Year 7, and a cohort start age of 61.4 years (based on previous PBAC recommendations) resulted in an increase in the ICER from </w:t>
      </w:r>
      <w:r w:rsidR="00F135BE" w:rsidRPr="00F135BE">
        <w:rPr>
          <w:iCs/>
        </w:rPr>
        <w:t>$15,000 to &lt; $25,000</w:t>
      </w:r>
      <w:r w:rsidR="00F135BE">
        <w:rPr>
          <w:b/>
          <w:bCs/>
          <w:iCs/>
        </w:rPr>
        <w:t xml:space="preserve"> </w:t>
      </w:r>
      <w:r w:rsidRPr="00F135BE">
        <w:rPr>
          <w:iCs/>
        </w:rPr>
        <w:t xml:space="preserve">to </w:t>
      </w:r>
      <w:r w:rsidR="00F135BE" w:rsidRPr="00F135BE">
        <w:rPr>
          <w:iCs/>
        </w:rPr>
        <w:t>$35,000 to &lt; $45,000</w:t>
      </w:r>
      <w:r w:rsidR="00F135BE">
        <w:rPr>
          <w:b/>
          <w:bCs/>
          <w:iCs/>
        </w:rPr>
        <w:t xml:space="preserve"> </w:t>
      </w:r>
      <w:r w:rsidRPr="00F135BE">
        <w:rPr>
          <w:iCs/>
        </w:rPr>
        <w:t>per quality adjusted life year (QALY)</w:t>
      </w:r>
      <w:r w:rsidRPr="00F135BE">
        <w:rPr>
          <w:iCs/>
          <w:color w:val="000000" w:themeColor="text1"/>
        </w:rPr>
        <w:t xml:space="preserve">. The ESC accepted that this multivariate analysis provides an appropriate re-specified base case to address the previous concerns of the PBAC (March 2023 PBAC meeting). </w:t>
      </w:r>
    </w:p>
    <w:p w14:paraId="4229E922" w14:textId="792B46F3" w:rsidR="00CC59FB" w:rsidRPr="00B14FE4" w:rsidRDefault="00950CA9" w:rsidP="00B14FE4">
      <w:pPr>
        <w:pStyle w:val="3-BodyText"/>
        <w:rPr>
          <w:b/>
          <w:bCs/>
          <w:iCs/>
          <w:color w:val="000000" w:themeColor="text1"/>
        </w:rPr>
      </w:pPr>
      <w:r w:rsidRPr="002C3702">
        <w:rPr>
          <w:iCs/>
          <w:color w:val="000000" w:themeColor="text1"/>
        </w:rPr>
        <w:t>The ESC noted the proposed DPMQ of $</w:t>
      </w:r>
      <w:r w:rsidR="008129BD">
        <w:rPr>
          <w:iCs/>
          <w:color w:val="000000" w:themeColor="text1"/>
        </w:rPr>
        <w:t xml:space="preserve"> </w:t>
      </w:r>
      <w:r w:rsidR="008129BD" w:rsidRPr="008129BD">
        <w:rPr>
          <w:iCs/>
          <w:color w:val="000000" w:themeColor="text1"/>
          <w:w w:val="60"/>
          <w:shd w:val="solid" w:color="000000" w:fill="000000"/>
          <w:fitText w:val="470" w:id="-1032093428"/>
          <w14:textFill>
            <w14:solidFill>
              <w14:schemeClr w14:val="tx1">
                <w14:alpha w14:val="100000"/>
              </w14:schemeClr>
            </w14:solidFill>
          </w14:textFill>
        </w:rPr>
        <w:t>|||  ||</w:t>
      </w:r>
      <w:r w:rsidR="008129BD" w:rsidRPr="008129BD">
        <w:rPr>
          <w:iCs/>
          <w:color w:val="000000" w:themeColor="text1"/>
          <w:spacing w:val="6"/>
          <w:w w:val="60"/>
          <w:shd w:val="solid" w:color="000000" w:fill="000000"/>
          <w:fitText w:val="470" w:id="-1032093428"/>
          <w14:textFill>
            <w14:solidFill>
              <w14:schemeClr w14:val="tx1">
                <w14:alpha w14:val="100000"/>
              </w14:schemeClr>
            </w14:solidFill>
          </w14:textFill>
        </w:rPr>
        <w:t>|</w:t>
      </w:r>
      <w:r w:rsidRPr="002C3702">
        <w:rPr>
          <w:iCs/>
          <w:color w:val="000000" w:themeColor="text1"/>
        </w:rPr>
        <w:t xml:space="preserve"> would need to be reduced to $</w:t>
      </w:r>
      <w:r w:rsidR="008129BD">
        <w:rPr>
          <w:iCs/>
          <w:color w:val="000000" w:themeColor="text1"/>
        </w:rPr>
        <w:t xml:space="preserve"> </w:t>
      </w:r>
      <w:r w:rsidR="008129BD" w:rsidRPr="008129BD">
        <w:rPr>
          <w:iCs/>
          <w:color w:val="000000" w:themeColor="text1"/>
          <w:w w:val="60"/>
          <w:shd w:val="solid" w:color="000000" w:fill="000000"/>
          <w:fitText w:val="470" w:id="-1032093427"/>
          <w14:textFill>
            <w14:solidFill>
              <w14:schemeClr w14:val="tx1">
                <w14:alpha w14:val="100000"/>
              </w14:schemeClr>
            </w14:solidFill>
          </w14:textFill>
        </w:rPr>
        <w:t>|||  ||</w:t>
      </w:r>
      <w:r w:rsidR="008129BD" w:rsidRPr="008129BD">
        <w:rPr>
          <w:iCs/>
          <w:color w:val="000000" w:themeColor="text1"/>
          <w:spacing w:val="6"/>
          <w:w w:val="60"/>
          <w:shd w:val="solid" w:color="000000" w:fill="000000"/>
          <w:fitText w:val="470" w:id="-1032093427"/>
          <w14:textFill>
            <w14:solidFill>
              <w14:schemeClr w14:val="tx1">
                <w14:alpha w14:val="100000"/>
              </w14:schemeClr>
            </w14:solidFill>
          </w14:textFill>
        </w:rPr>
        <w:t>|</w:t>
      </w:r>
      <w:r w:rsidRPr="002C3702">
        <w:rPr>
          <w:iCs/>
          <w:color w:val="000000" w:themeColor="text1"/>
        </w:rPr>
        <w:t xml:space="preserve"> (by 12.7%) for </w:t>
      </w:r>
      <w:r w:rsidR="002152CA" w:rsidRPr="002C3702">
        <w:rPr>
          <w:iCs/>
          <w:color w:val="000000" w:themeColor="text1"/>
        </w:rPr>
        <w:t xml:space="preserve">the ICER of </w:t>
      </w:r>
      <w:r w:rsidR="00B14FE4" w:rsidRPr="00B14FE4">
        <w:rPr>
          <w:iCs/>
          <w:color w:val="000000" w:themeColor="text1"/>
        </w:rPr>
        <w:t>$35,000 to &lt; $45,000</w:t>
      </w:r>
      <w:r w:rsidR="00B14FE4">
        <w:rPr>
          <w:b/>
          <w:bCs/>
          <w:iCs/>
          <w:color w:val="000000" w:themeColor="text1"/>
        </w:rPr>
        <w:t xml:space="preserve"> </w:t>
      </w:r>
      <w:r w:rsidR="002152CA" w:rsidRPr="00B14FE4">
        <w:rPr>
          <w:iCs/>
          <w:color w:val="000000" w:themeColor="text1"/>
        </w:rPr>
        <w:t>per QALY to reduce to</w:t>
      </w:r>
      <w:r w:rsidRPr="00B14FE4">
        <w:rPr>
          <w:iCs/>
          <w:color w:val="000000" w:themeColor="text1"/>
        </w:rPr>
        <w:t xml:space="preserve"> $30,000 per QALY</w:t>
      </w:r>
      <w:r w:rsidR="002152CA" w:rsidRPr="00B14FE4">
        <w:rPr>
          <w:iCs/>
          <w:color w:val="000000" w:themeColor="text1"/>
        </w:rPr>
        <w:t>, the threshold</w:t>
      </w:r>
      <w:r w:rsidRPr="00B14FE4">
        <w:rPr>
          <w:iCs/>
          <w:color w:val="000000" w:themeColor="text1"/>
        </w:rPr>
        <w:t xml:space="preserve"> recommended by the PBAC in March 2023. The ESC noted this is higher than the DPMQ required to meet the PBAC’s March 2023 recommendation (DPMQ $</w:t>
      </w:r>
      <w:r w:rsidR="008129BD">
        <w:rPr>
          <w:iCs/>
          <w:color w:val="000000" w:themeColor="text1"/>
        </w:rPr>
        <w:t xml:space="preserve"> </w:t>
      </w:r>
      <w:r w:rsidR="008129BD" w:rsidRPr="00676505">
        <w:rPr>
          <w:iCs/>
          <w:color w:val="000000" w:themeColor="text1"/>
          <w:w w:val="15"/>
          <w:shd w:val="solid" w:color="000000" w:fill="000000"/>
          <w:fitText w:val="-20" w:id="-1032093426"/>
          <w14:textFill>
            <w14:solidFill>
              <w14:schemeClr w14:val="tx1">
                <w14:alpha w14:val="100000"/>
              </w14:schemeClr>
            </w14:solidFill>
          </w14:textFill>
        </w:rPr>
        <w:t xml:space="preserve">|  </w:t>
      </w:r>
      <w:r w:rsidR="008129BD" w:rsidRPr="00676505">
        <w:rPr>
          <w:iCs/>
          <w:color w:val="000000" w:themeColor="text1"/>
          <w:spacing w:val="-69"/>
          <w:w w:val="15"/>
          <w:shd w:val="solid" w:color="000000" w:fill="000000"/>
          <w:fitText w:val="-20" w:id="-1032093426"/>
          <w14:textFill>
            <w14:solidFill>
              <w14:schemeClr w14:val="tx1">
                <w14:alpha w14:val="100000"/>
              </w14:schemeClr>
            </w14:solidFill>
          </w14:textFill>
        </w:rPr>
        <w:t>|</w:t>
      </w:r>
      <w:r w:rsidRPr="00B14FE4">
        <w:rPr>
          <w:iCs/>
          <w:color w:val="000000" w:themeColor="text1"/>
        </w:rPr>
        <w:t>) as a result of applying the clinical trial data from the later data cut.</w:t>
      </w:r>
      <w:r w:rsidR="00E005BA" w:rsidRPr="00B14FE4">
        <w:rPr>
          <w:iCs/>
          <w:color w:val="000000" w:themeColor="text1"/>
        </w:rPr>
        <w:t xml:space="preserve"> The pre-PBAC response revised assumptions and inputs for the starting cohort age (58.5 years) and treatment waning (6−9 years). </w:t>
      </w:r>
      <w:r w:rsidR="00A35841" w:rsidRPr="00B14FE4">
        <w:rPr>
          <w:iCs/>
          <w:color w:val="000000" w:themeColor="text1"/>
        </w:rPr>
        <w:t>Changing these inputs increased the</w:t>
      </w:r>
      <w:r w:rsidR="00E005BA" w:rsidRPr="00B14FE4">
        <w:rPr>
          <w:iCs/>
          <w:color w:val="000000" w:themeColor="text1"/>
        </w:rPr>
        <w:t xml:space="preserve"> ICER </w:t>
      </w:r>
      <w:r w:rsidR="00A35841" w:rsidRPr="00B14FE4">
        <w:rPr>
          <w:iCs/>
          <w:color w:val="000000" w:themeColor="text1"/>
        </w:rPr>
        <w:t xml:space="preserve">from </w:t>
      </w:r>
      <w:r w:rsidR="00B14FE4" w:rsidRPr="00B14FE4">
        <w:rPr>
          <w:iCs/>
          <w:color w:val="000000" w:themeColor="text1"/>
        </w:rPr>
        <w:t>$15,000 to &lt; $25,000</w:t>
      </w:r>
      <w:r w:rsidR="00B14FE4">
        <w:rPr>
          <w:b/>
          <w:bCs/>
          <w:iCs/>
          <w:color w:val="000000" w:themeColor="text1"/>
        </w:rPr>
        <w:t xml:space="preserve"> </w:t>
      </w:r>
      <w:r w:rsidR="00A35841" w:rsidRPr="00B14FE4">
        <w:rPr>
          <w:iCs/>
          <w:color w:val="000000" w:themeColor="text1"/>
        </w:rPr>
        <w:t xml:space="preserve">to </w:t>
      </w:r>
      <w:r w:rsidR="00B14FE4" w:rsidRPr="00B14FE4">
        <w:rPr>
          <w:iCs/>
          <w:color w:val="000000" w:themeColor="text1"/>
        </w:rPr>
        <w:t>$25,000 to &lt; $35,000</w:t>
      </w:r>
      <w:r w:rsidR="00A35841" w:rsidRPr="00B14FE4">
        <w:rPr>
          <w:iCs/>
          <w:color w:val="000000" w:themeColor="text1"/>
        </w:rPr>
        <w:t>. The pre-PBAC response argued that the resulting ICER remain</w:t>
      </w:r>
      <w:r w:rsidR="00940EE5" w:rsidRPr="00B14FE4">
        <w:rPr>
          <w:iCs/>
          <w:color w:val="000000" w:themeColor="text1"/>
        </w:rPr>
        <w:t>ed</w:t>
      </w:r>
      <w:r w:rsidR="00A35841" w:rsidRPr="00B14FE4">
        <w:rPr>
          <w:iCs/>
          <w:color w:val="000000" w:themeColor="text1"/>
        </w:rPr>
        <w:t xml:space="preserve"> below the threshold of $30,000 per QALY</w:t>
      </w:r>
      <w:r w:rsidR="000A41F6" w:rsidRPr="00B14FE4">
        <w:rPr>
          <w:iCs/>
          <w:color w:val="000000" w:themeColor="text1"/>
        </w:rPr>
        <w:t>,</w:t>
      </w:r>
      <w:r w:rsidR="00A35841" w:rsidRPr="00B14FE4">
        <w:rPr>
          <w:iCs/>
          <w:color w:val="000000" w:themeColor="text1"/>
        </w:rPr>
        <w:t xml:space="preserve"> previously accepted by the PBAC.</w:t>
      </w:r>
      <w:r w:rsidR="00A35841" w:rsidRPr="002C3702">
        <w:t xml:space="preserve"> </w:t>
      </w:r>
    </w:p>
    <w:p w14:paraId="0F1E9CDC" w14:textId="51DDB9B3" w:rsidR="00030CC5" w:rsidRPr="002C3702" w:rsidRDefault="00030CC5" w:rsidP="00030CC5">
      <w:pPr>
        <w:pStyle w:val="4-SubsectionHeading"/>
      </w:pPr>
      <w:r w:rsidRPr="002C3702">
        <w:t>ABE cost/patient/course</w:t>
      </w:r>
      <w:bookmarkEnd w:id="67"/>
    </w:p>
    <w:p w14:paraId="24746D5B" w14:textId="438A8A5A" w:rsidR="00030CC5" w:rsidRPr="002C3702" w:rsidRDefault="00030CC5" w:rsidP="00030CC5">
      <w:pPr>
        <w:pStyle w:val="3-BodyText"/>
      </w:pPr>
      <w:r w:rsidRPr="002C3702">
        <w:t xml:space="preserve">The per patient costs of ABE + ET and ET alone as used in the monarchE trial, the economic model, and the financial analysis, are presented in </w:t>
      </w:r>
      <w:r w:rsidR="004E5A67" w:rsidRPr="002C3702">
        <w:fldChar w:fldCharType="begin"/>
      </w:r>
      <w:r w:rsidR="004E5A67" w:rsidRPr="002C3702">
        <w:instrText xml:space="preserve"> REF _Ref145056519 \h </w:instrText>
      </w:r>
      <w:r w:rsidR="004F7532" w:rsidRPr="002C3702">
        <w:instrText xml:space="preserve"> \* MERGEFORMAT </w:instrText>
      </w:r>
      <w:r w:rsidR="004E5A67" w:rsidRPr="002C3702">
        <w:fldChar w:fldCharType="separate"/>
      </w:r>
      <w:r w:rsidR="00676505" w:rsidRPr="002C3702">
        <w:t xml:space="preserve">Table </w:t>
      </w:r>
      <w:r w:rsidR="00676505">
        <w:t>14</w:t>
      </w:r>
      <w:r w:rsidR="004E5A67" w:rsidRPr="002C3702">
        <w:fldChar w:fldCharType="end"/>
      </w:r>
      <w:r w:rsidRPr="002C3702">
        <w:t>.</w:t>
      </w:r>
      <w:r w:rsidR="00E27824" w:rsidRPr="002C3702">
        <w:t xml:space="preserve"> </w:t>
      </w:r>
      <w:r w:rsidR="00EC0649" w:rsidRPr="002C3702">
        <w:t xml:space="preserve">The </w:t>
      </w:r>
      <w:r w:rsidR="001A36CA" w:rsidRPr="002C3702">
        <w:t xml:space="preserve">cost/patient/course </w:t>
      </w:r>
      <w:r w:rsidR="00FD31BC" w:rsidRPr="002C3702">
        <w:t xml:space="preserve">was </w:t>
      </w:r>
      <w:r w:rsidR="00C524D5" w:rsidRPr="002C3702">
        <w:t>slightly</w:t>
      </w:r>
      <w:r w:rsidR="001A36CA" w:rsidRPr="002C3702">
        <w:t xml:space="preserve"> higher in the financial estimates compared with the economic model</w:t>
      </w:r>
      <w:r w:rsidR="00FD19D5" w:rsidRPr="002C3702">
        <w:t xml:space="preserve"> due to differences in treatment durations applied.</w:t>
      </w:r>
    </w:p>
    <w:p w14:paraId="05C75457" w14:textId="6F63CB00" w:rsidR="00CD7342" w:rsidRPr="002C3702" w:rsidRDefault="00CD7342" w:rsidP="00030CC5">
      <w:pPr>
        <w:pStyle w:val="3-BodyText"/>
        <w:rPr>
          <w:iCs/>
        </w:rPr>
      </w:pPr>
      <w:r w:rsidRPr="002C3702">
        <w:rPr>
          <w:iCs/>
        </w:rPr>
        <w:t xml:space="preserve">The </w:t>
      </w:r>
      <w:r w:rsidR="00DA0248" w:rsidRPr="002C3702">
        <w:rPr>
          <w:iCs/>
        </w:rPr>
        <w:t xml:space="preserve">assumed </w:t>
      </w:r>
      <w:r w:rsidRPr="002C3702">
        <w:rPr>
          <w:iCs/>
        </w:rPr>
        <w:t xml:space="preserve">treatment duration of the economic model (21 months) and the financial estimates model (24 months) </w:t>
      </w:r>
      <w:r w:rsidR="005A119D" w:rsidRPr="002C3702">
        <w:rPr>
          <w:iCs/>
        </w:rPr>
        <w:t xml:space="preserve">were </w:t>
      </w:r>
      <w:r w:rsidRPr="002C3702">
        <w:rPr>
          <w:iCs/>
        </w:rPr>
        <w:t>not consistent</w:t>
      </w:r>
      <w:r w:rsidR="005A119D" w:rsidRPr="002C3702">
        <w:rPr>
          <w:iCs/>
        </w:rPr>
        <w:t xml:space="preserve"> in the submission</w:t>
      </w:r>
      <w:r w:rsidRPr="002C3702">
        <w:rPr>
          <w:iCs/>
        </w:rPr>
        <w:t>.</w:t>
      </w:r>
      <w:r w:rsidR="005A119D" w:rsidRPr="002C3702">
        <w:rPr>
          <w:iCs/>
        </w:rPr>
        <w:t xml:space="preserve"> The </w:t>
      </w:r>
      <w:r w:rsidR="004C162F">
        <w:rPr>
          <w:iCs/>
        </w:rPr>
        <w:t>p</w:t>
      </w:r>
      <w:r w:rsidR="005A119D" w:rsidRPr="002C3702">
        <w:rPr>
          <w:iCs/>
        </w:rPr>
        <w:t xml:space="preserve">re-PBAC response </w:t>
      </w:r>
      <w:r w:rsidR="00E9505C" w:rsidRPr="002C3702">
        <w:rPr>
          <w:iCs/>
        </w:rPr>
        <w:t>reduced the mean duration of treatment in the financial model to 21 months</w:t>
      </w:r>
      <w:r w:rsidR="00AB77FD" w:rsidRPr="002C3702">
        <w:rPr>
          <w:iCs/>
        </w:rPr>
        <w:t>, resulting in a cost/patient/course of $</w:t>
      </w:r>
      <w:r w:rsidR="008129BD">
        <w:rPr>
          <w:iCs/>
        </w:rPr>
        <w:t xml:space="preserve"> </w:t>
      </w:r>
      <w:r w:rsidR="008129BD" w:rsidRPr="00676505">
        <w:rPr>
          <w:iCs/>
          <w:color w:val="000000"/>
          <w:w w:val="15"/>
          <w:shd w:val="solid" w:color="000000" w:fill="000000"/>
          <w:fitText w:val="-20" w:id="-1032093425"/>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5"/>
          <w14:textFill>
            <w14:solidFill>
              <w14:srgbClr w14:val="000000">
                <w14:alpha w14:val="100000"/>
              </w14:srgbClr>
            </w14:solidFill>
          </w14:textFill>
        </w:rPr>
        <w:t>|</w:t>
      </w:r>
      <w:r w:rsidR="00A643FC" w:rsidRPr="002C3702">
        <w:rPr>
          <w:rStyle w:val="FootnoteReference"/>
          <w:iCs/>
        </w:rPr>
        <w:footnoteReference w:id="14"/>
      </w:r>
      <w:r w:rsidR="00E9505C" w:rsidRPr="002C3702">
        <w:rPr>
          <w:iCs/>
        </w:rPr>
        <w:t>.</w:t>
      </w:r>
      <w:r w:rsidR="002D5C55" w:rsidRPr="002C3702">
        <w:rPr>
          <w:iCs/>
        </w:rPr>
        <w:t xml:space="preserve"> </w:t>
      </w:r>
      <w:r w:rsidR="00EB0077" w:rsidRPr="002C3702">
        <w:rPr>
          <w:iCs/>
        </w:rPr>
        <w:t>A difference</w:t>
      </w:r>
      <w:r w:rsidR="002D5C55" w:rsidRPr="002C3702">
        <w:rPr>
          <w:iCs/>
        </w:rPr>
        <w:t xml:space="preserve"> in </w:t>
      </w:r>
      <w:r w:rsidR="00EB0077" w:rsidRPr="002C3702">
        <w:rPr>
          <w:iCs/>
        </w:rPr>
        <w:t xml:space="preserve">the </w:t>
      </w:r>
      <w:r w:rsidR="002D5C55" w:rsidRPr="002C3702">
        <w:rPr>
          <w:iCs/>
        </w:rPr>
        <w:t xml:space="preserve">cost/patient/course between the economic and financial models </w:t>
      </w:r>
      <w:r w:rsidR="006B4F5E" w:rsidRPr="002C3702">
        <w:rPr>
          <w:iCs/>
        </w:rPr>
        <w:t>is</w:t>
      </w:r>
      <w:r w:rsidR="002D5C55" w:rsidRPr="002C3702">
        <w:rPr>
          <w:iCs/>
        </w:rPr>
        <w:t xml:space="preserve"> likely due to the </w:t>
      </w:r>
      <w:r w:rsidR="00EB0077" w:rsidRPr="002C3702">
        <w:rPr>
          <w:iCs/>
        </w:rPr>
        <w:t>application of the K</w:t>
      </w:r>
      <w:r w:rsidR="006B4F5E" w:rsidRPr="002C3702">
        <w:rPr>
          <w:iCs/>
        </w:rPr>
        <w:t>-</w:t>
      </w:r>
      <w:r w:rsidR="00EB0077" w:rsidRPr="002C3702">
        <w:rPr>
          <w:iCs/>
        </w:rPr>
        <w:t>M TTD curve in the economic model.</w:t>
      </w:r>
      <w:r w:rsidR="00E9505C" w:rsidRPr="002C3702">
        <w:rPr>
          <w:iCs/>
        </w:rPr>
        <w:t xml:space="preserve"> </w:t>
      </w:r>
    </w:p>
    <w:p w14:paraId="2193EFD6" w14:textId="225EF692" w:rsidR="00030CC5" w:rsidRPr="002C3702" w:rsidRDefault="00030CC5" w:rsidP="00030CC5">
      <w:pPr>
        <w:pStyle w:val="Caption"/>
        <w:rPr>
          <w:rStyle w:val="CommentReference"/>
          <w:szCs w:val="24"/>
        </w:rPr>
      </w:pPr>
      <w:bookmarkStart w:id="68" w:name="_Ref142571313"/>
      <w:bookmarkStart w:id="69" w:name="_Ref124182839"/>
      <w:bookmarkStart w:id="70" w:name="_Ref145056519"/>
      <w:bookmarkStart w:id="71" w:name="_Ref124182835"/>
      <w:r w:rsidRPr="002C3702">
        <w:t xml:space="preserve">Table </w:t>
      </w:r>
      <w:r w:rsidRPr="002C3702">
        <w:fldChar w:fldCharType="begin"/>
      </w:r>
      <w:r w:rsidRPr="002C3702">
        <w:instrText>SEQ Table \* ARABIC</w:instrText>
      </w:r>
      <w:r w:rsidRPr="002C3702">
        <w:fldChar w:fldCharType="separate"/>
      </w:r>
      <w:r w:rsidR="00676505">
        <w:rPr>
          <w:noProof/>
        </w:rPr>
        <w:t>14</w:t>
      </w:r>
      <w:r w:rsidRPr="002C3702">
        <w:fldChar w:fldCharType="end"/>
      </w:r>
      <w:bookmarkEnd w:id="68"/>
      <w:bookmarkEnd w:id="69"/>
      <w:bookmarkEnd w:id="70"/>
      <w:r w:rsidRPr="002C3702">
        <w:t>:</w:t>
      </w:r>
      <w:r w:rsidRPr="002C3702">
        <w:rPr>
          <w:rStyle w:val="CommentReference"/>
          <w:szCs w:val="24"/>
        </w:rPr>
        <w:t xml:space="preserve"> </w:t>
      </w:r>
      <w:r w:rsidRPr="002C3702">
        <w:rPr>
          <w:rStyle w:val="CommentReference"/>
          <w:b/>
          <w:bCs w:val="0"/>
          <w:szCs w:val="24"/>
        </w:rPr>
        <w:t xml:space="preserve">Drug cost per patient for ABE + ET and </w:t>
      </w:r>
      <w:bookmarkEnd w:id="71"/>
      <w:r w:rsidRPr="002C3702">
        <w:rPr>
          <w:rStyle w:val="CommentReference"/>
          <w:b/>
          <w:bCs w:val="0"/>
          <w:szCs w:val="24"/>
        </w:rPr>
        <w:t>ET alone</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9"/>
        <w:gridCol w:w="1236"/>
        <w:gridCol w:w="1240"/>
        <w:gridCol w:w="1348"/>
        <w:gridCol w:w="1122"/>
        <w:gridCol w:w="1235"/>
        <w:gridCol w:w="1237"/>
      </w:tblGrid>
      <w:tr w:rsidR="00030CC5" w:rsidRPr="002C3702" w14:paraId="198CEDEB" w14:textId="77777777" w:rsidTr="00EB0077">
        <w:trPr>
          <w:cantSplit/>
          <w:tblHeader/>
          <w:jc w:val="center"/>
        </w:trPr>
        <w:tc>
          <w:tcPr>
            <w:tcW w:w="868" w:type="pct"/>
            <w:shd w:val="clear" w:color="auto" w:fill="auto"/>
            <w:vAlign w:val="center"/>
          </w:tcPr>
          <w:p w14:paraId="4364ABED" w14:textId="77777777" w:rsidR="00030CC5" w:rsidRPr="002C3702" w:rsidRDefault="00030CC5" w:rsidP="006E7D62">
            <w:pPr>
              <w:pStyle w:val="In-tableHeading"/>
              <w:jc w:val="center"/>
              <w:rPr>
                <w:lang w:val="en-AU"/>
              </w:rPr>
            </w:pPr>
          </w:p>
        </w:tc>
        <w:tc>
          <w:tcPr>
            <w:tcW w:w="688" w:type="pct"/>
            <w:shd w:val="clear" w:color="auto" w:fill="auto"/>
          </w:tcPr>
          <w:p w14:paraId="08246C02" w14:textId="77777777" w:rsidR="00030CC5" w:rsidRPr="002C3702" w:rsidRDefault="00030CC5" w:rsidP="006E7D62">
            <w:pPr>
              <w:pStyle w:val="In-tableHeading"/>
              <w:jc w:val="center"/>
              <w:rPr>
                <w:lang w:val="en-AU"/>
              </w:rPr>
            </w:pPr>
            <w:r w:rsidRPr="002C3702">
              <w:rPr>
                <w:lang w:val="en-AU"/>
              </w:rPr>
              <w:t>ABE + ET</w:t>
            </w:r>
          </w:p>
          <w:p w14:paraId="78503215" w14:textId="77777777" w:rsidR="00030CC5" w:rsidRPr="002C3702" w:rsidRDefault="00030CC5" w:rsidP="006E7D62">
            <w:pPr>
              <w:pStyle w:val="In-tableHeading"/>
              <w:jc w:val="center"/>
              <w:rPr>
                <w:lang w:val="en-AU"/>
              </w:rPr>
            </w:pPr>
            <w:r w:rsidRPr="002C3702">
              <w:rPr>
                <w:lang w:val="en-AU"/>
              </w:rPr>
              <w:t>monarchE</w:t>
            </w:r>
          </w:p>
        </w:tc>
        <w:tc>
          <w:tcPr>
            <w:tcW w:w="690" w:type="pct"/>
            <w:shd w:val="clear" w:color="auto" w:fill="auto"/>
          </w:tcPr>
          <w:p w14:paraId="379E5A06" w14:textId="77777777" w:rsidR="00030CC5" w:rsidRPr="002C3702" w:rsidRDefault="00030CC5" w:rsidP="006E7D62">
            <w:pPr>
              <w:pStyle w:val="In-tableHeading"/>
              <w:jc w:val="center"/>
              <w:rPr>
                <w:lang w:val="en-AU"/>
              </w:rPr>
            </w:pPr>
            <w:r w:rsidRPr="002C3702">
              <w:rPr>
                <w:lang w:val="en-AU"/>
              </w:rPr>
              <w:t xml:space="preserve">ABE + ET </w:t>
            </w:r>
          </w:p>
          <w:p w14:paraId="50F05E89" w14:textId="77777777" w:rsidR="00030CC5" w:rsidRPr="002C3702" w:rsidRDefault="00030CC5" w:rsidP="006E7D62">
            <w:pPr>
              <w:pStyle w:val="In-tableHeading"/>
              <w:jc w:val="center"/>
              <w:rPr>
                <w:lang w:val="en-AU"/>
              </w:rPr>
            </w:pPr>
            <w:r w:rsidRPr="002C3702">
              <w:rPr>
                <w:lang w:val="en-AU"/>
              </w:rPr>
              <w:t>Model</w:t>
            </w:r>
          </w:p>
        </w:tc>
        <w:tc>
          <w:tcPr>
            <w:tcW w:w="751" w:type="pct"/>
            <w:shd w:val="clear" w:color="auto" w:fill="auto"/>
          </w:tcPr>
          <w:p w14:paraId="30679D1D" w14:textId="77777777" w:rsidR="00030CC5" w:rsidRPr="002C3702" w:rsidRDefault="00030CC5" w:rsidP="006E7D62">
            <w:pPr>
              <w:pStyle w:val="In-tableHeading"/>
              <w:jc w:val="center"/>
              <w:rPr>
                <w:lang w:val="en-AU"/>
              </w:rPr>
            </w:pPr>
            <w:r w:rsidRPr="002C3702">
              <w:rPr>
                <w:lang w:val="en-AU"/>
              </w:rPr>
              <w:t>ABE + ET</w:t>
            </w:r>
          </w:p>
          <w:p w14:paraId="1203383B" w14:textId="77777777" w:rsidR="00030CC5" w:rsidRPr="002C3702" w:rsidRDefault="00030CC5" w:rsidP="006E7D62">
            <w:pPr>
              <w:pStyle w:val="In-tableHeading"/>
              <w:jc w:val="center"/>
              <w:rPr>
                <w:lang w:val="en-AU"/>
              </w:rPr>
            </w:pPr>
            <w:r w:rsidRPr="002C3702">
              <w:rPr>
                <w:lang w:val="en-AU"/>
              </w:rPr>
              <w:t>Financial estimates</w:t>
            </w:r>
          </w:p>
        </w:tc>
        <w:tc>
          <w:tcPr>
            <w:tcW w:w="625" w:type="pct"/>
            <w:shd w:val="clear" w:color="auto" w:fill="auto"/>
          </w:tcPr>
          <w:p w14:paraId="2090E8FB" w14:textId="77777777" w:rsidR="00030CC5" w:rsidRPr="002C3702" w:rsidRDefault="00030CC5" w:rsidP="006E7D62">
            <w:pPr>
              <w:pStyle w:val="In-tableHeading"/>
              <w:jc w:val="center"/>
              <w:rPr>
                <w:lang w:val="en-AU"/>
              </w:rPr>
            </w:pPr>
            <w:r w:rsidRPr="002C3702">
              <w:rPr>
                <w:lang w:val="en-AU"/>
              </w:rPr>
              <w:t>ET</w:t>
            </w:r>
          </w:p>
          <w:p w14:paraId="7246ABD7" w14:textId="77777777" w:rsidR="00030CC5" w:rsidRPr="002C3702" w:rsidRDefault="00030CC5" w:rsidP="006E7D62">
            <w:pPr>
              <w:pStyle w:val="In-tableHeading"/>
              <w:jc w:val="center"/>
              <w:rPr>
                <w:lang w:val="en-AU"/>
              </w:rPr>
            </w:pPr>
            <w:r w:rsidRPr="002C3702">
              <w:rPr>
                <w:lang w:val="en-AU"/>
              </w:rPr>
              <w:t>monarchE</w:t>
            </w:r>
          </w:p>
        </w:tc>
        <w:tc>
          <w:tcPr>
            <w:tcW w:w="688" w:type="pct"/>
            <w:shd w:val="clear" w:color="auto" w:fill="auto"/>
          </w:tcPr>
          <w:p w14:paraId="1C3B3BF6" w14:textId="77777777" w:rsidR="00030CC5" w:rsidRPr="002C3702" w:rsidRDefault="00030CC5" w:rsidP="006E7D62">
            <w:pPr>
              <w:pStyle w:val="In-tableHeading"/>
              <w:jc w:val="center"/>
              <w:rPr>
                <w:lang w:val="en-AU"/>
              </w:rPr>
            </w:pPr>
            <w:r w:rsidRPr="002C3702">
              <w:rPr>
                <w:lang w:val="en-AU"/>
              </w:rPr>
              <w:t xml:space="preserve">ET </w:t>
            </w:r>
          </w:p>
          <w:p w14:paraId="277812BA" w14:textId="77777777" w:rsidR="00030CC5" w:rsidRPr="002C3702" w:rsidRDefault="00030CC5" w:rsidP="006E7D62">
            <w:pPr>
              <w:pStyle w:val="In-tableHeading"/>
              <w:jc w:val="center"/>
              <w:rPr>
                <w:lang w:val="en-AU"/>
              </w:rPr>
            </w:pPr>
            <w:r w:rsidRPr="002C3702">
              <w:rPr>
                <w:lang w:val="en-AU"/>
              </w:rPr>
              <w:t>Model</w:t>
            </w:r>
          </w:p>
        </w:tc>
        <w:tc>
          <w:tcPr>
            <w:tcW w:w="689" w:type="pct"/>
          </w:tcPr>
          <w:p w14:paraId="4473328D" w14:textId="77777777" w:rsidR="00030CC5" w:rsidRPr="002C3702" w:rsidRDefault="00030CC5" w:rsidP="006E7D62">
            <w:pPr>
              <w:pStyle w:val="In-tableHeading"/>
              <w:jc w:val="center"/>
              <w:rPr>
                <w:lang w:val="en-AU"/>
              </w:rPr>
            </w:pPr>
            <w:r w:rsidRPr="002C3702">
              <w:rPr>
                <w:lang w:val="en-AU"/>
              </w:rPr>
              <w:t>ET</w:t>
            </w:r>
          </w:p>
          <w:p w14:paraId="126721EB" w14:textId="77777777" w:rsidR="00030CC5" w:rsidRPr="002C3702" w:rsidRDefault="00030CC5" w:rsidP="006E7D62">
            <w:pPr>
              <w:pStyle w:val="In-tableHeading"/>
              <w:jc w:val="center"/>
              <w:rPr>
                <w:lang w:val="en-AU"/>
              </w:rPr>
            </w:pPr>
            <w:r w:rsidRPr="002C3702">
              <w:rPr>
                <w:lang w:val="en-AU"/>
              </w:rPr>
              <w:t>Financial estimates</w:t>
            </w:r>
          </w:p>
        </w:tc>
      </w:tr>
      <w:tr w:rsidR="00030CC5" w:rsidRPr="002C3702" w14:paraId="67D92B9D" w14:textId="77777777" w:rsidTr="00EB0077">
        <w:trPr>
          <w:cantSplit/>
          <w:jc w:val="center"/>
        </w:trPr>
        <w:tc>
          <w:tcPr>
            <w:tcW w:w="868" w:type="pct"/>
            <w:shd w:val="clear" w:color="auto" w:fill="auto"/>
            <w:vAlign w:val="center"/>
          </w:tcPr>
          <w:p w14:paraId="4E901707" w14:textId="26B36651" w:rsidR="00030CC5" w:rsidRPr="002C3702" w:rsidRDefault="00030CC5" w:rsidP="006E7D62">
            <w:pPr>
              <w:pStyle w:val="TableText0"/>
            </w:pPr>
            <w:r w:rsidRPr="002C3702">
              <w:t>Mean duration in 28-day cycle</w:t>
            </w:r>
          </w:p>
        </w:tc>
        <w:tc>
          <w:tcPr>
            <w:tcW w:w="688" w:type="pct"/>
            <w:shd w:val="clear" w:color="auto" w:fill="auto"/>
            <w:vAlign w:val="center"/>
          </w:tcPr>
          <w:p w14:paraId="08D04C66" w14:textId="77777777" w:rsidR="00030CC5" w:rsidRPr="002C3702" w:rsidRDefault="00030CC5" w:rsidP="006E7D62">
            <w:pPr>
              <w:pStyle w:val="TableText0"/>
              <w:jc w:val="center"/>
              <w:rPr>
                <w:vertAlign w:val="superscript"/>
              </w:rPr>
            </w:pPr>
            <w:r w:rsidRPr="002C3702">
              <w:t>ABE: 20.68</w:t>
            </w:r>
            <w:r w:rsidRPr="002C3702">
              <w:rPr>
                <w:vertAlign w:val="superscript"/>
              </w:rPr>
              <w:t>a</w:t>
            </w:r>
          </w:p>
          <w:p w14:paraId="3A0FAB43" w14:textId="77777777" w:rsidR="00030CC5" w:rsidRPr="002C3702" w:rsidRDefault="00030CC5" w:rsidP="006E7D62">
            <w:pPr>
              <w:pStyle w:val="TableText0"/>
              <w:jc w:val="center"/>
              <w:rPr>
                <w:b/>
                <w:vertAlign w:val="superscript"/>
              </w:rPr>
            </w:pPr>
            <w:r w:rsidRPr="002C3702">
              <w:t>ET: 22.75</w:t>
            </w:r>
            <w:r w:rsidRPr="002C3702">
              <w:rPr>
                <w:vertAlign w:val="superscript"/>
              </w:rPr>
              <w:t>b</w:t>
            </w:r>
          </w:p>
        </w:tc>
        <w:tc>
          <w:tcPr>
            <w:tcW w:w="690" w:type="pct"/>
            <w:shd w:val="clear" w:color="auto" w:fill="auto"/>
            <w:vAlign w:val="center"/>
          </w:tcPr>
          <w:p w14:paraId="062A0AC0" w14:textId="07CAB677" w:rsidR="00030CC5" w:rsidRPr="002C3702" w:rsidRDefault="00030CC5" w:rsidP="006E7D62">
            <w:pPr>
              <w:pStyle w:val="TableText0"/>
              <w:jc w:val="center"/>
            </w:pPr>
            <w:r w:rsidRPr="002C3702">
              <w:t>ABE: 2</w:t>
            </w:r>
            <w:r w:rsidR="007252E3" w:rsidRPr="002C3702">
              <w:t>1</w:t>
            </w:r>
            <w:r w:rsidRPr="002C3702">
              <w:t>.</w:t>
            </w:r>
            <w:r w:rsidR="007252E3" w:rsidRPr="002C3702">
              <w:t>0</w:t>
            </w:r>
            <w:r w:rsidRPr="002C3702">
              <w:t>1</w:t>
            </w:r>
          </w:p>
          <w:p w14:paraId="15EB2053" w14:textId="06C6AC41" w:rsidR="00030CC5" w:rsidRPr="002C3702" w:rsidRDefault="00030CC5" w:rsidP="006E7D62">
            <w:pPr>
              <w:pStyle w:val="TableText0"/>
              <w:jc w:val="center"/>
              <w:rPr>
                <w:b/>
                <w:vertAlign w:val="superscript"/>
              </w:rPr>
            </w:pPr>
            <w:r w:rsidRPr="002C3702">
              <w:t xml:space="preserve">ET: </w:t>
            </w:r>
            <w:r w:rsidR="00C652BB" w:rsidRPr="002C3702">
              <w:t>38</w:t>
            </w:r>
            <w:r w:rsidR="00CB27BF" w:rsidRPr="002C3702">
              <w:t>.</w:t>
            </w:r>
            <w:r w:rsidR="00D9004F" w:rsidRPr="002C3702">
              <w:t>7</w:t>
            </w:r>
          </w:p>
        </w:tc>
        <w:tc>
          <w:tcPr>
            <w:tcW w:w="751" w:type="pct"/>
            <w:shd w:val="clear" w:color="auto" w:fill="auto"/>
            <w:vAlign w:val="center"/>
          </w:tcPr>
          <w:p w14:paraId="7843C8F2" w14:textId="65EB5E2F" w:rsidR="00030CC5" w:rsidRPr="002C3702" w:rsidRDefault="00030CC5" w:rsidP="006E7D62">
            <w:pPr>
              <w:pStyle w:val="TableText0"/>
              <w:jc w:val="center"/>
            </w:pPr>
            <w:r w:rsidRPr="002C3702">
              <w:t xml:space="preserve">ABE: </w:t>
            </w:r>
            <w:r w:rsidR="00CD7342" w:rsidRPr="002C3702">
              <w:t>24</w:t>
            </w:r>
            <w:r w:rsidR="00DA0248" w:rsidRPr="002C3702">
              <w:t>.00</w:t>
            </w:r>
            <w:r w:rsidR="00CD7342" w:rsidRPr="002C3702">
              <w:rPr>
                <w:vertAlign w:val="superscript"/>
              </w:rPr>
              <w:t>c</w:t>
            </w:r>
            <w:r w:rsidR="00CD7342" w:rsidRPr="002C3702" w:rsidDel="00CD7342">
              <w:t xml:space="preserve"> </w:t>
            </w:r>
          </w:p>
          <w:p w14:paraId="5B80DFFA" w14:textId="77777777" w:rsidR="00030CC5" w:rsidRPr="002C3702" w:rsidRDefault="00030CC5" w:rsidP="006E7D62">
            <w:pPr>
              <w:pStyle w:val="TableText0"/>
              <w:jc w:val="center"/>
            </w:pPr>
            <w:r w:rsidRPr="002C3702">
              <w:t>ET: NE</w:t>
            </w:r>
          </w:p>
        </w:tc>
        <w:tc>
          <w:tcPr>
            <w:tcW w:w="625" w:type="pct"/>
            <w:shd w:val="clear" w:color="auto" w:fill="auto"/>
            <w:vAlign w:val="center"/>
          </w:tcPr>
          <w:p w14:paraId="7A1D6198" w14:textId="2DB4D5F0" w:rsidR="00030CC5" w:rsidRPr="002C3702" w:rsidRDefault="00030CC5" w:rsidP="006E7D62">
            <w:pPr>
              <w:pStyle w:val="TableText0"/>
              <w:jc w:val="center"/>
              <w:rPr>
                <w:vertAlign w:val="superscript"/>
              </w:rPr>
            </w:pPr>
            <w:r w:rsidRPr="002C3702">
              <w:t>ET: 23.30</w:t>
            </w:r>
            <w:r w:rsidR="00CD7342" w:rsidRPr="002C3702">
              <w:rPr>
                <w:vertAlign w:val="superscript"/>
              </w:rPr>
              <w:t>d</w:t>
            </w:r>
          </w:p>
        </w:tc>
        <w:tc>
          <w:tcPr>
            <w:tcW w:w="688" w:type="pct"/>
            <w:shd w:val="clear" w:color="auto" w:fill="auto"/>
            <w:vAlign w:val="center"/>
          </w:tcPr>
          <w:p w14:paraId="5435F403" w14:textId="0ECAF5DC" w:rsidR="00030CC5" w:rsidRPr="002C3702" w:rsidRDefault="001273B8" w:rsidP="006E7D62">
            <w:pPr>
              <w:pStyle w:val="TableText0"/>
              <w:jc w:val="center"/>
              <w:rPr>
                <w:b/>
                <w:vertAlign w:val="superscript"/>
              </w:rPr>
            </w:pPr>
            <w:r w:rsidRPr="002C3702">
              <w:t>37</w:t>
            </w:r>
            <w:r w:rsidR="00CB27BF" w:rsidRPr="002C3702">
              <w:t>.</w:t>
            </w:r>
            <w:r w:rsidRPr="002C3702">
              <w:t>8</w:t>
            </w:r>
          </w:p>
        </w:tc>
        <w:tc>
          <w:tcPr>
            <w:tcW w:w="689" w:type="pct"/>
            <w:vAlign w:val="center"/>
          </w:tcPr>
          <w:p w14:paraId="34DEF13B" w14:textId="77777777" w:rsidR="00030CC5" w:rsidRPr="002C3702" w:rsidRDefault="00030CC5" w:rsidP="006E7D62">
            <w:pPr>
              <w:pStyle w:val="TableText0"/>
              <w:jc w:val="center"/>
            </w:pPr>
            <w:r w:rsidRPr="002C3702">
              <w:t>NE</w:t>
            </w:r>
          </w:p>
        </w:tc>
      </w:tr>
      <w:tr w:rsidR="00030CC5" w:rsidRPr="002C3702" w14:paraId="60F1ADA5" w14:textId="77777777" w:rsidTr="00EB0077">
        <w:trPr>
          <w:cantSplit/>
          <w:jc w:val="center"/>
        </w:trPr>
        <w:tc>
          <w:tcPr>
            <w:tcW w:w="868" w:type="pct"/>
            <w:shd w:val="clear" w:color="auto" w:fill="auto"/>
            <w:vAlign w:val="center"/>
          </w:tcPr>
          <w:p w14:paraId="116B154F" w14:textId="77777777" w:rsidR="00030CC5" w:rsidRPr="002C3702" w:rsidRDefault="00030CC5" w:rsidP="006E7D62">
            <w:pPr>
              <w:pStyle w:val="TableText0"/>
            </w:pPr>
            <w:r w:rsidRPr="002C3702">
              <w:t>Cost/patient/28-day cycle ($)</w:t>
            </w:r>
          </w:p>
        </w:tc>
        <w:tc>
          <w:tcPr>
            <w:tcW w:w="688" w:type="pct"/>
            <w:shd w:val="clear" w:color="auto" w:fill="auto"/>
            <w:vAlign w:val="center"/>
          </w:tcPr>
          <w:p w14:paraId="541D210F" w14:textId="6E7CBFBF" w:rsidR="00030CC5" w:rsidRPr="002C3702" w:rsidRDefault="00030CC5" w:rsidP="006E7D62">
            <w:pPr>
              <w:pStyle w:val="TableText0"/>
              <w:jc w:val="center"/>
            </w:pPr>
            <w:r w:rsidRPr="002C3702">
              <w:t>ABE: $</w:t>
            </w:r>
            <w:r w:rsidR="008129BD">
              <w:t xml:space="preserve"> </w:t>
            </w:r>
            <w:r w:rsidR="008129BD" w:rsidRPr="008129BD">
              <w:rPr>
                <w:color w:val="000000"/>
                <w:spacing w:val="154"/>
                <w:shd w:val="solid" w:color="000000" w:fill="000000"/>
                <w:fitText w:val="240" w:id="-1032093424"/>
                <w14:textFill>
                  <w14:solidFill>
                    <w14:srgbClr w14:val="000000">
                      <w14:alpha w14:val="100000"/>
                    </w14:srgbClr>
                  </w14:solidFill>
                </w14:textFill>
              </w:rPr>
              <w:t>|</w:t>
            </w:r>
            <w:r w:rsidR="008129BD" w:rsidRPr="008129BD">
              <w:rPr>
                <w:color w:val="000000"/>
                <w:spacing w:val="1"/>
                <w:shd w:val="solid" w:color="000000" w:fill="000000"/>
                <w:fitText w:val="240" w:id="-1032093424"/>
                <w14:textFill>
                  <w14:solidFill>
                    <w14:srgbClr w14:val="000000">
                      <w14:alpha w14:val="100000"/>
                    </w14:srgbClr>
                  </w14:solidFill>
                </w14:textFill>
              </w:rPr>
              <w:t>|</w:t>
            </w:r>
          </w:p>
          <w:p w14:paraId="7C8A207A" w14:textId="0D80115C" w:rsidR="00030CC5" w:rsidRPr="002C3702" w:rsidRDefault="00030CC5" w:rsidP="006E7D62">
            <w:pPr>
              <w:pStyle w:val="TableText0"/>
              <w:jc w:val="center"/>
            </w:pPr>
            <w:r w:rsidRPr="002C3702">
              <w:t xml:space="preserve">ET: </w:t>
            </w:r>
            <w:r w:rsidR="009B22E1" w:rsidRPr="002C3702">
              <w:t>$</w:t>
            </w:r>
            <w:r w:rsidR="00A16481" w:rsidRPr="002C3702">
              <w:t>2</w:t>
            </w:r>
            <w:r w:rsidR="00247856" w:rsidRPr="002C3702">
              <w:t>8</w:t>
            </w:r>
            <w:r w:rsidR="00CD7342" w:rsidRPr="002C3702">
              <w:rPr>
                <w:vertAlign w:val="superscript"/>
              </w:rPr>
              <w:t>e</w:t>
            </w:r>
          </w:p>
        </w:tc>
        <w:tc>
          <w:tcPr>
            <w:tcW w:w="690" w:type="pct"/>
            <w:shd w:val="clear" w:color="auto" w:fill="auto"/>
            <w:vAlign w:val="center"/>
          </w:tcPr>
          <w:p w14:paraId="5A0CD4F7" w14:textId="078878D5" w:rsidR="00030CC5" w:rsidRPr="002C3702" w:rsidRDefault="00030CC5" w:rsidP="006E7D62">
            <w:pPr>
              <w:pStyle w:val="TableText0"/>
              <w:jc w:val="center"/>
            </w:pPr>
            <w:r w:rsidRPr="002C3702">
              <w:t>ABE: $</w:t>
            </w:r>
            <w:r w:rsidR="008129BD">
              <w:t xml:space="preserve"> </w:t>
            </w:r>
            <w:r w:rsidR="008129BD" w:rsidRPr="008129BD">
              <w:rPr>
                <w:color w:val="000000"/>
                <w:spacing w:val="51"/>
                <w:shd w:val="solid" w:color="000000" w:fill="000000"/>
                <w:fitText w:val="230" w:id="-1032093440"/>
                <w14:textFill>
                  <w14:solidFill>
                    <w14:srgbClr w14:val="000000">
                      <w14:alpha w14:val="100000"/>
                    </w14:srgbClr>
                  </w14:solidFill>
                </w14:textFill>
              </w:rPr>
              <w:t>||</w:t>
            </w:r>
            <w:r w:rsidR="008129BD" w:rsidRPr="008129BD">
              <w:rPr>
                <w:color w:val="000000"/>
                <w:spacing w:val="1"/>
                <w:shd w:val="solid" w:color="000000" w:fill="000000"/>
                <w:fitText w:val="230" w:id="-1032093440"/>
                <w14:textFill>
                  <w14:solidFill>
                    <w14:srgbClr w14:val="000000">
                      <w14:alpha w14:val="100000"/>
                    </w14:srgbClr>
                  </w14:solidFill>
                </w14:textFill>
              </w:rPr>
              <w:t>|</w:t>
            </w:r>
          </w:p>
          <w:p w14:paraId="3952F042" w14:textId="0526C09B" w:rsidR="00030CC5" w:rsidRPr="002C3702" w:rsidRDefault="00030CC5" w:rsidP="006E7D62">
            <w:pPr>
              <w:pStyle w:val="TableText0"/>
              <w:jc w:val="center"/>
            </w:pPr>
            <w:r w:rsidRPr="002C3702">
              <w:t>ET: $2</w:t>
            </w:r>
            <w:r w:rsidR="00247856" w:rsidRPr="002C3702">
              <w:t>8</w:t>
            </w:r>
            <w:r w:rsidR="00CD7342" w:rsidRPr="002C3702">
              <w:rPr>
                <w:vertAlign w:val="superscript"/>
              </w:rPr>
              <w:t>e</w:t>
            </w:r>
          </w:p>
        </w:tc>
        <w:tc>
          <w:tcPr>
            <w:tcW w:w="751" w:type="pct"/>
            <w:shd w:val="clear" w:color="auto" w:fill="auto"/>
            <w:vAlign w:val="center"/>
          </w:tcPr>
          <w:p w14:paraId="3DD7D65D" w14:textId="76567FF6" w:rsidR="00030CC5" w:rsidRPr="002C3702" w:rsidRDefault="00030CC5" w:rsidP="006E7D62">
            <w:pPr>
              <w:pStyle w:val="TableText0"/>
              <w:jc w:val="center"/>
            </w:pPr>
            <w:r w:rsidRPr="002C3702">
              <w:t>ABE: $</w:t>
            </w:r>
            <w:r w:rsidR="008129BD">
              <w:t xml:space="preserve"> </w:t>
            </w:r>
            <w:r w:rsidR="008129BD" w:rsidRPr="008129BD">
              <w:rPr>
                <w:color w:val="000000"/>
                <w:spacing w:val="94"/>
                <w:shd w:val="solid" w:color="000000" w:fill="000000"/>
                <w:fitText w:val="180" w:id="-1032093439"/>
                <w14:textFill>
                  <w14:solidFill>
                    <w14:srgbClr w14:val="000000">
                      <w14:alpha w14:val="100000"/>
                    </w14:srgbClr>
                  </w14:solidFill>
                </w14:textFill>
              </w:rPr>
              <w:t>|</w:t>
            </w:r>
            <w:r w:rsidR="008129BD" w:rsidRPr="008129BD">
              <w:rPr>
                <w:color w:val="000000"/>
                <w:spacing w:val="1"/>
                <w:shd w:val="solid" w:color="000000" w:fill="000000"/>
                <w:fitText w:val="180" w:id="-1032093439"/>
                <w14:textFill>
                  <w14:solidFill>
                    <w14:srgbClr w14:val="000000">
                      <w14:alpha w14:val="100000"/>
                    </w14:srgbClr>
                  </w14:solidFill>
                </w14:textFill>
              </w:rPr>
              <w:t>|</w:t>
            </w:r>
          </w:p>
          <w:p w14:paraId="1C478514" w14:textId="77777777" w:rsidR="00030CC5" w:rsidRPr="002C3702" w:rsidRDefault="00030CC5" w:rsidP="006E7D62">
            <w:pPr>
              <w:pStyle w:val="TableText0"/>
              <w:jc w:val="center"/>
            </w:pPr>
            <w:r w:rsidRPr="002C3702">
              <w:t>ET: NE</w:t>
            </w:r>
          </w:p>
        </w:tc>
        <w:tc>
          <w:tcPr>
            <w:tcW w:w="625" w:type="pct"/>
            <w:shd w:val="clear" w:color="auto" w:fill="auto"/>
            <w:vAlign w:val="center"/>
          </w:tcPr>
          <w:p w14:paraId="7EC91B31" w14:textId="3AB7A70B" w:rsidR="00030CC5" w:rsidRPr="002C3702" w:rsidRDefault="00030CC5" w:rsidP="006E7D62">
            <w:pPr>
              <w:pStyle w:val="TableText0"/>
              <w:jc w:val="center"/>
            </w:pPr>
            <w:r w:rsidRPr="002C3702">
              <w:t>ET: $</w:t>
            </w:r>
            <w:r w:rsidR="00774B15" w:rsidRPr="002C3702">
              <w:t>2</w:t>
            </w:r>
            <w:r w:rsidR="001316FA" w:rsidRPr="002C3702">
              <w:t>8</w:t>
            </w:r>
            <w:r w:rsidR="00CD7342" w:rsidRPr="002C3702">
              <w:rPr>
                <w:vertAlign w:val="superscript"/>
              </w:rPr>
              <w:t>e</w:t>
            </w:r>
          </w:p>
        </w:tc>
        <w:tc>
          <w:tcPr>
            <w:tcW w:w="688" w:type="pct"/>
            <w:shd w:val="clear" w:color="auto" w:fill="auto"/>
            <w:vAlign w:val="center"/>
          </w:tcPr>
          <w:p w14:paraId="04251938" w14:textId="32901555" w:rsidR="00030CC5" w:rsidRPr="002C3702" w:rsidRDefault="00030CC5" w:rsidP="006E7D62">
            <w:pPr>
              <w:pStyle w:val="TableText0"/>
              <w:jc w:val="center"/>
            </w:pPr>
            <w:r w:rsidRPr="002C3702">
              <w:t>$</w:t>
            </w:r>
            <w:r w:rsidR="00820632" w:rsidRPr="002C3702">
              <w:t>2</w:t>
            </w:r>
            <w:r w:rsidR="001316FA" w:rsidRPr="002C3702">
              <w:t>8</w:t>
            </w:r>
            <w:r w:rsidR="00CD7342" w:rsidRPr="002C3702">
              <w:rPr>
                <w:vertAlign w:val="superscript"/>
              </w:rPr>
              <w:t>e</w:t>
            </w:r>
          </w:p>
        </w:tc>
        <w:tc>
          <w:tcPr>
            <w:tcW w:w="689" w:type="pct"/>
            <w:vAlign w:val="center"/>
          </w:tcPr>
          <w:p w14:paraId="1E453AE9" w14:textId="77777777" w:rsidR="00030CC5" w:rsidRPr="002C3702" w:rsidRDefault="00030CC5" w:rsidP="006E7D62">
            <w:pPr>
              <w:pStyle w:val="TableText0"/>
              <w:jc w:val="center"/>
            </w:pPr>
            <w:r w:rsidRPr="002C3702">
              <w:t>NE</w:t>
            </w:r>
          </w:p>
        </w:tc>
      </w:tr>
      <w:tr w:rsidR="00030CC5" w:rsidRPr="002C3702" w14:paraId="2E77E95D" w14:textId="77777777" w:rsidTr="00EB0077">
        <w:trPr>
          <w:cantSplit/>
          <w:jc w:val="center"/>
        </w:trPr>
        <w:tc>
          <w:tcPr>
            <w:tcW w:w="868" w:type="pct"/>
            <w:shd w:val="clear" w:color="auto" w:fill="auto"/>
            <w:vAlign w:val="center"/>
          </w:tcPr>
          <w:p w14:paraId="329F8B34" w14:textId="42F1477E" w:rsidR="00030CC5" w:rsidRPr="002C3702" w:rsidRDefault="00030CC5" w:rsidP="006E7D62">
            <w:pPr>
              <w:pStyle w:val="TableText0"/>
            </w:pPr>
            <w:r w:rsidRPr="002C3702">
              <w:t>Cost/patient/</w:t>
            </w:r>
            <w:r w:rsidR="000C1E52" w:rsidRPr="002C3702">
              <w:t>course (</w:t>
            </w:r>
            <w:r w:rsidRPr="002C3702">
              <w:t>$)</w:t>
            </w:r>
          </w:p>
        </w:tc>
        <w:tc>
          <w:tcPr>
            <w:tcW w:w="688" w:type="pct"/>
            <w:shd w:val="clear" w:color="auto" w:fill="auto"/>
            <w:vAlign w:val="center"/>
          </w:tcPr>
          <w:p w14:paraId="2DAC11D3" w14:textId="0737FF8E" w:rsidR="00030CC5" w:rsidRPr="002C3702" w:rsidRDefault="00030CC5" w:rsidP="006E7D62">
            <w:pPr>
              <w:pStyle w:val="TableText0"/>
              <w:jc w:val="center"/>
            </w:pPr>
            <w:r w:rsidRPr="002C3702">
              <w:t>ABE: $</w:t>
            </w:r>
            <w:r w:rsidR="008129BD">
              <w:t xml:space="preserve"> </w:t>
            </w:r>
            <w:r w:rsidR="008129BD" w:rsidRPr="008129BD">
              <w:rPr>
                <w:color w:val="000000"/>
                <w:spacing w:val="154"/>
                <w:shd w:val="solid" w:color="000000" w:fill="000000"/>
                <w:fitText w:val="240" w:id="-1032093438"/>
                <w14:textFill>
                  <w14:solidFill>
                    <w14:srgbClr w14:val="000000">
                      <w14:alpha w14:val="100000"/>
                    </w14:srgbClr>
                  </w14:solidFill>
                </w14:textFill>
              </w:rPr>
              <w:t>|</w:t>
            </w:r>
            <w:r w:rsidR="008129BD" w:rsidRPr="008129BD">
              <w:rPr>
                <w:color w:val="000000"/>
                <w:spacing w:val="1"/>
                <w:shd w:val="solid" w:color="000000" w:fill="000000"/>
                <w:fitText w:val="240" w:id="-1032093438"/>
                <w14:textFill>
                  <w14:solidFill>
                    <w14:srgbClr w14:val="000000">
                      <w14:alpha w14:val="100000"/>
                    </w14:srgbClr>
                  </w14:solidFill>
                </w14:textFill>
              </w:rPr>
              <w:t>|</w:t>
            </w:r>
          </w:p>
          <w:p w14:paraId="3D348D84" w14:textId="0383D08D" w:rsidR="00030CC5" w:rsidRPr="002C3702" w:rsidRDefault="00030CC5" w:rsidP="006E7D62">
            <w:pPr>
              <w:pStyle w:val="TableText0"/>
              <w:jc w:val="center"/>
            </w:pPr>
            <w:r w:rsidRPr="002C3702">
              <w:t>ET: $</w:t>
            </w:r>
            <w:r w:rsidR="0093616B" w:rsidRPr="002C3702">
              <w:t>62</w:t>
            </w:r>
            <w:r w:rsidR="00B92F1D" w:rsidRPr="002C3702">
              <w:t>8</w:t>
            </w:r>
          </w:p>
        </w:tc>
        <w:tc>
          <w:tcPr>
            <w:tcW w:w="690" w:type="pct"/>
            <w:shd w:val="clear" w:color="auto" w:fill="auto"/>
            <w:vAlign w:val="center"/>
          </w:tcPr>
          <w:p w14:paraId="2425CDD5" w14:textId="0A22C411" w:rsidR="00030CC5" w:rsidRPr="002C3702" w:rsidRDefault="00030CC5" w:rsidP="006E7D62">
            <w:pPr>
              <w:pStyle w:val="TableText0"/>
              <w:jc w:val="center"/>
            </w:pPr>
            <w:r w:rsidRPr="002C3702">
              <w:t>ABE: $</w:t>
            </w:r>
            <w:r w:rsidR="008129BD">
              <w:t xml:space="preserve"> </w:t>
            </w:r>
            <w:r w:rsidR="008129BD" w:rsidRPr="008129BD">
              <w:rPr>
                <w:color w:val="000000"/>
                <w:spacing w:val="51"/>
                <w:shd w:val="solid" w:color="000000" w:fill="000000"/>
                <w:fitText w:val="230" w:id="-1032093437"/>
                <w14:textFill>
                  <w14:solidFill>
                    <w14:srgbClr w14:val="000000">
                      <w14:alpha w14:val="100000"/>
                    </w14:srgbClr>
                  </w14:solidFill>
                </w14:textFill>
              </w:rPr>
              <w:t>||</w:t>
            </w:r>
            <w:r w:rsidR="008129BD" w:rsidRPr="008129BD">
              <w:rPr>
                <w:color w:val="000000"/>
                <w:spacing w:val="1"/>
                <w:shd w:val="solid" w:color="000000" w:fill="000000"/>
                <w:fitText w:val="230" w:id="-1032093437"/>
                <w14:textFill>
                  <w14:solidFill>
                    <w14:srgbClr w14:val="000000">
                      <w14:alpha w14:val="100000"/>
                    </w14:srgbClr>
                  </w14:solidFill>
                </w14:textFill>
              </w:rPr>
              <w:t>|</w:t>
            </w:r>
          </w:p>
          <w:p w14:paraId="595625CA" w14:textId="64CF0A94" w:rsidR="00030CC5" w:rsidRPr="002C3702" w:rsidRDefault="00030CC5" w:rsidP="006E7D62">
            <w:pPr>
              <w:pStyle w:val="TableText0"/>
              <w:jc w:val="center"/>
            </w:pPr>
            <w:r w:rsidRPr="002C3702">
              <w:t>ET: $</w:t>
            </w:r>
            <w:r w:rsidR="007D3C69" w:rsidRPr="002C3702">
              <w:t>1082</w:t>
            </w:r>
          </w:p>
        </w:tc>
        <w:tc>
          <w:tcPr>
            <w:tcW w:w="751" w:type="pct"/>
            <w:shd w:val="clear" w:color="auto" w:fill="auto"/>
            <w:vAlign w:val="center"/>
          </w:tcPr>
          <w:p w14:paraId="58F4A62D" w14:textId="0AC53C0D" w:rsidR="00030CC5" w:rsidRPr="002C3702" w:rsidRDefault="00030CC5" w:rsidP="001E2F88">
            <w:pPr>
              <w:pStyle w:val="TableText0"/>
              <w:jc w:val="center"/>
            </w:pPr>
            <w:r w:rsidRPr="002C3702">
              <w:t>ABE: $</w:t>
            </w:r>
            <w:r w:rsidR="008129BD">
              <w:t xml:space="preserve"> </w:t>
            </w:r>
            <w:r w:rsidR="008129BD" w:rsidRPr="008129BD">
              <w:rPr>
                <w:color w:val="000000"/>
                <w:spacing w:val="41"/>
                <w:shd w:val="solid" w:color="000000" w:fill="000000"/>
                <w:fitText w:val="210" w:id="-1032093436"/>
                <w14:textFill>
                  <w14:solidFill>
                    <w14:srgbClr w14:val="000000">
                      <w14:alpha w14:val="100000"/>
                    </w14:srgbClr>
                  </w14:solidFill>
                </w14:textFill>
              </w:rPr>
              <w:t>||</w:t>
            </w:r>
            <w:r w:rsidR="008129BD" w:rsidRPr="008129BD">
              <w:rPr>
                <w:color w:val="000000"/>
                <w:spacing w:val="1"/>
                <w:shd w:val="solid" w:color="000000" w:fill="000000"/>
                <w:fitText w:val="210" w:id="-1032093436"/>
                <w14:textFill>
                  <w14:solidFill>
                    <w14:srgbClr w14:val="000000">
                      <w14:alpha w14:val="100000"/>
                    </w14:srgbClr>
                  </w14:solidFill>
                </w14:textFill>
              </w:rPr>
              <w:t>|</w:t>
            </w:r>
            <w:r w:rsidR="00AB77FD" w:rsidRPr="002C3702">
              <w:rPr>
                <w:vertAlign w:val="superscript"/>
              </w:rPr>
              <w:t>c</w:t>
            </w:r>
            <w:r w:rsidR="00AB77FD" w:rsidRPr="002C3702" w:rsidDel="00CD7342">
              <w:t xml:space="preserve"> </w:t>
            </w:r>
            <w:r w:rsidR="00A21204" w:rsidRPr="002C3702">
              <w:t xml:space="preserve"> </w:t>
            </w:r>
          </w:p>
          <w:p w14:paraId="3C97E67D" w14:textId="77777777" w:rsidR="00030CC5" w:rsidRPr="002C3702" w:rsidRDefault="00030CC5" w:rsidP="006E7D62">
            <w:pPr>
              <w:pStyle w:val="TableText0"/>
              <w:jc w:val="center"/>
            </w:pPr>
            <w:r w:rsidRPr="002C3702">
              <w:t>ET: NE</w:t>
            </w:r>
          </w:p>
        </w:tc>
        <w:tc>
          <w:tcPr>
            <w:tcW w:w="625" w:type="pct"/>
            <w:shd w:val="clear" w:color="auto" w:fill="auto"/>
            <w:vAlign w:val="center"/>
          </w:tcPr>
          <w:p w14:paraId="2A721098" w14:textId="6D685B92" w:rsidR="00030CC5" w:rsidRPr="002C3702" w:rsidRDefault="00030CC5" w:rsidP="006E7D62">
            <w:pPr>
              <w:pStyle w:val="TableText0"/>
              <w:jc w:val="center"/>
            </w:pPr>
            <w:r w:rsidRPr="002C3702">
              <w:t>ET: $</w:t>
            </w:r>
            <w:r w:rsidR="009F2B9E" w:rsidRPr="002C3702">
              <w:t>643</w:t>
            </w:r>
          </w:p>
        </w:tc>
        <w:tc>
          <w:tcPr>
            <w:tcW w:w="688" w:type="pct"/>
            <w:shd w:val="clear" w:color="auto" w:fill="auto"/>
            <w:vAlign w:val="center"/>
          </w:tcPr>
          <w:p w14:paraId="74F3601F" w14:textId="32E8A963" w:rsidR="00030CC5" w:rsidRPr="002C3702" w:rsidRDefault="00030CC5" w:rsidP="006E7D62">
            <w:pPr>
              <w:pStyle w:val="TableText0"/>
              <w:jc w:val="center"/>
            </w:pPr>
            <w:r w:rsidRPr="002C3702">
              <w:t>$</w:t>
            </w:r>
            <w:r w:rsidR="008933AB" w:rsidRPr="002C3702">
              <w:t>1058</w:t>
            </w:r>
          </w:p>
        </w:tc>
        <w:tc>
          <w:tcPr>
            <w:tcW w:w="689" w:type="pct"/>
            <w:vAlign w:val="center"/>
          </w:tcPr>
          <w:p w14:paraId="37BB7B59" w14:textId="77777777" w:rsidR="00030CC5" w:rsidRPr="002C3702" w:rsidRDefault="00030CC5" w:rsidP="006E7D62">
            <w:pPr>
              <w:pStyle w:val="TableText0"/>
              <w:jc w:val="center"/>
            </w:pPr>
            <w:r w:rsidRPr="002C3702">
              <w:t>NE</w:t>
            </w:r>
          </w:p>
        </w:tc>
      </w:tr>
    </w:tbl>
    <w:p w14:paraId="49405B11" w14:textId="77777777" w:rsidR="00030CC5" w:rsidRPr="002C3702" w:rsidRDefault="00030CC5" w:rsidP="00030CC5">
      <w:pPr>
        <w:pStyle w:val="FooterTableFigure"/>
      </w:pPr>
      <w:r w:rsidRPr="002C3702">
        <w:t xml:space="preserve">Source: Constructed during the evaluation based on Tables on pp37-40 of “A2.16 monarchE_AFU2 (July 2022) Statistical tables – CONFIDENTIAL”, “A5.1_Abemaciclib Section 3 Workbook November 2023” Excel workbook, and “A6.1_Cost and utilisation model abemaciclib EBC November 2023” Excel workbook. </w:t>
      </w:r>
    </w:p>
    <w:p w14:paraId="44F2838D" w14:textId="77777777" w:rsidR="00030CC5" w:rsidRPr="002C3702" w:rsidRDefault="00030CC5" w:rsidP="00030CC5">
      <w:pPr>
        <w:pStyle w:val="FooterTableFigure"/>
      </w:pPr>
      <w:r w:rsidRPr="002C3702">
        <w:t>ABE = abemaciclib, ET = endocrine therapy, NE = not estimated.</w:t>
      </w:r>
    </w:p>
    <w:p w14:paraId="26AD930A" w14:textId="77777777" w:rsidR="00030CC5" w:rsidRPr="002C3702" w:rsidRDefault="00030CC5" w:rsidP="00030CC5">
      <w:pPr>
        <w:pStyle w:val="FooterTableFigure"/>
      </w:pPr>
      <w:r w:rsidRPr="002C3702">
        <w:rPr>
          <w:vertAlign w:val="superscript"/>
        </w:rPr>
        <w:t>a</w:t>
      </w:r>
      <w:r w:rsidRPr="002C3702">
        <w:t xml:space="preserve"> Mean duration of treatment was 82.70 weeks at the July 2022 data cut.</w:t>
      </w:r>
    </w:p>
    <w:p w14:paraId="6BEE9FCD" w14:textId="77777777" w:rsidR="00030CC5" w:rsidRPr="002C3702" w:rsidRDefault="00030CC5" w:rsidP="00030CC5">
      <w:pPr>
        <w:pStyle w:val="FooterTableFigure"/>
      </w:pPr>
      <w:r w:rsidRPr="002C3702">
        <w:rPr>
          <w:vertAlign w:val="superscript"/>
        </w:rPr>
        <w:t>b</w:t>
      </w:r>
      <w:r w:rsidRPr="002C3702">
        <w:t xml:space="preserve"> Mean duration of treatment was 91.01 weeks at the July 2022 data cut.</w:t>
      </w:r>
    </w:p>
    <w:p w14:paraId="35F27C2F" w14:textId="7F645147" w:rsidR="00CD7342" w:rsidRPr="002C3702" w:rsidRDefault="00CD7342" w:rsidP="00030CC5">
      <w:pPr>
        <w:pStyle w:val="FooterTableFigure"/>
        <w:rPr>
          <w:iCs/>
        </w:rPr>
      </w:pPr>
      <w:r w:rsidRPr="002C3702">
        <w:rPr>
          <w:iCs/>
          <w:vertAlign w:val="superscript"/>
        </w:rPr>
        <w:t>c</w:t>
      </w:r>
      <w:r w:rsidRPr="002C3702">
        <w:rPr>
          <w:iCs/>
        </w:rPr>
        <w:t xml:space="preserve"> </w:t>
      </w:r>
      <w:r w:rsidR="00A643FC" w:rsidRPr="002C3702">
        <w:rPr>
          <w:iCs/>
        </w:rPr>
        <w:t>Calculated as (365.25/12 x 24 months x 83% compliance)/28 days x $</w:t>
      </w:r>
      <w:r w:rsidR="008129BD">
        <w:rPr>
          <w:iCs/>
        </w:rPr>
        <w:t xml:space="preserve"> </w:t>
      </w:r>
      <w:r w:rsidR="008129BD" w:rsidRPr="008129BD">
        <w:rPr>
          <w:iCs/>
          <w:color w:val="000000"/>
          <w:spacing w:val="40"/>
          <w:shd w:val="solid" w:color="000000" w:fill="000000"/>
          <w:fitText w:val="280" w:id="-1032093435"/>
          <w14:textFill>
            <w14:solidFill>
              <w14:srgbClr w14:val="000000">
                <w14:alpha w14:val="100000"/>
              </w14:srgbClr>
            </w14:solidFill>
          </w14:textFill>
        </w:rPr>
        <w:t xml:space="preserve">|  </w:t>
      </w:r>
      <w:r w:rsidR="008129BD" w:rsidRPr="008129BD">
        <w:rPr>
          <w:iCs/>
          <w:color w:val="000000"/>
          <w:spacing w:val="2"/>
          <w:shd w:val="solid" w:color="000000" w:fill="000000"/>
          <w:fitText w:val="280" w:id="-1032093435"/>
          <w14:textFill>
            <w14:solidFill>
              <w14:srgbClr w14:val="000000">
                <w14:alpha w14:val="100000"/>
              </w14:srgbClr>
            </w14:solidFill>
          </w14:textFill>
        </w:rPr>
        <w:t>|</w:t>
      </w:r>
    </w:p>
    <w:p w14:paraId="3C756C04" w14:textId="5C8F2A87" w:rsidR="00030CC5" w:rsidRPr="002C3702" w:rsidRDefault="00CD7342" w:rsidP="00030CC5">
      <w:pPr>
        <w:pStyle w:val="FooterTableFigure"/>
      </w:pPr>
      <w:r w:rsidRPr="002C3702">
        <w:rPr>
          <w:iCs/>
          <w:vertAlign w:val="superscript"/>
        </w:rPr>
        <w:t>d</w:t>
      </w:r>
      <w:r w:rsidR="00165B08" w:rsidRPr="002C3702">
        <w:rPr>
          <w:iCs/>
          <w:vertAlign w:val="superscript"/>
        </w:rPr>
        <w:t xml:space="preserve"> </w:t>
      </w:r>
      <w:r w:rsidR="00030CC5" w:rsidRPr="002C3702">
        <w:t>Mean duration of treatment was 93.18 weeks at the July 2022 data cut.</w:t>
      </w:r>
      <w:bookmarkEnd w:id="66"/>
    </w:p>
    <w:p w14:paraId="1B97EFDC" w14:textId="2CCB53F9" w:rsidR="00934D1A" w:rsidRPr="002C3702" w:rsidRDefault="00CD7342" w:rsidP="00030CC5">
      <w:pPr>
        <w:pStyle w:val="FooterTableFigure"/>
      </w:pPr>
      <w:r w:rsidRPr="002C3702">
        <w:rPr>
          <w:vertAlign w:val="superscript"/>
        </w:rPr>
        <w:t>e</w:t>
      </w:r>
      <w:r w:rsidR="00934D1A" w:rsidRPr="002C3702">
        <w:rPr>
          <w:vertAlign w:val="superscript"/>
        </w:rPr>
        <w:t xml:space="preserve"> </w:t>
      </w:r>
      <w:r w:rsidR="00934D1A" w:rsidRPr="002C3702">
        <w:t xml:space="preserve">Weighted </w:t>
      </w:r>
      <w:r w:rsidR="00B740F5" w:rsidRPr="002C3702">
        <w:t xml:space="preserve">using the ET </w:t>
      </w:r>
      <w:r w:rsidR="00CD714B" w:rsidRPr="002C3702">
        <w:t>comparator</w:t>
      </w:r>
      <w:r w:rsidR="00B740F5" w:rsidRPr="002C3702">
        <w:t xml:space="preserve"> percentages </w:t>
      </w:r>
      <w:r w:rsidR="007A4B76" w:rsidRPr="002C3702">
        <w:t>(</w:t>
      </w:r>
      <w:r w:rsidR="007E5E42" w:rsidRPr="002C3702">
        <w:t>l</w:t>
      </w:r>
      <w:r w:rsidR="007A4B76" w:rsidRPr="002C3702">
        <w:t>etrozole 26</w:t>
      </w:r>
      <w:r w:rsidR="00BC3931" w:rsidRPr="002C3702">
        <w:t xml:space="preserve">%, </w:t>
      </w:r>
      <w:r w:rsidR="00965F12" w:rsidRPr="002C3702">
        <w:t>anastrozole</w:t>
      </w:r>
      <w:r w:rsidR="0025237F" w:rsidRPr="002C3702">
        <w:t xml:space="preserve"> 25%</w:t>
      </w:r>
      <w:r w:rsidR="00631444" w:rsidRPr="002C3702">
        <w:t>, tamoxifen 43%, and exe</w:t>
      </w:r>
      <w:r w:rsidR="00844CDB" w:rsidRPr="002C3702">
        <w:t>m</w:t>
      </w:r>
      <w:r w:rsidR="00631444" w:rsidRPr="002C3702">
        <w:t>estane 5%)</w:t>
      </w:r>
      <w:r w:rsidR="002C3702">
        <w:t xml:space="preserve">. </w:t>
      </w:r>
    </w:p>
    <w:p w14:paraId="7FBDA8B2" w14:textId="77777777" w:rsidR="00030CC5" w:rsidRPr="002C3702" w:rsidRDefault="00030CC5" w:rsidP="00030CC5">
      <w:pPr>
        <w:pStyle w:val="4-SubsectionHeading"/>
      </w:pPr>
      <w:bookmarkStart w:id="72" w:name="_Toc22897647"/>
      <w:bookmarkStart w:id="73" w:name="_Toc145422846"/>
      <w:r w:rsidRPr="002C3702">
        <w:t>Estimated PBS usage &amp; financial implications</w:t>
      </w:r>
      <w:bookmarkEnd w:id="72"/>
      <w:bookmarkEnd w:id="73"/>
    </w:p>
    <w:p w14:paraId="59AB7F28" w14:textId="680B2FA2" w:rsidR="0084060A" w:rsidRPr="002C3702" w:rsidRDefault="00030CC5" w:rsidP="00030CC5">
      <w:pPr>
        <w:pStyle w:val="3-BodyText"/>
      </w:pPr>
      <w:r w:rsidRPr="002C3702">
        <w:t>This submission w</w:t>
      </w:r>
      <w:r w:rsidR="00CF3631" w:rsidRPr="002C3702">
        <w:t xml:space="preserve">as </w:t>
      </w:r>
      <w:r w:rsidRPr="002C3702">
        <w:t xml:space="preserve">not considered by </w:t>
      </w:r>
      <w:r w:rsidR="004C162F">
        <w:t>the Drug Utilisation Sub-Committee (</w:t>
      </w:r>
      <w:r w:rsidRPr="002C3702">
        <w:t>DUSC</w:t>
      </w:r>
      <w:r w:rsidR="004C162F">
        <w:t>)</w:t>
      </w:r>
      <w:r w:rsidRPr="002C3702">
        <w:rPr>
          <w:color w:val="0070C0"/>
        </w:rPr>
        <w:t xml:space="preserve">. </w:t>
      </w:r>
    </w:p>
    <w:p w14:paraId="29FDAD4D" w14:textId="489A11D9" w:rsidR="00030CC5" w:rsidRPr="002C3702" w:rsidRDefault="00030CC5" w:rsidP="00030CC5">
      <w:pPr>
        <w:pStyle w:val="3-BodyText"/>
      </w:pPr>
      <w:r w:rsidRPr="002C3702">
        <w:t xml:space="preserve">As in the March 2023 resubmission, an epidemiological approach was taken to estimate the financial impact of the proposed listing of ABE. </w:t>
      </w:r>
    </w:p>
    <w:p w14:paraId="03EE2789" w14:textId="6DED0C32" w:rsidR="00030CC5" w:rsidRPr="002C3702" w:rsidRDefault="00030CC5" w:rsidP="00CC59FB">
      <w:pPr>
        <w:pStyle w:val="3-BodyText"/>
      </w:pPr>
      <w:r w:rsidRPr="002C3702">
        <w:t xml:space="preserve">The current </w:t>
      </w:r>
      <w:r w:rsidR="23AAC2D8" w:rsidRPr="002C3702">
        <w:t>submission</w:t>
      </w:r>
      <w:r w:rsidRPr="002C3702">
        <w:t xml:space="preserve"> presented revised utilisation estimates, alongside an updated effective AEMP for ABE and a </w:t>
      </w:r>
      <w:r w:rsidR="002C3702">
        <w:t>R</w:t>
      </w:r>
      <w:r w:rsidR="002C3702" w:rsidRPr="002C3702">
        <w:t xml:space="preserve">isk </w:t>
      </w:r>
      <w:r w:rsidR="002C3702">
        <w:t>S</w:t>
      </w:r>
      <w:r w:rsidR="002C3702" w:rsidRPr="002C3702">
        <w:t xml:space="preserve">haring </w:t>
      </w:r>
      <w:r w:rsidR="002C3702">
        <w:t>A</w:t>
      </w:r>
      <w:r w:rsidR="002C3702" w:rsidRPr="002C3702">
        <w:t xml:space="preserve">rrangement </w:t>
      </w:r>
      <w:r w:rsidR="00927C17" w:rsidRPr="002C3702">
        <w:t>(</w:t>
      </w:r>
      <w:r w:rsidRPr="002C3702">
        <w:t>RSA</w:t>
      </w:r>
      <w:r w:rsidR="00927C17" w:rsidRPr="002C3702">
        <w:t>)</w:t>
      </w:r>
      <w:r w:rsidRPr="002C3702">
        <w:t xml:space="preserve"> proposal. The key inputs in the financial analysis are summarised in</w:t>
      </w:r>
      <w:r w:rsidR="00994FA8" w:rsidRPr="002C3702">
        <w:t xml:space="preserve"> </w:t>
      </w:r>
      <w:r w:rsidR="004E5A67" w:rsidRPr="002C3702">
        <w:fldChar w:fldCharType="begin"/>
      </w:r>
      <w:r w:rsidR="004E5A67" w:rsidRPr="002C3702">
        <w:instrText xml:space="preserve"> REF _Ref145056509 \h </w:instrText>
      </w:r>
      <w:r w:rsidR="00CC59FB" w:rsidRPr="002C3702">
        <w:instrText xml:space="preserve"> \* MERGEFORMAT </w:instrText>
      </w:r>
      <w:r w:rsidR="004E5A67" w:rsidRPr="002C3702">
        <w:fldChar w:fldCharType="separate"/>
      </w:r>
      <w:r w:rsidR="00676505" w:rsidRPr="002C3702">
        <w:t xml:space="preserve">Table </w:t>
      </w:r>
      <w:r w:rsidR="00676505">
        <w:t>15</w:t>
      </w:r>
      <w:r w:rsidR="004E5A67" w:rsidRPr="002C3702">
        <w:fldChar w:fldCharType="end"/>
      </w:r>
      <w:r w:rsidRPr="002C3702">
        <w:t xml:space="preserve">. </w:t>
      </w:r>
    </w:p>
    <w:p w14:paraId="18A10B33" w14:textId="4837B49C" w:rsidR="00183FC5" w:rsidRPr="002C3702" w:rsidRDefault="00030CC5" w:rsidP="00FD2D32">
      <w:pPr>
        <w:pStyle w:val="Caption"/>
        <w:rPr>
          <w:szCs w:val="24"/>
        </w:rPr>
      </w:pPr>
      <w:bookmarkStart w:id="74" w:name="_Ref142571330"/>
      <w:bookmarkStart w:id="75" w:name="_Ref104805262"/>
      <w:bookmarkStart w:id="76" w:name="_Ref144981011"/>
      <w:bookmarkStart w:id="77" w:name="_Ref145056509"/>
      <w:r w:rsidRPr="002C3702">
        <w:t xml:space="preserve">Table </w:t>
      </w:r>
      <w:r w:rsidRPr="002C3702">
        <w:fldChar w:fldCharType="begin"/>
      </w:r>
      <w:r w:rsidRPr="002C3702">
        <w:instrText>SEQ Table \* ARABIC</w:instrText>
      </w:r>
      <w:r w:rsidRPr="002C3702">
        <w:fldChar w:fldCharType="separate"/>
      </w:r>
      <w:r w:rsidR="00676505">
        <w:rPr>
          <w:noProof/>
        </w:rPr>
        <w:t>15</w:t>
      </w:r>
      <w:r w:rsidRPr="002C3702">
        <w:fldChar w:fldCharType="end"/>
      </w:r>
      <w:bookmarkEnd w:id="74"/>
      <w:bookmarkEnd w:id="75"/>
      <w:bookmarkEnd w:id="76"/>
      <w:bookmarkEnd w:id="77"/>
      <w:r w:rsidRPr="002C3702">
        <w:t>:</w:t>
      </w:r>
      <w:r w:rsidRPr="002C3702">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681"/>
        <w:gridCol w:w="2002"/>
        <w:gridCol w:w="3572"/>
      </w:tblGrid>
      <w:tr w:rsidR="00030CC5" w:rsidRPr="002C3702" w14:paraId="4980C823" w14:textId="77777777" w:rsidTr="006E7D62">
        <w:trPr>
          <w:tblHeader/>
        </w:trPr>
        <w:tc>
          <w:tcPr>
            <w:tcW w:w="1762" w:type="dxa"/>
            <w:vAlign w:val="center"/>
          </w:tcPr>
          <w:p w14:paraId="67DA633C" w14:textId="77777777" w:rsidR="00030CC5" w:rsidRPr="002C3702" w:rsidRDefault="00030CC5" w:rsidP="00E9484D">
            <w:pPr>
              <w:pStyle w:val="In-tableHeading"/>
              <w:keepNext w:val="0"/>
              <w:contextualSpacing/>
              <w:jc w:val="center"/>
              <w:rPr>
                <w:lang w:val="en-AU"/>
              </w:rPr>
            </w:pPr>
            <w:r w:rsidRPr="002C3702">
              <w:rPr>
                <w:lang w:val="en-AU"/>
              </w:rPr>
              <w:t>Data</w:t>
            </w:r>
          </w:p>
        </w:tc>
        <w:tc>
          <w:tcPr>
            <w:tcW w:w="3683" w:type="dxa"/>
            <w:gridSpan w:val="2"/>
            <w:vAlign w:val="center"/>
          </w:tcPr>
          <w:p w14:paraId="401DF214" w14:textId="77777777" w:rsidR="00030CC5" w:rsidRPr="002C3702" w:rsidRDefault="00030CC5" w:rsidP="00E9484D">
            <w:pPr>
              <w:pStyle w:val="In-tableHeading"/>
              <w:keepNext w:val="0"/>
              <w:contextualSpacing/>
              <w:jc w:val="center"/>
              <w:rPr>
                <w:lang w:val="en-AU"/>
              </w:rPr>
            </w:pPr>
            <w:r w:rsidRPr="002C3702">
              <w:rPr>
                <w:lang w:val="en-AU"/>
              </w:rPr>
              <w:t>Value applied, and Source</w:t>
            </w:r>
          </w:p>
        </w:tc>
        <w:tc>
          <w:tcPr>
            <w:tcW w:w="3572" w:type="dxa"/>
            <w:vAlign w:val="center"/>
          </w:tcPr>
          <w:p w14:paraId="57DCB7B7" w14:textId="77777777" w:rsidR="00030CC5" w:rsidRPr="002C3702" w:rsidRDefault="00030CC5" w:rsidP="00E9484D">
            <w:pPr>
              <w:pStyle w:val="In-tableHeading"/>
              <w:keepNext w:val="0"/>
              <w:contextualSpacing/>
              <w:jc w:val="center"/>
              <w:rPr>
                <w:lang w:val="en-AU"/>
              </w:rPr>
            </w:pPr>
            <w:r w:rsidRPr="002C3702">
              <w:rPr>
                <w:lang w:val="en-AU"/>
              </w:rPr>
              <w:t>Comment</w:t>
            </w:r>
          </w:p>
        </w:tc>
      </w:tr>
      <w:tr w:rsidR="00030CC5" w:rsidRPr="002C3702" w14:paraId="23DB844F" w14:textId="77777777" w:rsidTr="006E7D62">
        <w:tc>
          <w:tcPr>
            <w:tcW w:w="9017" w:type="dxa"/>
            <w:gridSpan w:val="4"/>
            <w:vAlign w:val="center"/>
          </w:tcPr>
          <w:p w14:paraId="6C8ACCB1" w14:textId="77777777" w:rsidR="00030CC5" w:rsidRPr="002C3702" w:rsidRDefault="00030CC5" w:rsidP="00E9484D">
            <w:pPr>
              <w:pStyle w:val="In-tableHeading"/>
              <w:keepNext w:val="0"/>
              <w:contextualSpacing/>
              <w:rPr>
                <w:lang w:val="en-AU"/>
              </w:rPr>
            </w:pPr>
            <w:r w:rsidRPr="002C3702">
              <w:rPr>
                <w:lang w:val="en-AU"/>
              </w:rPr>
              <w:t>Eligible population</w:t>
            </w:r>
          </w:p>
        </w:tc>
      </w:tr>
      <w:tr w:rsidR="00030CC5" w:rsidRPr="002C3702" w14:paraId="16BACF23" w14:textId="77777777" w:rsidTr="006E7D62">
        <w:tc>
          <w:tcPr>
            <w:tcW w:w="1762" w:type="dxa"/>
            <w:shd w:val="clear" w:color="auto" w:fill="auto"/>
            <w:vAlign w:val="center"/>
          </w:tcPr>
          <w:p w14:paraId="376F94A7" w14:textId="77777777" w:rsidR="00030CC5" w:rsidRPr="002C3702" w:rsidRDefault="00030CC5" w:rsidP="00E9484D">
            <w:pPr>
              <w:pStyle w:val="TableText0"/>
              <w:keepNext w:val="0"/>
              <w:contextualSpacing/>
            </w:pPr>
            <w:r w:rsidRPr="002C3702">
              <w:t>Incident patients with breast cancer</w:t>
            </w:r>
          </w:p>
        </w:tc>
        <w:tc>
          <w:tcPr>
            <w:tcW w:w="3683" w:type="dxa"/>
            <w:gridSpan w:val="2"/>
            <w:shd w:val="clear" w:color="auto" w:fill="auto"/>
            <w:vAlign w:val="center"/>
          </w:tcPr>
          <w:p w14:paraId="4EA6AF39" w14:textId="77777777" w:rsidR="00030CC5" w:rsidRPr="002C3702" w:rsidRDefault="00030CC5" w:rsidP="00E9484D">
            <w:pPr>
              <w:pStyle w:val="TableText0"/>
              <w:keepNext w:val="0"/>
              <w:contextualSpacing/>
            </w:pPr>
            <w:r w:rsidRPr="002C3702">
              <w:t xml:space="preserve">22,606 in Year 1 (2024) of listing, increasing to 26,668 in Year 6 (2029) </w:t>
            </w:r>
          </w:p>
          <w:p w14:paraId="6B9CEE67" w14:textId="77777777" w:rsidR="00030CC5" w:rsidRPr="002C3702" w:rsidRDefault="00030CC5" w:rsidP="00E9484D">
            <w:pPr>
              <w:pStyle w:val="TableText0"/>
              <w:keepNext w:val="0"/>
              <w:contextualSpacing/>
            </w:pPr>
            <w:r w:rsidRPr="002C3702">
              <w:rPr>
                <w:shd w:val="clear" w:color="auto" w:fill="B8CCE4" w:themeFill="accent1" w:themeFillTint="66"/>
              </w:rPr>
              <w:t>BreastScreen Australia monitoring report (AIHW 2020), assuming a linear projection applying an annual growth rate of 3.36%.</w:t>
            </w:r>
            <w:r w:rsidRPr="002C3702" w:rsidDel="004F7CCD">
              <w:rPr>
                <w:shd w:val="clear" w:color="auto" w:fill="B8CCE4" w:themeFill="accent1" w:themeFillTint="66"/>
              </w:rPr>
              <w:t xml:space="preserve"> </w:t>
            </w:r>
          </w:p>
        </w:tc>
        <w:tc>
          <w:tcPr>
            <w:tcW w:w="3572" w:type="dxa"/>
            <w:vAlign w:val="center"/>
          </w:tcPr>
          <w:p w14:paraId="7E72D74E" w14:textId="48AD1AAC" w:rsidR="00030CC5" w:rsidRPr="002C3702" w:rsidRDefault="00030CC5" w:rsidP="00E9484D">
            <w:pPr>
              <w:pStyle w:val="TableText0"/>
              <w:keepNext w:val="0"/>
              <w:contextualSpacing/>
            </w:pPr>
            <w:r w:rsidRPr="002C3702">
              <w:t xml:space="preserve">In the March 2023 resubmission, the number of incident patients with breast cancer in the first 6 years of listing were underestimated by assuming that the first year of listing would be Year 2022. The current </w:t>
            </w:r>
            <w:r w:rsidR="23AAC2D8" w:rsidRPr="002C3702">
              <w:t>submission</w:t>
            </w:r>
            <w:r w:rsidRPr="002C3702">
              <w:t xml:space="preserve"> updated the first year of listing to 2024.</w:t>
            </w:r>
          </w:p>
        </w:tc>
      </w:tr>
      <w:tr w:rsidR="00030CC5" w:rsidRPr="002C3702" w14:paraId="115D1EA5" w14:textId="77777777" w:rsidTr="006E7D62">
        <w:tc>
          <w:tcPr>
            <w:tcW w:w="1762" w:type="dxa"/>
            <w:shd w:val="clear" w:color="auto" w:fill="B8CCE4" w:themeFill="accent1" w:themeFillTint="66"/>
            <w:vAlign w:val="center"/>
          </w:tcPr>
          <w:p w14:paraId="17A938AD" w14:textId="77777777" w:rsidR="00030CC5" w:rsidRPr="002C3702" w:rsidRDefault="00030CC5" w:rsidP="00E9484D">
            <w:pPr>
              <w:pStyle w:val="TableText0"/>
              <w:keepNext w:val="0"/>
              <w:contextualSpacing/>
            </w:pPr>
            <w:r w:rsidRPr="002C3702">
              <w:t>Proportion of EBC (including inflammatory breast cancer)</w:t>
            </w:r>
          </w:p>
        </w:tc>
        <w:tc>
          <w:tcPr>
            <w:tcW w:w="3683" w:type="dxa"/>
            <w:gridSpan w:val="2"/>
            <w:shd w:val="clear" w:color="auto" w:fill="B8CCE4" w:themeFill="accent1" w:themeFillTint="66"/>
            <w:vAlign w:val="center"/>
          </w:tcPr>
          <w:p w14:paraId="51EFF8D9" w14:textId="77777777" w:rsidR="00030CC5" w:rsidRPr="002C3702" w:rsidRDefault="00030CC5" w:rsidP="00E9484D">
            <w:pPr>
              <w:pStyle w:val="TableText0"/>
              <w:keepNext w:val="0"/>
              <w:contextualSpacing/>
            </w:pPr>
            <w:r w:rsidRPr="002C3702">
              <w:t>100%</w:t>
            </w:r>
          </w:p>
          <w:p w14:paraId="7E2A78EA" w14:textId="0C2E2787" w:rsidR="00030CC5" w:rsidRPr="002C3702" w:rsidRDefault="00030CC5" w:rsidP="00E9484D">
            <w:pPr>
              <w:pStyle w:val="TableText0"/>
              <w:keepNext w:val="0"/>
              <w:contextualSpacing/>
            </w:pPr>
            <w:r w:rsidRPr="002C3702">
              <w:t>(</w:t>
            </w:r>
            <w:r w:rsidR="00B3218C" w:rsidRPr="002C3702">
              <w:t>a</w:t>
            </w:r>
            <w:r w:rsidRPr="002C3702">
              <w:t>bemaciclib PSD, March 2022 PBAC meeting)</w:t>
            </w:r>
          </w:p>
        </w:tc>
        <w:tc>
          <w:tcPr>
            <w:tcW w:w="3572" w:type="dxa"/>
            <w:shd w:val="clear" w:color="auto" w:fill="B8CCE4" w:themeFill="accent1" w:themeFillTint="66"/>
            <w:vAlign w:val="center"/>
          </w:tcPr>
          <w:p w14:paraId="3E6DB247" w14:textId="77777777" w:rsidR="00030CC5" w:rsidRPr="002C3702" w:rsidRDefault="00030CC5" w:rsidP="00E9484D">
            <w:pPr>
              <w:pStyle w:val="TableText0"/>
              <w:keepNext w:val="0"/>
              <w:contextualSpacing/>
            </w:pPr>
            <w:r w:rsidRPr="002C3702">
              <w:t>Remained unchanged.</w:t>
            </w:r>
          </w:p>
        </w:tc>
      </w:tr>
      <w:tr w:rsidR="00030CC5" w:rsidRPr="002C3702" w14:paraId="7BE14134" w14:textId="77777777" w:rsidTr="006E7D62">
        <w:tc>
          <w:tcPr>
            <w:tcW w:w="1762" w:type="dxa"/>
            <w:shd w:val="clear" w:color="auto" w:fill="B8CCE4" w:themeFill="accent1" w:themeFillTint="66"/>
            <w:vAlign w:val="center"/>
          </w:tcPr>
          <w:p w14:paraId="3C6D530B" w14:textId="77777777" w:rsidR="00030CC5" w:rsidRPr="002C3702" w:rsidRDefault="00030CC5" w:rsidP="00E9484D">
            <w:pPr>
              <w:pStyle w:val="TableText0"/>
              <w:keepNext w:val="0"/>
              <w:contextualSpacing/>
            </w:pPr>
            <w:r w:rsidRPr="002C3702">
              <w:t>% incident breast cancer cases of Stage 1-3</w:t>
            </w:r>
          </w:p>
        </w:tc>
        <w:tc>
          <w:tcPr>
            <w:tcW w:w="3683" w:type="dxa"/>
            <w:gridSpan w:val="2"/>
            <w:shd w:val="clear" w:color="auto" w:fill="B8CCE4" w:themeFill="accent1" w:themeFillTint="66"/>
            <w:vAlign w:val="center"/>
          </w:tcPr>
          <w:p w14:paraId="4917A230" w14:textId="77777777" w:rsidR="00030CC5" w:rsidRPr="002C3702" w:rsidRDefault="00030CC5" w:rsidP="00E9484D">
            <w:pPr>
              <w:pStyle w:val="TableText0"/>
              <w:keepNext w:val="0"/>
              <w:contextualSpacing/>
            </w:pPr>
            <w:r w:rsidRPr="002C3702">
              <w:t>95.3%</w:t>
            </w:r>
          </w:p>
          <w:p w14:paraId="2AB5F96F" w14:textId="77777777" w:rsidR="00030CC5" w:rsidRPr="002C3702" w:rsidRDefault="00030CC5" w:rsidP="00E9484D">
            <w:pPr>
              <w:pStyle w:val="TableText0"/>
              <w:keepNext w:val="0"/>
              <w:contextualSpacing/>
            </w:pPr>
            <w:r w:rsidRPr="002C3702">
              <w:t>NCCI data on distribution of cancer stage (2018)</w:t>
            </w:r>
          </w:p>
        </w:tc>
        <w:tc>
          <w:tcPr>
            <w:tcW w:w="3572" w:type="dxa"/>
            <w:shd w:val="clear" w:color="auto" w:fill="B8CCE4" w:themeFill="accent1" w:themeFillTint="66"/>
            <w:vAlign w:val="center"/>
          </w:tcPr>
          <w:p w14:paraId="222EE3AE" w14:textId="77777777" w:rsidR="00030CC5" w:rsidRPr="002C3702" w:rsidRDefault="00030CC5" w:rsidP="00E9484D">
            <w:pPr>
              <w:pStyle w:val="TableText0"/>
              <w:keepNext w:val="0"/>
              <w:contextualSpacing/>
            </w:pPr>
            <w:r w:rsidRPr="002C3702">
              <w:t>Remained unchanged.</w:t>
            </w:r>
          </w:p>
        </w:tc>
      </w:tr>
      <w:tr w:rsidR="00030CC5" w:rsidRPr="002C3702" w14:paraId="32D40CEF" w14:textId="77777777" w:rsidTr="006E7D62">
        <w:tc>
          <w:tcPr>
            <w:tcW w:w="1762" w:type="dxa"/>
            <w:shd w:val="clear" w:color="auto" w:fill="B8CCE4" w:themeFill="accent1" w:themeFillTint="66"/>
            <w:vAlign w:val="center"/>
          </w:tcPr>
          <w:p w14:paraId="0B8F7489" w14:textId="77777777" w:rsidR="00030CC5" w:rsidRPr="002C3702" w:rsidRDefault="00030CC5" w:rsidP="00E9484D">
            <w:pPr>
              <w:pStyle w:val="TableText0"/>
              <w:keepNext w:val="0"/>
              <w:contextualSpacing/>
            </w:pPr>
            <w:r w:rsidRPr="002C3702">
              <w:t>% HR+/HER2-</w:t>
            </w:r>
          </w:p>
        </w:tc>
        <w:tc>
          <w:tcPr>
            <w:tcW w:w="3683" w:type="dxa"/>
            <w:gridSpan w:val="2"/>
            <w:shd w:val="clear" w:color="auto" w:fill="B8CCE4" w:themeFill="accent1" w:themeFillTint="66"/>
            <w:vAlign w:val="center"/>
          </w:tcPr>
          <w:p w14:paraId="19765D00" w14:textId="77777777" w:rsidR="00030CC5" w:rsidRPr="002C3702" w:rsidRDefault="00030CC5" w:rsidP="00E9484D">
            <w:pPr>
              <w:pStyle w:val="TableText0"/>
              <w:keepNext w:val="0"/>
              <w:contextualSpacing/>
            </w:pPr>
            <w:r w:rsidRPr="002C3702">
              <w:t>70%</w:t>
            </w:r>
          </w:p>
          <w:p w14:paraId="6CDA8970" w14:textId="314AC478" w:rsidR="00030CC5" w:rsidRPr="002C3702" w:rsidRDefault="00B3218C" w:rsidP="00E9484D">
            <w:pPr>
              <w:pStyle w:val="TableText0"/>
              <w:keepNext w:val="0"/>
              <w:shd w:val="clear" w:color="auto" w:fill="B8CCE4" w:themeFill="accent1" w:themeFillTint="66"/>
              <w:contextualSpacing/>
            </w:pPr>
            <w:r w:rsidRPr="002C3702">
              <w:t>e</w:t>
            </w:r>
            <w:r w:rsidR="00030CC5" w:rsidRPr="002C3702">
              <w:t>verolimus PSD, March 2013 PBAC meeting</w:t>
            </w:r>
            <w:r w:rsidR="00C20C38" w:rsidRPr="002C3702">
              <w:t>;</w:t>
            </w:r>
          </w:p>
          <w:p w14:paraId="16D76F9F" w14:textId="77777777" w:rsidR="00030CC5" w:rsidRPr="002C3702" w:rsidRDefault="00030CC5" w:rsidP="00E9484D">
            <w:pPr>
              <w:pStyle w:val="TableText0"/>
              <w:keepNext w:val="0"/>
              <w:contextualSpacing/>
            </w:pPr>
            <w:r w:rsidRPr="002C3702">
              <w:t>Nelson et.al. 2022</w:t>
            </w:r>
          </w:p>
        </w:tc>
        <w:tc>
          <w:tcPr>
            <w:tcW w:w="3572" w:type="dxa"/>
            <w:shd w:val="clear" w:color="auto" w:fill="B8CCE4" w:themeFill="accent1" w:themeFillTint="66"/>
            <w:vAlign w:val="center"/>
          </w:tcPr>
          <w:p w14:paraId="61E1E9D2" w14:textId="77777777" w:rsidR="00030CC5" w:rsidRPr="002C3702" w:rsidRDefault="00030CC5" w:rsidP="00E9484D">
            <w:pPr>
              <w:pStyle w:val="TableText0"/>
              <w:keepNext w:val="0"/>
              <w:contextualSpacing/>
            </w:pPr>
            <w:r w:rsidRPr="002C3702">
              <w:t>Remained unchanged.</w:t>
            </w:r>
          </w:p>
        </w:tc>
      </w:tr>
      <w:tr w:rsidR="00030CC5" w:rsidRPr="002C3702" w14:paraId="740C677D" w14:textId="77777777" w:rsidTr="006E7D62">
        <w:tc>
          <w:tcPr>
            <w:tcW w:w="1762" w:type="dxa"/>
            <w:shd w:val="clear" w:color="auto" w:fill="B8CCE4" w:themeFill="accent1" w:themeFillTint="66"/>
            <w:vAlign w:val="center"/>
          </w:tcPr>
          <w:p w14:paraId="0C00F908" w14:textId="77777777" w:rsidR="00030CC5" w:rsidRPr="002C3702" w:rsidRDefault="00030CC5" w:rsidP="00E9484D">
            <w:pPr>
              <w:pStyle w:val="TableText0"/>
              <w:keepNext w:val="0"/>
              <w:contextualSpacing/>
            </w:pPr>
            <w:r w:rsidRPr="002C3702">
              <w:t>% node-positive EBC</w:t>
            </w:r>
          </w:p>
        </w:tc>
        <w:tc>
          <w:tcPr>
            <w:tcW w:w="1681" w:type="dxa"/>
            <w:shd w:val="clear" w:color="auto" w:fill="B8CCE4" w:themeFill="accent1" w:themeFillTint="66"/>
            <w:vAlign w:val="center"/>
          </w:tcPr>
          <w:p w14:paraId="1C5E50F8" w14:textId="77777777" w:rsidR="00030CC5" w:rsidRPr="002C3702" w:rsidRDefault="00030CC5" w:rsidP="00E9484D">
            <w:pPr>
              <w:pStyle w:val="TableText0"/>
              <w:keepNext w:val="0"/>
              <w:contextualSpacing/>
            </w:pPr>
            <w:r w:rsidRPr="002C3702">
              <w:t xml:space="preserve">24.6% </w:t>
            </w:r>
          </w:p>
        </w:tc>
        <w:tc>
          <w:tcPr>
            <w:tcW w:w="2002" w:type="dxa"/>
            <w:vMerge w:val="restart"/>
            <w:shd w:val="clear" w:color="auto" w:fill="B8CCE4" w:themeFill="accent1" w:themeFillTint="66"/>
            <w:vAlign w:val="center"/>
          </w:tcPr>
          <w:p w14:paraId="6955023F" w14:textId="77777777" w:rsidR="00030CC5" w:rsidRPr="002C3702" w:rsidRDefault="00030CC5" w:rsidP="00E9484D">
            <w:pPr>
              <w:pStyle w:val="TableText0"/>
              <w:keepNext w:val="0"/>
              <w:shd w:val="clear" w:color="auto" w:fill="B8CCE4" w:themeFill="accent1" w:themeFillTint="66"/>
              <w:contextualSpacing/>
            </w:pPr>
            <w:r w:rsidRPr="002C3702">
              <w:t>US SEER Registries Research Data</w:t>
            </w:r>
          </w:p>
          <w:p w14:paraId="7D442803" w14:textId="77777777" w:rsidR="00030CC5" w:rsidRPr="002C3702" w:rsidRDefault="00030CC5" w:rsidP="00E9484D">
            <w:pPr>
              <w:pStyle w:val="TableText0"/>
              <w:keepNext w:val="0"/>
              <w:contextualSpacing/>
            </w:pPr>
            <w:r w:rsidRPr="002C3702">
              <w:t>Nelson et.al. 2022</w:t>
            </w:r>
          </w:p>
        </w:tc>
        <w:tc>
          <w:tcPr>
            <w:tcW w:w="3572" w:type="dxa"/>
            <w:vMerge w:val="restart"/>
            <w:shd w:val="clear" w:color="auto" w:fill="B8CCE4" w:themeFill="accent1" w:themeFillTint="66"/>
            <w:vAlign w:val="center"/>
          </w:tcPr>
          <w:p w14:paraId="3AC00855" w14:textId="77777777" w:rsidR="00030CC5" w:rsidRPr="002C3702" w:rsidRDefault="00030CC5" w:rsidP="00E9484D">
            <w:pPr>
              <w:pStyle w:val="TableText0"/>
              <w:keepNext w:val="0"/>
              <w:contextualSpacing/>
            </w:pPr>
            <w:r w:rsidRPr="002C3702">
              <w:t>Remained unchanged.</w:t>
            </w:r>
          </w:p>
        </w:tc>
      </w:tr>
      <w:tr w:rsidR="00030CC5" w:rsidRPr="002C3702" w14:paraId="2737606E" w14:textId="77777777" w:rsidTr="21ED77EC">
        <w:tc>
          <w:tcPr>
            <w:tcW w:w="1762" w:type="dxa"/>
            <w:shd w:val="clear" w:color="auto" w:fill="B8CCE4" w:themeFill="accent1" w:themeFillTint="66"/>
            <w:vAlign w:val="center"/>
          </w:tcPr>
          <w:p w14:paraId="1AEB129C" w14:textId="77777777" w:rsidR="00030CC5" w:rsidRPr="002C3702" w:rsidRDefault="00030CC5" w:rsidP="00E9484D">
            <w:pPr>
              <w:pStyle w:val="TableText0"/>
              <w:keepNext w:val="0"/>
              <w:contextualSpacing/>
            </w:pPr>
            <w:r w:rsidRPr="002C3702">
              <w:t>% meeting high risk criteria</w:t>
            </w:r>
          </w:p>
        </w:tc>
        <w:tc>
          <w:tcPr>
            <w:tcW w:w="1681" w:type="dxa"/>
            <w:shd w:val="clear" w:color="auto" w:fill="B8CCE4" w:themeFill="accent1" w:themeFillTint="66"/>
            <w:vAlign w:val="center"/>
          </w:tcPr>
          <w:p w14:paraId="4735A93D" w14:textId="77777777" w:rsidR="00030CC5" w:rsidRPr="002C3702" w:rsidRDefault="00030CC5" w:rsidP="00E9484D">
            <w:pPr>
              <w:pStyle w:val="TableText0"/>
              <w:keepNext w:val="0"/>
              <w:contextualSpacing/>
            </w:pPr>
            <w:r w:rsidRPr="002C3702">
              <w:t xml:space="preserve">48.8% </w:t>
            </w:r>
          </w:p>
        </w:tc>
        <w:tc>
          <w:tcPr>
            <w:tcW w:w="2002" w:type="dxa"/>
            <w:vMerge/>
            <w:vAlign w:val="center"/>
          </w:tcPr>
          <w:p w14:paraId="70AA5655" w14:textId="77777777" w:rsidR="00030CC5" w:rsidRPr="002C3702" w:rsidRDefault="00030CC5" w:rsidP="00E9484D">
            <w:pPr>
              <w:pStyle w:val="TableText0"/>
              <w:keepNext w:val="0"/>
              <w:contextualSpacing/>
            </w:pPr>
          </w:p>
        </w:tc>
        <w:tc>
          <w:tcPr>
            <w:tcW w:w="3572" w:type="dxa"/>
            <w:vMerge/>
            <w:vAlign w:val="center"/>
          </w:tcPr>
          <w:p w14:paraId="51BEFE87" w14:textId="77777777" w:rsidR="00030CC5" w:rsidRPr="002C3702" w:rsidRDefault="00030CC5" w:rsidP="00E9484D">
            <w:pPr>
              <w:pStyle w:val="TableText0"/>
              <w:keepNext w:val="0"/>
              <w:contextualSpacing/>
            </w:pPr>
          </w:p>
        </w:tc>
      </w:tr>
      <w:tr w:rsidR="00030CC5" w:rsidRPr="002C3702" w14:paraId="6784674E" w14:textId="77777777" w:rsidTr="006E7D62">
        <w:tc>
          <w:tcPr>
            <w:tcW w:w="1762" w:type="dxa"/>
            <w:vAlign w:val="center"/>
          </w:tcPr>
          <w:p w14:paraId="127B1835" w14:textId="77777777" w:rsidR="00030CC5" w:rsidRPr="002C3702" w:rsidRDefault="00030CC5" w:rsidP="00E9484D">
            <w:pPr>
              <w:pStyle w:val="TableText0"/>
              <w:keepNext w:val="0"/>
              <w:contextualSpacing/>
            </w:pPr>
            <w:r w:rsidRPr="002C3702">
              <w:t>Uptake rate ABE</w:t>
            </w:r>
          </w:p>
        </w:tc>
        <w:tc>
          <w:tcPr>
            <w:tcW w:w="3683" w:type="dxa"/>
            <w:gridSpan w:val="2"/>
            <w:vAlign w:val="center"/>
          </w:tcPr>
          <w:p w14:paraId="175C5E3B" w14:textId="0462D775" w:rsidR="00030CC5" w:rsidRPr="002C3702" w:rsidRDefault="008129BD" w:rsidP="00E9484D">
            <w:pPr>
              <w:pStyle w:val="TableText0"/>
              <w:keepNext w:val="0"/>
              <w:contextualSpacing/>
            </w:pPr>
            <w:r>
              <w:t xml:space="preserve"> </w:t>
            </w:r>
            <w:r w:rsidRPr="008129BD">
              <w:rPr>
                <w:color w:val="000000"/>
                <w:spacing w:val="53"/>
                <w:shd w:val="solid" w:color="000000" w:fill="000000"/>
                <w:fitText w:val="330" w:id="-1032093434"/>
                <w14:textFill>
                  <w14:solidFill>
                    <w14:srgbClr w14:val="000000">
                      <w14:alpha w14:val="100000"/>
                    </w14:srgbClr>
                  </w14:solidFill>
                </w14:textFill>
              </w:rPr>
              <w:t>|||</w:t>
            </w:r>
            <w:r w:rsidRPr="008129BD">
              <w:rPr>
                <w:color w:val="000000"/>
                <w:spacing w:val="1"/>
                <w:shd w:val="solid" w:color="000000" w:fill="000000"/>
                <w:fitText w:val="330" w:id="-1032093434"/>
                <w14:textFill>
                  <w14:solidFill>
                    <w14:srgbClr w14:val="000000">
                      <w14:alpha w14:val="100000"/>
                    </w14:srgbClr>
                  </w14:solidFill>
                </w14:textFill>
              </w:rPr>
              <w:t>|</w:t>
            </w:r>
            <w:r w:rsidR="00030CC5" w:rsidRPr="002C3702">
              <w:t>% in Year 1 to Year 6</w:t>
            </w:r>
          </w:p>
          <w:p w14:paraId="4D97C105" w14:textId="77777777" w:rsidR="00030CC5" w:rsidRPr="002C3702" w:rsidRDefault="00030CC5" w:rsidP="00E9484D">
            <w:pPr>
              <w:pStyle w:val="TableText0"/>
              <w:keepNext w:val="0"/>
              <w:contextualSpacing/>
            </w:pPr>
            <w:r w:rsidRPr="002C3702">
              <w:t>Assumption</w:t>
            </w:r>
          </w:p>
        </w:tc>
        <w:tc>
          <w:tcPr>
            <w:tcW w:w="3572" w:type="dxa"/>
            <w:vAlign w:val="center"/>
          </w:tcPr>
          <w:p w14:paraId="51D4B083" w14:textId="131EA2E4" w:rsidR="00030CC5" w:rsidRPr="002C3702" w:rsidRDefault="00ED25A1" w:rsidP="00E9484D">
            <w:pPr>
              <w:pStyle w:val="TableText0"/>
              <w:keepNext w:val="0"/>
              <w:contextualSpacing/>
            </w:pPr>
            <w:r w:rsidRPr="002C3702">
              <w:rPr>
                <w:color w:val="000000" w:themeColor="text1"/>
              </w:rPr>
              <w:t xml:space="preserve">The PBAC previously considered that a maximum uptake rate of </w:t>
            </w:r>
            <w:r w:rsidR="008129BD">
              <w:rPr>
                <w:color w:val="000000" w:themeColor="text1"/>
              </w:rPr>
              <w:t xml:space="preserve"> </w:t>
            </w:r>
            <w:r w:rsidR="008129BD" w:rsidRPr="008129BD">
              <w:rPr>
                <w:color w:val="000000" w:themeColor="text1"/>
                <w:spacing w:val="53"/>
                <w:shd w:val="solid" w:color="000000" w:fill="000000"/>
                <w:fitText w:val="330" w:id="-1032093433"/>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33"/>
                <w14:textFill>
                  <w14:solidFill>
                    <w14:schemeClr w14:val="tx1">
                      <w14:alpha w14:val="100000"/>
                    </w14:schemeClr>
                  </w14:solidFill>
                </w14:textFill>
              </w:rPr>
              <w:t>|</w:t>
            </w:r>
            <w:r w:rsidRPr="002C3702">
              <w:rPr>
                <w:color w:val="000000" w:themeColor="text1"/>
              </w:rPr>
              <w:t xml:space="preserve">% would be reasonable noting the rapid uptake of ABE in the Australian patient familiarisation program (para 7.14, </w:t>
            </w:r>
            <w:r w:rsidR="00B3218C" w:rsidRPr="002C3702">
              <w:rPr>
                <w:color w:val="000000" w:themeColor="text1"/>
              </w:rPr>
              <w:t>a</w:t>
            </w:r>
            <w:r w:rsidRPr="002C3702">
              <w:rPr>
                <w:color w:val="000000" w:themeColor="text1"/>
              </w:rPr>
              <w:t xml:space="preserve">bemaciclib, PSD, March 2023 PBAC Meeting). The DUSC suggested that a range of </w:t>
            </w:r>
            <w:r w:rsidR="008129BD">
              <w:rPr>
                <w:color w:val="000000" w:themeColor="text1"/>
              </w:rPr>
              <w:t xml:space="preserve"> </w:t>
            </w:r>
            <w:r w:rsidR="008129BD" w:rsidRPr="008129BD">
              <w:rPr>
                <w:color w:val="000000" w:themeColor="text1"/>
                <w:spacing w:val="53"/>
                <w:shd w:val="solid" w:color="000000" w:fill="000000"/>
                <w:fitText w:val="330" w:id="-1032093432"/>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32"/>
                <w14:textFill>
                  <w14:solidFill>
                    <w14:schemeClr w14:val="tx1">
                      <w14:alpha w14:val="100000"/>
                    </w14:schemeClr>
                  </w14:solidFill>
                </w14:textFill>
              </w:rPr>
              <w:t>|</w:t>
            </w:r>
            <w:r w:rsidRPr="002C3702">
              <w:rPr>
                <w:color w:val="000000" w:themeColor="text1"/>
              </w:rPr>
              <w:t xml:space="preserve">% in Year 1 moving to </w:t>
            </w:r>
            <w:r w:rsidR="008129BD">
              <w:rPr>
                <w:color w:val="000000" w:themeColor="text1"/>
              </w:rPr>
              <w:t xml:space="preserve"> </w:t>
            </w:r>
            <w:r w:rsidR="008129BD" w:rsidRPr="008129BD">
              <w:rPr>
                <w:color w:val="000000" w:themeColor="text1"/>
                <w:spacing w:val="53"/>
                <w:shd w:val="solid" w:color="000000" w:fill="000000"/>
                <w:fitText w:val="330" w:id="-1032093431"/>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31"/>
                <w14:textFill>
                  <w14:solidFill>
                    <w14:schemeClr w14:val="tx1">
                      <w14:alpha w14:val="100000"/>
                    </w14:schemeClr>
                  </w14:solidFill>
                </w14:textFill>
              </w:rPr>
              <w:t>|</w:t>
            </w:r>
            <w:r w:rsidRPr="00342DDD">
              <w:rPr>
                <w:color w:val="000000" w:themeColor="text1"/>
              </w:rPr>
              <w:t>-</w:t>
            </w:r>
            <w:r w:rsidR="008129BD">
              <w:rPr>
                <w:color w:val="000000" w:themeColor="text1"/>
              </w:rPr>
              <w:t xml:space="preserve"> </w:t>
            </w:r>
            <w:r w:rsidR="008129BD" w:rsidRPr="008129BD">
              <w:rPr>
                <w:color w:val="000000" w:themeColor="text1"/>
                <w:spacing w:val="53"/>
                <w:shd w:val="solid" w:color="000000" w:fill="000000"/>
                <w:fitText w:val="330" w:id="-1032093430"/>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30"/>
                <w14:textFill>
                  <w14:solidFill>
                    <w14:schemeClr w14:val="tx1">
                      <w14:alpha w14:val="100000"/>
                    </w14:schemeClr>
                  </w14:solidFill>
                </w14:textFill>
              </w:rPr>
              <w:t>|</w:t>
            </w:r>
            <w:r w:rsidRPr="002C3702">
              <w:rPr>
                <w:color w:val="000000" w:themeColor="text1"/>
              </w:rPr>
              <w:t>% by Year 6 would be more reasonable noting that the patient group is mostly older and frailer (</w:t>
            </w:r>
            <w:r w:rsidR="00B3218C" w:rsidRPr="002C3702">
              <w:rPr>
                <w:color w:val="000000" w:themeColor="text1"/>
              </w:rPr>
              <w:t>a</w:t>
            </w:r>
            <w:r w:rsidRPr="002C3702">
              <w:rPr>
                <w:color w:val="000000" w:themeColor="text1"/>
              </w:rPr>
              <w:t xml:space="preserve">bemaciclib, DUSC Advice, March 2022 PBAC Meeting). Considering both the PBAC and DUSC recommendations, an uptake of </w:t>
            </w:r>
            <w:r w:rsidR="008129BD">
              <w:rPr>
                <w:color w:val="000000" w:themeColor="text1"/>
              </w:rPr>
              <w:t xml:space="preserve"> </w:t>
            </w:r>
            <w:r w:rsidR="008129BD" w:rsidRPr="008129BD">
              <w:rPr>
                <w:color w:val="000000" w:themeColor="text1"/>
                <w:spacing w:val="49"/>
                <w:shd w:val="solid" w:color="000000" w:fill="000000"/>
                <w:fitText w:val="320" w:id="-1032093429"/>
                <w14:textFill>
                  <w14:solidFill>
                    <w14:schemeClr w14:val="tx1">
                      <w14:alpha w14:val="100000"/>
                    </w14:schemeClr>
                  </w14:solidFill>
                </w14:textFill>
              </w:rPr>
              <w:t>|||</w:t>
            </w:r>
            <w:r w:rsidR="008129BD" w:rsidRPr="008129BD">
              <w:rPr>
                <w:color w:val="000000" w:themeColor="text1"/>
                <w:spacing w:val="3"/>
                <w:shd w:val="solid" w:color="000000" w:fill="000000"/>
                <w:fitText w:val="320" w:id="-1032093429"/>
                <w14:textFill>
                  <w14:solidFill>
                    <w14:schemeClr w14:val="tx1">
                      <w14:alpha w14:val="100000"/>
                    </w14:schemeClr>
                  </w14:solidFill>
                </w14:textFill>
              </w:rPr>
              <w:t>|</w:t>
            </w:r>
            <w:r w:rsidRPr="002C3702">
              <w:rPr>
                <w:color w:val="000000" w:themeColor="text1"/>
              </w:rPr>
              <w:t xml:space="preserve">% in Year 1, gradually increasing to a maximum of </w:t>
            </w:r>
            <w:r w:rsidR="008129BD">
              <w:rPr>
                <w:color w:val="000000" w:themeColor="text1"/>
              </w:rPr>
              <w:t xml:space="preserve"> </w:t>
            </w:r>
            <w:r w:rsidR="008129BD" w:rsidRPr="008129BD">
              <w:rPr>
                <w:color w:val="000000" w:themeColor="text1"/>
                <w:spacing w:val="49"/>
                <w:shd w:val="solid" w:color="000000" w:fill="000000"/>
                <w:fitText w:val="320" w:id="-1032093428"/>
                <w14:textFill>
                  <w14:solidFill>
                    <w14:schemeClr w14:val="tx1">
                      <w14:alpha w14:val="100000"/>
                    </w14:schemeClr>
                  </w14:solidFill>
                </w14:textFill>
              </w:rPr>
              <w:t>|||</w:t>
            </w:r>
            <w:r w:rsidR="008129BD" w:rsidRPr="008129BD">
              <w:rPr>
                <w:color w:val="000000" w:themeColor="text1"/>
                <w:spacing w:val="3"/>
                <w:shd w:val="solid" w:color="000000" w:fill="000000"/>
                <w:fitText w:val="320" w:id="-1032093428"/>
                <w14:textFill>
                  <w14:solidFill>
                    <w14:schemeClr w14:val="tx1">
                      <w14:alpha w14:val="100000"/>
                    </w14:schemeClr>
                  </w14:solidFill>
                </w14:textFill>
              </w:rPr>
              <w:t>|</w:t>
            </w:r>
            <w:r w:rsidRPr="002C3702">
              <w:rPr>
                <w:color w:val="000000" w:themeColor="text1"/>
              </w:rPr>
              <w:t>% by Year 6 may have been more appropriate.</w:t>
            </w:r>
            <w:r w:rsidR="009A7BFB" w:rsidRPr="002C3702">
              <w:rPr>
                <w:color w:val="000000" w:themeColor="text1"/>
              </w:rPr>
              <w:t xml:space="preserve"> </w:t>
            </w:r>
            <w:r w:rsidR="009A7BFB" w:rsidRPr="002C3702">
              <w:t xml:space="preserve">This was revised in the </w:t>
            </w:r>
            <w:r w:rsidR="004C162F">
              <w:t>p</w:t>
            </w:r>
            <w:r w:rsidR="009A7BFB" w:rsidRPr="002C3702">
              <w:t xml:space="preserve">re-PBAC response </w:t>
            </w:r>
            <w:r w:rsidR="009A7BFB" w:rsidRPr="00342DDD">
              <w:t xml:space="preserve">to </w:t>
            </w:r>
            <w:r w:rsidR="008129BD">
              <w:rPr>
                <w:rFonts w:cs="Calibri"/>
              </w:rPr>
              <w:t xml:space="preserve"> </w:t>
            </w:r>
            <w:r w:rsidR="008129BD" w:rsidRPr="008129BD">
              <w:rPr>
                <w:rFonts w:cs="Calibri"/>
                <w:color w:val="000000"/>
                <w:spacing w:val="53"/>
                <w:shd w:val="solid" w:color="000000" w:fill="000000"/>
                <w:fitText w:val="330" w:id="-1032093427"/>
                <w14:textFill>
                  <w14:solidFill>
                    <w14:srgbClr w14:val="000000">
                      <w14:alpha w14:val="100000"/>
                    </w14:srgbClr>
                  </w14:solidFill>
                </w14:textFill>
              </w:rPr>
              <w:t>|||</w:t>
            </w:r>
            <w:r w:rsidR="008129BD" w:rsidRPr="008129BD">
              <w:rPr>
                <w:rFonts w:cs="Calibri"/>
                <w:color w:val="000000"/>
                <w:spacing w:val="1"/>
                <w:shd w:val="solid" w:color="000000" w:fill="000000"/>
                <w:fitText w:val="330" w:id="-1032093427"/>
                <w14:textFill>
                  <w14:solidFill>
                    <w14:srgbClr w14:val="000000">
                      <w14:alpha w14:val="100000"/>
                    </w14:srgbClr>
                  </w14:solidFill>
                </w14:textFill>
              </w:rPr>
              <w:t>|</w:t>
            </w:r>
            <w:r w:rsidR="009A7BFB" w:rsidRPr="002C3702">
              <w:rPr>
                <w:rFonts w:cs="Calibri"/>
              </w:rPr>
              <w:t xml:space="preserve">% in Year 1 increasing </w:t>
            </w:r>
            <w:r w:rsidR="009A7BFB" w:rsidRPr="00342DDD">
              <w:rPr>
                <w:rFonts w:cs="Calibri"/>
              </w:rPr>
              <w:t xml:space="preserve">to </w:t>
            </w:r>
            <w:r w:rsidR="008129BD">
              <w:rPr>
                <w:rFonts w:cs="Calibri"/>
              </w:rPr>
              <w:t xml:space="preserve"> </w:t>
            </w:r>
            <w:r w:rsidR="008129BD" w:rsidRPr="008129BD">
              <w:rPr>
                <w:rFonts w:cs="Calibri"/>
                <w:color w:val="000000"/>
                <w:spacing w:val="53"/>
                <w:shd w:val="solid" w:color="000000" w:fill="000000"/>
                <w:fitText w:val="330" w:id="-1032093426"/>
                <w14:textFill>
                  <w14:solidFill>
                    <w14:srgbClr w14:val="000000">
                      <w14:alpha w14:val="100000"/>
                    </w14:srgbClr>
                  </w14:solidFill>
                </w14:textFill>
              </w:rPr>
              <w:t>|||</w:t>
            </w:r>
            <w:r w:rsidR="008129BD" w:rsidRPr="008129BD">
              <w:rPr>
                <w:rFonts w:cs="Calibri"/>
                <w:color w:val="000000"/>
                <w:spacing w:val="1"/>
                <w:shd w:val="solid" w:color="000000" w:fill="000000"/>
                <w:fitText w:val="330" w:id="-1032093426"/>
                <w14:textFill>
                  <w14:solidFill>
                    <w14:srgbClr w14:val="000000">
                      <w14:alpha w14:val="100000"/>
                    </w14:srgbClr>
                  </w14:solidFill>
                </w14:textFill>
              </w:rPr>
              <w:t>|</w:t>
            </w:r>
            <w:r w:rsidR="009A7BFB" w:rsidRPr="002C3702">
              <w:rPr>
                <w:rFonts w:cs="Calibri"/>
              </w:rPr>
              <w:t xml:space="preserve">% in Year 2 and </w:t>
            </w:r>
            <w:r w:rsidR="008129BD">
              <w:rPr>
                <w:rFonts w:cs="Calibri"/>
              </w:rPr>
              <w:t xml:space="preserve"> </w:t>
            </w:r>
            <w:r w:rsidR="008129BD" w:rsidRPr="008129BD">
              <w:rPr>
                <w:rFonts w:cs="Calibri"/>
                <w:color w:val="000000"/>
                <w:spacing w:val="53"/>
                <w:shd w:val="solid" w:color="000000" w:fill="000000"/>
                <w:fitText w:val="330" w:id="-1032093425"/>
                <w14:textFill>
                  <w14:solidFill>
                    <w14:srgbClr w14:val="000000">
                      <w14:alpha w14:val="100000"/>
                    </w14:srgbClr>
                  </w14:solidFill>
                </w14:textFill>
              </w:rPr>
              <w:t>|||</w:t>
            </w:r>
            <w:r w:rsidR="008129BD" w:rsidRPr="008129BD">
              <w:rPr>
                <w:rFonts w:cs="Calibri"/>
                <w:color w:val="000000"/>
                <w:spacing w:val="1"/>
                <w:shd w:val="solid" w:color="000000" w:fill="000000"/>
                <w:fitText w:val="330" w:id="-1032093425"/>
                <w14:textFill>
                  <w14:solidFill>
                    <w14:srgbClr w14:val="000000">
                      <w14:alpha w14:val="100000"/>
                    </w14:srgbClr>
                  </w14:solidFill>
                </w14:textFill>
              </w:rPr>
              <w:t>|</w:t>
            </w:r>
            <w:r w:rsidR="009A7BFB" w:rsidRPr="002C3702">
              <w:rPr>
                <w:rFonts w:cs="Calibri"/>
              </w:rPr>
              <w:t xml:space="preserve">% in </w:t>
            </w:r>
            <w:r w:rsidR="009A7BFB" w:rsidRPr="002C3702">
              <w:t>Years 3</w:t>
            </w:r>
            <w:r w:rsidR="009A7BFB" w:rsidRPr="002C3702">
              <w:rPr>
                <w:rFonts w:cs="Calibri"/>
              </w:rPr>
              <w:t>−6.</w:t>
            </w:r>
          </w:p>
        </w:tc>
      </w:tr>
      <w:tr w:rsidR="00030CC5" w:rsidRPr="002C3702" w14:paraId="56A6B1DB" w14:textId="77777777" w:rsidTr="006E7D62">
        <w:tc>
          <w:tcPr>
            <w:tcW w:w="1762" w:type="dxa"/>
            <w:shd w:val="clear" w:color="auto" w:fill="B8CCE4" w:themeFill="accent1" w:themeFillTint="66"/>
            <w:vAlign w:val="center"/>
          </w:tcPr>
          <w:p w14:paraId="5D7C13BF" w14:textId="4BE9DED6" w:rsidR="00030CC5" w:rsidRPr="002C3702" w:rsidRDefault="00F11BDA" w:rsidP="00E9484D">
            <w:pPr>
              <w:pStyle w:val="TableText0"/>
              <w:keepNext w:val="0"/>
              <w:contextualSpacing/>
            </w:pPr>
            <w:r w:rsidRPr="002C3702">
              <w:t>Length of therapy</w:t>
            </w:r>
          </w:p>
        </w:tc>
        <w:tc>
          <w:tcPr>
            <w:tcW w:w="3683" w:type="dxa"/>
            <w:gridSpan w:val="2"/>
            <w:shd w:val="clear" w:color="auto" w:fill="B8CCE4" w:themeFill="accent1" w:themeFillTint="66"/>
            <w:vAlign w:val="center"/>
          </w:tcPr>
          <w:p w14:paraId="7C0E5C40" w14:textId="77777777" w:rsidR="00030CC5" w:rsidRPr="002C3702" w:rsidRDefault="00030CC5" w:rsidP="00E9484D">
            <w:pPr>
              <w:pStyle w:val="TableText0"/>
              <w:keepNext w:val="0"/>
              <w:contextualSpacing/>
            </w:pPr>
            <w:r w:rsidRPr="002C3702">
              <w:t>24 months</w:t>
            </w:r>
          </w:p>
          <w:p w14:paraId="4DF60999" w14:textId="77777777" w:rsidR="00030CC5" w:rsidRPr="002C3702" w:rsidRDefault="00030CC5" w:rsidP="00E9484D">
            <w:pPr>
              <w:pStyle w:val="TableText0"/>
              <w:keepNext w:val="0"/>
              <w:contextualSpacing/>
            </w:pPr>
            <w:r w:rsidRPr="002C3702">
              <w:t>Based on median treatment duration in monarchE clinical trial (23.8 months)</w:t>
            </w:r>
          </w:p>
        </w:tc>
        <w:tc>
          <w:tcPr>
            <w:tcW w:w="3572" w:type="dxa"/>
            <w:vAlign w:val="center"/>
          </w:tcPr>
          <w:p w14:paraId="72DB0048" w14:textId="3C64F3F8" w:rsidR="007D2053" w:rsidRPr="002C3702" w:rsidRDefault="004645FC" w:rsidP="00E9484D">
            <w:pPr>
              <w:pStyle w:val="TableText0"/>
              <w:keepNext w:val="0"/>
              <w:contextualSpacing/>
            </w:pPr>
            <w:r w:rsidRPr="002C3702">
              <w:t>Remained unchanged</w:t>
            </w:r>
            <w:r w:rsidR="0019369A" w:rsidRPr="002C3702">
              <w:t xml:space="preserve"> and does not a</w:t>
            </w:r>
            <w:r w:rsidR="00964126" w:rsidRPr="002C3702">
              <w:t>lign with the previous PBAC advice.</w:t>
            </w:r>
            <w:r w:rsidR="0090006E" w:rsidRPr="002C3702">
              <w:t xml:space="preserve"> The PBAC considered that the assumed treatment duration of 24 months was too long. The PBAC considered </w:t>
            </w:r>
            <w:r w:rsidR="00F3777A" w:rsidRPr="002C3702">
              <w:t>ABE</w:t>
            </w:r>
            <w:r w:rsidR="0090006E" w:rsidRPr="002C3702">
              <w:t xml:space="preserve"> use in clinical practice is likely to be less than the mean treatment duration reported in the monarchE trial (82.7 weeks, 20.7 months) due to the toxicity associated with abemaciclib and the likely older cohort treated through the PBS. The PBAC</w:t>
            </w:r>
            <w:r w:rsidR="007D2053" w:rsidRPr="002C3702">
              <w:t xml:space="preserve"> previously</w:t>
            </w:r>
            <w:r w:rsidR="0090006E" w:rsidRPr="002C3702">
              <w:t xml:space="preserve"> considered that a mean treatment duration of 18 months was a more reasonable estimate (</w:t>
            </w:r>
            <w:r w:rsidR="00030CC5" w:rsidRPr="002C3702">
              <w:t xml:space="preserve">para 7.14, </w:t>
            </w:r>
            <w:r w:rsidR="00B3218C" w:rsidRPr="002C3702">
              <w:t>a</w:t>
            </w:r>
            <w:r w:rsidR="00030CC5" w:rsidRPr="002C3702">
              <w:t>bemaciclib, PSD, March 2023 PBAC Meeting)</w:t>
            </w:r>
            <w:r w:rsidR="00A7782E" w:rsidRPr="002C3702">
              <w:t>.</w:t>
            </w:r>
            <w:r w:rsidR="009A7BFB" w:rsidRPr="002C3702">
              <w:t xml:space="preserve"> The assumed length of therapy was revised to 21 months in the </w:t>
            </w:r>
            <w:r w:rsidR="004C162F">
              <w:t>p</w:t>
            </w:r>
            <w:r w:rsidR="009A7BFB" w:rsidRPr="002C3702">
              <w:t>re-PBAC response. The mean length of therapy modelled in the economic evaluation was also 21 months</w:t>
            </w:r>
            <w:r w:rsidR="006B4F5E" w:rsidRPr="002C3702">
              <w:t xml:space="preserve"> (based on a K-M TTD curve)</w:t>
            </w:r>
            <w:r w:rsidR="009A7BFB" w:rsidRPr="002C3702">
              <w:t>.</w:t>
            </w:r>
          </w:p>
        </w:tc>
      </w:tr>
      <w:tr w:rsidR="00030CC5" w:rsidRPr="002C3702" w14:paraId="7E4C45A3" w14:textId="77777777" w:rsidTr="006E7D62">
        <w:tc>
          <w:tcPr>
            <w:tcW w:w="1762" w:type="dxa"/>
            <w:vAlign w:val="center"/>
          </w:tcPr>
          <w:p w14:paraId="54020762" w14:textId="77777777" w:rsidR="00030CC5" w:rsidRPr="002C3702" w:rsidRDefault="00030CC5" w:rsidP="00E9484D">
            <w:pPr>
              <w:pStyle w:val="TableText0"/>
              <w:keepNext w:val="0"/>
              <w:contextualSpacing/>
            </w:pPr>
            <w:r w:rsidRPr="002C3702">
              <w:t>Compliance</w:t>
            </w:r>
          </w:p>
        </w:tc>
        <w:tc>
          <w:tcPr>
            <w:tcW w:w="3683" w:type="dxa"/>
            <w:gridSpan w:val="2"/>
            <w:vAlign w:val="center"/>
          </w:tcPr>
          <w:p w14:paraId="6CE218DC" w14:textId="77777777" w:rsidR="00030CC5" w:rsidRPr="002C3702" w:rsidRDefault="00030CC5" w:rsidP="00E9484D">
            <w:pPr>
              <w:pStyle w:val="TableText0"/>
              <w:keepNext w:val="0"/>
              <w:contextualSpacing/>
            </w:pPr>
            <w:r w:rsidRPr="002C3702">
              <w:t>83%</w:t>
            </w:r>
          </w:p>
          <w:p w14:paraId="38E09D18" w14:textId="77777777" w:rsidR="00030CC5" w:rsidRPr="002C3702" w:rsidRDefault="00030CC5" w:rsidP="00E9484D">
            <w:pPr>
              <w:pStyle w:val="TableText0"/>
              <w:keepNext w:val="0"/>
              <w:contextualSpacing/>
            </w:pPr>
            <w:r w:rsidRPr="002C3702">
              <w:t>Assumption</w:t>
            </w:r>
          </w:p>
        </w:tc>
        <w:tc>
          <w:tcPr>
            <w:tcW w:w="3572" w:type="dxa"/>
            <w:vAlign w:val="center"/>
          </w:tcPr>
          <w:p w14:paraId="1BF76E39" w14:textId="492C1C33" w:rsidR="00030CC5" w:rsidRPr="002C3702" w:rsidRDefault="00030CC5" w:rsidP="00E9484D">
            <w:pPr>
              <w:pStyle w:val="TableText0"/>
              <w:keepNext w:val="0"/>
              <w:contextualSpacing/>
            </w:pPr>
            <w:r w:rsidRPr="002C3702">
              <w:t xml:space="preserve">This is consistent with </w:t>
            </w:r>
            <w:r w:rsidR="001A2295" w:rsidRPr="002C3702">
              <w:t xml:space="preserve">previous </w:t>
            </w:r>
            <w:r w:rsidRPr="002C3702">
              <w:t>PBAC advice (</w:t>
            </w:r>
            <w:r w:rsidR="001A2295" w:rsidRPr="002C3702">
              <w:t xml:space="preserve">less than </w:t>
            </w:r>
            <w:r w:rsidRPr="002C3702">
              <w:t xml:space="preserve">84% for hormonal therapy; para 7.14, </w:t>
            </w:r>
            <w:r w:rsidR="00B3218C" w:rsidRPr="002C3702">
              <w:t>a</w:t>
            </w:r>
            <w:r w:rsidRPr="002C3702">
              <w:t>bemaciclib, PSD, March 2023 PBAC Meeting).</w:t>
            </w:r>
          </w:p>
        </w:tc>
      </w:tr>
      <w:tr w:rsidR="00030CC5" w:rsidRPr="002C3702" w14:paraId="0F91BDAA" w14:textId="77777777" w:rsidTr="006E7D62">
        <w:tc>
          <w:tcPr>
            <w:tcW w:w="1762" w:type="dxa"/>
            <w:shd w:val="clear" w:color="auto" w:fill="B8CCE4" w:themeFill="accent1" w:themeFillTint="66"/>
            <w:vAlign w:val="center"/>
          </w:tcPr>
          <w:p w14:paraId="4F18829D" w14:textId="77777777" w:rsidR="00030CC5" w:rsidRPr="002C3702" w:rsidRDefault="00030CC5" w:rsidP="00E9484D">
            <w:pPr>
              <w:pStyle w:val="TableText0"/>
              <w:keepNext w:val="0"/>
              <w:contextualSpacing/>
            </w:pPr>
            <w:r w:rsidRPr="002C3702">
              <w:t>Utilisation across ABE dose forms (150mg vs. 100mg vs. 50mg)</w:t>
            </w:r>
          </w:p>
        </w:tc>
        <w:tc>
          <w:tcPr>
            <w:tcW w:w="3683" w:type="dxa"/>
            <w:gridSpan w:val="2"/>
            <w:shd w:val="clear" w:color="auto" w:fill="B8CCE4" w:themeFill="accent1" w:themeFillTint="66"/>
            <w:vAlign w:val="center"/>
          </w:tcPr>
          <w:p w14:paraId="7A57995F" w14:textId="77777777" w:rsidR="00030CC5" w:rsidRPr="002C3702" w:rsidRDefault="00030CC5" w:rsidP="00E9484D">
            <w:pPr>
              <w:pStyle w:val="TableText0"/>
              <w:keepNext w:val="0"/>
              <w:contextualSpacing/>
              <w:rPr>
                <w:color w:val="000000" w:themeColor="text1"/>
              </w:rPr>
            </w:pPr>
            <w:r w:rsidRPr="002C3702">
              <w:rPr>
                <w:color w:val="000000" w:themeColor="text1"/>
              </w:rPr>
              <w:t>50.1%:37.9%:12.0%</w:t>
            </w:r>
          </w:p>
          <w:p w14:paraId="0DA3D7A3" w14:textId="77777777" w:rsidR="00030CC5" w:rsidRPr="002C3702" w:rsidRDefault="00030CC5" w:rsidP="00E9484D">
            <w:pPr>
              <w:pStyle w:val="TableText0"/>
              <w:keepNext w:val="0"/>
              <w:contextualSpacing/>
            </w:pPr>
            <w:r w:rsidRPr="002C3702">
              <w:t>PBS script data for ABE relating to locally advanced or metastatic HR+/HER2- breast cancer</w:t>
            </w:r>
          </w:p>
        </w:tc>
        <w:tc>
          <w:tcPr>
            <w:tcW w:w="3572" w:type="dxa"/>
            <w:shd w:val="clear" w:color="auto" w:fill="B8CCE4" w:themeFill="accent1" w:themeFillTint="66"/>
            <w:vAlign w:val="center"/>
          </w:tcPr>
          <w:p w14:paraId="61944115" w14:textId="77777777" w:rsidR="00030CC5" w:rsidRPr="002C3702" w:rsidRDefault="00030CC5" w:rsidP="00E9484D">
            <w:pPr>
              <w:pStyle w:val="TableText0"/>
              <w:keepNext w:val="0"/>
              <w:contextualSpacing/>
            </w:pPr>
            <w:r w:rsidRPr="002C3702">
              <w:t>Remained unchanged.</w:t>
            </w:r>
          </w:p>
        </w:tc>
      </w:tr>
      <w:tr w:rsidR="00030CC5" w:rsidRPr="002C3702" w14:paraId="55B3BE6E" w14:textId="77777777" w:rsidTr="006E7D62">
        <w:tc>
          <w:tcPr>
            <w:tcW w:w="1762" w:type="dxa"/>
            <w:vAlign w:val="center"/>
          </w:tcPr>
          <w:p w14:paraId="6525DFF9" w14:textId="77777777" w:rsidR="00030CC5" w:rsidRPr="002C3702" w:rsidRDefault="00030CC5" w:rsidP="00E9484D">
            <w:pPr>
              <w:pStyle w:val="TableText0"/>
              <w:keepNext w:val="0"/>
              <w:contextualSpacing/>
            </w:pPr>
            <w:r w:rsidRPr="002C3702">
              <w:t>ABE price (150mg, 100mg, or 50mg, 56 tablets)</w:t>
            </w:r>
          </w:p>
        </w:tc>
        <w:tc>
          <w:tcPr>
            <w:tcW w:w="3683" w:type="dxa"/>
            <w:gridSpan w:val="2"/>
            <w:vAlign w:val="center"/>
          </w:tcPr>
          <w:p w14:paraId="790E3CA7" w14:textId="70B72FDA" w:rsidR="00030CC5" w:rsidRPr="002C3702" w:rsidRDefault="00030CC5" w:rsidP="00E9484D">
            <w:pPr>
              <w:pStyle w:val="TableText0"/>
              <w:keepNext w:val="0"/>
              <w:contextualSpacing/>
              <w:rPr>
                <w:color w:val="000000" w:themeColor="text1"/>
              </w:rPr>
            </w:pPr>
            <w:r w:rsidRPr="002C3702">
              <w:rPr>
                <w:color w:val="000000" w:themeColor="text1"/>
              </w:rPr>
              <w:t>AEMP: $</w:t>
            </w:r>
            <w:r w:rsidR="008129BD">
              <w:rPr>
                <w:color w:val="000000" w:themeColor="text1"/>
              </w:rPr>
              <w:t xml:space="preserve"> </w:t>
            </w:r>
            <w:r w:rsidR="008129BD" w:rsidRPr="008129BD">
              <w:rPr>
                <w:color w:val="000000" w:themeColor="text1"/>
                <w:spacing w:val="53"/>
                <w:shd w:val="solid" w:color="000000" w:fill="000000"/>
                <w:fitText w:val="330" w:id="-1032093424"/>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24"/>
                <w14:textFill>
                  <w14:solidFill>
                    <w14:schemeClr w14:val="tx1">
                      <w14:alpha w14:val="100000"/>
                    </w14:schemeClr>
                  </w14:solidFill>
                </w14:textFill>
              </w:rPr>
              <w:t>|</w:t>
            </w:r>
          </w:p>
          <w:p w14:paraId="3239D3C5" w14:textId="35D36A9F" w:rsidR="00030CC5" w:rsidRPr="002C3702" w:rsidRDefault="00030CC5" w:rsidP="00E9484D">
            <w:pPr>
              <w:pStyle w:val="TableText0"/>
              <w:keepNext w:val="0"/>
              <w:contextualSpacing/>
              <w:rPr>
                <w:color w:val="000000" w:themeColor="text1"/>
              </w:rPr>
            </w:pPr>
            <w:r w:rsidRPr="002C3702">
              <w:rPr>
                <w:color w:val="000000" w:themeColor="text1"/>
              </w:rPr>
              <w:t>DPMQ: $</w:t>
            </w:r>
            <w:r w:rsidR="008129BD">
              <w:rPr>
                <w:color w:val="000000" w:themeColor="text1"/>
              </w:rPr>
              <w:t xml:space="preserve"> </w:t>
            </w:r>
            <w:r w:rsidR="008129BD" w:rsidRPr="008129BD">
              <w:rPr>
                <w:color w:val="000000" w:themeColor="text1"/>
                <w:spacing w:val="53"/>
                <w:shd w:val="solid" w:color="000000" w:fill="000000"/>
                <w:fitText w:val="330" w:id="-1032093440"/>
                <w14:textFill>
                  <w14:solidFill>
                    <w14:schemeClr w14:val="tx1">
                      <w14:alpha w14:val="100000"/>
                    </w14:schemeClr>
                  </w14:solidFill>
                </w14:textFill>
              </w:rPr>
              <w:t>|||</w:t>
            </w:r>
            <w:r w:rsidR="008129BD" w:rsidRPr="008129BD">
              <w:rPr>
                <w:color w:val="000000" w:themeColor="text1"/>
                <w:spacing w:val="1"/>
                <w:shd w:val="solid" w:color="000000" w:fill="000000"/>
                <w:fitText w:val="330" w:id="-1032093440"/>
                <w14:textFill>
                  <w14:solidFill>
                    <w14:schemeClr w14:val="tx1">
                      <w14:alpha w14:val="100000"/>
                    </w14:schemeClr>
                  </w14:solidFill>
                </w14:textFill>
              </w:rPr>
              <w:t>|</w:t>
            </w:r>
          </w:p>
          <w:p w14:paraId="6F7E0534" w14:textId="15A3D25E" w:rsidR="00030CC5" w:rsidRPr="002C3702" w:rsidRDefault="00030CC5" w:rsidP="00E9484D">
            <w:pPr>
              <w:pStyle w:val="TableText0"/>
              <w:keepNext w:val="0"/>
              <w:contextualSpacing/>
            </w:pPr>
            <w:r w:rsidRPr="002C3702">
              <w:t xml:space="preserve">Proposed by the current </w:t>
            </w:r>
            <w:r w:rsidR="23AAC2D8" w:rsidRPr="002C3702">
              <w:t>submission</w:t>
            </w:r>
          </w:p>
        </w:tc>
        <w:tc>
          <w:tcPr>
            <w:tcW w:w="3572" w:type="dxa"/>
            <w:vAlign w:val="center"/>
          </w:tcPr>
          <w:p w14:paraId="509A9786" w14:textId="5C98E70F" w:rsidR="00030CC5" w:rsidRPr="002C3702" w:rsidRDefault="00030CC5" w:rsidP="00E9484D">
            <w:pPr>
              <w:pStyle w:val="TableText0"/>
              <w:keepNext w:val="0"/>
              <w:contextualSpacing/>
            </w:pPr>
            <w:r w:rsidRPr="002C3702">
              <w:t xml:space="preserve">The updated effective AEMP represents a </w:t>
            </w:r>
            <w:r w:rsidR="008129BD">
              <w:t xml:space="preserve"> </w:t>
            </w:r>
            <w:r w:rsidR="008129BD" w:rsidRPr="008129BD">
              <w:rPr>
                <w:color w:val="000000"/>
                <w:spacing w:val="53"/>
                <w:shd w:val="solid" w:color="000000" w:fill="000000"/>
                <w:fitText w:val="330" w:id="-1032093439"/>
                <w14:textFill>
                  <w14:solidFill>
                    <w14:srgbClr w14:val="000000">
                      <w14:alpha w14:val="100000"/>
                    </w14:srgbClr>
                  </w14:solidFill>
                </w14:textFill>
              </w:rPr>
              <w:t>|||</w:t>
            </w:r>
            <w:r w:rsidR="008129BD" w:rsidRPr="008129BD">
              <w:rPr>
                <w:color w:val="000000"/>
                <w:spacing w:val="1"/>
                <w:shd w:val="solid" w:color="000000" w:fill="000000"/>
                <w:fitText w:val="330" w:id="-1032093439"/>
                <w14:textFill>
                  <w14:solidFill>
                    <w14:srgbClr w14:val="000000">
                      <w14:alpha w14:val="100000"/>
                    </w14:srgbClr>
                  </w14:solidFill>
                </w14:textFill>
              </w:rPr>
              <w:t>|</w:t>
            </w:r>
            <w:r w:rsidRPr="002C3702">
              <w:t>% reduction to that proposed in the March 2023 resubmission.</w:t>
            </w:r>
          </w:p>
        </w:tc>
      </w:tr>
      <w:tr w:rsidR="00030CC5" w:rsidRPr="002C3702" w14:paraId="2783FF94" w14:textId="77777777" w:rsidTr="006E7D62">
        <w:tc>
          <w:tcPr>
            <w:tcW w:w="1762" w:type="dxa"/>
            <w:vAlign w:val="center"/>
          </w:tcPr>
          <w:p w14:paraId="6B9D5820" w14:textId="77777777" w:rsidR="00030CC5" w:rsidRPr="002C3702" w:rsidRDefault="00030CC5" w:rsidP="00E9484D">
            <w:pPr>
              <w:pStyle w:val="TableText0"/>
              <w:keepNext w:val="0"/>
              <w:contextualSpacing/>
            </w:pPr>
            <w:r w:rsidRPr="002C3702">
              <w:t>Patient co-payment</w:t>
            </w:r>
          </w:p>
        </w:tc>
        <w:tc>
          <w:tcPr>
            <w:tcW w:w="3683" w:type="dxa"/>
            <w:gridSpan w:val="2"/>
            <w:shd w:val="clear" w:color="auto" w:fill="auto"/>
            <w:vAlign w:val="center"/>
          </w:tcPr>
          <w:p w14:paraId="0E4ABF7C" w14:textId="77777777" w:rsidR="00030CC5" w:rsidRPr="002C3702" w:rsidRDefault="00030CC5" w:rsidP="00E9484D">
            <w:pPr>
              <w:contextualSpacing/>
              <w:jc w:val="left"/>
              <w:rPr>
                <w:rFonts w:ascii="Arial Narrow" w:eastAsiaTheme="majorEastAsia" w:hAnsi="Arial Narrow" w:cstheme="majorBidi"/>
                <w:bCs/>
                <w:sz w:val="20"/>
              </w:rPr>
            </w:pPr>
            <w:r w:rsidRPr="002C3702">
              <w:rPr>
                <w:rFonts w:ascii="Arial Narrow" w:eastAsiaTheme="majorEastAsia" w:hAnsi="Arial Narrow" w:cstheme="majorBidi"/>
                <w:bCs/>
                <w:sz w:val="20"/>
              </w:rPr>
              <w:t>PBS: $22.57 (99.46%)</w:t>
            </w:r>
          </w:p>
          <w:p w14:paraId="2B036392" w14:textId="0E96D833" w:rsidR="007F1DFE" w:rsidRPr="002C3702" w:rsidRDefault="00030CC5" w:rsidP="007F1DFE">
            <w:pPr>
              <w:pStyle w:val="TableText0"/>
              <w:keepNext w:val="0"/>
              <w:contextualSpacing/>
            </w:pPr>
            <w:r w:rsidRPr="002C3702">
              <w:t>RPBS: $7.3</w:t>
            </w:r>
            <w:r w:rsidR="000027E1" w:rsidRPr="002C3702">
              <w:t>0</w:t>
            </w:r>
            <w:r w:rsidRPr="002C3702">
              <w:t xml:space="preserve"> </w:t>
            </w:r>
            <w:r w:rsidR="007F1DFE" w:rsidRPr="002C3702">
              <w:t>(0.54%)</w:t>
            </w:r>
          </w:p>
          <w:p w14:paraId="64A0B543" w14:textId="3C598E25" w:rsidR="00030CC5" w:rsidRPr="002C3702" w:rsidRDefault="00030CC5" w:rsidP="00E9484D">
            <w:pPr>
              <w:pStyle w:val="TableText0"/>
              <w:keepNext w:val="0"/>
              <w:contextualSpacing/>
            </w:pPr>
          </w:p>
          <w:p w14:paraId="0456B48B" w14:textId="77777777" w:rsidR="00030CC5" w:rsidRPr="002C3702" w:rsidRDefault="00030CC5" w:rsidP="00E9484D">
            <w:pPr>
              <w:pStyle w:val="TableText0"/>
              <w:keepNext w:val="0"/>
              <w:contextualSpacing/>
            </w:pPr>
            <w:r w:rsidRPr="002C3702">
              <w:t>Medicare data on trastuzumab for early HER2+ breast cancer in 2022.</w:t>
            </w:r>
          </w:p>
        </w:tc>
        <w:tc>
          <w:tcPr>
            <w:tcW w:w="3572" w:type="dxa"/>
          </w:tcPr>
          <w:p w14:paraId="0D58ECE0" w14:textId="77777777" w:rsidR="00030CC5" w:rsidRPr="002C3702" w:rsidRDefault="00030CC5" w:rsidP="00E9484D">
            <w:pPr>
              <w:pStyle w:val="TableText0"/>
              <w:keepNext w:val="0"/>
              <w:contextualSpacing/>
            </w:pPr>
            <w:r w:rsidRPr="002C3702">
              <w:t>The</w:t>
            </w:r>
            <w:r w:rsidRPr="002C3702">
              <w:rPr>
                <w:bCs w:val="0"/>
              </w:rPr>
              <w:t xml:space="preserve"> January 2023</w:t>
            </w:r>
            <w:r w:rsidRPr="002C3702">
              <w:rPr>
                <w:bCs w:val="0"/>
                <w:vertAlign w:val="superscript"/>
              </w:rPr>
              <w:t>a</w:t>
            </w:r>
            <w:r w:rsidRPr="002C3702">
              <w:t xml:space="preserve"> updated co-payments were reflected in the financial analysis. </w:t>
            </w:r>
          </w:p>
        </w:tc>
      </w:tr>
    </w:tbl>
    <w:p w14:paraId="0DF09F12" w14:textId="61AF0C7B" w:rsidR="00030CC5" w:rsidRPr="002C3702" w:rsidRDefault="00030CC5" w:rsidP="00274C9A">
      <w:pPr>
        <w:spacing w:line="0" w:lineRule="atLeast"/>
        <w:contextualSpacing/>
        <w:rPr>
          <w:rFonts w:ascii="Arial Narrow" w:hAnsi="Arial Narrow"/>
          <w:iCs/>
          <w:snapToGrid w:val="0"/>
          <w:sz w:val="18"/>
          <w:szCs w:val="22"/>
        </w:rPr>
      </w:pPr>
      <w:r w:rsidRPr="002C3702">
        <w:rPr>
          <w:rFonts w:ascii="Arial Narrow" w:hAnsi="Arial Narrow"/>
          <w:snapToGrid w:val="0"/>
          <w:sz w:val="18"/>
          <w:szCs w:val="22"/>
        </w:rPr>
        <w:t xml:space="preserve">Source: </w:t>
      </w:r>
      <w:r w:rsidRPr="002C3702">
        <w:rPr>
          <w:rFonts w:ascii="Arial Narrow" w:hAnsi="Arial Narrow"/>
          <w:iCs/>
          <w:snapToGrid w:val="0"/>
          <w:sz w:val="18"/>
          <w:szCs w:val="22"/>
        </w:rPr>
        <w:t xml:space="preserve">Compiled during the evaluation from “A6.1_ Cost and utilisation model abemaciclib EBC November 2023” Excel workbook.  </w:t>
      </w:r>
    </w:p>
    <w:p w14:paraId="631321E5" w14:textId="77777777" w:rsidR="00030CC5" w:rsidRPr="002C3702" w:rsidRDefault="00030CC5" w:rsidP="00274C9A">
      <w:pPr>
        <w:spacing w:line="0" w:lineRule="atLeast"/>
        <w:contextualSpacing/>
        <w:rPr>
          <w:rFonts w:ascii="Arial Narrow" w:hAnsi="Arial Narrow"/>
          <w:snapToGrid w:val="0"/>
          <w:sz w:val="18"/>
          <w:szCs w:val="22"/>
        </w:rPr>
      </w:pPr>
      <w:r w:rsidRPr="002C3702">
        <w:rPr>
          <w:rFonts w:ascii="Arial Narrow" w:hAnsi="Arial Narrow"/>
          <w:snapToGrid w:val="0"/>
          <w:sz w:val="18"/>
          <w:szCs w:val="22"/>
        </w:rPr>
        <w:t>ABE = abemaciclib, AEMP= approved ex manufacturer price, AIHW = Australian Institute of Health and Welfare, DUSC = Drug Utilisation Sub-committee, DPMQ = dispensed price for maximum quantity, EBC = early breast cancer, HER2- = human epidermal growth factor receptor 2 negative, HR+ = hormone receptor positive, NCCI = National Cancer Control Indicators, PBAC = Pharmaceutical Benefits Advisory Committee, PBS = Pharmaceutical Benefits Scheme, PSD = public summary document, RPBS = Repatriation Pharmaceutical Benefits Scheme, SEER = Surveillance, Epidemiology and End Results, US= United States.</w:t>
      </w:r>
    </w:p>
    <w:p w14:paraId="70083C69" w14:textId="77777777" w:rsidR="00030CC5" w:rsidRPr="002C3702" w:rsidRDefault="00030CC5" w:rsidP="00274C9A">
      <w:pPr>
        <w:spacing w:line="0" w:lineRule="atLeast"/>
        <w:contextualSpacing/>
        <w:rPr>
          <w:rFonts w:ascii="Arial Narrow" w:hAnsi="Arial Narrow"/>
          <w:snapToGrid w:val="0"/>
          <w:sz w:val="18"/>
          <w:szCs w:val="22"/>
        </w:rPr>
      </w:pPr>
      <w:r w:rsidRPr="002C3702">
        <w:rPr>
          <w:rFonts w:ascii="Arial Narrow" w:hAnsi="Arial Narrow"/>
          <w:snapToGrid w:val="0"/>
          <w:sz w:val="18"/>
          <w:szCs w:val="22"/>
          <w:vertAlign w:val="superscript"/>
        </w:rPr>
        <w:t xml:space="preserve">a </w:t>
      </w:r>
      <w:r w:rsidRPr="002C3702">
        <w:rPr>
          <w:rFonts w:ascii="Arial Narrow" w:hAnsi="Arial Narrow"/>
          <w:snapToGrid w:val="0"/>
          <w:sz w:val="18"/>
          <w:szCs w:val="22"/>
        </w:rPr>
        <w:t>Reduction in general patient co-payment from $42.50 to $30.00 and an increase in concessional patient co-payment from $6.80 to $7.30.</w:t>
      </w:r>
    </w:p>
    <w:p w14:paraId="07026968" w14:textId="137EAB7E" w:rsidR="00030CC5" w:rsidRPr="002C3702" w:rsidRDefault="00030CC5" w:rsidP="00274C9A">
      <w:pPr>
        <w:spacing w:line="0" w:lineRule="atLeast"/>
        <w:contextualSpacing/>
        <w:rPr>
          <w:rFonts w:ascii="Arial Narrow" w:hAnsi="Arial Narrow"/>
          <w:snapToGrid w:val="0"/>
          <w:sz w:val="18"/>
          <w:szCs w:val="22"/>
        </w:rPr>
      </w:pPr>
      <w:r w:rsidRPr="002C3702">
        <w:rPr>
          <w:rFonts w:ascii="Arial Narrow" w:hAnsi="Arial Narrow"/>
          <w:snapToGrid w:val="0"/>
          <w:sz w:val="18"/>
          <w:szCs w:val="22"/>
          <w:shd w:val="clear" w:color="auto" w:fill="B8CCE4" w:themeFill="accent1" w:themeFillTint="66"/>
        </w:rPr>
        <w:t>Blue shading</w:t>
      </w:r>
      <w:r w:rsidRPr="002C3702">
        <w:rPr>
          <w:rFonts w:ascii="Arial Narrow" w:hAnsi="Arial Narrow"/>
          <w:snapToGrid w:val="0"/>
          <w:sz w:val="18"/>
          <w:szCs w:val="22"/>
        </w:rPr>
        <w:t xml:space="preserve"> indicates data previously seen by the PBAC.  </w:t>
      </w:r>
    </w:p>
    <w:p w14:paraId="0BE7486A" w14:textId="5C911867" w:rsidR="004E177A" w:rsidRPr="002C3702" w:rsidRDefault="004E177A" w:rsidP="006B6DB8">
      <w:pPr>
        <w:pStyle w:val="3-BodyText"/>
        <w:spacing w:before="120"/>
      </w:pPr>
      <w:bookmarkStart w:id="78" w:name="_Ref147924620"/>
      <w:r w:rsidRPr="002C3702">
        <w:t>The submission stated that given that ABE has also recently been accepted on the eviQ adjuvant breast cancer protocol (eviQ, 2022</w:t>
      </w:r>
      <w:r w:rsidR="00FE3425" w:rsidRPr="002C3702">
        <w:t>),</w:t>
      </w:r>
      <w:r w:rsidRPr="002C3702">
        <w:t xml:space="preserve"> which is widely accepted across Australia as the preferred provider of evidence-based cancer treatment information, and in line with the March 2023 PBAC outcomes, the model assumes uptakes rates of </w:t>
      </w:r>
      <w:r w:rsidR="008129BD">
        <w:t xml:space="preserve"> </w:t>
      </w:r>
      <w:r w:rsidR="008129BD" w:rsidRPr="00676505">
        <w:rPr>
          <w:color w:val="000000"/>
          <w:w w:val="15"/>
          <w:shd w:val="solid" w:color="000000" w:fill="000000"/>
          <w:fitText w:val="-20" w:id="-1032093438"/>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8"/>
          <w14:textFill>
            <w14:solidFill>
              <w14:srgbClr w14:val="000000">
                <w14:alpha w14:val="100000"/>
              </w14:srgbClr>
            </w14:solidFill>
          </w14:textFill>
        </w:rPr>
        <w:t>|</w:t>
      </w:r>
      <w:r w:rsidRPr="002C3702">
        <w:t xml:space="preserve">% in Year 1 to Year 6. This was reduced from the March 2023 resubmission which applied an uptake rate of </w:t>
      </w:r>
      <w:r w:rsidR="008129BD">
        <w:t xml:space="preserve"> </w:t>
      </w:r>
      <w:r w:rsidR="008129BD" w:rsidRPr="00676505">
        <w:rPr>
          <w:color w:val="000000"/>
          <w:w w:val="15"/>
          <w:shd w:val="solid" w:color="000000" w:fill="000000"/>
          <w:fitText w:val="-20" w:id="-1032093437"/>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7"/>
          <w14:textFill>
            <w14:solidFill>
              <w14:srgbClr w14:val="000000">
                <w14:alpha w14:val="100000"/>
              </w14:srgbClr>
            </w14:solidFill>
          </w14:textFill>
        </w:rPr>
        <w:t>|</w:t>
      </w:r>
      <w:r w:rsidRPr="002C3702">
        <w:t xml:space="preserve">% in Year 1 rising </w:t>
      </w:r>
      <w:r w:rsidRPr="008753FA">
        <w:t xml:space="preserve">to </w:t>
      </w:r>
      <w:r w:rsidR="008129BD">
        <w:t xml:space="preserve"> </w:t>
      </w:r>
      <w:r w:rsidR="008129BD" w:rsidRPr="00676505">
        <w:rPr>
          <w:color w:val="000000"/>
          <w:w w:val="15"/>
          <w:shd w:val="solid" w:color="000000" w:fill="000000"/>
          <w:fitText w:val="-20" w:id="-1032093436"/>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6"/>
          <w14:textFill>
            <w14:solidFill>
              <w14:srgbClr w14:val="000000">
                <w14:alpha w14:val="100000"/>
              </w14:srgbClr>
            </w14:solidFill>
          </w14:textFill>
        </w:rPr>
        <w:t>|</w:t>
      </w:r>
      <w:r w:rsidRPr="002C3702">
        <w:t xml:space="preserve">% in Years 3-6. The PBAC considered that a maximum uptake rate </w:t>
      </w:r>
      <w:r w:rsidRPr="008753FA">
        <w:t xml:space="preserve">of </w:t>
      </w:r>
      <w:r w:rsidR="008129BD">
        <w:t xml:space="preserve"> </w:t>
      </w:r>
      <w:r w:rsidR="008129BD" w:rsidRPr="00676505">
        <w:rPr>
          <w:color w:val="000000"/>
          <w:w w:val="15"/>
          <w:shd w:val="solid" w:color="000000" w:fill="000000"/>
          <w:fitText w:val="-20" w:id="-1032093435"/>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5"/>
          <w14:textFill>
            <w14:solidFill>
              <w14:srgbClr w14:val="000000">
                <w14:alpha w14:val="100000"/>
              </w14:srgbClr>
            </w14:solidFill>
          </w14:textFill>
        </w:rPr>
        <w:t>|</w:t>
      </w:r>
      <w:r w:rsidRPr="002C3702">
        <w:t>% would be reasonable</w:t>
      </w:r>
      <w:r w:rsidR="004A7F48" w:rsidRPr="002C3702">
        <w:t>,</w:t>
      </w:r>
      <w:r w:rsidRPr="002C3702">
        <w:t xml:space="preserve"> </w:t>
      </w:r>
      <w:r w:rsidR="009A04FB" w:rsidRPr="002C3702">
        <w:t>noting the rapid uptake of ABE in the Australian patient familiarisation program</w:t>
      </w:r>
      <w:r w:rsidR="004A7F48" w:rsidRPr="002C3702">
        <w:t xml:space="preserve"> </w:t>
      </w:r>
      <w:r w:rsidRPr="002C3702">
        <w:t xml:space="preserve">(para 7.14, </w:t>
      </w:r>
      <w:r w:rsidR="00B3218C" w:rsidRPr="002C3702">
        <w:t>a</w:t>
      </w:r>
      <w:r w:rsidRPr="002C3702">
        <w:t xml:space="preserve">bemaciclib, PSD, March 2023 PBAC Meeting). Moreover, </w:t>
      </w:r>
      <w:r w:rsidR="004A7F48" w:rsidRPr="002C3702">
        <w:t xml:space="preserve">the </w:t>
      </w:r>
      <w:r w:rsidRPr="002C3702">
        <w:t xml:space="preserve">DUSC suggested that a range of </w:t>
      </w:r>
      <w:r w:rsidR="008129BD">
        <w:t xml:space="preserve"> </w:t>
      </w:r>
      <w:r w:rsidR="008129BD" w:rsidRPr="00676505">
        <w:rPr>
          <w:color w:val="000000"/>
          <w:w w:val="15"/>
          <w:shd w:val="solid" w:color="000000" w:fill="000000"/>
          <w:fitText w:val="-20" w:id="-1032093434"/>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4"/>
          <w14:textFill>
            <w14:solidFill>
              <w14:srgbClr w14:val="000000">
                <w14:alpha w14:val="100000"/>
              </w14:srgbClr>
            </w14:solidFill>
          </w14:textFill>
        </w:rPr>
        <w:t>|</w:t>
      </w:r>
      <w:r w:rsidRPr="002C3702">
        <w:t xml:space="preserve">% in year 1 moving to </w:t>
      </w:r>
      <w:r w:rsidR="008129BD">
        <w:t xml:space="preserve"> </w:t>
      </w:r>
      <w:r w:rsidR="008129BD" w:rsidRPr="00676505">
        <w:rPr>
          <w:color w:val="000000"/>
          <w:w w:val="15"/>
          <w:shd w:val="solid" w:color="000000" w:fill="000000"/>
          <w:fitText w:val="-20" w:id="-1032093433"/>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3"/>
          <w14:textFill>
            <w14:solidFill>
              <w14:srgbClr w14:val="000000">
                <w14:alpha w14:val="100000"/>
              </w14:srgbClr>
            </w14:solidFill>
          </w14:textFill>
        </w:rPr>
        <w:t>|</w:t>
      </w:r>
      <w:r w:rsidRPr="008753FA">
        <w:t>-</w:t>
      </w:r>
      <w:r w:rsidR="008129BD">
        <w:t xml:space="preserve"> </w:t>
      </w:r>
      <w:r w:rsidR="008129BD" w:rsidRPr="00676505">
        <w:rPr>
          <w:color w:val="000000"/>
          <w:w w:val="15"/>
          <w:shd w:val="solid" w:color="000000" w:fill="000000"/>
          <w:fitText w:val="-20" w:id="-1032093432"/>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2"/>
          <w14:textFill>
            <w14:solidFill>
              <w14:srgbClr w14:val="000000">
                <w14:alpha w14:val="100000"/>
              </w14:srgbClr>
            </w14:solidFill>
          </w14:textFill>
        </w:rPr>
        <w:t>|</w:t>
      </w:r>
      <w:r w:rsidRPr="002C3702">
        <w:t xml:space="preserve">% by year 6 </w:t>
      </w:r>
      <w:r w:rsidR="004A7F48" w:rsidRPr="002C3702">
        <w:t xml:space="preserve">would </w:t>
      </w:r>
      <w:r w:rsidR="004A7F48" w:rsidRPr="002C3702">
        <w:rPr>
          <w:color w:val="000000" w:themeColor="text1"/>
        </w:rPr>
        <w:t>be more reasonable noting that the patient group is mostly older and frail (</w:t>
      </w:r>
      <w:r w:rsidR="00B3218C" w:rsidRPr="002C3702">
        <w:rPr>
          <w:color w:val="000000" w:themeColor="text1"/>
        </w:rPr>
        <w:t>a</w:t>
      </w:r>
      <w:r w:rsidR="004A7F48" w:rsidRPr="002C3702">
        <w:rPr>
          <w:color w:val="000000" w:themeColor="text1"/>
        </w:rPr>
        <w:t>bemaciclib, DUSC Advice, March 2022 PBAC Meeting).</w:t>
      </w:r>
      <w:r w:rsidR="0007382A" w:rsidRPr="002C3702">
        <w:t xml:space="preserve"> Considering both, the PBAC and DUSC recommendations, an uptake of </w:t>
      </w:r>
      <w:r w:rsidR="008129BD">
        <w:t xml:space="preserve"> </w:t>
      </w:r>
      <w:r w:rsidR="008129BD" w:rsidRPr="00676505">
        <w:rPr>
          <w:color w:val="000000"/>
          <w:w w:val="15"/>
          <w:shd w:val="solid" w:color="000000" w:fill="000000"/>
          <w:fitText w:val="-20" w:id="-1032093431"/>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1"/>
          <w14:textFill>
            <w14:solidFill>
              <w14:srgbClr w14:val="000000">
                <w14:alpha w14:val="100000"/>
              </w14:srgbClr>
            </w14:solidFill>
          </w14:textFill>
        </w:rPr>
        <w:t>|</w:t>
      </w:r>
      <w:r w:rsidR="0007382A" w:rsidRPr="002C3702">
        <w:t xml:space="preserve">% in Year 1, gradually rising to </w:t>
      </w:r>
      <w:r w:rsidR="008129BD">
        <w:t xml:space="preserve"> </w:t>
      </w:r>
      <w:r w:rsidR="008129BD" w:rsidRPr="00676505">
        <w:rPr>
          <w:color w:val="000000"/>
          <w:w w:val="15"/>
          <w:shd w:val="solid" w:color="000000" w:fill="000000"/>
          <w:fitText w:val="-20" w:id="-1032093430"/>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430"/>
          <w14:textFill>
            <w14:solidFill>
              <w14:srgbClr w14:val="000000">
                <w14:alpha w14:val="100000"/>
              </w14:srgbClr>
            </w14:solidFill>
          </w14:textFill>
        </w:rPr>
        <w:t>|</w:t>
      </w:r>
      <w:r w:rsidR="0007382A" w:rsidRPr="002C3702">
        <w:t xml:space="preserve">% by Year 6 </w:t>
      </w:r>
      <w:r w:rsidR="004A7F48" w:rsidRPr="002C3702">
        <w:t>may</w:t>
      </w:r>
      <w:r w:rsidR="0007382A" w:rsidRPr="002C3702">
        <w:t xml:space="preserve"> have been more appropriate. This assumption was tested in the uncertainty analysis conducted during the evaluation resulting in a 16% reduction in financial estimates over 6 years.</w:t>
      </w:r>
      <w:r w:rsidR="000841DE" w:rsidRPr="002C3702">
        <w:t xml:space="preserve"> </w:t>
      </w:r>
      <w:r w:rsidR="000841DE" w:rsidRPr="002C3702">
        <w:rPr>
          <w:iCs/>
        </w:rPr>
        <w:t xml:space="preserve">The </w:t>
      </w:r>
      <w:r w:rsidR="00A97647" w:rsidRPr="002C3702">
        <w:rPr>
          <w:iCs/>
        </w:rPr>
        <w:t xml:space="preserve">ESC noted the </w:t>
      </w:r>
      <w:r w:rsidR="000841DE" w:rsidRPr="002C3702">
        <w:rPr>
          <w:iCs/>
        </w:rPr>
        <w:t>PSCR maintained</w:t>
      </w:r>
      <w:r w:rsidR="00920E4C" w:rsidRPr="002C3702">
        <w:rPr>
          <w:iCs/>
        </w:rPr>
        <w:t xml:space="preserve"> that</w:t>
      </w:r>
      <w:r w:rsidR="000841DE" w:rsidRPr="002C3702">
        <w:rPr>
          <w:iCs/>
        </w:rPr>
        <w:t xml:space="preserve"> the uptake rate of </w:t>
      </w:r>
      <w:r w:rsidR="008129BD">
        <w:rPr>
          <w:iCs/>
        </w:rPr>
        <w:t xml:space="preserve"> </w:t>
      </w:r>
      <w:r w:rsidR="008129BD" w:rsidRPr="00676505">
        <w:rPr>
          <w:iCs/>
          <w:color w:val="000000"/>
          <w:w w:val="15"/>
          <w:shd w:val="solid" w:color="000000" w:fill="000000"/>
          <w:fitText w:val="-20" w:id="-1032093429"/>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9"/>
          <w14:textFill>
            <w14:solidFill>
              <w14:srgbClr w14:val="000000">
                <w14:alpha w14:val="100000"/>
              </w14:srgbClr>
            </w14:solidFill>
          </w14:textFill>
        </w:rPr>
        <w:t>|</w:t>
      </w:r>
      <w:r w:rsidR="000841DE" w:rsidRPr="002C3702">
        <w:rPr>
          <w:iCs/>
        </w:rPr>
        <w:t xml:space="preserve">% from Year 1 onwards </w:t>
      </w:r>
      <w:r w:rsidR="00920E4C" w:rsidRPr="002C3702">
        <w:rPr>
          <w:iCs/>
        </w:rPr>
        <w:t xml:space="preserve">was appropriate </w:t>
      </w:r>
      <w:r w:rsidR="00A97647" w:rsidRPr="002C3702">
        <w:rPr>
          <w:iCs/>
        </w:rPr>
        <w:t xml:space="preserve">and argued it </w:t>
      </w:r>
      <w:r w:rsidR="000841DE" w:rsidRPr="002C3702">
        <w:rPr>
          <w:iCs/>
        </w:rPr>
        <w:t xml:space="preserve">reflects the high unmet clinical need seen in this patient population in Australia. The PSCR noted that since starting the patient familiarisation program (PFP), it has rapidly reached its quota, and the </w:t>
      </w:r>
      <w:r w:rsidR="00672616" w:rsidRPr="002C3702">
        <w:rPr>
          <w:iCs/>
        </w:rPr>
        <w:t>sponsor</w:t>
      </w:r>
      <w:r w:rsidR="000841DE" w:rsidRPr="002C3702">
        <w:rPr>
          <w:iCs/>
        </w:rPr>
        <w:t xml:space="preserve"> </w:t>
      </w:r>
      <w:r w:rsidR="00672616" w:rsidRPr="002C3702">
        <w:rPr>
          <w:iCs/>
        </w:rPr>
        <w:t xml:space="preserve">stated it </w:t>
      </w:r>
      <w:r w:rsidR="000841DE" w:rsidRPr="002C3702">
        <w:rPr>
          <w:iCs/>
        </w:rPr>
        <w:t xml:space="preserve">is receiving ongoing requests from clinicians to enrol additional patients in the PFP. Given this strong demand, the sponsor is currently exploring the possibility of expanding access to patients with high risk EBC. The PSCR argued that the proposed uptake rates are also consistent with clinical expert opinions that expect </w:t>
      </w:r>
      <w:r w:rsidR="008129BD">
        <w:rPr>
          <w:iCs/>
        </w:rPr>
        <w:t xml:space="preserve"> </w:t>
      </w:r>
      <w:r w:rsidR="008129BD" w:rsidRPr="00676505">
        <w:rPr>
          <w:iCs/>
          <w:color w:val="000000"/>
          <w:w w:val="15"/>
          <w:shd w:val="solid" w:color="000000" w:fill="000000"/>
          <w:fitText w:val="-20" w:id="-1032093428"/>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8"/>
          <w14:textFill>
            <w14:solidFill>
              <w14:srgbClr w14:val="000000">
                <w14:alpha w14:val="100000"/>
              </w14:srgbClr>
            </w14:solidFill>
          </w14:textFill>
        </w:rPr>
        <w:t>|</w:t>
      </w:r>
      <w:r w:rsidR="000841DE" w:rsidRPr="002C3702">
        <w:rPr>
          <w:iCs/>
        </w:rPr>
        <w:t>% of eligible patients will be offered abemaciclib in combination with ET.</w:t>
      </w:r>
      <w:r w:rsidR="00032FA0" w:rsidRPr="002C3702">
        <w:rPr>
          <w:iCs/>
        </w:rPr>
        <w:t xml:space="preserve"> </w:t>
      </w:r>
      <w:bookmarkEnd w:id="78"/>
      <w:r w:rsidR="00920E4C" w:rsidRPr="002C3702">
        <w:rPr>
          <w:rFonts w:cstheme="minorHAnsi"/>
          <w:iCs/>
        </w:rPr>
        <w:t xml:space="preserve">The ESC </w:t>
      </w:r>
      <w:r w:rsidR="009E314C" w:rsidRPr="002C3702">
        <w:rPr>
          <w:rFonts w:cstheme="minorHAnsi"/>
          <w:iCs/>
        </w:rPr>
        <w:t xml:space="preserve">suggested that </w:t>
      </w:r>
      <w:r w:rsidR="00920E4C" w:rsidRPr="002C3702">
        <w:rPr>
          <w:iCs/>
        </w:rPr>
        <w:t xml:space="preserve">whether the submission had adequately addressed this </w:t>
      </w:r>
      <w:r w:rsidR="001146FA" w:rsidRPr="002C3702">
        <w:rPr>
          <w:iCs/>
        </w:rPr>
        <w:t xml:space="preserve">previous </w:t>
      </w:r>
      <w:r w:rsidR="00920E4C" w:rsidRPr="002C3702">
        <w:rPr>
          <w:iCs/>
        </w:rPr>
        <w:t>concern</w:t>
      </w:r>
      <w:r w:rsidR="00920E4C" w:rsidRPr="002C3702">
        <w:rPr>
          <w:rFonts w:cstheme="minorHAnsi"/>
          <w:iCs/>
        </w:rPr>
        <w:t xml:space="preserve"> remained for </w:t>
      </w:r>
      <w:r w:rsidR="00920E4C" w:rsidRPr="002C3702">
        <w:rPr>
          <w:iCs/>
        </w:rPr>
        <w:t xml:space="preserve">PBAC </w:t>
      </w:r>
      <w:r w:rsidR="002C3702" w:rsidRPr="002C3702">
        <w:rPr>
          <w:iCs/>
        </w:rPr>
        <w:t>consideration.</w:t>
      </w:r>
    </w:p>
    <w:p w14:paraId="320D1A32" w14:textId="63987A10" w:rsidR="000A41F6" w:rsidRPr="002C3702" w:rsidRDefault="000A41F6" w:rsidP="006B6DB8">
      <w:pPr>
        <w:pStyle w:val="3-BodyText"/>
        <w:spacing w:before="120"/>
      </w:pPr>
      <w:r w:rsidRPr="002C3702">
        <w:rPr>
          <w:iCs/>
        </w:rPr>
        <w:t xml:space="preserve">The </w:t>
      </w:r>
      <w:r w:rsidR="004C162F">
        <w:rPr>
          <w:iCs/>
        </w:rPr>
        <w:t>p</w:t>
      </w:r>
      <w:r w:rsidRPr="002C3702">
        <w:rPr>
          <w:iCs/>
        </w:rPr>
        <w:t xml:space="preserve">re-PBAC response maintained that rapid uptake from Year 1 </w:t>
      </w:r>
      <w:r w:rsidR="005A119D" w:rsidRPr="002C3702">
        <w:rPr>
          <w:iCs/>
        </w:rPr>
        <w:t>is</w:t>
      </w:r>
      <w:r w:rsidRPr="002C3702">
        <w:rPr>
          <w:iCs/>
        </w:rPr>
        <w:t xml:space="preserve"> reasonable in the context of ongoing strong demand</w:t>
      </w:r>
      <w:r w:rsidR="008E7C16" w:rsidRPr="002C3702">
        <w:t xml:space="preserve"> in the Australian patient familiarisation program</w:t>
      </w:r>
      <w:r w:rsidRPr="002C3702">
        <w:rPr>
          <w:iCs/>
        </w:rPr>
        <w:t xml:space="preserve">, however proposed revised uptake rates of </w:t>
      </w:r>
      <w:r w:rsidR="008129BD">
        <w:rPr>
          <w:iCs/>
        </w:rPr>
        <w:t xml:space="preserve"> </w:t>
      </w:r>
      <w:r w:rsidR="008129BD" w:rsidRPr="00676505">
        <w:rPr>
          <w:iCs/>
          <w:color w:val="000000"/>
          <w:w w:val="15"/>
          <w:shd w:val="solid" w:color="000000" w:fill="000000"/>
          <w:fitText w:val="-20" w:id="-1032093427"/>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7"/>
          <w14:textFill>
            <w14:solidFill>
              <w14:srgbClr w14:val="000000">
                <w14:alpha w14:val="100000"/>
              </w14:srgbClr>
            </w14:solidFill>
          </w14:textFill>
        </w:rPr>
        <w:t>|</w:t>
      </w:r>
      <w:r w:rsidRPr="002C3702">
        <w:rPr>
          <w:iCs/>
        </w:rPr>
        <w:t xml:space="preserve">% in Year 1, </w:t>
      </w:r>
      <w:r w:rsidR="008129BD">
        <w:rPr>
          <w:iCs/>
        </w:rPr>
        <w:t xml:space="preserve"> </w:t>
      </w:r>
      <w:r w:rsidR="008129BD" w:rsidRPr="00676505">
        <w:rPr>
          <w:iCs/>
          <w:color w:val="000000"/>
          <w:w w:val="15"/>
          <w:shd w:val="solid" w:color="000000" w:fill="000000"/>
          <w:fitText w:val="-20" w:id="-1032093426"/>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6"/>
          <w14:textFill>
            <w14:solidFill>
              <w14:srgbClr w14:val="000000">
                <w14:alpha w14:val="100000"/>
              </w14:srgbClr>
            </w14:solidFill>
          </w14:textFill>
        </w:rPr>
        <w:t>|</w:t>
      </w:r>
      <w:r w:rsidRPr="002C3702">
        <w:rPr>
          <w:iCs/>
        </w:rPr>
        <w:t xml:space="preserve">% in Year 2 and </w:t>
      </w:r>
      <w:r w:rsidR="008129BD">
        <w:rPr>
          <w:iCs/>
        </w:rPr>
        <w:t xml:space="preserve"> </w:t>
      </w:r>
      <w:r w:rsidR="008129BD" w:rsidRPr="00676505">
        <w:rPr>
          <w:iCs/>
          <w:color w:val="000000"/>
          <w:w w:val="15"/>
          <w:shd w:val="solid" w:color="000000" w:fill="000000"/>
          <w:fitText w:val="-20" w:id="-1032093425"/>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5"/>
          <w14:textFill>
            <w14:solidFill>
              <w14:srgbClr w14:val="000000">
                <w14:alpha w14:val="100000"/>
              </w14:srgbClr>
            </w14:solidFill>
          </w14:textFill>
        </w:rPr>
        <w:t>|</w:t>
      </w:r>
      <w:r w:rsidRPr="002C3702">
        <w:rPr>
          <w:iCs/>
        </w:rPr>
        <w:t xml:space="preserve">% as of Year 3, to address any outstanding concerns. </w:t>
      </w:r>
    </w:p>
    <w:p w14:paraId="1C68A8B5" w14:textId="05276C75" w:rsidR="00B82D04" w:rsidRPr="002C3702" w:rsidRDefault="004D49A6" w:rsidP="00EC1812">
      <w:pPr>
        <w:pStyle w:val="3-BodyText"/>
      </w:pPr>
      <w:r w:rsidRPr="002C3702">
        <w:t xml:space="preserve">The current submission applied a compliance rate of 83%. </w:t>
      </w:r>
      <w:r w:rsidR="004D105D" w:rsidRPr="002C3702">
        <w:t>T</w:t>
      </w:r>
      <w:r w:rsidRPr="002C3702">
        <w:t xml:space="preserve">his is consistent with the PBAC advice </w:t>
      </w:r>
      <w:r w:rsidR="009A04FB" w:rsidRPr="002C3702">
        <w:t xml:space="preserve">of </w:t>
      </w:r>
      <w:r w:rsidRPr="002C3702">
        <w:t>less than 84% for hormonal therapy</w:t>
      </w:r>
      <w:r w:rsidR="00790987" w:rsidRPr="002C3702">
        <w:t xml:space="preserve"> (</w:t>
      </w:r>
      <w:r w:rsidRPr="002C3702">
        <w:t xml:space="preserve">para 7.14, </w:t>
      </w:r>
      <w:r w:rsidR="00B3218C" w:rsidRPr="002C3702">
        <w:t>a</w:t>
      </w:r>
      <w:r w:rsidRPr="002C3702">
        <w:t xml:space="preserve">bemaciclib, PSD, March 2023 PBAC Meeting). </w:t>
      </w:r>
    </w:p>
    <w:p w14:paraId="6B0A25BD" w14:textId="082621FE" w:rsidR="00A64B14" w:rsidRPr="002C3702" w:rsidRDefault="00986274" w:rsidP="00EC1812">
      <w:pPr>
        <w:pStyle w:val="3-BodyText"/>
      </w:pPr>
      <w:bookmarkStart w:id="79" w:name="_Ref147924637"/>
      <w:r w:rsidRPr="002C3702">
        <w:t>The</w:t>
      </w:r>
      <w:r w:rsidRPr="002C3702">
        <w:rPr>
          <w:i/>
          <w:iCs/>
        </w:rPr>
        <w:t xml:space="preserve"> </w:t>
      </w:r>
      <w:r w:rsidRPr="002C3702">
        <w:t xml:space="preserve">submission proposed an assumption that, on average, a real-world high-risk EBC patient will fill 83% of their total prescriptions based on a combination of length of therapy and compliance (i.e. 24 months </w:t>
      </w:r>
      <w:r w:rsidR="00672616" w:rsidRPr="002C3702">
        <w:t xml:space="preserve">length of treatment </w:t>
      </w:r>
      <w:r w:rsidRPr="002C3702">
        <w:t xml:space="preserve">and 83% compliance). </w:t>
      </w:r>
      <w:r w:rsidR="00A37EDF" w:rsidRPr="002C3702">
        <w:t>The submission stated that applying 8</w:t>
      </w:r>
      <w:r w:rsidR="008E7C16" w:rsidRPr="002C3702">
        <w:t>3</w:t>
      </w:r>
      <w:r w:rsidR="00A37EDF" w:rsidRPr="002C3702">
        <w:t xml:space="preserve">% compliance and a shorter duration of treatment to utilisation estimates would constitute double-counting and is not reflective of the real-world evidence cited by </w:t>
      </w:r>
      <w:r w:rsidR="00672616" w:rsidRPr="002C3702">
        <w:t xml:space="preserve">the </w:t>
      </w:r>
      <w:r w:rsidR="00A37EDF" w:rsidRPr="002C3702">
        <w:t>PBAC (Zhao et al., 2021</w:t>
      </w:r>
      <w:r w:rsidR="00EF0A85" w:rsidRPr="002C3702">
        <w:t>).</w:t>
      </w:r>
      <w:r w:rsidR="00A37EDF" w:rsidRPr="002C3702">
        <w:t xml:space="preserve"> </w:t>
      </w:r>
      <w:r w:rsidR="00FC3563" w:rsidRPr="002C3702">
        <w:t>Based on the sponsor’s assumption, the</w:t>
      </w:r>
      <w:r w:rsidR="00A37EDF" w:rsidRPr="002C3702">
        <w:t xml:space="preserve"> applied compliance rate of 83% over a 24-month length of therapy results </w:t>
      </w:r>
      <w:r w:rsidR="00FC3563" w:rsidRPr="002C3702">
        <w:t>would be</w:t>
      </w:r>
      <w:r w:rsidR="00A37EDF" w:rsidRPr="002C3702">
        <w:t xml:space="preserve"> an </w:t>
      </w:r>
      <w:r w:rsidR="00FC3563" w:rsidRPr="002C3702">
        <w:t>‘</w:t>
      </w:r>
      <w:r w:rsidR="00A37EDF" w:rsidRPr="002C3702">
        <w:t>average duration of treatment</w:t>
      </w:r>
      <w:r w:rsidR="00FC3563" w:rsidRPr="002C3702">
        <w:t>’</w:t>
      </w:r>
      <w:r w:rsidR="00A37EDF" w:rsidRPr="002C3702">
        <w:t xml:space="preserve"> of 19.9 months, </w:t>
      </w:r>
      <w:r w:rsidR="00CB2518" w:rsidRPr="002C3702">
        <w:t>which remains</w:t>
      </w:r>
      <w:r w:rsidR="00A37EDF" w:rsidRPr="002C3702">
        <w:t xml:space="preserve"> higher than the </w:t>
      </w:r>
      <w:r w:rsidR="00672616" w:rsidRPr="002C3702">
        <w:t xml:space="preserve">previous </w:t>
      </w:r>
      <w:r w:rsidR="00A37EDF" w:rsidRPr="002C3702">
        <w:t xml:space="preserve">PBAC recommendation. The PBAC </w:t>
      </w:r>
      <w:r w:rsidR="00672616" w:rsidRPr="002C3702">
        <w:t xml:space="preserve">previously </w:t>
      </w:r>
      <w:r w:rsidR="00A37EDF" w:rsidRPr="002C3702">
        <w:t xml:space="preserve">considered </w:t>
      </w:r>
      <w:r w:rsidR="00CB2518" w:rsidRPr="002C3702">
        <w:t>ABE</w:t>
      </w:r>
      <w:r w:rsidR="00A37EDF" w:rsidRPr="002C3702">
        <w:t xml:space="preserve"> use in clinical practice is likely to be less than the mean treatment duration reported in the monarchE trial (82.7 weeks, 20.7 months) </w:t>
      </w:r>
      <w:r w:rsidR="00C230B8" w:rsidRPr="002C3702">
        <w:rPr>
          <w:iCs/>
        </w:rPr>
        <w:t>due to the toxicity associated with ABE and the likely older cohort treated through the PBS</w:t>
      </w:r>
      <w:r w:rsidR="00C230B8" w:rsidRPr="002C3702">
        <w:t xml:space="preserve"> </w:t>
      </w:r>
      <w:r w:rsidR="00A37EDF" w:rsidRPr="002C3702">
        <w:t>and considered that a treatment duration of 18 months was a more reasonable estimate (</w:t>
      </w:r>
      <w:r w:rsidR="00263145" w:rsidRPr="002C3702">
        <w:t>para</w:t>
      </w:r>
      <w:r w:rsidR="00A37EDF" w:rsidRPr="002C3702">
        <w:t xml:space="preserve"> 7.14, </w:t>
      </w:r>
      <w:r w:rsidR="00B3218C" w:rsidRPr="002C3702">
        <w:t>a</w:t>
      </w:r>
      <w:r w:rsidR="00A37EDF" w:rsidRPr="002C3702">
        <w:t>bemaciclib, PSD, March 2023 PBAC Meeting).</w:t>
      </w:r>
      <w:r w:rsidR="00FC224C" w:rsidRPr="002C3702">
        <w:t xml:space="preserve"> </w:t>
      </w:r>
      <w:r w:rsidR="00A115AE" w:rsidRPr="002C3702">
        <w:t xml:space="preserve">The assumption </w:t>
      </w:r>
      <w:r w:rsidR="00FC3563" w:rsidRPr="002C3702">
        <w:t xml:space="preserve">for </w:t>
      </w:r>
      <w:r w:rsidR="00FC224C" w:rsidRPr="002C3702" w:rsidDel="00EE1829">
        <w:t>treatment duration</w:t>
      </w:r>
      <w:r w:rsidR="00FC224C" w:rsidRPr="002C3702">
        <w:t xml:space="preserve"> </w:t>
      </w:r>
      <w:r w:rsidR="00A115AE" w:rsidRPr="002C3702">
        <w:t xml:space="preserve">was tested </w:t>
      </w:r>
      <w:r w:rsidR="006E1DCC" w:rsidRPr="002C3702">
        <w:t xml:space="preserve">during the evaluation in the sensitivity </w:t>
      </w:r>
      <w:r w:rsidR="00A64B14" w:rsidRPr="002C3702">
        <w:t>analyses</w:t>
      </w:r>
      <w:r w:rsidR="006E1DCC" w:rsidRPr="002C3702">
        <w:t xml:space="preserve">. </w:t>
      </w:r>
      <w:r w:rsidR="00672616" w:rsidRPr="002C3702">
        <w:rPr>
          <w:iCs/>
        </w:rPr>
        <w:t xml:space="preserve">The PSCR maintained </w:t>
      </w:r>
      <w:r w:rsidR="00C230B8" w:rsidRPr="002C3702">
        <w:rPr>
          <w:iCs/>
        </w:rPr>
        <w:t xml:space="preserve">that applying a compliance rate of 83% over a 24-month length of therapy is equivalent to an average duration of treatment of 19.9 months and considered </w:t>
      </w:r>
      <w:r w:rsidR="00BA5F5D" w:rsidRPr="002C3702">
        <w:rPr>
          <w:iCs/>
        </w:rPr>
        <w:t xml:space="preserve">that </w:t>
      </w:r>
      <w:r w:rsidR="00C230B8" w:rsidRPr="002C3702">
        <w:rPr>
          <w:iCs/>
        </w:rPr>
        <w:t xml:space="preserve">this estimate </w:t>
      </w:r>
      <w:r w:rsidR="00BA5F5D" w:rsidRPr="002C3702">
        <w:rPr>
          <w:iCs/>
        </w:rPr>
        <w:t xml:space="preserve">was </w:t>
      </w:r>
      <w:r w:rsidR="00C230B8" w:rsidRPr="002C3702">
        <w:rPr>
          <w:iCs/>
        </w:rPr>
        <w:t xml:space="preserve">conservative. </w:t>
      </w:r>
      <w:r w:rsidR="00671E69" w:rsidRPr="002C3702">
        <w:rPr>
          <w:iCs/>
        </w:rPr>
        <w:t xml:space="preserve">The ESC noted </w:t>
      </w:r>
      <w:r w:rsidR="00F84A52" w:rsidRPr="002C3702">
        <w:rPr>
          <w:iCs/>
        </w:rPr>
        <w:t>the PSCR</w:t>
      </w:r>
      <w:r w:rsidR="00671E69" w:rsidRPr="002C3702">
        <w:rPr>
          <w:iCs/>
        </w:rPr>
        <w:t xml:space="preserve"> arg</w:t>
      </w:r>
      <w:r w:rsidR="00F84A52" w:rsidRPr="002C3702">
        <w:rPr>
          <w:iCs/>
        </w:rPr>
        <w:t>ued</w:t>
      </w:r>
      <w:r w:rsidR="00671E69" w:rsidRPr="002C3702">
        <w:rPr>
          <w:iCs/>
        </w:rPr>
        <w:t xml:space="preserve"> that it is not justified to assume that abemaciclib would have a shorter treatment duration than that reported in the monarchE trial due to toxicity</w:t>
      </w:r>
      <w:r w:rsidR="00F84A52" w:rsidRPr="002C3702">
        <w:rPr>
          <w:iCs/>
        </w:rPr>
        <w:t>. The PSCR argued</w:t>
      </w:r>
      <w:r w:rsidR="00B75C6A" w:rsidRPr="002C3702">
        <w:rPr>
          <w:iCs/>
        </w:rPr>
        <w:t xml:space="preserve"> </w:t>
      </w:r>
      <w:r w:rsidR="00F84A52" w:rsidRPr="002C3702">
        <w:rPr>
          <w:iCs/>
        </w:rPr>
        <w:t>that</w:t>
      </w:r>
      <w:r w:rsidR="00B75C6A" w:rsidRPr="002C3702">
        <w:rPr>
          <w:iCs/>
        </w:rPr>
        <w:t xml:space="preserve"> ribociclib</w:t>
      </w:r>
      <w:r w:rsidR="00A638E9" w:rsidRPr="002C3702">
        <w:rPr>
          <w:iCs/>
        </w:rPr>
        <w:t>, which has previously demonstrated non-inferior safety to abemaciclib in the metastatic setting,</w:t>
      </w:r>
      <w:r w:rsidR="00B75C6A" w:rsidRPr="002C3702">
        <w:rPr>
          <w:iCs/>
        </w:rPr>
        <w:t xml:space="preserve"> was shown to have a longer treatment duration in the real-world setting compared to its pivotal clinical trial</w:t>
      </w:r>
      <w:r w:rsidR="00E0014A" w:rsidRPr="002C3702">
        <w:rPr>
          <w:iCs/>
        </w:rPr>
        <w:t xml:space="preserve"> (24.5 months in the real world versus 20.2 months in MONALESSA-2)</w:t>
      </w:r>
      <w:r w:rsidR="00A638E9" w:rsidRPr="002C3702">
        <w:rPr>
          <w:iCs/>
        </w:rPr>
        <w:t xml:space="preserve"> (Wong et al., 2022</w:t>
      </w:r>
      <w:r w:rsidR="00A638E9" w:rsidRPr="002C3702">
        <w:rPr>
          <w:rStyle w:val="FootnoteReference"/>
          <w:iCs/>
        </w:rPr>
        <w:footnoteReference w:id="15"/>
      </w:r>
      <w:r w:rsidR="00A638E9" w:rsidRPr="002C3702">
        <w:rPr>
          <w:iCs/>
        </w:rPr>
        <w:t xml:space="preserve">). </w:t>
      </w:r>
      <w:r w:rsidR="00671E69" w:rsidRPr="002C3702">
        <w:rPr>
          <w:iCs/>
        </w:rPr>
        <w:t>However, the ESC considered the comparison inappropriate,</w:t>
      </w:r>
      <w:bookmarkEnd w:id="79"/>
      <w:r w:rsidR="00A638E9" w:rsidRPr="002C3702">
        <w:rPr>
          <w:iCs/>
        </w:rPr>
        <w:t xml:space="preserve"> as data from the metastatic setting is not likely to reflect the adjuvant setting</w:t>
      </w:r>
      <w:r w:rsidR="005A119D" w:rsidRPr="002C3702">
        <w:t xml:space="preserve"> and</w:t>
      </w:r>
      <w:r w:rsidR="009E2988" w:rsidRPr="002C3702">
        <w:t xml:space="preserve"> considered that the treatment duration assumed in the submission remained overestimated.</w:t>
      </w:r>
      <w:r w:rsidR="005A119D" w:rsidRPr="002C3702">
        <w:t xml:space="preserve"> The </w:t>
      </w:r>
      <w:r w:rsidR="004C162F">
        <w:t>p</w:t>
      </w:r>
      <w:r w:rsidR="005A119D" w:rsidRPr="002C3702">
        <w:t xml:space="preserve">re-PBAC response </w:t>
      </w:r>
      <w:r w:rsidR="00E315B8" w:rsidRPr="002C3702">
        <w:t>reduced the treatment duration in the financial estimates to 21 months, consistent with the economic model.</w:t>
      </w:r>
    </w:p>
    <w:p w14:paraId="02926592" w14:textId="73ABD117" w:rsidR="00030CC5" w:rsidRPr="002C3702" w:rsidRDefault="00030CC5" w:rsidP="00EC1812">
      <w:pPr>
        <w:pStyle w:val="3-BodyText"/>
      </w:pPr>
      <w:r w:rsidRPr="002C3702">
        <w:t xml:space="preserve">The current </w:t>
      </w:r>
      <w:r w:rsidR="23AAC2D8" w:rsidRPr="002C3702">
        <w:t>submission</w:t>
      </w:r>
      <w:r w:rsidRPr="002C3702">
        <w:t>’s estimates for use and financial impacts of listing ABE are summarised in</w:t>
      </w:r>
      <w:r w:rsidR="00EC1812" w:rsidRPr="002C3702">
        <w:t xml:space="preserve"> </w:t>
      </w:r>
      <w:r w:rsidR="004E5A67" w:rsidRPr="002C3702">
        <w:fldChar w:fldCharType="begin"/>
      </w:r>
      <w:r w:rsidR="004E5A67" w:rsidRPr="002C3702">
        <w:instrText xml:space="preserve"> REF _Ref145056493 \h </w:instrText>
      </w:r>
      <w:r w:rsidR="004E5A67" w:rsidRPr="002C3702">
        <w:fldChar w:fldCharType="separate"/>
      </w:r>
      <w:r w:rsidR="00676505" w:rsidRPr="002C3702">
        <w:t xml:space="preserve">Table </w:t>
      </w:r>
      <w:r w:rsidR="00676505">
        <w:rPr>
          <w:noProof/>
        </w:rPr>
        <w:t>16</w:t>
      </w:r>
      <w:r w:rsidR="004E5A67" w:rsidRPr="002C3702">
        <w:fldChar w:fldCharType="end"/>
      </w:r>
      <w:r w:rsidRPr="002C3702">
        <w:t xml:space="preserve">. </w:t>
      </w:r>
      <w:r w:rsidR="003C262C" w:rsidRPr="002C3702">
        <w:t>The financial estimates provided with the</w:t>
      </w:r>
      <w:r w:rsidR="004C162F">
        <w:t xml:space="preserve"> p</w:t>
      </w:r>
      <w:r w:rsidR="003C262C" w:rsidRPr="002C3702">
        <w:t xml:space="preserve">re-PBAC response with amendments to treatment duration (21 months) and uptake rates </w:t>
      </w:r>
      <w:proofErr w:type="gramStart"/>
      <w:r w:rsidR="003C262C" w:rsidRPr="002C3702">
        <w:t>(</w:t>
      </w:r>
      <w:r w:rsidR="008129BD">
        <w:rPr>
          <w:iCs/>
        </w:rPr>
        <w:t xml:space="preserve"> </w:t>
      </w:r>
      <w:r w:rsidR="008129BD" w:rsidRPr="00676505">
        <w:rPr>
          <w:iCs/>
          <w:color w:val="000000"/>
          <w:w w:val="15"/>
          <w:shd w:val="solid" w:color="000000" w:fill="000000"/>
          <w:fitText w:val="-20" w:id="-1032093424"/>
          <w14:textFill>
            <w14:solidFill>
              <w14:srgbClr w14:val="000000">
                <w14:alpha w14:val="100000"/>
              </w14:srgbClr>
            </w14:solidFill>
          </w14:textFill>
        </w:rPr>
        <w:t>|</w:t>
      </w:r>
      <w:proofErr w:type="gramEnd"/>
      <w:r w:rsidR="008129BD" w:rsidRPr="00676505">
        <w:rPr>
          <w:iCs/>
          <w:color w:val="000000"/>
          <w:w w:val="15"/>
          <w:shd w:val="solid" w:color="000000" w:fill="000000"/>
          <w:fitText w:val="-20" w:id="-1032093424"/>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24"/>
          <w14:textFill>
            <w14:solidFill>
              <w14:srgbClr w14:val="000000">
                <w14:alpha w14:val="100000"/>
              </w14:srgbClr>
            </w14:solidFill>
          </w14:textFill>
        </w:rPr>
        <w:t>|</w:t>
      </w:r>
      <w:r w:rsidR="003C262C" w:rsidRPr="002C3702">
        <w:rPr>
          <w:iCs/>
        </w:rPr>
        <w:t xml:space="preserve">% in Year 1, </w:t>
      </w:r>
      <w:r w:rsidR="008129BD">
        <w:rPr>
          <w:iCs/>
        </w:rPr>
        <w:t xml:space="preserve"> </w:t>
      </w:r>
      <w:r w:rsidR="008129BD" w:rsidRPr="00676505">
        <w:rPr>
          <w:iCs/>
          <w:color w:val="000000"/>
          <w:w w:val="15"/>
          <w:shd w:val="solid" w:color="000000" w:fill="000000"/>
          <w:fitText w:val="-20" w:id="-1032093440"/>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40"/>
          <w14:textFill>
            <w14:solidFill>
              <w14:srgbClr w14:val="000000">
                <w14:alpha w14:val="100000"/>
              </w14:srgbClr>
            </w14:solidFill>
          </w14:textFill>
        </w:rPr>
        <w:t>|</w:t>
      </w:r>
      <w:r w:rsidR="003C262C" w:rsidRPr="002C3702">
        <w:rPr>
          <w:iCs/>
        </w:rPr>
        <w:t xml:space="preserve">% in Year 2 and </w:t>
      </w:r>
      <w:r w:rsidR="008129BD">
        <w:rPr>
          <w:iCs/>
        </w:rPr>
        <w:t xml:space="preserve"> </w:t>
      </w:r>
      <w:r w:rsidR="008129BD" w:rsidRPr="00676505">
        <w:rPr>
          <w:iCs/>
          <w:color w:val="000000"/>
          <w:w w:val="15"/>
          <w:shd w:val="solid" w:color="000000" w:fill="000000"/>
          <w:fitText w:val="-20" w:id="-1032093439"/>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439"/>
          <w14:textFill>
            <w14:solidFill>
              <w14:srgbClr w14:val="000000">
                <w14:alpha w14:val="100000"/>
              </w14:srgbClr>
            </w14:solidFill>
          </w14:textFill>
        </w:rPr>
        <w:t>|</w:t>
      </w:r>
      <w:r w:rsidR="003C262C" w:rsidRPr="002C3702">
        <w:rPr>
          <w:iCs/>
        </w:rPr>
        <w:t xml:space="preserve">% as of Year 3) are also shown in </w:t>
      </w:r>
      <w:r w:rsidR="003C262C" w:rsidRPr="002C3702">
        <w:fldChar w:fldCharType="begin"/>
      </w:r>
      <w:r w:rsidR="003C262C" w:rsidRPr="002C3702">
        <w:instrText xml:space="preserve"> REF _Ref145056493 \h </w:instrText>
      </w:r>
      <w:r w:rsidR="003C262C" w:rsidRPr="002C3702">
        <w:fldChar w:fldCharType="separate"/>
      </w:r>
      <w:r w:rsidR="00676505" w:rsidRPr="002C3702">
        <w:t xml:space="preserve">Table </w:t>
      </w:r>
      <w:r w:rsidR="00676505">
        <w:rPr>
          <w:noProof/>
        </w:rPr>
        <w:t>16</w:t>
      </w:r>
      <w:r w:rsidR="003C262C" w:rsidRPr="002C3702">
        <w:fldChar w:fldCharType="end"/>
      </w:r>
      <w:r w:rsidR="003C262C" w:rsidRPr="002C3702">
        <w:t>.</w:t>
      </w:r>
    </w:p>
    <w:p w14:paraId="454F3AA6" w14:textId="487BE6A1" w:rsidR="00030CC5" w:rsidRPr="002C3702" w:rsidRDefault="00030CC5" w:rsidP="00B81689">
      <w:pPr>
        <w:pStyle w:val="Caption"/>
        <w:rPr>
          <w:rStyle w:val="CommentReference"/>
          <w:b/>
          <w:szCs w:val="24"/>
        </w:rPr>
      </w:pPr>
      <w:bookmarkStart w:id="80" w:name="_Ref142571351"/>
      <w:bookmarkStart w:id="81" w:name="_Ref104805295"/>
      <w:bookmarkStart w:id="82" w:name="_Ref145056493"/>
      <w:r w:rsidRPr="002C3702">
        <w:t xml:space="preserve">Table </w:t>
      </w:r>
      <w:r w:rsidRPr="002C3702">
        <w:fldChar w:fldCharType="begin"/>
      </w:r>
      <w:r w:rsidRPr="002C3702">
        <w:instrText>SEQ Table \* ARABIC</w:instrText>
      </w:r>
      <w:r w:rsidRPr="002C3702">
        <w:fldChar w:fldCharType="separate"/>
      </w:r>
      <w:r w:rsidR="00676505">
        <w:rPr>
          <w:noProof/>
        </w:rPr>
        <w:t>16</w:t>
      </w:r>
      <w:r w:rsidRPr="002C3702">
        <w:fldChar w:fldCharType="end"/>
      </w:r>
      <w:bookmarkEnd w:id="80"/>
      <w:bookmarkEnd w:id="81"/>
      <w:bookmarkEnd w:id="82"/>
      <w:r w:rsidRPr="002C3702">
        <w:t>:</w:t>
      </w:r>
      <w:r w:rsidRPr="002C3702">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134"/>
        <w:gridCol w:w="992"/>
        <w:gridCol w:w="1035"/>
        <w:gridCol w:w="1102"/>
        <w:gridCol w:w="1102"/>
        <w:gridCol w:w="1105"/>
      </w:tblGrid>
      <w:tr w:rsidR="00030CC5" w:rsidRPr="002C3702" w14:paraId="5BB8030B" w14:textId="77777777" w:rsidTr="006E7D62">
        <w:trPr>
          <w:tblHeader/>
        </w:trPr>
        <w:tc>
          <w:tcPr>
            <w:tcW w:w="1412" w:type="pct"/>
            <w:shd w:val="clear" w:color="auto" w:fill="auto"/>
            <w:vAlign w:val="center"/>
          </w:tcPr>
          <w:p w14:paraId="0B89DD62" w14:textId="77777777" w:rsidR="00030CC5" w:rsidRPr="002C3702" w:rsidRDefault="00030CC5" w:rsidP="00B81689">
            <w:pPr>
              <w:pStyle w:val="In-tableHeading"/>
              <w:keepLines/>
              <w:spacing w:line="0" w:lineRule="atLeast"/>
              <w:contextualSpacing/>
              <w:jc w:val="center"/>
              <w:rPr>
                <w:lang w:val="en-AU"/>
              </w:rPr>
            </w:pPr>
          </w:p>
        </w:tc>
        <w:tc>
          <w:tcPr>
            <w:tcW w:w="629" w:type="pct"/>
            <w:shd w:val="clear" w:color="auto" w:fill="auto"/>
            <w:vAlign w:val="center"/>
          </w:tcPr>
          <w:p w14:paraId="42FEB25F"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1</w:t>
            </w:r>
          </w:p>
        </w:tc>
        <w:tc>
          <w:tcPr>
            <w:tcW w:w="550" w:type="pct"/>
            <w:shd w:val="clear" w:color="auto" w:fill="auto"/>
            <w:vAlign w:val="center"/>
          </w:tcPr>
          <w:p w14:paraId="400DC213"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2</w:t>
            </w:r>
          </w:p>
        </w:tc>
        <w:tc>
          <w:tcPr>
            <w:tcW w:w="574" w:type="pct"/>
            <w:shd w:val="clear" w:color="auto" w:fill="auto"/>
            <w:vAlign w:val="center"/>
          </w:tcPr>
          <w:p w14:paraId="6ADB2B64"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3</w:t>
            </w:r>
          </w:p>
        </w:tc>
        <w:tc>
          <w:tcPr>
            <w:tcW w:w="611" w:type="pct"/>
            <w:shd w:val="clear" w:color="auto" w:fill="auto"/>
            <w:vAlign w:val="center"/>
          </w:tcPr>
          <w:p w14:paraId="751C8905"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4</w:t>
            </w:r>
          </w:p>
        </w:tc>
        <w:tc>
          <w:tcPr>
            <w:tcW w:w="611" w:type="pct"/>
            <w:shd w:val="clear" w:color="auto" w:fill="auto"/>
            <w:vAlign w:val="center"/>
          </w:tcPr>
          <w:p w14:paraId="62C18205"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5</w:t>
            </w:r>
          </w:p>
        </w:tc>
        <w:tc>
          <w:tcPr>
            <w:tcW w:w="613" w:type="pct"/>
          </w:tcPr>
          <w:p w14:paraId="34A5E7BD" w14:textId="77777777" w:rsidR="00030CC5" w:rsidRPr="002C3702" w:rsidRDefault="00030CC5" w:rsidP="00B81689">
            <w:pPr>
              <w:pStyle w:val="In-tableHeading"/>
              <w:keepLines/>
              <w:spacing w:line="0" w:lineRule="atLeast"/>
              <w:contextualSpacing/>
              <w:jc w:val="center"/>
              <w:rPr>
                <w:lang w:val="en-AU"/>
              </w:rPr>
            </w:pPr>
            <w:r w:rsidRPr="002C3702">
              <w:rPr>
                <w:lang w:val="en-AU"/>
              </w:rPr>
              <w:t>Year 6</w:t>
            </w:r>
          </w:p>
        </w:tc>
      </w:tr>
      <w:tr w:rsidR="00030CC5" w:rsidRPr="002C3702" w14:paraId="32219439" w14:textId="77777777" w:rsidTr="006E7D62">
        <w:tc>
          <w:tcPr>
            <w:tcW w:w="5000" w:type="pct"/>
            <w:gridSpan w:val="7"/>
            <w:shd w:val="clear" w:color="auto" w:fill="auto"/>
            <w:vAlign w:val="center"/>
          </w:tcPr>
          <w:p w14:paraId="3D599E7A" w14:textId="77777777" w:rsidR="00030CC5" w:rsidRPr="002C3702" w:rsidRDefault="00030CC5" w:rsidP="00B81689">
            <w:pPr>
              <w:pStyle w:val="In-tableHeading"/>
              <w:keepLines/>
              <w:spacing w:line="0" w:lineRule="atLeast"/>
              <w:contextualSpacing/>
              <w:rPr>
                <w:bCs/>
                <w:color w:val="000000"/>
                <w:lang w:val="en-AU"/>
              </w:rPr>
            </w:pPr>
            <w:r w:rsidRPr="002C3702">
              <w:rPr>
                <w:bCs/>
                <w:color w:val="000000"/>
                <w:lang w:val="en-AU"/>
              </w:rPr>
              <w:t>Estimated extent of use</w:t>
            </w:r>
          </w:p>
        </w:tc>
      </w:tr>
      <w:tr w:rsidR="00030CC5" w:rsidRPr="002C3702" w14:paraId="5FB183A9" w14:textId="77777777" w:rsidTr="006E7D62">
        <w:tc>
          <w:tcPr>
            <w:tcW w:w="1412" w:type="pct"/>
            <w:shd w:val="clear" w:color="auto" w:fill="auto"/>
            <w:vAlign w:val="center"/>
          </w:tcPr>
          <w:p w14:paraId="4D4029BF" w14:textId="77777777" w:rsidR="00030CC5" w:rsidRPr="002C3702" w:rsidRDefault="00030CC5" w:rsidP="00B81689">
            <w:pPr>
              <w:pStyle w:val="TableText0"/>
              <w:keepLines/>
              <w:spacing w:line="0" w:lineRule="atLeast"/>
              <w:contextualSpacing/>
              <w:rPr>
                <w:rFonts w:ascii="Times" w:hAnsi="Times"/>
              </w:rPr>
            </w:pPr>
            <w:r w:rsidRPr="002C3702">
              <w:t xml:space="preserve">Number of patients </w:t>
            </w:r>
            <w:proofErr w:type="spellStart"/>
            <w:r w:rsidRPr="002C3702">
              <w:t>treated</w:t>
            </w:r>
            <w:r w:rsidRPr="002C3702">
              <w:rPr>
                <w:vertAlign w:val="superscript"/>
              </w:rPr>
              <w:t>a</w:t>
            </w:r>
            <w:proofErr w:type="spellEnd"/>
          </w:p>
        </w:tc>
        <w:tc>
          <w:tcPr>
            <w:tcW w:w="629" w:type="pct"/>
            <w:shd w:val="clear" w:color="auto" w:fill="auto"/>
            <w:vAlign w:val="center"/>
          </w:tcPr>
          <w:p w14:paraId="318E5277" w14:textId="2A64C462"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15"/>
                <w:shd w:val="solid" w:color="000000" w:fill="000000"/>
                <w:fitText w:val="60" w:id="-1032093438"/>
                <w14:textFill>
                  <w14:solidFill>
                    <w14:srgbClr w14:val="000000">
                      <w14:alpha w14:val="100000"/>
                    </w14:srgbClr>
                  </w14:solidFill>
                </w14:textFill>
              </w:rPr>
              <w:t xml:space="preserve">　</w:t>
            </w:r>
            <w:r w:rsidRPr="008129BD">
              <w:rPr>
                <w:color w:val="000000"/>
                <w:w w:val="15"/>
                <w:shd w:val="solid" w:color="000000" w:fill="000000"/>
                <w:fitText w:val="60" w:id="-1032093438"/>
                <w14:textFill>
                  <w14:solidFill>
                    <w14:srgbClr w14:val="000000">
                      <w14:alpha w14:val="100000"/>
                    </w14:srgbClr>
                  </w14:solidFill>
                </w14:textFill>
              </w:rPr>
              <w:t>|</w:t>
            </w:r>
            <w:r w:rsidRPr="008129BD">
              <w:rPr>
                <w:rFonts w:hint="eastAsia"/>
                <w:color w:val="000000"/>
                <w:spacing w:val="-5"/>
                <w:w w:val="15"/>
                <w:shd w:val="solid" w:color="000000" w:fill="000000"/>
                <w:fitText w:val="60" w:id="-1032093438"/>
                <w14:textFill>
                  <w14:solidFill>
                    <w14:srgbClr w14:val="000000">
                      <w14:alpha w14:val="100000"/>
                    </w14:srgbClr>
                  </w14:solidFill>
                </w14:textFill>
              </w:rPr>
              <w:t xml:space="preserve">　</w:t>
            </w:r>
            <w:r w:rsidR="00B14FE4" w:rsidRPr="00B14FE4">
              <w:rPr>
                <w:vertAlign w:val="superscript"/>
              </w:rPr>
              <w:t>1</w:t>
            </w:r>
          </w:p>
        </w:tc>
        <w:tc>
          <w:tcPr>
            <w:tcW w:w="550" w:type="pct"/>
            <w:shd w:val="clear" w:color="auto" w:fill="auto"/>
            <w:vAlign w:val="center"/>
          </w:tcPr>
          <w:p w14:paraId="3BFE5D0C" w14:textId="673ADCA2"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29"/>
                <w:shd w:val="solid" w:color="000000" w:fill="000000"/>
                <w:fitText w:val="130" w:id="-1032093437"/>
                <w14:textFill>
                  <w14:solidFill>
                    <w14:srgbClr w14:val="000000">
                      <w14:alpha w14:val="100000"/>
                    </w14:srgbClr>
                  </w14:solidFill>
                </w14:textFill>
              </w:rPr>
              <w:t xml:space="preserve">　</w:t>
            </w:r>
            <w:r w:rsidRPr="008129BD">
              <w:rPr>
                <w:color w:val="000000"/>
                <w:w w:val="29"/>
                <w:shd w:val="solid" w:color="000000" w:fill="000000"/>
                <w:fitText w:val="130" w:id="-1032093437"/>
                <w14:textFill>
                  <w14:solidFill>
                    <w14:srgbClr w14:val="000000">
                      <w14:alpha w14:val="100000"/>
                    </w14:srgbClr>
                  </w14:solidFill>
                </w14:textFill>
              </w:rPr>
              <w:t>|</w:t>
            </w:r>
            <w:r w:rsidRPr="008129BD">
              <w:rPr>
                <w:rFonts w:hint="eastAsia"/>
                <w:color w:val="000000"/>
                <w:spacing w:val="2"/>
                <w:w w:val="29"/>
                <w:shd w:val="solid" w:color="000000" w:fill="000000"/>
                <w:fitText w:val="130" w:id="-1032093437"/>
                <w14:textFill>
                  <w14:solidFill>
                    <w14:srgbClr w14:val="000000">
                      <w14:alpha w14:val="100000"/>
                    </w14:srgbClr>
                  </w14:solidFill>
                </w14:textFill>
              </w:rPr>
              <w:t xml:space="preserve">　</w:t>
            </w:r>
            <w:r w:rsidR="00B14FE4" w:rsidRPr="00B14FE4">
              <w:rPr>
                <w:vertAlign w:val="superscript"/>
              </w:rPr>
              <w:t>1</w:t>
            </w:r>
          </w:p>
        </w:tc>
        <w:tc>
          <w:tcPr>
            <w:tcW w:w="574" w:type="pct"/>
            <w:shd w:val="clear" w:color="auto" w:fill="auto"/>
            <w:vAlign w:val="center"/>
          </w:tcPr>
          <w:p w14:paraId="28446995" w14:textId="14C99AB4"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24"/>
                <w:shd w:val="solid" w:color="000000" w:fill="000000"/>
                <w:fitText w:val="110" w:id="-1032093436"/>
                <w14:textFill>
                  <w14:solidFill>
                    <w14:srgbClr w14:val="000000">
                      <w14:alpha w14:val="100000"/>
                    </w14:srgbClr>
                  </w14:solidFill>
                </w14:textFill>
              </w:rPr>
              <w:t xml:space="preserve">　</w:t>
            </w:r>
            <w:r w:rsidRPr="008129BD">
              <w:rPr>
                <w:color w:val="000000"/>
                <w:w w:val="24"/>
                <w:shd w:val="solid" w:color="000000" w:fill="000000"/>
                <w:fitText w:val="110" w:id="-1032093436"/>
                <w14:textFill>
                  <w14:solidFill>
                    <w14:srgbClr w14:val="000000">
                      <w14:alpha w14:val="100000"/>
                    </w14:srgbClr>
                  </w14:solidFill>
                </w14:textFill>
              </w:rPr>
              <w:t>|</w:t>
            </w:r>
            <w:r w:rsidRPr="008129BD">
              <w:rPr>
                <w:rFonts w:hint="eastAsia"/>
                <w:color w:val="000000"/>
                <w:spacing w:val="6"/>
                <w:w w:val="24"/>
                <w:shd w:val="solid" w:color="000000" w:fill="000000"/>
                <w:fitText w:val="110" w:id="-1032093436"/>
                <w14:textFill>
                  <w14:solidFill>
                    <w14:srgbClr w14:val="000000">
                      <w14:alpha w14:val="100000"/>
                    </w14:srgbClr>
                  </w14:solidFill>
                </w14:textFill>
              </w:rPr>
              <w:t xml:space="preserve">　</w:t>
            </w:r>
            <w:r w:rsidR="00B14FE4" w:rsidRPr="00B14FE4">
              <w:rPr>
                <w:vertAlign w:val="superscript"/>
              </w:rPr>
              <w:t>1</w:t>
            </w:r>
          </w:p>
        </w:tc>
        <w:tc>
          <w:tcPr>
            <w:tcW w:w="611" w:type="pct"/>
            <w:shd w:val="clear" w:color="auto" w:fill="auto"/>
            <w:vAlign w:val="center"/>
          </w:tcPr>
          <w:p w14:paraId="639332E6" w14:textId="563A1E4A"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15"/>
                <w:shd w:val="solid" w:color="000000" w:fill="000000"/>
                <w:fitText w:val="70" w:id="-1032093435"/>
                <w14:textFill>
                  <w14:solidFill>
                    <w14:srgbClr w14:val="000000">
                      <w14:alpha w14:val="100000"/>
                    </w14:srgbClr>
                  </w14:solidFill>
                </w14:textFill>
              </w:rPr>
              <w:t xml:space="preserve">　</w:t>
            </w:r>
            <w:r w:rsidRPr="008129BD">
              <w:rPr>
                <w:color w:val="000000"/>
                <w:w w:val="15"/>
                <w:shd w:val="solid" w:color="000000" w:fill="000000"/>
                <w:fitText w:val="70" w:id="-1032093435"/>
                <w14:textFill>
                  <w14:solidFill>
                    <w14:srgbClr w14:val="000000">
                      <w14:alpha w14:val="100000"/>
                    </w14:srgbClr>
                  </w14:solidFill>
                </w14:textFill>
              </w:rPr>
              <w:t>|</w:t>
            </w:r>
            <w:r w:rsidRPr="008129BD">
              <w:rPr>
                <w:rFonts w:hint="eastAsia"/>
                <w:color w:val="000000"/>
                <w:spacing w:val="4"/>
                <w:w w:val="15"/>
                <w:shd w:val="solid" w:color="000000" w:fill="000000"/>
                <w:fitText w:val="70" w:id="-1032093435"/>
                <w14:textFill>
                  <w14:solidFill>
                    <w14:srgbClr w14:val="000000">
                      <w14:alpha w14:val="100000"/>
                    </w14:srgbClr>
                  </w14:solidFill>
                </w14:textFill>
              </w:rPr>
              <w:t xml:space="preserve">　</w:t>
            </w:r>
            <w:r w:rsidR="00B14FE4" w:rsidRPr="00B14FE4">
              <w:rPr>
                <w:vertAlign w:val="superscript"/>
              </w:rPr>
              <w:t>1</w:t>
            </w:r>
          </w:p>
        </w:tc>
        <w:tc>
          <w:tcPr>
            <w:tcW w:w="611" w:type="pct"/>
            <w:shd w:val="clear" w:color="auto" w:fill="auto"/>
            <w:vAlign w:val="center"/>
          </w:tcPr>
          <w:p w14:paraId="21147D1F" w14:textId="04ABC85F"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15"/>
                <w:shd w:val="solid" w:color="000000" w:fill="000000"/>
                <w:fitText w:val="70" w:id="-1032093434"/>
                <w14:textFill>
                  <w14:solidFill>
                    <w14:srgbClr w14:val="000000">
                      <w14:alpha w14:val="100000"/>
                    </w14:srgbClr>
                  </w14:solidFill>
                </w14:textFill>
              </w:rPr>
              <w:t xml:space="preserve">　</w:t>
            </w:r>
            <w:r w:rsidRPr="008129BD">
              <w:rPr>
                <w:color w:val="000000"/>
                <w:w w:val="15"/>
                <w:shd w:val="solid" w:color="000000" w:fill="000000"/>
                <w:fitText w:val="70" w:id="-1032093434"/>
                <w14:textFill>
                  <w14:solidFill>
                    <w14:srgbClr w14:val="000000">
                      <w14:alpha w14:val="100000"/>
                    </w14:srgbClr>
                  </w14:solidFill>
                </w14:textFill>
              </w:rPr>
              <w:t>|</w:t>
            </w:r>
            <w:r w:rsidRPr="008129BD">
              <w:rPr>
                <w:rFonts w:hint="eastAsia"/>
                <w:color w:val="000000"/>
                <w:spacing w:val="4"/>
                <w:w w:val="15"/>
                <w:shd w:val="solid" w:color="000000" w:fill="000000"/>
                <w:fitText w:val="70" w:id="-1032093434"/>
                <w14:textFill>
                  <w14:solidFill>
                    <w14:srgbClr w14:val="000000">
                      <w14:alpha w14:val="100000"/>
                    </w14:srgbClr>
                  </w14:solidFill>
                </w14:textFill>
              </w:rPr>
              <w:t xml:space="preserve">　</w:t>
            </w:r>
            <w:r w:rsidR="00B14FE4" w:rsidRPr="00B14FE4">
              <w:rPr>
                <w:vertAlign w:val="superscript"/>
              </w:rPr>
              <w:t>1</w:t>
            </w:r>
          </w:p>
        </w:tc>
        <w:tc>
          <w:tcPr>
            <w:tcW w:w="613" w:type="pct"/>
            <w:vAlign w:val="center"/>
          </w:tcPr>
          <w:p w14:paraId="2A10C064" w14:textId="7B046507" w:rsidR="00030CC5" w:rsidRPr="00B14FE4" w:rsidRDefault="008129BD" w:rsidP="00B81689">
            <w:pPr>
              <w:pStyle w:val="TableText0"/>
              <w:keepLines/>
              <w:spacing w:line="0" w:lineRule="atLeast"/>
              <w:contextualSpacing/>
              <w:jc w:val="center"/>
              <w:rPr>
                <w:color w:val="000000"/>
                <w:highlight w:val="darkGray"/>
              </w:rPr>
            </w:pPr>
            <w:r>
              <w:t xml:space="preserve"> </w:t>
            </w:r>
            <w:r w:rsidRPr="008129BD">
              <w:rPr>
                <w:rFonts w:hint="eastAsia"/>
                <w:color w:val="000000"/>
                <w:w w:val="18"/>
                <w:shd w:val="solid" w:color="000000" w:fill="000000"/>
                <w:fitText w:val="80" w:id="-1032093433"/>
                <w14:textFill>
                  <w14:solidFill>
                    <w14:srgbClr w14:val="000000">
                      <w14:alpha w14:val="100000"/>
                    </w14:srgbClr>
                  </w14:solidFill>
                </w14:textFill>
              </w:rPr>
              <w:t xml:space="preserve">　</w:t>
            </w:r>
            <w:r w:rsidRPr="008129BD">
              <w:rPr>
                <w:color w:val="000000"/>
                <w:w w:val="18"/>
                <w:shd w:val="solid" w:color="000000" w:fill="000000"/>
                <w:fitText w:val="80" w:id="-1032093433"/>
                <w14:textFill>
                  <w14:solidFill>
                    <w14:srgbClr w14:val="000000">
                      <w14:alpha w14:val="100000"/>
                    </w14:srgbClr>
                  </w14:solidFill>
                </w14:textFill>
              </w:rPr>
              <w:t>|</w:t>
            </w:r>
            <w:r w:rsidRPr="008129BD">
              <w:rPr>
                <w:rFonts w:hint="eastAsia"/>
                <w:color w:val="000000"/>
                <w:w w:val="18"/>
                <w:shd w:val="solid" w:color="000000" w:fill="000000"/>
                <w:fitText w:val="80" w:id="-1032093433"/>
                <w14:textFill>
                  <w14:solidFill>
                    <w14:srgbClr w14:val="000000">
                      <w14:alpha w14:val="100000"/>
                    </w14:srgbClr>
                  </w14:solidFill>
                </w14:textFill>
              </w:rPr>
              <w:t xml:space="preserve">　</w:t>
            </w:r>
            <w:r w:rsidR="00B14FE4" w:rsidRPr="00B14FE4">
              <w:rPr>
                <w:vertAlign w:val="superscript"/>
              </w:rPr>
              <w:t>1</w:t>
            </w:r>
          </w:p>
        </w:tc>
      </w:tr>
      <w:tr w:rsidR="00030CC5" w:rsidRPr="002C3702" w14:paraId="5BBFD0DE" w14:textId="77777777" w:rsidTr="006E7D62">
        <w:tc>
          <w:tcPr>
            <w:tcW w:w="1412" w:type="pct"/>
            <w:shd w:val="clear" w:color="auto" w:fill="auto"/>
            <w:vAlign w:val="center"/>
          </w:tcPr>
          <w:p w14:paraId="3814C13D" w14:textId="77777777" w:rsidR="00030CC5" w:rsidRPr="002C3702" w:rsidRDefault="00030CC5" w:rsidP="00B81689">
            <w:pPr>
              <w:pStyle w:val="TableText0"/>
              <w:keepLines/>
              <w:spacing w:line="0" w:lineRule="atLeast"/>
              <w:contextualSpacing/>
              <w:rPr>
                <w:rFonts w:ascii="Times" w:hAnsi="Times"/>
              </w:rPr>
            </w:pPr>
            <w:r w:rsidRPr="002C3702">
              <w:t>Number of scripts dispensed</w:t>
            </w:r>
            <w:r w:rsidRPr="002C3702">
              <w:rPr>
                <w:vertAlign w:val="superscript"/>
              </w:rPr>
              <w:t>b</w:t>
            </w:r>
          </w:p>
        </w:tc>
        <w:tc>
          <w:tcPr>
            <w:tcW w:w="629" w:type="pct"/>
            <w:shd w:val="clear" w:color="auto" w:fill="auto"/>
            <w:vAlign w:val="center"/>
          </w:tcPr>
          <w:p w14:paraId="0F4608A5" w14:textId="2C074710"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15"/>
                <w:shd w:val="solid" w:color="000000" w:fill="000000"/>
                <w:fitText w:val="60" w:id="-1032093432"/>
                <w14:textFill>
                  <w14:solidFill>
                    <w14:srgbClr w14:val="000000">
                      <w14:alpha w14:val="100000"/>
                    </w14:srgbClr>
                  </w14:solidFill>
                </w14:textFill>
              </w:rPr>
              <w:t xml:space="preserve">　</w:t>
            </w:r>
            <w:r w:rsidRPr="008129BD">
              <w:rPr>
                <w:color w:val="000000"/>
                <w:w w:val="15"/>
                <w:shd w:val="solid" w:color="000000" w:fill="000000"/>
                <w:fitText w:val="60" w:id="-1032093432"/>
                <w14:textFill>
                  <w14:solidFill>
                    <w14:srgbClr w14:val="000000">
                      <w14:alpha w14:val="100000"/>
                    </w14:srgbClr>
                  </w14:solidFill>
                </w14:textFill>
              </w:rPr>
              <w:t>|</w:t>
            </w:r>
            <w:r w:rsidRPr="008129BD">
              <w:rPr>
                <w:rFonts w:hint="eastAsia"/>
                <w:color w:val="000000"/>
                <w:spacing w:val="-5"/>
                <w:w w:val="15"/>
                <w:shd w:val="solid" w:color="000000" w:fill="000000"/>
                <w:fitText w:val="60" w:id="-1032093432"/>
                <w14:textFill>
                  <w14:solidFill>
                    <w14:srgbClr w14:val="000000">
                      <w14:alpha w14:val="100000"/>
                    </w14:srgbClr>
                  </w14:solidFill>
                </w14:textFill>
              </w:rPr>
              <w:t xml:space="preserve">　</w:t>
            </w:r>
            <w:r w:rsidR="00B14FE4">
              <w:rPr>
                <w:vertAlign w:val="superscript"/>
              </w:rPr>
              <w:t>2</w:t>
            </w:r>
          </w:p>
        </w:tc>
        <w:tc>
          <w:tcPr>
            <w:tcW w:w="550" w:type="pct"/>
            <w:shd w:val="clear" w:color="auto" w:fill="auto"/>
            <w:vAlign w:val="center"/>
          </w:tcPr>
          <w:p w14:paraId="0CC6605C" w14:textId="6CCFD7BE"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29"/>
                <w:shd w:val="solid" w:color="000000" w:fill="000000"/>
                <w:fitText w:val="130" w:id="-1032093431"/>
                <w14:textFill>
                  <w14:solidFill>
                    <w14:srgbClr w14:val="000000">
                      <w14:alpha w14:val="100000"/>
                    </w14:srgbClr>
                  </w14:solidFill>
                </w14:textFill>
              </w:rPr>
              <w:t xml:space="preserve">　</w:t>
            </w:r>
            <w:r w:rsidRPr="008129BD">
              <w:rPr>
                <w:color w:val="000000"/>
                <w:w w:val="29"/>
                <w:shd w:val="solid" w:color="000000" w:fill="000000"/>
                <w:fitText w:val="130" w:id="-1032093431"/>
                <w14:textFill>
                  <w14:solidFill>
                    <w14:srgbClr w14:val="000000">
                      <w14:alpha w14:val="100000"/>
                    </w14:srgbClr>
                  </w14:solidFill>
                </w14:textFill>
              </w:rPr>
              <w:t>|</w:t>
            </w:r>
            <w:r w:rsidRPr="008129BD">
              <w:rPr>
                <w:rFonts w:hint="eastAsia"/>
                <w:color w:val="000000"/>
                <w:spacing w:val="2"/>
                <w:w w:val="29"/>
                <w:shd w:val="solid" w:color="000000" w:fill="000000"/>
                <w:fitText w:val="130" w:id="-1032093431"/>
                <w14:textFill>
                  <w14:solidFill>
                    <w14:srgbClr w14:val="000000">
                      <w14:alpha w14:val="100000"/>
                    </w14:srgbClr>
                  </w14:solidFill>
                </w14:textFill>
              </w:rPr>
              <w:t xml:space="preserve">　</w:t>
            </w:r>
            <w:r w:rsidR="00E619B1">
              <w:rPr>
                <w:vertAlign w:val="superscript"/>
              </w:rPr>
              <w:t>6</w:t>
            </w:r>
          </w:p>
        </w:tc>
        <w:tc>
          <w:tcPr>
            <w:tcW w:w="574" w:type="pct"/>
            <w:shd w:val="clear" w:color="auto" w:fill="auto"/>
            <w:vAlign w:val="center"/>
          </w:tcPr>
          <w:p w14:paraId="316B68AA" w14:textId="5A590CC2"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24"/>
                <w:shd w:val="solid" w:color="000000" w:fill="000000"/>
                <w:fitText w:val="110" w:id="-1032093430"/>
                <w14:textFill>
                  <w14:solidFill>
                    <w14:srgbClr w14:val="000000">
                      <w14:alpha w14:val="100000"/>
                    </w14:srgbClr>
                  </w14:solidFill>
                </w14:textFill>
              </w:rPr>
              <w:t xml:space="preserve">　</w:t>
            </w:r>
            <w:r w:rsidRPr="008129BD">
              <w:rPr>
                <w:color w:val="000000"/>
                <w:w w:val="24"/>
                <w:shd w:val="solid" w:color="000000" w:fill="000000"/>
                <w:fitText w:val="110" w:id="-1032093430"/>
                <w14:textFill>
                  <w14:solidFill>
                    <w14:srgbClr w14:val="000000">
                      <w14:alpha w14:val="100000"/>
                    </w14:srgbClr>
                  </w14:solidFill>
                </w14:textFill>
              </w:rPr>
              <w:t>|</w:t>
            </w:r>
            <w:r w:rsidRPr="008129BD">
              <w:rPr>
                <w:rFonts w:hint="eastAsia"/>
                <w:color w:val="000000"/>
                <w:spacing w:val="6"/>
                <w:w w:val="24"/>
                <w:shd w:val="solid" w:color="000000" w:fill="000000"/>
                <w:fitText w:val="110" w:id="-1032093430"/>
                <w14:textFill>
                  <w14:solidFill>
                    <w14:srgbClr w14:val="000000">
                      <w14:alpha w14:val="100000"/>
                    </w14:srgbClr>
                  </w14:solidFill>
                </w14:textFill>
              </w:rPr>
              <w:t xml:space="preserve">　</w:t>
            </w:r>
            <w:r w:rsidR="00E619B1">
              <w:rPr>
                <w:vertAlign w:val="superscript"/>
              </w:rPr>
              <w:t>6</w:t>
            </w:r>
          </w:p>
        </w:tc>
        <w:tc>
          <w:tcPr>
            <w:tcW w:w="611" w:type="pct"/>
            <w:shd w:val="clear" w:color="auto" w:fill="auto"/>
            <w:vAlign w:val="center"/>
          </w:tcPr>
          <w:p w14:paraId="009B00ED" w14:textId="76C584A5"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15"/>
                <w:shd w:val="solid" w:color="000000" w:fill="000000"/>
                <w:fitText w:val="70" w:id="-1032093184"/>
                <w14:textFill>
                  <w14:solidFill>
                    <w14:srgbClr w14:val="000000">
                      <w14:alpha w14:val="100000"/>
                    </w14:srgbClr>
                  </w14:solidFill>
                </w14:textFill>
              </w:rPr>
              <w:t xml:space="preserve">　</w:t>
            </w:r>
            <w:r w:rsidRPr="008129BD">
              <w:rPr>
                <w:color w:val="000000"/>
                <w:w w:val="15"/>
                <w:shd w:val="solid" w:color="000000" w:fill="000000"/>
                <w:fitText w:val="70" w:id="-1032093184"/>
                <w14:textFill>
                  <w14:solidFill>
                    <w14:srgbClr w14:val="000000">
                      <w14:alpha w14:val="100000"/>
                    </w14:srgbClr>
                  </w14:solidFill>
                </w14:textFill>
              </w:rPr>
              <w:t>|</w:t>
            </w:r>
            <w:r w:rsidRPr="008129BD">
              <w:rPr>
                <w:rFonts w:hint="eastAsia"/>
                <w:color w:val="000000"/>
                <w:spacing w:val="4"/>
                <w:w w:val="15"/>
                <w:shd w:val="solid" w:color="000000" w:fill="000000"/>
                <w:fitText w:val="70" w:id="-1032093184"/>
                <w14:textFill>
                  <w14:solidFill>
                    <w14:srgbClr w14:val="000000">
                      <w14:alpha w14:val="100000"/>
                    </w14:srgbClr>
                  </w14:solidFill>
                </w14:textFill>
              </w:rPr>
              <w:t xml:space="preserve">　</w:t>
            </w:r>
            <w:r w:rsidR="00E619B1">
              <w:rPr>
                <w:vertAlign w:val="superscript"/>
              </w:rPr>
              <w:t>6</w:t>
            </w:r>
          </w:p>
        </w:tc>
        <w:tc>
          <w:tcPr>
            <w:tcW w:w="611" w:type="pct"/>
            <w:shd w:val="clear" w:color="auto" w:fill="auto"/>
            <w:vAlign w:val="center"/>
          </w:tcPr>
          <w:p w14:paraId="557F3C4B" w14:textId="5DCAC7BE"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15"/>
                <w:shd w:val="solid" w:color="000000" w:fill="000000"/>
                <w:fitText w:val="70" w:id="-1032093183"/>
                <w14:textFill>
                  <w14:solidFill>
                    <w14:srgbClr w14:val="000000">
                      <w14:alpha w14:val="100000"/>
                    </w14:srgbClr>
                  </w14:solidFill>
                </w14:textFill>
              </w:rPr>
              <w:t xml:space="preserve">　</w:t>
            </w:r>
            <w:r w:rsidRPr="008129BD">
              <w:rPr>
                <w:color w:val="000000"/>
                <w:w w:val="15"/>
                <w:shd w:val="solid" w:color="000000" w:fill="000000"/>
                <w:fitText w:val="70" w:id="-1032093183"/>
                <w14:textFill>
                  <w14:solidFill>
                    <w14:srgbClr w14:val="000000">
                      <w14:alpha w14:val="100000"/>
                    </w14:srgbClr>
                  </w14:solidFill>
                </w14:textFill>
              </w:rPr>
              <w:t>|</w:t>
            </w:r>
            <w:r w:rsidRPr="008129BD">
              <w:rPr>
                <w:rFonts w:hint="eastAsia"/>
                <w:color w:val="000000"/>
                <w:spacing w:val="4"/>
                <w:w w:val="15"/>
                <w:shd w:val="solid" w:color="000000" w:fill="000000"/>
                <w:fitText w:val="70" w:id="-1032093183"/>
                <w14:textFill>
                  <w14:solidFill>
                    <w14:srgbClr w14:val="000000">
                      <w14:alpha w14:val="100000"/>
                    </w14:srgbClr>
                  </w14:solidFill>
                </w14:textFill>
              </w:rPr>
              <w:t xml:space="preserve">　</w:t>
            </w:r>
            <w:r w:rsidR="00E619B1">
              <w:rPr>
                <w:vertAlign w:val="superscript"/>
              </w:rPr>
              <w:t>6</w:t>
            </w:r>
          </w:p>
        </w:tc>
        <w:tc>
          <w:tcPr>
            <w:tcW w:w="613" w:type="pct"/>
            <w:vAlign w:val="center"/>
          </w:tcPr>
          <w:p w14:paraId="0D38EBEE" w14:textId="4DD046B5" w:rsidR="00030CC5" w:rsidRPr="00B14FE4" w:rsidRDefault="008129BD" w:rsidP="00B81689">
            <w:pPr>
              <w:pStyle w:val="TableText0"/>
              <w:keepLines/>
              <w:spacing w:line="0" w:lineRule="atLeast"/>
              <w:contextualSpacing/>
              <w:jc w:val="center"/>
              <w:rPr>
                <w:bCs w:val="0"/>
                <w:color w:val="000000"/>
                <w:highlight w:val="darkGray"/>
              </w:rPr>
            </w:pPr>
            <w:r>
              <w:t xml:space="preserve"> </w:t>
            </w:r>
            <w:r w:rsidRPr="008129BD">
              <w:rPr>
                <w:rFonts w:hint="eastAsia"/>
                <w:color w:val="000000"/>
                <w:w w:val="18"/>
                <w:shd w:val="solid" w:color="000000" w:fill="000000"/>
                <w:fitText w:val="80" w:id="-1032093182"/>
                <w14:textFill>
                  <w14:solidFill>
                    <w14:srgbClr w14:val="000000">
                      <w14:alpha w14:val="100000"/>
                    </w14:srgbClr>
                  </w14:solidFill>
                </w14:textFill>
              </w:rPr>
              <w:t xml:space="preserve">　</w:t>
            </w:r>
            <w:r w:rsidRPr="008129BD">
              <w:rPr>
                <w:color w:val="000000"/>
                <w:w w:val="18"/>
                <w:shd w:val="solid" w:color="000000" w:fill="000000"/>
                <w:fitText w:val="80" w:id="-1032093182"/>
                <w14:textFill>
                  <w14:solidFill>
                    <w14:srgbClr w14:val="000000">
                      <w14:alpha w14:val="100000"/>
                    </w14:srgbClr>
                  </w14:solidFill>
                </w14:textFill>
              </w:rPr>
              <w:t>|</w:t>
            </w:r>
            <w:r w:rsidRPr="008129BD">
              <w:rPr>
                <w:rFonts w:hint="eastAsia"/>
                <w:color w:val="000000"/>
                <w:w w:val="18"/>
                <w:shd w:val="solid" w:color="000000" w:fill="000000"/>
                <w:fitText w:val="80" w:id="-1032093182"/>
                <w14:textFill>
                  <w14:solidFill>
                    <w14:srgbClr w14:val="000000">
                      <w14:alpha w14:val="100000"/>
                    </w14:srgbClr>
                  </w14:solidFill>
                </w14:textFill>
              </w:rPr>
              <w:t xml:space="preserve">　</w:t>
            </w:r>
            <w:r w:rsidR="00E619B1">
              <w:rPr>
                <w:vertAlign w:val="superscript"/>
              </w:rPr>
              <w:t>6</w:t>
            </w:r>
          </w:p>
        </w:tc>
      </w:tr>
      <w:tr w:rsidR="00030CC5" w:rsidRPr="002C3702" w14:paraId="2A171C3B" w14:textId="77777777" w:rsidTr="006E7D62">
        <w:tc>
          <w:tcPr>
            <w:tcW w:w="5000" w:type="pct"/>
            <w:gridSpan w:val="7"/>
            <w:shd w:val="clear" w:color="auto" w:fill="auto"/>
            <w:vAlign w:val="center"/>
          </w:tcPr>
          <w:p w14:paraId="68BCB275" w14:textId="77777777" w:rsidR="00030CC5" w:rsidRPr="002C3702" w:rsidRDefault="00030CC5" w:rsidP="00B81689">
            <w:pPr>
              <w:pStyle w:val="In-tableHeading"/>
              <w:keepLines/>
              <w:spacing w:line="0" w:lineRule="atLeast"/>
              <w:contextualSpacing/>
              <w:rPr>
                <w:lang w:val="en-AU"/>
              </w:rPr>
            </w:pPr>
            <w:r w:rsidRPr="002C3702">
              <w:rPr>
                <w:lang w:val="en-AU"/>
              </w:rPr>
              <w:t>Estimated financial implications of ABE</w:t>
            </w:r>
          </w:p>
        </w:tc>
      </w:tr>
      <w:tr w:rsidR="001E7199" w:rsidRPr="002C3702" w14:paraId="6CCA3A31" w14:textId="77777777" w:rsidTr="006E7D62">
        <w:tc>
          <w:tcPr>
            <w:tcW w:w="1412" w:type="pct"/>
            <w:shd w:val="clear" w:color="auto" w:fill="auto"/>
            <w:vAlign w:val="center"/>
          </w:tcPr>
          <w:p w14:paraId="53A2C239" w14:textId="77777777" w:rsidR="001E7199" w:rsidRPr="002C3702" w:rsidRDefault="001E7199" w:rsidP="00B81689">
            <w:pPr>
              <w:pStyle w:val="TableText0"/>
              <w:keepLines/>
              <w:spacing w:line="0" w:lineRule="atLeast"/>
              <w:contextualSpacing/>
              <w:rPr>
                <w:szCs w:val="20"/>
              </w:rPr>
            </w:pPr>
            <w:r w:rsidRPr="002C3702">
              <w:rPr>
                <w:szCs w:val="20"/>
              </w:rPr>
              <w:t xml:space="preserve">Cost to PBS/RPBS less </w:t>
            </w:r>
          </w:p>
          <w:p w14:paraId="2601E6CA" w14:textId="77777777" w:rsidR="001E7199" w:rsidRPr="002C3702" w:rsidRDefault="001E7199" w:rsidP="00B81689">
            <w:pPr>
              <w:pStyle w:val="TableText0"/>
              <w:keepLines/>
              <w:spacing w:line="0" w:lineRule="atLeast"/>
              <w:contextualSpacing/>
              <w:rPr>
                <w:szCs w:val="20"/>
              </w:rPr>
            </w:pPr>
            <w:r w:rsidRPr="002C3702">
              <w:rPr>
                <w:szCs w:val="20"/>
              </w:rPr>
              <w:t>co-payments</w:t>
            </w:r>
          </w:p>
        </w:tc>
        <w:tc>
          <w:tcPr>
            <w:tcW w:w="629" w:type="pct"/>
            <w:shd w:val="clear" w:color="auto" w:fill="auto"/>
            <w:vAlign w:val="center"/>
          </w:tcPr>
          <w:p w14:paraId="31FFA44E" w14:textId="1F62A267"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81"/>
                <w14:textFill>
                  <w14:solidFill>
                    <w14:srgbClr w14:val="000000">
                      <w14:alpha w14:val="100000"/>
                    </w14:srgbClr>
                  </w14:solidFill>
                </w14:textFill>
              </w:rPr>
              <w:t xml:space="preserve">　</w:t>
            </w:r>
            <w:r w:rsidRPr="008129BD">
              <w:rPr>
                <w:color w:val="000000"/>
                <w:w w:val="15"/>
                <w:shd w:val="solid" w:color="000000" w:fill="000000"/>
                <w:fitText w:val="60" w:id="-1032093181"/>
                <w14:textFill>
                  <w14:solidFill>
                    <w14:srgbClr w14:val="000000">
                      <w14:alpha w14:val="100000"/>
                    </w14:srgbClr>
                  </w14:solidFill>
                </w14:textFill>
              </w:rPr>
              <w:t>|</w:t>
            </w:r>
            <w:r w:rsidRPr="008129BD">
              <w:rPr>
                <w:rFonts w:hint="eastAsia"/>
                <w:color w:val="000000"/>
                <w:spacing w:val="-5"/>
                <w:w w:val="15"/>
                <w:shd w:val="solid" w:color="000000" w:fill="000000"/>
                <w:fitText w:val="60" w:id="-1032093181"/>
                <w14:textFill>
                  <w14:solidFill>
                    <w14:srgbClr w14:val="000000">
                      <w14:alpha w14:val="100000"/>
                    </w14:srgbClr>
                  </w14:solidFill>
                </w14:textFill>
              </w:rPr>
              <w:t xml:space="preserve">　</w:t>
            </w:r>
            <w:r w:rsidR="00B14FE4">
              <w:rPr>
                <w:vertAlign w:val="superscript"/>
              </w:rPr>
              <w:t>3</w:t>
            </w:r>
          </w:p>
        </w:tc>
        <w:tc>
          <w:tcPr>
            <w:tcW w:w="550" w:type="pct"/>
            <w:shd w:val="clear" w:color="auto" w:fill="auto"/>
            <w:vAlign w:val="center"/>
          </w:tcPr>
          <w:p w14:paraId="374F24C5" w14:textId="3F895AE0"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80"/>
                <w14:textFill>
                  <w14:solidFill>
                    <w14:srgbClr w14:val="000000">
                      <w14:alpha w14:val="100000"/>
                    </w14:srgbClr>
                  </w14:solidFill>
                </w14:textFill>
              </w:rPr>
              <w:t xml:space="preserve">　</w:t>
            </w:r>
            <w:r w:rsidRPr="008129BD">
              <w:rPr>
                <w:color w:val="000000"/>
                <w:w w:val="29"/>
                <w:shd w:val="solid" w:color="000000" w:fill="000000"/>
                <w:fitText w:val="130" w:id="-1032093180"/>
                <w14:textFill>
                  <w14:solidFill>
                    <w14:srgbClr w14:val="000000">
                      <w14:alpha w14:val="100000"/>
                    </w14:srgbClr>
                  </w14:solidFill>
                </w14:textFill>
              </w:rPr>
              <w:t>|</w:t>
            </w:r>
            <w:r w:rsidRPr="008129BD">
              <w:rPr>
                <w:rFonts w:hint="eastAsia"/>
                <w:color w:val="000000"/>
                <w:spacing w:val="2"/>
                <w:w w:val="29"/>
                <w:shd w:val="solid" w:color="000000" w:fill="000000"/>
                <w:fitText w:val="130" w:id="-1032093180"/>
                <w14:textFill>
                  <w14:solidFill>
                    <w14:srgbClr w14:val="000000">
                      <w14:alpha w14:val="100000"/>
                    </w14:srgbClr>
                  </w14:solidFill>
                </w14:textFill>
              </w:rPr>
              <w:t xml:space="preserve">　</w:t>
            </w:r>
            <w:r w:rsidR="00E619B1">
              <w:rPr>
                <w:vertAlign w:val="superscript"/>
              </w:rPr>
              <w:t>7</w:t>
            </w:r>
          </w:p>
        </w:tc>
        <w:tc>
          <w:tcPr>
            <w:tcW w:w="574" w:type="pct"/>
            <w:shd w:val="clear" w:color="auto" w:fill="auto"/>
            <w:vAlign w:val="center"/>
          </w:tcPr>
          <w:p w14:paraId="72426AA3" w14:textId="69A19CC7"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9"/>
                <w14:textFill>
                  <w14:solidFill>
                    <w14:srgbClr w14:val="000000">
                      <w14:alpha w14:val="100000"/>
                    </w14:srgbClr>
                  </w14:solidFill>
                </w14:textFill>
              </w:rPr>
              <w:t xml:space="preserve">　</w:t>
            </w:r>
            <w:r w:rsidRPr="008129BD">
              <w:rPr>
                <w:color w:val="000000"/>
                <w:w w:val="24"/>
                <w:shd w:val="solid" w:color="000000" w:fill="000000"/>
                <w:fitText w:val="110" w:id="-1032093179"/>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9"/>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7901DD95" w14:textId="4FE3AEA0"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8"/>
                <w14:textFill>
                  <w14:solidFill>
                    <w14:srgbClr w14:val="000000">
                      <w14:alpha w14:val="100000"/>
                    </w14:srgbClr>
                  </w14:solidFill>
                </w14:textFill>
              </w:rPr>
              <w:t xml:space="preserve">　</w:t>
            </w:r>
            <w:r w:rsidRPr="008129BD">
              <w:rPr>
                <w:color w:val="000000"/>
                <w:w w:val="15"/>
                <w:shd w:val="solid" w:color="000000" w:fill="000000"/>
                <w:fitText w:val="70" w:id="-1032093178"/>
                <w14:textFill>
                  <w14:solidFill>
                    <w14:srgbClr w14:val="000000">
                      <w14:alpha w14:val="100000"/>
                    </w14:srgbClr>
                  </w14:solidFill>
                </w14:textFill>
              </w:rPr>
              <w:t>|</w:t>
            </w:r>
            <w:r w:rsidRPr="008129BD">
              <w:rPr>
                <w:rFonts w:hint="eastAsia"/>
                <w:color w:val="000000"/>
                <w:spacing w:val="4"/>
                <w:w w:val="15"/>
                <w:shd w:val="solid" w:color="000000" w:fill="000000"/>
                <w:fitText w:val="70" w:id="-1032093178"/>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579E8C65" w14:textId="57F7B15A"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7"/>
                <w14:textFill>
                  <w14:solidFill>
                    <w14:srgbClr w14:val="000000">
                      <w14:alpha w14:val="100000"/>
                    </w14:srgbClr>
                  </w14:solidFill>
                </w14:textFill>
              </w:rPr>
              <w:t xml:space="preserve">　</w:t>
            </w:r>
            <w:r w:rsidRPr="008129BD">
              <w:rPr>
                <w:color w:val="000000"/>
                <w:w w:val="15"/>
                <w:shd w:val="solid" w:color="000000" w:fill="000000"/>
                <w:fitText w:val="70" w:id="-1032093177"/>
                <w14:textFill>
                  <w14:solidFill>
                    <w14:srgbClr w14:val="000000">
                      <w14:alpha w14:val="100000"/>
                    </w14:srgbClr>
                  </w14:solidFill>
                </w14:textFill>
              </w:rPr>
              <w:t>|</w:t>
            </w:r>
            <w:r w:rsidRPr="008129BD">
              <w:rPr>
                <w:rFonts w:hint="eastAsia"/>
                <w:color w:val="000000"/>
                <w:spacing w:val="4"/>
                <w:w w:val="15"/>
                <w:shd w:val="solid" w:color="000000" w:fill="000000"/>
                <w:fitText w:val="70" w:id="-1032093177"/>
                <w14:textFill>
                  <w14:solidFill>
                    <w14:srgbClr w14:val="000000">
                      <w14:alpha w14:val="100000"/>
                    </w14:srgbClr>
                  </w14:solidFill>
                </w14:textFill>
              </w:rPr>
              <w:t xml:space="preserve">　</w:t>
            </w:r>
            <w:r w:rsidR="00E619B1">
              <w:rPr>
                <w:vertAlign w:val="superscript"/>
              </w:rPr>
              <w:t>7</w:t>
            </w:r>
          </w:p>
        </w:tc>
        <w:tc>
          <w:tcPr>
            <w:tcW w:w="613" w:type="pct"/>
            <w:vAlign w:val="center"/>
          </w:tcPr>
          <w:p w14:paraId="787CF4DA" w14:textId="48C9B9B8" w:rsidR="001E7199"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76"/>
                <w14:textFill>
                  <w14:solidFill>
                    <w14:srgbClr w14:val="000000">
                      <w14:alpha w14:val="100000"/>
                    </w14:srgbClr>
                  </w14:solidFill>
                </w14:textFill>
              </w:rPr>
              <w:t xml:space="preserve">　</w:t>
            </w:r>
            <w:r w:rsidRPr="008129BD">
              <w:rPr>
                <w:color w:val="000000"/>
                <w:w w:val="18"/>
                <w:shd w:val="solid" w:color="000000" w:fill="000000"/>
                <w:fitText w:val="80" w:id="-1032093176"/>
                <w14:textFill>
                  <w14:solidFill>
                    <w14:srgbClr w14:val="000000">
                      <w14:alpha w14:val="100000"/>
                    </w14:srgbClr>
                  </w14:solidFill>
                </w14:textFill>
              </w:rPr>
              <w:t>|</w:t>
            </w:r>
            <w:r w:rsidRPr="008129BD">
              <w:rPr>
                <w:rFonts w:hint="eastAsia"/>
                <w:color w:val="000000"/>
                <w:w w:val="18"/>
                <w:shd w:val="solid" w:color="000000" w:fill="000000"/>
                <w:fitText w:val="80" w:id="-1032093176"/>
                <w14:textFill>
                  <w14:solidFill>
                    <w14:srgbClr w14:val="000000">
                      <w14:alpha w14:val="100000"/>
                    </w14:srgbClr>
                  </w14:solidFill>
                </w14:textFill>
              </w:rPr>
              <w:t xml:space="preserve">　</w:t>
            </w:r>
            <w:r w:rsidR="00E619B1">
              <w:rPr>
                <w:vertAlign w:val="superscript"/>
              </w:rPr>
              <w:t>7</w:t>
            </w:r>
          </w:p>
        </w:tc>
      </w:tr>
      <w:tr w:rsidR="00030CC5" w:rsidRPr="002C3702" w14:paraId="708E22F9" w14:textId="77777777" w:rsidTr="006E7D62">
        <w:tc>
          <w:tcPr>
            <w:tcW w:w="5000" w:type="pct"/>
            <w:gridSpan w:val="7"/>
            <w:shd w:val="clear" w:color="auto" w:fill="auto"/>
            <w:vAlign w:val="center"/>
          </w:tcPr>
          <w:p w14:paraId="25275254" w14:textId="5062C11F" w:rsidR="00030CC5" w:rsidRPr="002C3702" w:rsidRDefault="00030CC5" w:rsidP="00B81689">
            <w:pPr>
              <w:pStyle w:val="TableText0"/>
              <w:keepLines/>
              <w:spacing w:line="0" w:lineRule="atLeast"/>
              <w:contextualSpacing/>
              <w:rPr>
                <w:b/>
                <w:szCs w:val="20"/>
              </w:rPr>
            </w:pPr>
            <w:r w:rsidRPr="002C3702">
              <w:rPr>
                <w:b/>
                <w:szCs w:val="20"/>
              </w:rPr>
              <w:t>Estimated financial implications for other medicines</w:t>
            </w:r>
          </w:p>
        </w:tc>
      </w:tr>
      <w:tr w:rsidR="00030CC5" w:rsidRPr="002C3702" w14:paraId="4F9AFF3E" w14:textId="77777777" w:rsidTr="006E7D62">
        <w:tc>
          <w:tcPr>
            <w:tcW w:w="1412" w:type="pct"/>
            <w:shd w:val="clear" w:color="auto" w:fill="auto"/>
            <w:vAlign w:val="center"/>
          </w:tcPr>
          <w:p w14:paraId="17E0AF15" w14:textId="77777777" w:rsidR="00030CC5" w:rsidRPr="002C3702" w:rsidRDefault="00030CC5" w:rsidP="00B81689">
            <w:pPr>
              <w:pStyle w:val="TableText0"/>
              <w:keepLines/>
              <w:spacing w:line="0" w:lineRule="atLeast"/>
              <w:contextualSpacing/>
              <w:rPr>
                <w:szCs w:val="20"/>
              </w:rPr>
            </w:pPr>
            <w:r w:rsidRPr="002C3702">
              <w:rPr>
                <w:szCs w:val="20"/>
              </w:rPr>
              <w:t>Cost to PBS/RPBS less co-payments</w:t>
            </w:r>
          </w:p>
        </w:tc>
        <w:tc>
          <w:tcPr>
            <w:tcW w:w="629" w:type="pct"/>
            <w:shd w:val="clear" w:color="auto" w:fill="auto"/>
            <w:vAlign w:val="center"/>
          </w:tcPr>
          <w:p w14:paraId="21A97F97" w14:textId="6BD38C1D"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75"/>
                <w14:textFill>
                  <w14:solidFill>
                    <w14:srgbClr w14:val="000000">
                      <w14:alpha w14:val="100000"/>
                    </w14:srgbClr>
                  </w14:solidFill>
                </w14:textFill>
              </w:rPr>
              <w:t xml:space="preserve">　</w:t>
            </w:r>
            <w:r w:rsidRPr="008129BD">
              <w:rPr>
                <w:color w:val="000000"/>
                <w:w w:val="15"/>
                <w:shd w:val="solid" w:color="000000" w:fill="000000"/>
                <w:fitText w:val="60" w:id="-1032093175"/>
                <w14:textFill>
                  <w14:solidFill>
                    <w14:srgbClr w14:val="000000">
                      <w14:alpha w14:val="100000"/>
                    </w14:srgbClr>
                  </w14:solidFill>
                </w14:textFill>
              </w:rPr>
              <w:t>|</w:t>
            </w:r>
            <w:r w:rsidRPr="008129BD">
              <w:rPr>
                <w:rFonts w:hint="eastAsia"/>
                <w:color w:val="000000"/>
                <w:spacing w:val="-5"/>
                <w:w w:val="15"/>
                <w:shd w:val="solid" w:color="000000" w:fill="000000"/>
                <w:fitText w:val="60" w:id="-1032093175"/>
                <w14:textFill>
                  <w14:solidFill>
                    <w14:srgbClr w14:val="000000">
                      <w14:alpha w14:val="100000"/>
                    </w14:srgbClr>
                  </w14:solidFill>
                </w14:textFill>
              </w:rPr>
              <w:t xml:space="preserve">　</w:t>
            </w:r>
            <w:r w:rsidR="00B14FE4">
              <w:rPr>
                <w:vertAlign w:val="superscript"/>
              </w:rPr>
              <w:t>4</w:t>
            </w:r>
          </w:p>
        </w:tc>
        <w:tc>
          <w:tcPr>
            <w:tcW w:w="550" w:type="pct"/>
            <w:shd w:val="clear" w:color="auto" w:fill="auto"/>
            <w:vAlign w:val="center"/>
          </w:tcPr>
          <w:p w14:paraId="7E9077DA" w14:textId="6893120E"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74"/>
                <w14:textFill>
                  <w14:solidFill>
                    <w14:srgbClr w14:val="000000">
                      <w14:alpha w14:val="100000"/>
                    </w14:srgbClr>
                  </w14:solidFill>
                </w14:textFill>
              </w:rPr>
              <w:t xml:space="preserve">　</w:t>
            </w:r>
            <w:r w:rsidRPr="008129BD">
              <w:rPr>
                <w:color w:val="000000"/>
                <w:w w:val="29"/>
                <w:shd w:val="solid" w:color="000000" w:fill="000000"/>
                <w:fitText w:val="130" w:id="-1032093174"/>
                <w14:textFill>
                  <w14:solidFill>
                    <w14:srgbClr w14:val="000000">
                      <w14:alpha w14:val="100000"/>
                    </w14:srgbClr>
                  </w14:solidFill>
                </w14:textFill>
              </w:rPr>
              <w:t>|</w:t>
            </w:r>
            <w:r w:rsidRPr="008129BD">
              <w:rPr>
                <w:rFonts w:hint="eastAsia"/>
                <w:color w:val="000000"/>
                <w:spacing w:val="2"/>
                <w:w w:val="29"/>
                <w:shd w:val="solid" w:color="000000" w:fill="000000"/>
                <w:fitText w:val="130" w:id="-1032093174"/>
                <w14:textFill>
                  <w14:solidFill>
                    <w14:srgbClr w14:val="000000">
                      <w14:alpha w14:val="100000"/>
                    </w14:srgbClr>
                  </w14:solidFill>
                </w14:textFill>
              </w:rPr>
              <w:t xml:space="preserve">　</w:t>
            </w:r>
            <w:r w:rsidR="00B14FE4">
              <w:rPr>
                <w:vertAlign w:val="superscript"/>
              </w:rPr>
              <w:t>4</w:t>
            </w:r>
          </w:p>
        </w:tc>
        <w:tc>
          <w:tcPr>
            <w:tcW w:w="574" w:type="pct"/>
            <w:shd w:val="clear" w:color="auto" w:fill="auto"/>
            <w:vAlign w:val="center"/>
          </w:tcPr>
          <w:p w14:paraId="0752E8A6" w14:textId="63071D43"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3"/>
                <w14:textFill>
                  <w14:solidFill>
                    <w14:srgbClr w14:val="000000">
                      <w14:alpha w14:val="100000"/>
                    </w14:srgbClr>
                  </w14:solidFill>
                </w14:textFill>
              </w:rPr>
              <w:t xml:space="preserve">　</w:t>
            </w:r>
            <w:r w:rsidRPr="008129BD">
              <w:rPr>
                <w:color w:val="000000"/>
                <w:w w:val="24"/>
                <w:shd w:val="solid" w:color="000000" w:fill="000000"/>
                <w:fitText w:val="110" w:id="-1032093173"/>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3"/>
                <w14:textFill>
                  <w14:solidFill>
                    <w14:srgbClr w14:val="000000">
                      <w14:alpha w14:val="100000"/>
                    </w14:srgbClr>
                  </w14:solidFill>
                </w14:textFill>
              </w:rPr>
              <w:t xml:space="preserve">　</w:t>
            </w:r>
            <w:r w:rsidR="00B14FE4">
              <w:rPr>
                <w:vertAlign w:val="superscript"/>
              </w:rPr>
              <w:t>4</w:t>
            </w:r>
          </w:p>
        </w:tc>
        <w:tc>
          <w:tcPr>
            <w:tcW w:w="611" w:type="pct"/>
            <w:shd w:val="clear" w:color="auto" w:fill="auto"/>
            <w:vAlign w:val="center"/>
          </w:tcPr>
          <w:p w14:paraId="12B3E4ED" w14:textId="65FD9189"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2"/>
                <w14:textFill>
                  <w14:solidFill>
                    <w14:srgbClr w14:val="000000">
                      <w14:alpha w14:val="100000"/>
                    </w14:srgbClr>
                  </w14:solidFill>
                </w14:textFill>
              </w:rPr>
              <w:t xml:space="preserve">　</w:t>
            </w:r>
            <w:r w:rsidRPr="008129BD">
              <w:rPr>
                <w:color w:val="000000"/>
                <w:w w:val="15"/>
                <w:shd w:val="solid" w:color="000000" w:fill="000000"/>
                <w:fitText w:val="70" w:id="-1032093172"/>
                <w14:textFill>
                  <w14:solidFill>
                    <w14:srgbClr w14:val="000000">
                      <w14:alpha w14:val="100000"/>
                    </w14:srgbClr>
                  </w14:solidFill>
                </w14:textFill>
              </w:rPr>
              <w:t>|</w:t>
            </w:r>
            <w:r w:rsidRPr="008129BD">
              <w:rPr>
                <w:rFonts w:hint="eastAsia"/>
                <w:color w:val="000000"/>
                <w:spacing w:val="4"/>
                <w:w w:val="15"/>
                <w:shd w:val="solid" w:color="000000" w:fill="000000"/>
                <w:fitText w:val="70" w:id="-1032093172"/>
                <w14:textFill>
                  <w14:solidFill>
                    <w14:srgbClr w14:val="000000">
                      <w14:alpha w14:val="100000"/>
                    </w14:srgbClr>
                  </w14:solidFill>
                </w14:textFill>
              </w:rPr>
              <w:t xml:space="preserve">　</w:t>
            </w:r>
            <w:r w:rsidR="00B14FE4">
              <w:rPr>
                <w:vertAlign w:val="superscript"/>
              </w:rPr>
              <w:t>4</w:t>
            </w:r>
          </w:p>
        </w:tc>
        <w:tc>
          <w:tcPr>
            <w:tcW w:w="611" w:type="pct"/>
            <w:shd w:val="clear" w:color="auto" w:fill="auto"/>
            <w:vAlign w:val="center"/>
          </w:tcPr>
          <w:p w14:paraId="1A62098E" w14:textId="591A69BF"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1"/>
                <w14:textFill>
                  <w14:solidFill>
                    <w14:srgbClr w14:val="000000">
                      <w14:alpha w14:val="100000"/>
                    </w14:srgbClr>
                  </w14:solidFill>
                </w14:textFill>
              </w:rPr>
              <w:t xml:space="preserve">　</w:t>
            </w:r>
            <w:r w:rsidRPr="008129BD">
              <w:rPr>
                <w:color w:val="000000"/>
                <w:w w:val="15"/>
                <w:shd w:val="solid" w:color="000000" w:fill="000000"/>
                <w:fitText w:val="70" w:id="-1032093171"/>
                <w14:textFill>
                  <w14:solidFill>
                    <w14:srgbClr w14:val="000000">
                      <w14:alpha w14:val="100000"/>
                    </w14:srgbClr>
                  </w14:solidFill>
                </w14:textFill>
              </w:rPr>
              <w:t>|</w:t>
            </w:r>
            <w:r w:rsidRPr="008129BD">
              <w:rPr>
                <w:rFonts w:hint="eastAsia"/>
                <w:color w:val="000000"/>
                <w:spacing w:val="4"/>
                <w:w w:val="15"/>
                <w:shd w:val="solid" w:color="000000" w:fill="000000"/>
                <w:fitText w:val="70" w:id="-1032093171"/>
                <w14:textFill>
                  <w14:solidFill>
                    <w14:srgbClr w14:val="000000">
                      <w14:alpha w14:val="100000"/>
                    </w14:srgbClr>
                  </w14:solidFill>
                </w14:textFill>
              </w:rPr>
              <w:t xml:space="preserve">　</w:t>
            </w:r>
            <w:r w:rsidR="00B14FE4">
              <w:rPr>
                <w:vertAlign w:val="superscript"/>
              </w:rPr>
              <w:t>4</w:t>
            </w:r>
          </w:p>
        </w:tc>
        <w:tc>
          <w:tcPr>
            <w:tcW w:w="613" w:type="pct"/>
            <w:vAlign w:val="center"/>
          </w:tcPr>
          <w:p w14:paraId="3E153B91" w14:textId="5087BC92"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70"/>
                <w14:textFill>
                  <w14:solidFill>
                    <w14:srgbClr w14:val="000000">
                      <w14:alpha w14:val="100000"/>
                    </w14:srgbClr>
                  </w14:solidFill>
                </w14:textFill>
              </w:rPr>
              <w:t xml:space="preserve">　</w:t>
            </w:r>
            <w:r w:rsidRPr="008129BD">
              <w:rPr>
                <w:color w:val="000000"/>
                <w:w w:val="18"/>
                <w:shd w:val="solid" w:color="000000" w:fill="000000"/>
                <w:fitText w:val="80" w:id="-1032093170"/>
                <w14:textFill>
                  <w14:solidFill>
                    <w14:srgbClr w14:val="000000">
                      <w14:alpha w14:val="100000"/>
                    </w14:srgbClr>
                  </w14:solidFill>
                </w14:textFill>
              </w:rPr>
              <w:t>|</w:t>
            </w:r>
            <w:r w:rsidRPr="008129BD">
              <w:rPr>
                <w:rFonts w:hint="eastAsia"/>
                <w:color w:val="000000"/>
                <w:w w:val="18"/>
                <w:shd w:val="solid" w:color="000000" w:fill="000000"/>
                <w:fitText w:val="80" w:id="-1032093170"/>
                <w14:textFill>
                  <w14:solidFill>
                    <w14:srgbClr w14:val="000000">
                      <w14:alpha w14:val="100000"/>
                    </w14:srgbClr>
                  </w14:solidFill>
                </w14:textFill>
              </w:rPr>
              <w:t xml:space="preserve">　</w:t>
            </w:r>
            <w:r w:rsidR="00B14FE4">
              <w:rPr>
                <w:vertAlign w:val="superscript"/>
              </w:rPr>
              <w:t>4</w:t>
            </w:r>
          </w:p>
        </w:tc>
      </w:tr>
      <w:tr w:rsidR="00030CC5" w:rsidRPr="002C3702" w14:paraId="6DF12FBF" w14:textId="77777777" w:rsidTr="006E7D62">
        <w:tc>
          <w:tcPr>
            <w:tcW w:w="5000" w:type="pct"/>
            <w:gridSpan w:val="7"/>
            <w:shd w:val="clear" w:color="auto" w:fill="auto"/>
            <w:vAlign w:val="center"/>
          </w:tcPr>
          <w:p w14:paraId="083ED800" w14:textId="77777777" w:rsidR="00030CC5" w:rsidRPr="002C3702" w:rsidRDefault="00030CC5" w:rsidP="00B81689">
            <w:pPr>
              <w:pStyle w:val="In-tableHeading"/>
              <w:keepLines/>
              <w:spacing w:line="0" w:lineRule="atLeast"/>
              <w:contextualSpacing/>
              <w:rPr>
                <w:szCs w:val="20"/>
                <w:lang w:val="en-AU"/>
              </w:rPr>
            </w:pPr>
            <w:r w:rsidRPr="002C3702">
              <w:rPr>
                <w:szCs w:val="20"/>
                <w:lang w:val="en-AU"/>
              </w:rPr>
              <w:t>Net financial implications</w:t>
            </w:r>
            <w:r w:rsidRPr="002C3702">
              <w:rPr>
                <w:color w:val="4BACC6" w:themeColor="accent5"/>
                <w:szCs w:val="20"/>
                <w:lang w:val="en-AU"/>
              </w:rPr>
              <w:t xml:space="preserve"> </w:t>
            </w:r>
          </w:p>
        </w:tc>
      </w:tr>
      <w:tr w:rsidR="00714EDF" w:rsidRPr="002C3702" w14:paraId="5A93F6C8" w14:textId="77777777" w:rsidTr="006E7D62">
        <w:tc>
          <w:tcPr>
            <w:tcW w:w="1412" w:type="pct"/>
            <w:shd w:val="clear" w:color="auto" w:fill="auto"/>
            <w:vAlign w:val="center"/>
          </w:tcPr>
          <w:p w14:paraId="58C1919F" w14:textId="77777777" w:rsidR="00714EDF" w:rsidRPr="002C3702" w:rsidRDefault="00714EDF" w:rsidP="00B81689">
            <w:pPr>
              <w:pStyle w:val="TableText0"/>
              <w:keepLines/>
              <w:spacing w:line="0" w:lineRule="atLeast"/>
              <w:contextualSpacing/>
              <w:rPr>
                <w:szCs w:val="20"/>
              </w:rPr>
            </w:pPr>
            <w:r w:rsidRPr="002C3702">
              <w:rPr>
                <w:szCs w:val="20"/>
              </w:rPr>
              <w:t>Net cost to PBS/RPBS</w:t>
            </w:r>
          </w:p>
        </w:tc>
        <w:tc>
          <w:tcPr>
            <w:tcW w:w="629" w:type="pct"/>
            <w:shd w:val="clear" w:color="auto" w:fill="auto"/>
            <w:vAlign w:val="center"/>
          </w:tcPr>
          <w:p w14:paraId="14FC5582" w14:textId="24326774"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69"/>
                <w14:textFill>
                  <w14:solidFill>
                    <w14:srgbClr w14:val="000000">
                      <w14:alpha w14:val="100000"/>
                    </w14:srgbClr>
                  </w14:solidFill>
                </w14:textFill>
              </w:rPr>
              <w:t xml:space="preserve">　</w:t>
            </w:r>
            <w:r w:rsidRPr="008129BD">
              <w:rPr>
                <w:color w:val="000000"/>
                <w:w w:val="15"/>
                <w:shd w:val="solid" w:color="000000" w:fill="000000"/>
                <w:fitText w:val="60" w:id="-1032093169"/>
                <w14:textFill>
                  <w14:solidFill>
                    <w14:srgbClr w14:val="000000">
                      <w14:alpha w14:val="100000"/>
                    </w14:srgbClr>
                  </w14:solidFill>
                </w14:textFill>
              </w:rPr>
              <w:t>|</w:t>
            </w:r>
            <w:r w:rsidRPr="008129BD">
              <w:rPr>
                <w:rFonts w:hint="eastAsia"/>
                <w:color w:val="000000"/>
                <w:spacing w:val="-5"/>
                <w:w w:val="15"/>
                <w:shd w:val="solid" w:color="000000" w:fill="000000"/>
                <w:fitText w:val="60" w:id="-1032093169"/>
                <w14:textFill>
                  <w14:solidFill>
                    <w14:srgbClr w14:val="000000">
                      <w14:alpha w14:val="100000"/>
                    </w14:srgbClr>
                  </w14:solidFill>
                </w14:textFill>
              </w:rPr>
              <w:t xml:space="preserve">　</w:t>
            </w:r>
            <w:r w:rsidR="00E619B1">
              <w:rPr>
                <w:vertAlign w:val="superscript"/>
              </w:rPr>
              <w:t>3</w:t>
            </w:r>
          </w:p>
        </w:tc>
        <w:tc>
          <w:tcPr>
            <w:tcW w:w="550" w:type="pct"/>
            <w:shd w:val="clear" w:color="auto" w:fill="auto"/>
            <w:vAlign w:val="center"/>
          </w:tcPr>
          <w:p w14:paraId="2F69206A" w14:textId="0BE5B780"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68"/>
                <w14:textFill>
                  <w14:solidFill>
                    <w14:srgbClr w14:val="000000">
                      <w14:alpha w14:val="100000"/>
                    </w14:srgbClr>
                  </w14:solidFill>
                </w14:textFill>
              </w:rPr>
              <w:t xml:space="preserve">　</w:t>
            </w:r>
            <w:r w:rsidRPr="008129BD">
              <w:rPr>
                <w:color w:val="000000"/>
                <w:w w:val="29"/>
                <w:shd w:val="solid" w:color="000000" w:fill="000000"/>
                <w:fitText w:val="130" w:id="-1032093168"/>
                <w14:textFill>
                  <w14:solidFill>
                    <w14:srgbClr w14:val="000000">
                      <w14:alpha w14:val="100000"/>
                    </w14:srgbClr>
                  </w14:solidFill>
                </w14:textFill>
              </w:rPr>
              <w:t>|</w:t>
            </w:r>
            <w:r w:rsidRPr="008129BD">
              <w:rPr>
                <w:rFonts w:hint="eastAsia"/>
                <w:color w:val="000000"/>
                <w:spacing w:val="2"/>
                <w:w w:val="29"/>
                <w:shd w:val="solid" w:color="000000" w:fill="000000"/>
                <w:fitText w:val="130" w:id="-1032093168"/>
                <w14:textFill>
                  <w14:solidFill>
                    <w14:srgbClr w14:val="000000">
                      <w14:alpha w14:val="100000"/>
                    </w14:srgbClr>
                  </w14:solidFill>
                </w14:textFill>
              </w:rPr>
              <w:t xml:space="preserve">　</w:t>
            </w:r>
            <w:r w:rsidR="00E619B1">
              <w:rPr>
                <w:vertAlign w:val="superscript"/>
              </w:rPr>
              <w:t>7</w:t>
            </w:r>
          </w:p>
        </w:tc>
        <w:tc>
          <w:tcPr>
            <w:tcW w:w="574" w:type="pct"/>
            <w:shd w:val="clear" w:color="auto" w:fill="auto"/>
            <w:vAlign w:val="center"/>
          </w:tcPr>
          <w:p w14:paraId="6F0D4138" w14:textId="5D7ACF78"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84"/>
                <w14:textFill>
                  <w14:solidFill>
                    <w14:srgbClr w14:val="000000">
                      <w14:alpha w14:val="100000"/>
                    </w14:srgbClr>
                  </w14:solidFill>
                </w14:textFill>
              </w:rPr>
              <w:t xml:space="preserve">　</w:t>
            </w:r>
            <w:r w:rsidRPr="008129BD">
              <w:rPr>
                <w:color w:val="000000"/>
                <w:w w:val="24"/>
                <w:shd w:val="solid" w:color="000000" w:fill="000000"/>
                <w:fitText w:val="110" w:id="-1032093184"/>
                <w14:textFill>
                  <w14:solidFill>
                    <w14:srgbClr w14:val="000000">
                      <w14:alpha w14:val="100000"/>
                    </w14:srgbClr>
                  </w14:solidFill>
                </w14:textFill>
              </w:rPr>
              <w:t>|</w:t>
            </w:r>
            <w:r w:rsidRPr="008129BD">
              <w:rPr>
                <w:rFonts w:hint="eastAsia"/>
                <w:color w:val="000000"/>
                <w:spacing w:val="6"/>
                <w:w w:val="24"/>
                <w:shd w:val="solid" w:color="000000" w:fill="000000"/>
                <w:fitText w:val="110" w:id="-1032093184"/>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6A8C02D1" w14:textId="60AA56E5"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83"/>
                <w14:textFill>
                  <w14:solidFill>
                    <w14:srgbClr w14:val="000000">
                      <w14:alpha w14:val="100000"/>
                    </w14:srgbClr>
                  </w14:solidFill>
                </w14:textFill>
              </w:rPr>
              <w:t xml:space="preserve">　</w:t>
            </w:r>
            <w:r w:rsidRPr="008129BD">
              <w:rPr>
                <w:color w:val="000000"/>
                <w:w w:val="15"/>
                <w:shd w:val="solid" w:color="000000" w:fill="000000"/>
                <w:fitText w:val="70" w:id="-1032093183"/>
                <w14:textFill>
                  <w14:solidFill>
                    <w14:srgbClr w14:val="000000">
                      <w14:alpha w14:val="100000"/>
                    </w14:srgbClr>
                  </w14:solidFill>
                </w14:textFill>
              </w:rPr>
              <w:t>|</w:t>
            </w:r>
            <w:r w:rsidRPr="008129BD">
              <w:rPr>
                <w:rFonts w:hint="eastAsia"/>
                <w:color w:val="000000"/>
                <w:spacing w:val="4"/>
                <w:w w:val="15"/>
                <w:shd w:val="solid" w:color="000000" w:fill="000000"/>
                <w:fitText w:val="70" w:id="-1032093183"/>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18550756" w14:textId="2CC2FDA8"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82"/>
                <w14:textFill>
                  <w14:solidFill>
                    <w14:srgbClr w14:val="000000">
                      <w14:alpha w14:val="100000"/>
                    </w14:srgbClr>
                  </w14:solidFill>
                </w14:textFill>
              </w:rPr>
              <w:t xml:space="preserve">　</w:t>
            </w:r>
            <w:r w:rsidRPr="008129BD">
              <w:rPr>
                <w:color w:val="000000"/>
                <w:w w:val="15"/>
                <w:shd w:val="solid" w:color="000000" w:fill="000000"/>
                <w:fitText w:val="70" w:id="-1032093182"/>
                <w14:textFill>
                  <w14:solidFill>
                    <w14:srgbClr w14:val="000000">
                      <w14:alpha w14:val="100000"/>
                    </w14:srgbClr>
                  </w14:solidFill>
                </w14:textFill>
              </w:rPr>
              <w:t>|</w:t>
            </w:r>
            <w:r w:rsidRPr="008129BD">
              <w:rPr>
                <w:rFonts w:hint="eastAsia"/>
                <w:color w:val="000000"/>
                <w:spacing w:val="4"/>
                <w:w w:val="15"/>
                <w:shd w:val="solid" w:color="000000" w:fill="000000"/>
                <w:fitText w:val="70" w:id="-1032093182"/>
                <w14:textFill>
                  <w14:solidFill>
                    <w14:srgbClr w14:val="000000">
                      <w14:alpha w14:val="100000"/>
                    </w14:srgbClr>
                  </w14:solidFill>
                </w14:textFill>
              </w:rPr>
              <w:t xml:space="preserve">　</w:t>
            </w:r>
            <w:r w:rsidR="00E619B1">
              <w:rPr>
                <w:vertAlign w:val="superscript"/>
              </w:rPr>
              <w:t>7</w:t>
            </w:r>
          </w:p>
        </w:tc>
        <w:tc>
          <w:tcPr>
            <w:tcW w:w="613" w:type="pct"/>
            <w:vAlign w:val="center"/>
          </w:tcPr>
          <w:p w14:paraId="110727F1" w14:textId="06BAFBD6"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81"/>
                <w14:textFill>
                  <w14:solidFill>
                    <w14:srgbClr w14:val="000000">
                      <w14:alpha w14:val="100000"/>
                    </w14:srgbClr>
                  </w14:solidFill>
                </w14:textFill>
              </w:rPr>
              <w:t xml:space="preserve">　</w:t>
            </w:r>
            <w:r w:rsidRPr="008129BD">
              <w:rPr>
                <w:color w:val="000000"/>
                <w:w w:val="18"/>
                <w:shd w:val="solid" w:color="000000" w:fill="000000"/>
                <w:fitText w:val="80" w:id="-1032093181"/>
                <w14:textFill>
                  <w14:solidFill>
                    <w14:srgbClr w14:val="000000">
                      <w14:alpha w14:val="100000"/>
                    </w14:srgbClr>
                  </w14:solidFill>
                </w14:textFill>
              </w:rPr>
              <w:t>|</w:t>
            </w:r>
            <w:r w:rsidRPr="008129BD">
              <w:rPr>
                <w:rFonts w:hint="eastAsia"/>
                <w:color w:val="000000"/>
                <w:w w:val="18"/>
                <w:shd w:val="solid" w:color="000000" w:fill="000000"/>
                <w:fitText w:val="80" w:id="-1032093181"/>
                <w14:textFill>
                  <w14:solidFill>
                    <w14:srgbClr w14:val="000000">
                      <w14:alpha w14:val="100000"/>
                    </w14:srgbClr>
                  </w14:solidFill>
                </w14:textFill>
              </w:rPr>
              <w:t xml:space="preserve">　</w:t>
            </w:r>
            <w:r w:rsidR="00E619B1">
              <w:rPr>
                <w:vertAlign w:val="superscript"/>
              </w:rPr>
              <w:t>7</w:t>
            </w:r>
          </w:p>
        </w:tc>
      </w:tr>
      <w:tr w:rsidR="00030CC5" w:rsidRPr="002C3702" w14:paraId="467703C7" w14:textId="77777777" w:rsidTr="006E7D62">
        <w:tc>
          <w:tcPr>
            <w:tcW w:w="1412" w:type="pct"/>
            <w:shd w:val="clear" w:color="auto" w:fill="auto"/>
            <w:vAlign w:val="center"/>
          </w:tcPr>
          <w:p w14:paraId="796F3344" w14:textId="77777777" w:rsidR="00030CC5" w:rsidRPr="002C3702" w:rsidRDefault="00030CC5" w:rsidP="00B81689">
            <w:pPr>
              <w:pStyle w:val="TableText0"/>
              <w:keepLines/>
              <w:spacing w:line="0" w:lineRule="atLeast"/>
              <w:contextualSpacing/>
              <w:rPr>
                <w:rFonts w:ascii="Times" w:hAnsi="Times"/>
                <w:szCs w:val="20"/>
              </w:rPr>
            </w:pPr>
            <w:r w:rsidRPr="002C3702">
              <w:rPr>
                <w:szCs w:val="20"/>
              </w:rPr>
              <w:t>Net cost to MBS</w:t>
            </w:r>
          </w:p>
        </w:tc>
        <w:tc>
          <w:tcPr>
            <w:tcW w:w="629" w:type="pct"/>
            <w:shd w:val="clear" w:color="auto" w:fill="auto"/>
            <w:vAlign w:val="center"/>
          </w:tcPr>
          <w:p w14:paraId="3A0EA506" w14:textId="1948B3F5"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80"/>
                <w14:textFill>
                  <w14:solidFill>
                    <w14:srgbClr w14:val="000000">
                      <w14:alpha w14:val="100000"/>
                    </w14:srgbClr>
                  </w14:solidFill>
                </w14:textFill>
              </w:rPr>
              <w:t xml:space="preserve">　</w:t>
            </w:r>
            <w:r w:rsidRPr="008129BD">
              <w:rPr>
                <w:color w:val="000000"/>
                <w:w w:val="15"/>
                <w:shd w:val="solid" w:color="000000" w:fill="000000"/>
                <w:fitText w:val="60" w:id="-1032093180"/>
                <w14:textFill>
                  <w14:solidFill>
                    <w14:srgbClr w14:val="000000">
                      <w14:alpha w14:val="100000"/>
                    </w14:srgbClr>
                  </w14:solidFill>
                </w14:textFill>
              </w:rPr>
              <w:t>|</w:t>
            </w:r>
            <w:r w:rsidRPr="008129BD">
              <w:rPr>
                <w:rFonts w:hint="eastAsia"/>
                <w:color w:val="000000"/>
                <w:spacing w:val="-5"/>
                <w:w w:val="15"/>
                <w:shd w:val="solid" w:color="000000" w:fill="000000"/>
                <w:fitText w:val="60" w:id="-1032093180"/>
                <w14:textFill>
                  <w14:solidFill>
                    <w14:srgbClr w14:val="000000">
                      <w14:alpha w14:val="100000"/>
                    </w14:srgbClr>
                  </w14:solidFill>
                </w14:textFill>
              </w:rPr>
              <w:t xml:space="preserve">　</w:t>
            </w:r>
            <w:r w:rsidR="00B14FE4">
              <w:rPr>
                <w:vertAlign w:val="superscript"/>
              </w:rPr>
              <w:t>4</w:t>
            </w:r>
          </w:p>
        </w:tc>
        <w:tc>
          <w:tcPr>
            <w:tcW w:w="550" w:type="pct"/>
            <w:shd w:val="clear" w:color="auto" w:fill="auto"/>
            <w:vAlign w:val="center"/>
          </w:tcPr>
          <w:p w14:paraId="5EDDB19E" w14:textId="5A8313F5"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79"/>
                <w14:textFill>
                  <w14:solidFill>
                    <w14:srgbClr w14:val="000000">
                      <w14:alpha w14:val="100000"/>
                    </w14:srgbClr>
                  </w14:solidFill>
                </w14:textFill>
              </w:rPr>
              <w:t xml:space="preserve">　</w:t>
            </w:r>
            <w:r w:rsidRPr="008129BD">
              <w:rPr>
                <w:color w:val="000000"/>
                <w:w w:val="29"/>
                <w:shd w:val="solid" w:color="000000" w:fill="000000"/>
                <w:fitText w:val="130" w:id="-1032093179"/>
                <w14:textFill>
                  <w14:solidFill>
                    <w14:srgbClr w14:val="000000">
                      <w14:alpha w14:val="100000"/>
                    </w14:srgbClr>
                  </w14:solidFill>
                </w14:textFill>
              </w:rPr>
              <w:t>|</w:t>
            </w:r>
            <w:r w:rsidRPr="008129BD">
              <w:rPr>
                <w:rFonts w:hint="eastAsia"/>
                <w:color w:val="000000"/>
                <w:spacing w:val="2"/>
                <w:w w:val="29"/>
                <w:shd w:val="solid" w:color="000000" w:fill="000000"/>
                <w:fitText w:val="130" w:id="-1032093179"/>
                <w14:textFill>
                  <w14:solidFill>
                    <w14:srgbClr w14:val="000000">
                      <w14:alpha w14:val="100000"/>
                    </w14:srgbClr>
                  </w14:solidFill>
                </w14:textFill>
              </w:rPr>
              <w:t xml:space="preserve">　</w:t>
            </w:r>
            <w:r w:rsidR="00B14FE4">
              <w:rPr>
                <w:vertAlign w:val="superscript"/>
              </w:rPr>
              <w:t>4</w:t>
            </w:r>
          </w:p>
        </w:tc>
        <w:tc>
          <w:tcPr>
            <w:tcW w:w="574" w:type="pct"/>
            <w:shd w:val="clear" w:color="auto" w:fill="auto"/>
            <w:vAlign w:val="center"/>
          </w:tcPr>
          <w:p w14:paraId="79F3DD73" w14:textId="559EEB05"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8"/>
                <w14:textFill>
                  <w14:solidFill>
                    <w14:srgbClr w14:val="000000">
                      <w14:alpha w14:val="100000"/>
                    </w14:srgbClr>
                  </w14:solidFill>
                </w14:textFill>
              </w:rPr>
              <w:t xml:space="preserve">　</w:t>
            </w:r>
            <w:r w:rsidRPr="008129BD">
              <w:rPr>
                <w:color w:val="000000"/>
                <w:w w:val="24"/>
                <w:shd w:val="solid" w:color="000000" w:fill="000000"/>
                <w:fitText w:val="110" w:id="-1032093178"/>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8"/>
                <w14:textFill>
                  <w14:solidFill>
                    <w14:srgbClr w14:val="000000">
                      <w14:alpha w14:val="100000"/>
                    </w14:srgbClr>
                  </w14:solidFill>
                </w14:textFill>
              </w:rPr>
              <w:t xml:space="preserve">　</w:t>
            </w:r>
            <w:r w:rsidR="00B14FE4">
              <w:rPr>
                <w:vertAlign w:val="superscript"/>
              </w:rPr>
              <w:t>4</w:t>
            </w:r>
          </w:p>
        </w:tc>
        <w:tc>
          <w:tcPr>
            <w:tcW w:w="611" w:type="pct"/>
            <w:shd w:val="clear" w:color="auto" w:fill="auto"/>
            <w:vAlign w:val="center"/>
          </w:tcPr>
          <w:p w14:paraId="1B8389ED" w14:textId="20FC18BC"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7"/>
                <w14:textFill>
                  <w14:solidFill>
                    <w14:srgbClr w14:val="000000">
                      <w14:alpha w14:val="100000"/>
                    </w14:srgbClr>
                  </w14:solidFill>
                </w14:textFill>
              </w:rPr>
              <w:t xml:space="preserve">　</w:t>
            </w:r>
            <w:r w:rsidRPr="008129BD">
              <w:rPr>
                <w:color w:val="000000"/>
                <w:w w:val="15"/>
                <w:shd w:val="solid" w:color="000000" w:fill="000000"/>
                <w:fitText w:val="70" w:id="-1032093177"/>
                <w14:textFill>
                  <w14:solidFill>
                    <w14:srgbClr w14:val="000000">
                      <w14:alpha w14:val="100000"/>
                    </w14:srgbClr>
                  </w14:solidFill>
                </w14:textFill>
              </w:rPr>
              <w:t>|</w:t>
            </w:r>
            <w:r w:rsidRPr="008129BD">
              <w:rPr>
                <w:rFonts w:hint="eastAsia"/>
                <w:color w:val="000000"/>
                <w:spacing w:val="4"/>
                <w:w w:val="15"/>
                <w:shd w:val="solid" w:color="000000" w:fill="000000"/>
                <w:fitText w:val="70" w:id="-1032093177"/>
                <w14:textFill>
                  <w14:solidFill>
                    <w14:srgbClr w14:val="000000">
                      <w14:alpha w14:val="100000"/>
                    </w14:srgbClr>
                  </w14:solidFill>
                </w14:textFill>
              </w:rPr>
              <w:t xml:space="preserve">　</w:t>
            </w:r>
            <w:r w:rsidR="00B14FE4">
              <w:rPr>
                <w:vertAlign w:val="superscript"/>
              </w:rPr>
              <w:t>4</w:t>
            </w:r>
          </w:p>
        </w:tc>
        <w:tc>
          <w:tcPr>
            <w:tcW w:w="611" w:type="pct"/>
            <w:shd w:val="clear" w:color="auto" w:fill="auto"/>
            <w:vAlign w:val="center"/>
          </w:tcPr>
          <w:p w14:paraId="204F1A66" w14:textId="5ECD15DC"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6"/>
                <w14:textFill>
                  <w14:solidFill>
                    <w14:srgbClr w14:val="000000">
                      <w14:alpha w14:val="100000"/>
                    </w14:srgbClr>
                  </w14:solidFill>
                </w14:textFill>
              </w:rPr>
              <w:t xml:space="preserve">　</w:t>
            </w:r>
            <w:r w:rsidRPr="008129BD">
              <w:rPr>
                <w:color w:val="000000"/>
                <w:w w:val="15"/>
                <w:shd w:val="solid" w:color="000000" w:fill="000000"/>
                <w:fitText w:val="70" w:id="-1032093176"/>
                <w14:textFill>
                  <w14:solidFill>
                    <w14:srgbClr w14:val="000000">
                      <w14:alpha w14:val="100000"/>
                    </w14:srgbClr>
                  </w14:solidFill>
                </w14:textFill>
              </w:rPr>
              <w:t>|</w:t>
            </w:r>
            <w:r w:rsidRPr="008129BD">
              <w:rPr>
                <w:rFonts w:hint="eastAsia"/>
                <w:color w:val="000000"/>
                <w:spacing w:val="4"/>
                <w:w w:val="15"/>
                <w:shd w:val="solid" w:color="000000" w:fill="000000"/>
                <w:fitText w:val="70" w:id="-1032093176"/>
                <w14:textFill>
                  <w14:solidFill>
                    <w14:srgbClr w14:val="000000">
                      <w14:alpha w14:val="100000"/>
                    </w14:srgbClr>
                  </w14:solidFill>
                </w14:textFill>
              </w:rPr>
              <w:t xml:space="preserve">　</w:t>
            </w:r>
            <w:r w:rsidR="00B14FE4">
              <w:rPr>
                <w:vertAlign w:val="superscript"/>
              </w:rPr>
              <w:t>4</w:t>
            </w:r>
          </w:p>
        </w:tc>
        <w:tc>
          <w:tcPr>
            <w:tcW w:w="613" w:type="pct"/>
            <w:vAlign w:val="center"/>
          </w:tcPr>
          <w:p w14:paraId="15B4719B" w14:textId="52FBBE27" w:rsidR="00030CC5"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75"/>
                <w14:textFill>
                  <w14:solidFill>
                    <w14:srgbClr w14:val="000000">
                      <w14:alpha w14:val="100000"/>
                    </w14:srgbClr>
                  </w14:solidFill>
                </w14:textFill>
              </w:rPr>
              <w:t xml:space="preserve">　</w:t>
            </w:r>
            <w:r w:rsidRPr="008129BD">
              <w:rPr>
                <w:color w:val="000000"/>
                <w:w w:val="18"/>
                <w:shd w:val="solid" w:color="000000" w:fill="000000"/>
                <w:fitText w:val="80" w:id="-1032093175"/>
                <w14:textFill>
                  <w14:solidFill>
                    <w14:srgbClr w14:val="000000">
                      <w14:alpha w14:val="100000"/>
                    </w14:srgbClr>
                  </w14:solidFill>
                </w14:textFill>
              </w:rPr>
              <w:t>|</w:t>
            </w:r>
            <w:r w:rsidRPr="008129BD">
              <w:rPr>
                <w:rFonts w:hint="eastAsia"/>
                <w:color w:val="000000"/>
                <w:w w:val="18"/>
                <w:shd w:val="solid" w:color="000000" w:fill="000000"/>
                <w:fitText w:val="80" w:id="-1032093175"/>
                <w14:textFill>
                  <w14:solidFill>
                    <w14:srgbClr w14:val="000000">
                      <w14:alpha w14:val="100000"/>
                    </w14:srgbClr>
                  </w14:solidFill>
                </w14:textFill>
              </w:rPr>
              <w:t xml:space="preserve">　</w:t>
            </w:r>
            <w:r w:rsidR="00B14FE4">
              <w:rPr>
                <w:vertAlign w:val="superscript"/>
              </w:rPr>
              <w:t>4</w:t>
            </w:r>
          </w:p>
        </w:tc>
      </w:tr>
      <w:tr w:rsidR="00714EDF" w:rsidRPr="002C3702" w14:paraId="14E4CC94" w14:textId="77777777" w:rsidTr="006E7D62">
        <w:tc>
          <w:tcPr>
            <w:tcW w:w="1412" w:type="pct"/>
            <w:shd w:val="clear" w:color="auto" w:fill="auto"/>
            <w:vAlign w:val="center"/>
          </w:tcPr>
          <w:p w14:paraId="5ED8B32C" w14:textId="77777777" w:rsidR="00714EDF" w:rsidRPr="002C3702" w:rsidRDefault="00714EDF" w:rsidP="00B81689">
            <w:pPr>
              <w:pStyle w:val="TableText0"/>
              <w:keepLines/>
              <w:spacing w:line="0" w:lineRule="atLeast"/>
              <w:contextualSpacing/>
              <w:rPr>
                <w:szCs w:val="20"/>
              </w:rPr>
            </w:pPr>
            <w:r w:rsidRPr="002C3702">
              <w:rPr>
                <w:szCs w:val="20"/>
              </w:rPr>
              <w:t>Net cost to PBS/RPBS/MBS</w:t>
            </w:r>
          </w:p>
        </w:tc>
        <w:tc>
          <w:tcPr>
            <w:tcW w:w="629" w:type="pct"/>
            <w:shd w:val="clear" w:color="auto" w:fill="auto"/>
            <w:vAlign w:val="center"/>
          </w:tcPr>
          <w:p w14:paraId="3A5E7C92" w14:textId="7A48138F"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74"/>
                <w14:textFill>
                  <w14:solidFill>
                    <w14:srgbClr w14:val="000000">
                      <w14:alpha w14:val="100000"/>
                    </w14:srgbClr>
                  </w14:solidFill>
                </w14:textFill>
              </w:rPr>
              <w:t xml:space="preserve">　</w:t>
            </w:r>
            <w:r w:rsidRPr="008129BD">
              <w:rPr>
                <w:color w:val="000000"/>
                <w:w w:val="15"/>
                <w:shd w:val="solid" w:color="000000" w:fill="000000"/>
                <w:fitText w:val="60" w:id="-1032093174"/>
                <w14:textFill>
                  <w14:solidFill>
                    <w14:srgbClr w14:val="000000">
                      <w14:alpha w14:val="100000"/>
                    </w14:srgbClr>
                  </w14:solidFill>
                </w14:textFill>
              </w:rPr>
              <w:t>|</w:t>
            </w:r>
            <w:r w:rsidRPr="008129BD">
              <w:rPr>
                <w:rFonts w:hint="eastAsia"/>
                <w:color w:val="000000"/>
                <w:spacing w:val="-5"/>
                <w:w w:val="15"/>
                <w:shd w:val="solid" w:color="000000" w:fill="000000"/>
                <w:fitText w:val="60" w:id="-1032093174"/>
                <w14:textFill>
                  <w14:solidFill>
                    <w14:srgbClr w14:val="000000">
                      <w14:alpha w14:val="100000"/>
                    </w14:srgbClr>
                  </w14:solidFill>
                </w14:textFill>
              </w:rPr>
              <w:t xml:space="preserve">　</w:t>
            </w:r>
            <w:r w:rsidR="00E619B1">
              <w:rPr>
                <w:vertAlign w:val="superscript"/>
              </w:rPr>
              <w:t>3</w:t>
            </w:r>
          </w:p>
        </w:tc>
        <w:tc>
          <w:tcPr>
            <w:tcW w:w="550" w:type="pct"/>
            <w:shd w:val="clear" w:color="auto" w:fill="auto"/>
            <w:vAlign w:val="center"/>
          </w:tcPr>
          <w:p w14:paraId="55DDC1DB" w14:textId="7B3A8449"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73"/>
                <w14:textFill>
                  <w14:solidFill>
                    <w14:srgbClr w14:val="000000">
                      <w14:alpha w14:val="100000"/>
                    </w14:srgbClr>
                  </w14:solidFill>
                </w14:textFill>
              </w:rPr>
              <w:t xml:space="preserve">　</w:t>
            </w:r>
            <w:r w:rsidRPr="008129BD">
              <w:rPr>
                <w:color w:val="000000"/>
                <w:w w:val="29"/>
                <w:shd w:val="solid" w:color="000000" w:fill="000000"/>
                <w:fitText w:val="130" w:id="-1032093173"/>
                <w14:textFill>
                  <w14:solidFill>
                    <w14:srgbClr w14:val="000000">
                      <w14:alpha w14:val="100000"/>
                    </w14:srgbClr>
                  </w14:solidFill>
                </w14:textFill>
              </w:rPr>
              <w:t>|</w:t>
            </w:r>
            <w:r w:rsidRPr="008129BD">
              <w:rPr>
                <w:rFonts w:hint="eastAsia"/>
                <w:color w:val="000000"/>
                <w:spacing w:val="2"/>
                <w:w w:val="29"/>
                <w:shd w:val="solid" w:color="000000" w:fill="000000"/>
                <w:fitText w:val="130" w:id="-1032093173"/>
                <w14:textFill>
                  <w14:solidFill>
                    <w14:srgbClr w14:val="000000">
                      <w14:alpha w14:val="100000"/>
                    </w14:srgbClr>
                  </w14:solidFill>
                </w14:textFill>
              </w:rPr>
              <w:t xml:space="preserve">　</w:t>
            </w:r>
            <w:r w:rsidR="00E619B1">
              <w:rPr>
                <w:vertAlign w:val="superscript"/>
              </w:rPr>
              <w:t>7</w:t>
            </w:r>
          </w:p>
        </w:tc>
        <w:tc>
          <w:tcPr>
            <w:tcW w:w="574" w:type="pct"/>
            <w:shd w:val="clear" w:color="auto" w:fill="auto"/>
            <w:vAlign w:val="center"/>
          </w:tcPr>
          <w:p w14:paraId="3762E013" w14:textId="160F1DDD"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2"/>
                <w14:textFill>
                  <w14:solidFill>
                    <w14:srgbClr w14:val="000000">
                      <w14:alpha w14:val="100000"/>
                    </w14:srgbClr>
                  </w14:solidFill>
                </w14:textFill>
              </w:rPr>
              <w:t xml:space="preserve">　</w:t>
            </w:r>
            <w:r w:rsidRPr="008129BD">
              <w:rPr>
                <w:color w:val="000000"/>
                <w:w w:val="24"/>
                <w:shd w:val="solid" w:color="000000" w:fill="000000"/>
                <w:fitText w:val="110" w:id="-1032093172"/>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2"/>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673B19DC" w14:textId="08F71C39"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1"/>
                <w14:textFill>
                  <w14:solidFill>
                    <w14:srgbClr w14:val="000000">
                      <w14:alpha w14:val="100000"/>
                    </w14:srgbClr>
                  </w14:solidFill>
                </w14:textFill>
              </w:rPr>
              <w:t xml:space="preserve">　</w:t>
            </w:r>
            <w:r w:rsidRPr="008129BD">
              <w:rPr>
                <w:color w:val="000000"/>
                <w:w w:val="15"/>
                <w:shd w:val="solid" w:color="000000" w:fill="000000"/>
                <w:fitText w:val="70" w:id="-1032093171"/>
                <w14:textFill>
                  <w14:solidFill>
                    <w14:srgbClr w14:val="000000">
                      <w14:alpha w14:val="100000"/>
                    </w14:srgbClr>
                  </w14:solidFill>
                </w14:textFill>
              </w:rPr>
              <w:t>|</w:t>
            </w:r>
            <w:r w:rsidRPr="008129BD">
              <w:rPr>
                <w:rFonts w:hint="eastAsia"/>
                <w:color w:val="000000"/>
                <w:spacing w:val="4"/>
                <w:w w:val="15"/>
                <w:shd w:val="solid" w:color="000000" w:fill="000000"/>
                <w:fitText w:val="70" w:id="-1032093171"/>
                <w14:textFill>
                  <w14:solidFill>
                    <w14:srgbClr w14:val="000000">
                      <w14:alpha w14:val="100000"/>
                    </w14:srgbClr>
                  </w14:solidFill>
                </w14:textFill>
              </w:rPr>
              <w:t xml:space="preserve">　</w:t>
            </w:r>
            <w:r w:rsidR="00E619B1">
              <w:rPr>
                <w:vertAlign w:val="superscript"/>
              </w:rPr>
              <w:t>7</w:t>
            </w:r>
          </w:p>
        </w:tc>
        <w:tc>
          <w:tcPr>
            <w:tcW w:w="611" w:type="pct"/>
            <w:shd w:val="clear" w:color="auto" w:fill="auto"/>
            <w:vAlign w:val="center"/>
          </w:tcPr>
          <w:p w14:paraId="615BE868" w14:textId="309139CD"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70"/>
                <w14:textFill>
                  <w14:solidFill>
                    <w14:srgbClr w14:val="000000">
                      <w14:alpha w14:val="100000"/>
                    </w14:srgbClr>
                  </w14:solidFill>
                </w14:textFill>
              </w:rPr>
              <w:t xml:space="preserve">　</w:t>
            </w:r>
            <w:r w:rsidRPr="008129BD">
              <w:rPr>
                <w:color w:val="000000"/>
                <w:w w:val="15"/>
                <w:shd w:val="solid" w:color="000000" w:fill="000000"/>
                <w:fitText w:val="70" w:id="-1032093170"/>
                <w14:textFill>
                  <w14:solidFill>
                    <w14:srgbClr w14:val="000000">
                      <w14:alpha w14:val="100000"/>
                    </w14:srgbClr>
                  </w14:solidFill>
                </w14:textFill>
              </w:rPr>
              <w:t>|</w:t>
            </w:r>
            <w:r w:rsidRPr="008129BD">
              <w:rPr>
                <w:rFonts w:hint="eastAsia"/>
                <w:color w:val="000000"/>
                <w:spacing w:val="4"/>
                <w:w w:val="15"/>
                <w:shd w:val="solid" w:color="000000" w:fill="000000"/>
                <w:fitText w:val="70" w:id="-1032093170"/>
                <w14:textFill>
                  <w14:solidFill>
                    <w14:srgbClr w14:val="000000">
                      <w14:alpha w14:val="100000"/>
                    </w14:srgbClr>
                  </w14:solidFill>
                </w14:textFill>
              </w:rPr>
              <w:t xml:space="preserve">　</w:t>
            </w:r>
            <w:r w:rsidR="00E619B1">
              <w:rPr>
                <w:vertAlign w:val="superscript"/>
              </w:rPr>
              <w:t>7</w:t>
            </w:r>
          </w:p>
        </w:tc>
        <w:tc>
          <w:tcPr>
            <w:tcW w:w="613" w:type="pct"/>
            <w:vAlign w:val="center"/>
          </w:tcPr>
          <w:p w14:paraId="1DEFD5AB" w14:textId="72ECC832" w:rsidR="00714EDF"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69"/>
                <w14:textFill>
                  <w14:solidFill>
                    <w14:srgbClr w14:val="000000">
                      <w14:alpha w14:val="100000"/>
                    </w14:srgbClr>
                  </w14:solidFill>
                </w14:textFill>
              </w:rPr>
              <w:t xml:space="preserve">　</w:t>
            </w:r>
            <w:r w:rsidRPr="008129BD">
              <w:rPr>
                <w:color w:val="000000"/>
                <w:w w:val="18"/>
                <w:shd w:val="solid" w:color="000000" w:fill="000000"/>
                <w:fitText w:val="80" w:id="-1032093169"/>
                <w14:textFill>
                  <w14:solidFill>
                    <w14:srgbClr w14:val="000000">
                      <w14:alpha w14:val="100000"/>
                    </w14:srgbClr>
                  </w14:solidFill>
                </w14:textFill>
              </w:rPr>
              <w:t>|</w:t>
            </w:r>
            <w:r w:rsidRPr="008129BD">
              <w:rPr>
                <w:rFonts w:hint="eastAsia"/>
                <w:color w:val="000000"/>
                <w:w w:val="18"/>
                <w:shd w:val="solid" w:color="000000" w:fill="000000"/>
                <w:fitText w:val="80" w:id="-1032093169"/>
                <w14:textFill>
                  <w14:solidFill>
                    <w14:srgbClr w14:val="000000">
                      <w14:alpha w14:val="100000"/>
                    </w14:srgbClr>
                  </w14:solidFill>
                </w14:textFill>
              </w:rPr>
              <w:t xml:space="preserve">　</w:t>
            </w:r>
            <w:r w:rsidR="00E619B1">
              <w:rPr>
                <w:vertAlign w:val="superscript"/>
              </w:rPr>
              <w:t>7</w:t>
            </w:r>
          </w:p>
        </w:tc>
      </w:tr>
      <w:tr w:rsidR="003C262C" w:rsidRPr="002C3702" w14:paraId="30ADF335" w14:textId="77777777" w:rsidTr="003C262C">
        <w:tc>
          <w:tcPr>
            <w:tcW w:w="5000" w:type="pct"/>
            <w:gridSpan w:val="7"/>
            <w:shd w:val="clear" w:color="auto" w:fill="auto"/>
            <w:vAlign w:val="center"/>
          </w:tcPr>
          <w:p w14:paraId="2BDF4D87" w14:textId="1FD42175" w:rsidR="003C262C" w:rsidRPr="002C3702" w:rsidRDefault="003C262C" w:rsidP="00B81689">
            <w:pPr>
              <w:pStyle w:val="TableText0"/>
              <w:keepLines/>
              <w:spacing w:line="0" w:lineRule="atLeast"/>
              <w:contextualSpacing/>
            </w:pPr>
            <w:r w:rsidRPr="002C3702">
              <w:rPr>
                <w:b/>
                <w:bCs w:val="0"/>
                <w:szCs w:val="20"/>
              </w:rPr>
              <w:t>Pre-PBAC response</w:t>
            </w:r>
          </w:p>
        </w:tc>
      </w:tr>
      <w:tr w:rsidR="00A27C00" w:rsidRPr="002C3702" w14:paraId="6B798ACA" w14:textId="77777777" w:rsidTr="006E7D62">
        <w:tc>
          <w:tcPr>
            <w:tcW w:w="1412" w:type="pct"/>
            <w:shd w:val="clear" w:color="auto" w:fill="auto"/>
            <w:vAlign w:val="center"/>
          </w:tcPr>
          <w:p w14:paraId="1C3A75EB" w14:textId="49209409" w:rsidR="00A27C00" w:rsidRPr="002C3702" w:rsidRDefault="00A27C00" w:rsidP="00B81689">
            <w:pPr>
              <w:pStyle w:val="TableText0"/>
              <w:keepLines/>
              <w:spacing w:line="0" w:lineRule="atLeast"/>
              <w:contextualSpacing/>
              <w:rPr>
                <w:szCs w:val="20"/>
              </w:rPr>
            </w:pPr>
            <w:r w:rsidRPr="002C3702">
              <w:rPr>
                <w:szCs w:val="20"/>
              </w:rPr>
              <w:t>Net cost to PBS/RPBS</w:t>
            </w:r>
          </w:p>
        </w:tc>
        <w:tc>
          <w:tcPr>
            <w:tcW w:w="629" w:type="pct"/>
            <w:shd w:val="clear" w:color="auto" w:fill="auto"/>
            <w:vAlign w:val="center"/>
          </w:tcPr>
          <w:p w14:paraId="09CA6C13" w14:textId="480E942E"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68"/>
                <w14:textFill>
                  <w14:solidFill>
                    <w14:srgbClr w14:val="000000">
                      <w14:alpha w14:val="100000"/>
                    </w14:srgbClr>
                  </w14:solidFill>
                </w14:textFill>
              </w:rPr>
              <w:t xml:space="preserve">　</w:t>
            </w:r>
            <w:r w:rsidRPr="008129BD">
              <w:rPr>
                <w:color w:val="000000"/>
                <w:w w:val="15"/>
                <w:shd w:val="solid" w:color="000000" w:fill="000000"/>
                <w:fitText w:val="60" w:id="-1032093168"/>
                <w14:textFill>
                  <w14:solidFill>
                    <w14:srgbClr w14:val="000000">
                      <w14:alpha w14:val="100000"/>
                    </w14:srgbClr>
                  </w14:solidFill>
                </w14:textFill>
              </w:rPr>
              <w:t>|</w:t>
            </w:r>
            <w:r w:rsidRPr="008129BD">
              <w:rPr>
                <w:rFonts w:hint="eastAsia"/>
                <w:color w:val="000000"/>
                <w:spacing w:val="-5"/>
                <w:w w:val="15"/>
                <w:shd w:val="solid" w:color="000000" w:fill="000000"/>
                <w:fitText w:val="60" w:id="-1032093168"/>
                <w14:textFill>
                  <w14:solidFill>
                    <w14:srgbClr w14:val="000000">
                      <w14:alpha w14:val="100000"/>
                    </w14:srgbClr>
                  </w14:solidFill>
                </w14:textFill>
              </w:rPr>
              <w:t xml:space="preserve">　</w:t>
            </w:r>
            <w:r w:rsidR="00E619B1">
              <w:rPr>
                <w:vertAlign w:val="superscript"/>
              </w:rPr>
              <w:t>5</w:t>
            </w:r>
          </w:p>
        </w:tc>
        <w:tc>
          <w:tcPr>
            <w:tcW w:w="550" w:type="pct"/>
            <w:shd w:val="clear" w:color="auto" w:fill="auto"/>
            <w:vAlign w:val="center"/>
          </w:tcPr>
          <w:p w14:paraId="35A0D51E" w14:textId="55A6D207"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84"/>
                <w14:textFill>
                  <w14:solidFill>
                    <w14:srgbClr w14:val="000000">
                      <w14:alpha w14:val="100000"/>
                    </w14:srgbClr>
                  </w14:solidFill>
                </w14:textFill>
              </w:rPr>
              <w:t xml:space="preserve">　</w:t>
            </w:r>
            <w:r w:rsidRPr="008129BD">
              <w:rPr>
                <w:color w:val="000000"/>
                <w:w w:val="29"/>
                <w:shd w:val="solid" w:color="000000" w:fill="000000"/>
                <w:fitText w:val="130" w:id="-1032093184"/>
                <w14:textFill>
                  <w14:solidFill>
                    <w14:srgbClr w14:val="000000">
                      <w14:alpha w14:val="100000"/>
                    </w14:srgbClr>
                  </w14:solidFill>
                </w14:textFill>
              </w:rPr>
              <w:t>|</w:t>
            </w:r>
            <w:r w:rsidRPr="008129BD">
              <w:rPr>
                <w:rFonts w:hint="eastAsia"/>
                <w:color w:val="000000"/>
                <w:spacing w:val="2"/>
                <w:w w:val="29"/>
                <w:shd w:val="solid" w:color="000000" w:fill="000000"/>
                <w:fitText w:val="130" w:id="-1032093184"/>
                <w14:textFill>
                  <w14:solidFill>
                    <w14:srgbClr w14:val="000000">
                      <w14:alpha w14:val="100000"/>
                    </w14:srgbClr>
                  </w14:solidFill>
                </w14:textFill>
              </w:rPr>
              <w:t xml:space="preserve">　</w:t>
            </w:r>
            <w:r w:rsidR="00E619B1">
              <w:rPr>
                <w:vertAlign w:val="superscript"/>
              </w:rPr>
              <w:t>8</w:t>
            </w:r>
          </w:p>
        </w:tc>
        <w:tc>
          <w:tcPr>
            <w:tcW w:w="574" w:type="pct"/>
            <w:shd w:val="clear" w:color="auto" w:fill="auto"/>
            <w:vAlign w:val="center"/>
          </w:tcPr>
          <w:p w14:paraId="761CACEC" w14:textId="456AEE85"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83"/>
                <w14:textFill>
                  <w14:solidFill>
                    <w14:srgbClr w14:val="000000">
                      <w14:alpha w14:val="100000"/>
                    </w14:srgbClr>
                  </w14:solidFill>
                </w14:textFill>
              </w:rPr>
              <w:t xml:space="preserve">　</w:t>
            </w:r>
            <w:r w:rsidRPr="008129BD">
              <w:rPr>
                <w:color w:val="000000"/>
                <w:w w:val="24"/>
                <w:shd w:val="solid" w:color="000000" w:fill="000000"/>
                <w:fitText w:val="110" w:id="-1032093183"/>
                <w14:textFill>
                  <w14:solidFill>
                    <w14:srgbClr w14:val="000000">
                      <w14:alpha w14:val="100000"/>
                    </w14:srgbClr>
                  </w14:solidFill>
                </w14:textFill>
              </w:rPr>
              <w:t>|</w:t>
            </w:r>
            <w:r w:rsidRPr="008129BD">
              <w:rPr>
                <w:rFonts w:hint="eastAsia"/>
                <w:color w:val="000000"/>
                <w:spacing w:val="6"/>
                <w:w w:val="24"/>
                <w:shd w:val="solid" w:color="000000" w:fill="000000"/>
                <w:fitText w:val="110" w:id="-1032093183"/>
                <w14:textFill>
                  <w14:solidFill>
                    <w14:srgbClr w14:val="000000">
                      <w14:alpha w14:val="100000"/>
                    </w14:srgbClr>
                  </w14:solidFill>
                </w14:textFill>
              </w:rPr>
              <w:t xml:space="preserve">　</w:t>
            </w:r>
            <w:r w:rsidR="00E619B1">
              <w:rPr>
                <w:vertAlign w:val="superscript"/>
              </w:rPr>
              <w:t>9</w:t>
            </w:r>
          </w:p>
        </w:tc>
        <w:tc>
          <w:tcPr>
            <w:tcW w:w="611" w:type="pct"/>
            <w:shd w:val="clear" w:color="auto" w:fill="auto"/>
            <w:vAlign w:val="center"/>
          </w:tcPr>
          <w:p w14:paraId="4522CF72" w14:textId="0809E75B"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82"/>
                <w14:textFill>
                  <w14:solidFill>
                    <w14:srgbClr w14:val="000000">
                      <w14:alpha w14:val="100000"/>
                    </w14:srgbClr>
                  </w14:solidFill>
                </w14:textFill>
              </w:rPr>
              <w:t xml:space="preserve">　</w:t>
            </w:r>
            <w:r w:rsidRPr="008129BD">
              <w:rPr>
                <w:color w:val="000000"/>
                <w:w w:val="15"/>
                <w:shd w:val="solid" w:color="000000" w:fill="000000"/>
                <w:fitText w:val="70" w:id="-1032093182"/>
                <w14:textFill>
                  <w14:solidFill>
                    <w14:srgbClr w14:val="000000">
                      <w14:alpha w14:val="100000"/>
                    </w14:srgbClr>
                  </w14:solidFill>
                </w14:textFill>
              </w:rPr>
              <w:t>|</w:t>
            </w:r>
            <w:r w:rsidRPr="008129BD">
              <w:rPr>
                <w:rFonts w:hint="eastAsia"/>
                <w:color w:val="000000"/>
                <w:spacing w:val="4"/>
                <w:w w:val="15"/>
                <w:shd w:val="solid" w:color="000000" w:fill="000000"/>
                <w:fitText w:val="70" w:id="-1032093182"/>
                <w14:textFill>
                  <w14:solidFill>
                    <w14:srgbClr w14:val="000000">
                      <w14:alpha w14:val="100000"/>
                    </w14:srgbClr>
                  </w14:solidFill>
                </w14:textFill>
              </w:rPr>
              <w:t xml:space="preserve">　</w:t>
            </w:r>
            <w:r w:rsidR="00E619B1">
              <w:rPr>
                <w:vertAlign w:val="superscript"/>
              </w:rPr>
              <w:t>9</w:t>
            </w:r>
          </w:p>
        </w:tc>
        <w:tc>
          <w:tcPr>
            <w:tcW w:w="611" w:type="pct"/>
            <w:shd w:val="clear" w:color="auto" w:fill="auto"/>
            <w:vAlign w:val="center"/>
          </w:tcPr>
          <w:p w14:paraId="637D300A" w14:textId="75372837"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70" w:id="-1032093181"/>
                <w14:textFill>
                  <w14:solidFill>
                    <w14:srgbClr w14:val="000000">
                      <w14:alpha w14:val="100000"/>
                    </w14:srgbClr>
                  </w14:solidFill>
                </w14:textFill>
              </w:rPr>
              <w:t xml:space="preserve">　</w:t>
            </w:r>
            <w:r w:rsidRPr="008129BD">
              <w:rPr>
                <w:color w:val="000000"/>
                <w:w w:val="15"/>
                <w:shd w:val="solid" w:color="000000" w:fill="000000"/>
                <w:fitText w:val="70" w:id="-1032093181"/>
                <w14:textFill>
                  <w14:solidFill>
                    <w14:srgbClr w14:val="000000">
                      <w14:alpha w14:val="100000"/>
                    </w14:srgbClr>
                  </w14:solidFill>
                </w14:textFill>
              </w:rPr>
              <w:t>|</w:t>
            </w:r>
            <w:r w:rsidRPr="008129BD">
              <w:rPr>
                <w:rFonts w:hint="eastAsia"/>
                <w:color w:val="000000"/>
                <w:spacing w:val="4"/>
                <w:w w:val="15"/>
                <w:shd w:val="solid" w:color="000000" w:fill="000000"/>
                <w:fitText w:val="70" w:id="-1032093181"/>
                <w14:textFill>
                  <w14:solidFill>
                    <w14:srgbClr w14:val="000000">
                      <w14:alpha w14:val="100000"/>
                    </w14:srgbClr>
                  </w14:solidFill>
                </w14:textFill>
              </w:rPr>
              <w:t xml:space="preserve">　</w:t>
            </w:r>
            <w:r w:rsidR="00E619B1">
              <w:rPr>
                <w:vertAlign w:val="superscript"/>
              </w:rPr>
              <w:t>7</w:t>
            </w:r>
          </w:p>
        </w:tc>
        <w:tc>
          <w:tcPr>
            <w:tcW w:w="613" w:type="pct"/>
            <w:vAlign w:val="center"/>
          </w:tcPr>
          <w:p w14:paraId="54A8D17D" w14:textId="6CD90706" w:rsidR="00A27C00"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8"/>
                <w:shd w:val="solid" w:color="000000" w:fill="000000"/>
                <w:fitText w:val="80" w:id="-1032093180"/>
                <w14:textFill>
                  <w14:solidFill>
                    <w14:srgbClr w14:val="000000">
                      <w14:alpha w14:val="100000"/>
                    </w14:srgbClr>
                  </w14:solidFill>
                </w14:textFill>
              </w:rPr>
              <w:t xml:space="preserve">　</w:t>
            </w:r>
            <w:r w:rsidRPr="008129BD">
              <w:rPr>
                <w:color w:val="000000"/>
                <w:w w:val="18"/>
                <w:shd w:val="solid" w:color="000000" w:fill="000000"/>
                <w:fitText w:val="80" w:id="-1032093180"/>
                <w14:textFill>
                  <w14:solidFill>
                    <w14:srgbClr w14:val="000000">
                      <w14:alpha w14:val="100000"/>
                    </w14:srgbClr>
                  </w14:solidFill>
                </w14:textFill>
              </w:rPr>
              <w:t>|</w:t>
            </w:r>
            <w:r w:rsidRPr="008129BD">
              <w:rPr>
                <w:rFonts w:hint="eastAsia"/>
                <w:color w:val="000000"/>
                <w:w w:val="18"/>
                <w:shd w:val="solid" w:color="000000" w:fill="000000"/>
                <w:fitText w:val="80" w:id="-1032093180"/>
                <w14:textFill>
                  <w14:solidFill>
                    <w14:srgbClr w14:val="000000">
                      <w14:alpha w14:val="100000"/>
                    </w14:srgbClr>
                  </w14:solidFill>
                </w14:textFill>
              </w:rPr>
              <w:t xml:space="preserve">　</w:t>
            </w:r>
            <w:r w:rsidR="00E619B1">
              <w:rPr>
                <w:vertAlign w:val="superscript"/>
              </w:rPr>
              <w:t>7</w:t>
            </w:r>
          </w:p>
        </w:tc>
      </w:tr>
      <w:tr w:rsidR="003C262C" w:rsidRPr="002C3702" w14:paraId="29E6AB04" w14:textId="77777777" w:rsidTr="006E7D62">
        <w:tc>
          <w:tcPr>
            <w:tcW w:w="5000" w:type="pct"/>
            <w:gridSpan w:val="7"/>
            <w:shd w:val="clear" w:color="auto" w:fill="B8CCE4" w:themeFill="accent1" w:themeFillTint="66"/>
            <w:vAlign w:val="center"/>
          </w:tcPr>
          <w:p w14:paraId="2888F9DF" w14:textId="77777777" w:rsidR="003C262C" w:rsidRPr="002C3702" w:rsidRDefault="003C262C" w:rsidP="00B81689">
            <w:pPr>
              <w:pStyle w:val="In-tableHeading"/>
              <w:keepLines/>
              <w:spacing w:line="0" w:lineRule="atLeast"/>
              <w:contextualSpacing/>
              <w:rPr>
                <w:szCs w:val="20"/>
                <w:lang w:val="en-AU"/>
              </w:rPr>
            </w:pPr>
            <w:r w:rsidRPr="002C3702">
              <w:rPr>
                <w:szCs w:val="20"/>
                <w:lang w:val="en-AU"/>
              </w:rPr>
              <w:t>March 2023 resubmission</w:t>
            </w:r>
          </w:p>
        </w:tc>
      </w:tr>
      <w:tr w:rsidR="003C262C" w:rsidRPr="002C3702" w14:paraId="1FE5DA8F" w14:textId="77777777" w:rsidTr="006E7D62">
        <w:tc>
          <w:tcPr>
            <w:tcW w:w="1412" w:type="pct"/>
            <w:shd w:val="clear" w:color="auto" w:fill="B8CCE4" w:themeFill="accent1" w:themeFillTint="66"/>
            <w:vAlign w:val="center"/>
          </w:tcPr>
          <w:p w14:paraId="113B8B7A" w14:textId="77777777" w:rsidR="003C262C" w:rsidRPr="002C3702" w:rsidRDefault="003C262C" w:rsidP="00B81689">
            <w:pPr>
              <w:pStyle w:val="TableText0"/>
              <w:keepLines/>
              <w:spacing w:line="0" w:lineRule="atLeast"/>
              <w:contextualSpacing/>
              <w:rPr>
                <w:szCs w:val="20"/>
              </w:rPr>
            </w:pPr>
            <w:r w:rsidRPr="002C3702">
              <w:rPr>
                <w:szCs w:val="20"/>
              </w:rPr>
              <w:t>Net cost to PBS/RPBS</w:t>
            </w:r>
          </w:p>
        </w:tc>
        <w:tc>
          <w:tcPr>
            <w:tcW w:w="629" w:type="pct"/>
            <w:shd w:val="clear" w:color="auto" w:fill="B8CCE4" w:themeFill="accent1" w:themeFillTint="66"/>
          </w:tcPr>
          <w:p w14:paraId="346284B0" w14:textId="3B23990E"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15"/>
                <w:shd w:val="solid" w:color="000000" w:fill="000000"/>
                <w:fitText w:val="60" w:id="-1032093179"/>
                <w14:textFill>
                  <w14:solidFill>
                    <w14:srgbClr w14:val="000000">
                      <w14:alpha w14:val="100000"/>
                    </w14:srgbClr>
                  </w14:solidFill>
                </w14:textFill>
              </w:rPr>
              <w:t xml:space="preserve">　</w:t>
            </w:r>
            <w:r w:rsidRPr="008129BD">
              <w:rPr>
                <w:color w:val="000000"/>
                <w:w w:val="15"/>
                <w:shd w:val="solid" w:color="000000" w:fill="000000"/>
                <w:fitText w:val="60" w:id="-1032093179"/>
                <w14:textFill>
                  <w14:solidFill>
                    <w14:srgbClr w14:val="000000">
                      <w14:alpha w14:val="100000"/>
                    </w14:srgbClr>
                  </w14:solidFill>
                </w14:textFill>
              </w:rPr>
              <w:t>|</w:t>
            </w:r>
            <w:r w:rsidRPr="008129BD">
              <w:rPr>
                <w:rFonts w:hint="eastAsia"/>
                <w:color w:val="000000"/>
                <w:spacing w:val="-5"/>
                <w:w w:val="15"/>
                <w:shd w:val="solid" w:color="000000" w:fill="000000"/>
                <w:fitText w:val="60" w:id="-1032093179"/>
                <w14:textFill>
                  <w14:solidFill>
                    <w14:srgbClr w14:val="000000">
                      <w14:alpha w14:val="100000"/>
                    </w14:srgbClr>
                  </w14:solidFill>
                </w14:textFill>
              </w:rPr>
              <w:t xml:space="preserve">　</w:t>
            </w:r>
            <w:r w:rsidR="00E619B1">
              <w:rPr>
                <w:vertAlign w:val="superscript"/>
              </w:rPr>
              <w:t>3</w:t>
            </w:r>
          </w:p>
        </w:tc>
        <w:tc>
          <w:tcPr>
            <w:tcW w:w="550" w:type="pct"/>
            <w:shd w:val="clear" w:color="auto" w:fill="B8CCE4" w:themeFill="accent1" w:themeFillTint="66"/>
          </w:tcPr>
          <w:p w14:paraId="428924B6" w14:textId="06E30D9F"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9"/>
                <w:shd w:val="solid" w:color="000000" w:fill="000000"/>
                <w:fitText w:val="130" w:id="-1032093178"/>
                <w14:textFill>
                  <w14:solidFill>
                    <w14:srgbClr w14:val="000000">
                      <w14:alpha w14:val="100000"/>
                    </w14:srgbClr>
                  </w14:solidFill>
                </w14:textFill>
              </w:rPr>
              <w:t xml:space="preserve">　</w:t>
            </w:r>
            <w:r w:rsidRPr="008129BD">
              <w:rPr>
                <w:color w:val="000000"/>
                <w:w w:val="29"/>
                <w:shd w:val="solid" w:color="000000" w:fill="000000"/>
                <w:fitText w:val="130" w:id="-1032093178"/>
                <w14:textFill>
                  <w14:solidFill>
                    <w14:srgbClr w14:val="000000">
                      <w14:alpha w14:val="100000"/>
                    </w14:srgbClr>
                  </w14:solidFill>
                </w14:textFill>
              </w:rPr>
              <w:t>|</w:t>
            </w:r>
            <w:r w:rsidRPr="008129BD">
              <w:rPr>
                <w:rFonts w:hint="eastAsia"/>
                <w:color w:val="000000"/>
                <w:spacing w:val="2"/>
                <w:w w:val="29"/>
                <w:shd w:val="solid" w:color="000000" w:fill="000000"/>
                <w:fitText w:val="130" w:id="-1032093178"/>
                <w14:textFill>
                  <w14:solidFill>
                    <w14:srgbClr w14:val="000000">
                      <w14:alpha w14:val="100000"/>
                    </w14:srgbClr>
                  </w14:solidFill>
                </w14:textFill>
              </w:rPr>
              <w:t xml:space="preserve">　</w:t>
            </w:r>
            <w:r w:rsidR="00E619B1">
              <w:rPr>
                <w:vertAlign w:val="superscript"/>
              </w:rPr>
              <w:t>7</w:t>
            </w:r>
          </w:p>
        </w:tc>
        <w:tc>
          <w:tcPr>
            <w:tcW w:w="574" w:type="pct"/>
            <w:shd w:val="clear" w:color="auto" w:fill="B8CCE4" w:themeFill="accent1" w:themeFillTint="66"/>
          </w:tcPr>
          <w:p w14:paraId="22522C9E" w14:textId="213CA607"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31"/>
                <w:shd w:val="solid" w:color="000000" w:fill="000000"/>
                <w:fitText w:val="140" w:id="-1032093177"/>
                <w14:textFill>
                  <w14:solidFill>
                    <w14:srgbClr w14:val="000000">
                      <w14:alpha w14:val="100000"/>
                    </w14:srgbClr>
                  </w14:solidFill>
                </w14:textFill>
              </w:rPr>
              <w:t xml:space="preserve">　</w:t>
            </w:r>
            <w:r w:rsidRPr="008129BD">
              <w:rPr>
                <w:color w:val="000000"/>
                <w:w w:val="31"/>
                <w:shd w:val="solid" w:color="000000" w:fill="000000"/>
                <w:fitText w:val="140" w:id="-1032093177"/>
                <w14:textFill>
                  <w14:solidFill>
                    <w14:srgbClr w14:val="000000">
                      <w14:alpha w14:val="100000"/>
                    </w14:srgbClr>
                  </w14:solidFill>
                </w14:textFill>
              </w:rPr>
              <w:t>|</w:t>
            </w:r>
            <w:r w:rsidRPr="008129BD">
              <w:rPr>
                <w:rFonts w:hint="eastAsia"/>
                <w:color w:val="000000"/>
                <w:spacing w:val="4"/>
                <w:w w:val="31"/>
                <w:shd w:val="solid" w:color="000000" w:fill="000000"/>
                <w:fitText w:val="140" w:id="-1032093177"/>
                <w14:textFill>
                  <w14:solidFill>
                    <w14:srgbClr w14:val="000000">
                      <w14:alpha w14:val="100000"/>
                    </w14:srgbClr>
                  </w14:solidFill>
                </w14:textFill>
              </w:rPr>
              <w:t xml:space="preserve">　</w:t>
            </w:r>
            <w:r w:rsidR="00E619B1">
              <w:rPr>
                <w:vertAlign w:val="superscript"/>
              </w:rPr>
              <w:t>10</w:t>
            </w:r>
          </w:p>
        </w:tc>
        <w:tc>
          <w:tcPr>
            <w:tcW w:w="611" w:type="pct"/>
            <w:shd w:val="clear" w:color="auto" w:fill="B8CCE4" w:themeFill="accent1" w:themeFillTint="66"/>
          </w:tcPr>
          <w:p w14:paraId="45865C5A" w14:textId="668CD576"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6"/>
                <w14:textFill>
                  <w14:solidFill>
                    <w14:srgbClr w14:val="000000">
                      <w14:alpha w14:val="100000"/>
                    </w14:srgbClr>
                  </w14:solidFill>
                </w14:textFill>
              </w:rPr>
              <w:t xml:space="preserve">　</w:t>
            </w:r>
            <w:r w:rsidRPr="008129BD">
              <w:rPr>
                <w:color w:val="000000"/>
                <w:w w:val="24"/>
                <w:shd w:val="solid" w:color="000000" w:fill="000000"/>
                <w:fitText w:val="110" w:id="-1032093176"/>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6"/>
                <w14:textFill>
                  <w14:solidFill>
                    <w14:srgbClr w14:val="000000">
                      <w14:alpha w14:val="100000"/>
                    </w14:srgbClr>
                  </w14:solidFill>
                </w14:textFill>
              </w:rPr>
              <w:t xml:space="preserve">　</w:t>
            </w:r>
            <w:r w:rsidR="00E619B1">
              <w:rPr>
                <w:vertAlign w:val="superscript"/>
              </w:rPr>
              <w:t>11</w:t>
            </w:r>
          </w:p>
        </w:tc>
        <w:tc>
          <w:tcPr>
            <w:tcW w:w="611" w:type="pct"/>
            <w:shd w:val="clear" w:color="auto" w:fill="B8CCE4" w:themeFill="accent1" w:themeFillTint="66"/>
          </w:tcPr>
          <w:p w14:paraId="4E91AFF4" w14:textId="785E57FE"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5"/>
                <w14:textFill>
                  <w14:solidFill>
                    <w14:srgbClr w14:val="000000">
                      <w14:alpha w14:val="100000"/>
                    </w14:srgbClr>
                  </w14:solidFill>
                </w14:textFill>
              </w:rPr>
              <w:t xml:space="preserve">　</w:t>
            </w:r>
            <w:r w:rsidRPr="008129BD">
              <w:rPr>
                <w:color w:val="000000"/>
                <w:w w:val="24"/>
                <w:shd w:val="solid" w:color="000000" w:fill="000000"/>
                <w:fitText w:val="110" w:id="-1032093175"/>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5"/>
                <w14:textFill>
                  <w14:solidFill>
                    <w14:srgbClr w14:val="000000">
                      <w14:alpha w14:val="100000"/>
                    </w14:srgbClr>
                  </w14:solidFill>
                </w14:textFill>
              </w:rPr>
              <w:t xml:space="preserve">　</w:t>
            </w:r>
            <w:r w:rsidR="00E619B1">
              <w:rPr>
                <w:vertAlign w:val="superscript"/>
              </w:rPr>
              <w:t>11</w:t>
            </w:r>
          </w:p>
        </w:tc>
        <w:tc>
          <w:tcPr>
            <w:tcW w:w="613" w:type="pct"/>
            <w:shd w:val="clear" w:color="auto" w:fill="B8CCE4" w:themeFill="accent1" w:themeFillTint="66"/>
          </w:tcPr>
          <w:p w14:paraId="4617F384" w14:textId="2C1463F9" w:rsidR="003C262C" w:rsidRPr="00B14FE4" w:rsidRDefault="008129BD" w:rsidP="00B81689">
            <w:pPr>
              <w:pStyle w:val="TableText0"/>
              <w:keepLines/>
              <w:spacing w:line="0" w:lineRule="atLeast"/>
              <w:contextualSpacing/>
              <w:jc w:val="center"/>
              <w:rPr>
                <w:highlight w:val="darkGray"/>
              </w:rPr>
            </w:pPr>
            <w:r>
              <w:t xml:space="preserve"> </w:t>
            </w:r>
            <w:r w:rsidRPr="008129BD">
              <w:rPr>
                <w:rFonts w:hint="eastAsia"/>
                <w:color w:val="000000"/>
                <w:w w:val="24"/>
                <w:shd w:val="solid" w:color="000000" w:fill="000000"/>
                <w:fitText w:val="110" w:id="-1032093174"/>
                <w14:textFill>
                  <w14:solidFill>
                    <w14:srgbClr w14:val="000000">
                      <w14:alpha w14:val="100000"/>
                    </w14:srgbClr>
                  </w14:solidFill>
                </w14:textFill>
              </w:rPr>
              <w:t xml:space="preserve">　</w:t>
            </w:r>
            <w:r w:rsidRPr="008129BD">
              <w:rPr>
                <w:color w:val="000000"/>
                <w:w w:val="24"/>
                <w:shd w:val="solid" w:color="000000" w:fill="000000"/>
                <w:fitText w:val="110" w:id="-1032093174"/>
                <w14:textFill>
                  <w14:solidFill>
                    <w14:srgbClr w14:val="000000">
                      <w14:alpha w14:val="100000"/>
                    </w14:srgbClr>
                  </w14:solidFill>
                </w14:textFill>
              </w:rPr>
              <w:t>|</w:t>
            </w:r>
            <w:r w:rsidRPr="008129BD">
              <w:rPr>
                <w:rFonts w:hint="eastAsia"/>
                <w:color w:val="000000"/>
                <w:spacing w:val="6"/>
                <w:w w:val="24"/>
                <w:shd w:val="solid" w:color="000000" w:fill="000000"/>
                <w:fitText w:val="110" w:id="-1032093174"/>
                <w14:textFill>
                  <w14:solidFill>
                    <w14:srgbClr w14:val="000000">
                      <w14:alpha w14:val="100000"/>
                    </w14:srgbClr>
                  </w14:solidFill>
                </w14:textFill>
              </w:rPr>
              <w:t xml:space="preserve">　</w:t>
            </w:r>
            <w:r w:rsidR="00E619B1">
              <w:rPr>
                <w:vertAlign w:val="superscript"/>
              </w:rPr>
              <w:t>11</w:t>
            </w:r>
          </w:p>
        </w:tc>
      </w:tr>
    </w:tbl>
    <w:p w14:paraId="4FFE5DFD" w14:textId="3F1C1F9F" w:rsidR="00030CC5" w:rsidRPr="002C3702" w:rsidRDefault="00030CC5" w:rsidP="00B81689">
      <w:pPr>
        <w:pStyle w:val="FooterTableFigure"/>
        <w:keepNext/>
        <w:keepLines/>
      </w:pPr>
      <w:r w:rsidRPr="002C3702">
        <w:t>Source: Table 4-2, p35 of the submission</w:t>
      </w:r>
      <w:r w:rsidR="00341606" w:rsidRPr="002C3702">
        <w:t>;</w:t>
      </w:r>
      <w:r w:rsidRPr="002C3702">
        <w:t xml:space="preserve"> </w:t>
      </w:r>
      <w:r w:rsidR="004C162F">
        <w:t>p</w:t>
      </w:r>
      <w:r w:rsidR="00DC631E" w:rsidRPr="002C3702">
        <w:t xml:space="preserve">re-PBAC response (pp2−3) and </w:t>
      </w:r>
      <w:r w:rsidR="00CD4849" w:rsidRPr="002C3702">
        <w:t>accompanying</w:t>
      </w:r>
      <w:r w:rsidR="00DC631E" w:rsidRPr="002C3702">
        <w:t xml:space="preserve"> workbook ‘A6.1_ Cost and utilisation model abemaciclib EBC November 2023_updated.xlsx’</w:t>
      </w:r>
    </w:p>
    <w:p w14:paraId="6C689C08" w14:textId="77777777" w:rsidR="00030CC5" w:rsidRPr="002C3702" w:rsidRDefault="00030CC5" w:rsidP="00B81689">
      <w:pPr>
        <w:pStyle w:val="FooterTableFigure"/>
        <w:keepNext/>
        <w:keepLines/>
      </w:pPr>
      <w:r w:rsidRPr="002C3702">
        <w:t>MBS= Medicare Benefits Scheme, PBAC= Pharmaceutical Benefits Advisory Committee, PBS= Pharmaceutical Benefits Scheme, RPBS= Repatriation Pharmaceutical Benefits Scheme.</w:t>
      </w:r>
    </w:p>
    <w:p w14:paraId="0436D90B" w14:textId="77777777" w:rsidR="00030CC5" w:rsidRPr="002C3702" w:rsidRDefault="00030CC5" w:rsidP="00B81689">
      <w:pPr>
        <w:pStyle w:val="FooterTableFigure"/>
        <w:keepNext/>
        <w:keepLines/>
        <w:rPr>
          <w:iCs/>
        </w:rPr>
      </w:pPr>
      <w:r w:rsidRPr="002C3702">
        <w:rPr>
          <w:rStyle w:val="CommentReference"/>
          <w:iCs/>
          <w:sz w:val="16"/>
          <w:shd w:val="clear" w:color="auto" w:fill="B8CCE4" w:themeFill="accent1" w:themeFillTint="66"/>
        </w:rPr>
        <w:t>Blue shading</w:t>
      </w:r>
      <w:r w:rsidRPr="002C3702">
        <w:rPr>
          <w:rStyle w:val="CommentReference"/>
          <w:iCs/>
          <w:sz w:val="16"/>
        </w:rPr>
        <w:t xml:space="preserve"> </w:t>
      </w:r>
      <w:r w:rsidRPr="002C3702">
        <w:rPr>
          <w:iCs/>
        </w:rPr>
        <w:t>indicates data previously seen by the PBAC.</w:t>
      </w:r>
    </w:p>
    <w:p w14:paraId="47313178" w14:textId="77777777" w:rsidR="00030CC5" w:rsidRPr="002C3702" w:rsidRDefault="00030CC5" w:rsidP="00B81689">
      <w:pPr>
        <w:pStyle w:val="FooterTableFigure"/>
        <w:keepNext/>
        <w:keepLines/>
      </w:pPr>
      <w:r w:rsidRPr="002C3702">
        <w:rPr>
          <w:iCs/>
          <w:vertAlign w:val="superscript"/>
        </w:rPr>
        <w:t>a</w:t>
      </w:r>
      <w:r w:rsidRPr="002C3702">
        <w:rPr>
          <w:iCs/>
        </w:rPr>
        <w:t xml:space="preserve"> From Year 2, the number of treated patients includes patients</w:t>
      </w:r>
      <w:r w:rsidRPr="002C3702">
        <w:t xml:space="preserve"> who initiate abemaciclib therapy in the previous year and continue on their second year of treatment.</w:t>
      </w:r>
    </w:p>
    <w:p w14:paraId="4543A475" w14:textId="3D8443C9" w:rsidR="00030CC5" w:rsidRDefault="00030CC5" w:rsidP="00B81689">
      <w:pPr>
        <w:pStyle w:val="FooterTableFigure"/>
        <w:keepNext/>
        <w:keepLines/>
        <w:spacing w:after="0"/>
      </w:pPr>
      <w:r w:rsidRPr="002C3702">
        <w:rPr>
          <w:vertAlign w:val="superscript"/>
        </w:rPr>
        <w:t>b</w:t>
      </w:r>
      <w:r w:rsidRPr="002C3702">
        <w:t xml:space="preserve"> Assuming 13.04 (=365.25/28) scripts per patient per year as estimated by the submission.</w:t>
      </w:r>
    </w:p>
    <w:p w14:paraId="47C7552A" w14:textId="77777777" w:rsidR="00E619B1" w:rsidRPr="009A6D58" w:rsidRDefault="00E619B1" w:rsidP="00B81689">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51B1562" w14:textId="77777777" w:rsidR="00E619B1" w:rsidRPr="009A6D58" w:rsidRDefault="00E619B1" w:rsidP="00B81689">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14FE4">
        <w:rPr>
          <w:rFonts w:ascii="Arial Narrow" w:hAnsi="Arial Narrow"/>
          <w:i/>
          <w:sz w:val="18"/>
          <w:szCs w:val="18"/>
        </w:rPr>
        <w:t>500 to &lt; 5,000</w:t>
      </w:r>
    </w:p>
    <w:p w14:paraId="3B10245F" w14:textId="77777777" w:rsidR="00E619B1" w:rsidRPr="009A6D58" w:rsidRDefault="00E619B1" w:rsidP="00B81689">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14FE4">
        <w:rPr>
          <w:rFonts w:ascii="Arial Narrow" w:hAnsi="Arial Narrow"/>
          <w:i/>
          <w:sz w:val="18"/>
          <w:szCs w:val="18"/>
        </w:rPr>
        <w:t>20,000 to &lt; 30,000</w:t>
      </w:r>
    </w:p>
    <w:p w14:paraId="75502D32" w14:textId="77777777" w:rsidR="00E619B1" w:rsidRDefault="00E619B1" w:rsidP="00B81689">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619B1">
        <w:rPr>
          <w:rFonts w:ascii="Arial Narrow" w:hAnsi="Arial Narrow"/>
          <w:i/>
          <w:sz w:val="18"/>
          <w:szCs w:val="18"/>
        </w:rPr>
        <w:t>$20 million to &lt; $30 million</w:t>
      </w:r>
    </w:p>
    <w:p w14:paraId="1FE2CB74" w14:textId="77777777" w:rsidR="00E619B1" w:rsidRDefault="00E619B1" w:rsidP="00B81689">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619B1">
        <w:rPr>
          <w:rFonts w:ascii="Arial Narrow" w:hAnsi="Arial Narrow"/>
          <w:i/>
          <w:sz w:val="18"/>
          <w:szCs w:val="18"/>
        </w:rPr>
        <w:t>$0 to &lt; $10 million</w:t>
      </w:r>
    </w:p>
    <w:p w14:paraId="5AA3F762" w14:textId="77777777" w:rsidR="00E619B1" w:rsidRDefault="00E619B1" w:rsidP="00B81689">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E619B1">
        <w:rPr>
          <w:rFonts w:ascii="Arial Narrow" w:hAnsi="Arial Narrow"/>
          <w:i/>
          <w:sz w:val="18"/>
          <w:szCs w:val="18"/>
        </w:rPr>
        <w:t>$10 million to &lt; $20 million</w:t>
      </w:r>
    </w:p>
    <w:p w14:paraId="5F564710" w14:textId="77777777" w:rsidR="00E619B1" w:rsidRDefault="00E619B1" w:rsidP="00B81689">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E619B1">
        <w:rPr>
          <w:rFonts w:ascii="Arial Narrow" w:hAnsi="Arial Narrow"/>
          <w:i/>
          <w:sz w:val="18"/>
          <w:szCs w:val="18"/>
        </w:rPr>
        <w:t>40,000 to &lt; 50,000</w:t>
      </w:r>
    </w:p>
    <w:p w14:paraId="0BF11033" w14:textId="77777777" w:rsidR="00E619B1" w:rsidRPr="009A6D58" w:rsidRDefault="00E619B1" w:rsidP="00B81689">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E619B1">
        <w:rPr>
          <w:rFonts w:ascii="Arial Narrow" w:hAnsi="Arial Narrow"/>
          <w:i/>
          <w:sz w:val="18"/>
          <w:szCs w:val="18"/>
        </w:rPr>
        <w:t>$50 million to &lt; $60 million</w:t>
      </w:r>
    </w:p>
    <w:p w14:paraId="3A0730C5" w14:textId="77777777" w:rsidR="00E619B1" w:rsidRPr="009A6D58" w:rsidRDefault="00E619B1" w:rsidP="00B81689">
      <w:pPr>
        <w:keepNext/>
        <w:keepLines/>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E619B1">
        <w:rPr>
          <w:rFonts w:ascii="Arial Narrow" w:hAnsi="Arial Narrow"/>
          <w:i/>
          <w:sz w:val="18"/>
          <w:szCs w:val="18"/>
        </w:rPr>
        <w:t>$30 million to &lt; $40 million</w:t>
      </w:r>
    </w:p>
    <w:p w14:paraId="40E6D0E7" w14:textId="77777777" w:rsidR="00E619B1" w:rsidRDefault="00E619B1" w:rsidP="00B81689">
      <w:pPr>
        <w:keepNext/>
        <w:keepLines/>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E619B1">
        <w:rPr>
          <w:rFonts w:ascii="Arial Narrow" w:hAnsi="Arial Narrow"/>
          <w:i/>
          <w:sz w:val="18"/>
          <w:szCs w:val="18"/>
        </w:rPr>
        <w:t>$40 million to &lt; $50 million</w:t>
      </w:r>
    </w:p>
    <w:p w14:paraId="71E917DD" w14:textId="77777777" w:rsidR="00E619B1" w:rsidRDefault="00E619B1" w:rsidP="00B81689">
      <w:pPr>
        <w:keepNext/>
        <w:keepLines/>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E619B1">
        <w:rPr>
          <w:rFonts w:ascii="Arial Narrow" w:hAnsi="Arial Narrow"/>
          <w:i/>
          <w:sz w:val="18"/>
          <w:szCs w:val="18"/>
        </w:rPr>
        <w:t>$60 million to &lt; $70 million</w:t>
      </w:r>
    </w:p>
    <w:p w14:paraId="162941A0" w14:textId="0E593E40" w:rsidR="00E619B1" w:rsidRPr="00E619B1" w:rsidRDefault="00E619B1" w:rsidP="00E619B1">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E619B1">
        <w:rPr>
          <w:rFonts w:ascii="Arial Narrow" w:hAnsi="Arial Narrow"/>
          <w:i/>
          <w:sz w:val="18"/>
          <w:szCs w:val="18"/>
        </w:rPr>
        <w:t>$70 million to &lt; $80 million</w:t>
      </w:r>
    </w:p>
    <w:p w14:paraId="24193413" w14:textId="34094D97" w:rsidR="00030CC5" w:rsidRPr="00E619B1" w:rsidRDefault="00030CC5" w:rsidP="00E619B1">
      <w:pPr>
        <w:pStyle w:val="3-BodyText"/>
        <w:rPr>
          <w:b/>
          <w:bCs/>
        </w:rPr>
      </w:pPr>
      <w:r w:rsidRPr="002C3702">
        <w:t xml:space="preserve">The total cost to the PBS/RPBS of listing ABE was estimated </w:t>
      </w:r>
      <w:r w:rsidR="0024304D" w:rsidRPr="002C3702">
        <w:t xml:space="preserve">in </w:t>
      </w:r>
      <w:r w:rsidR="00311E55" w:rsidRPr="002C3702">
        <w:t xml:space="preserve">the </w:t>
      </w:r>
      <w:r w:rsidR="004C162F">
        <w:t>p</w:t>
      </w:r>
      <w:r w:rsidR="0024304D" w:rsidRPr="002C3702">
        <w:t xml:space="preserve">re-PBAC response </w:t>
      </w:r>
      <w:r w:rsidRPr="002C3702">
        <w:t xml:space="preserve">to be </w:t>
      </w:r>
      <w:r w:rsidR="00E619B1" w:rsidRPr="00E619B1">
        <w:t>$50 million to &lt; $60 million</w:t>
      </w:r>
      <w:r w:rsidR="00E619B1">
        <w:rPr>
          <w:b/>
          <w:bCs/>
        </w:rPr>
        <w:t xml:space="preserve"> </w:t>
      </w:r>
      <w:r w:rsidRPr="002C3702">
        <w:t xml:space="preserve">in Year 6, and a total of </w:t>
      </w:r>
      <w:r w:rsidR="00E619B1" w:rsidRPr="00E619B1">
        <w:t>$200 million to &lt; $300 million</w:t>
      </w:r>
      <w:r w:rsidR="00E619B1">
        <w:rPr>
          <w:b/>
          <w:bCs/>
        </w:rPr>
        <w:t xml:space="preserve"> </w:t>
      </w:r>
      <w:r w:rsidRPr="002C3702">
        <w:t xml:space="preserve">in the first 6 years of listing. </w:t>
      </w:r>
      <w:r w:rsidR="0024304D" w:rsidRPr="002C3702">
        <w:t>This was reduced from a total cost</w:t>
      </w:r>
      <w:r w:rsidR="003750DE" w:rsidRPr="002C3702">
        <w:t xml:space="preserve"> to the PBS/RPBS</w:t>
      </w:r>
      <w:r w:rsidR="0024304D" w:rsidRPr="002C3702">
        <w:t xml:space="preserve"> of </w:t>
      </w:r>
      <w:r w:rsidR="00E619B1" w:rsidRPr="00E619B1">
        <w:t>$50 million to &lt; $60 million</w:t>
      </w:r>
      <w:r w:rsidR="00E619B1">
        <w:rPr>
          <w:b/>
          <w:bCs/>
        </w:rPr>
        <w:t xml:space="preserve"> </w:t>
      </w:r>
      <w:r w:rsidR="0024304D" w:rsidRPr="002C3702">
        <w:t xml:space="preserve">in Year 6, and a total of </w:t>
      </w:r>
      <w:r w:rsidR="00E619B1" w:rsidRPr="00E619B1">
        <w:t>$300 million to &lt; $400 million</w:t>
      </w:r>
      <w:r w:rsidR="00E619B1">
        <w:rPr>
          <w:b/>
          <w:bCs/>
        </w:rPr>
        <w:t xml:space="preserve"> </w:t>
      </w:r>
      <w:r w:rsidR="0024304D" w:rsidRPr="002C3702">
        <w:t>in the first 6 years of listing estimated in the submission.</w:t>
      </w:r>
      <w:r w:rsidRPr="002C3702">
        <w:t xml:space="preserve"> </w:t>
      </w:r>
    </w:p>
    <w:p w14:paraId="617DE863" w14:textId="56A65D2F" w:rsidR="00030CC5" w:rsidRPr="002C3702" w:rsidRDefault="00030CC5" w:rsidP="00030CC5">
      <w:pPr>
        <w:pStyle w:val="3-BodyText"/>
        <w:rPr>
          <w:iCs/>
        </w:rPr>
      </w:pPr>
      <w:r w:rsidRPr="002C3702">
        <w:rPr>
          <w:iCs/>
        </w:rPr>
        <w:t xml:space="preserve">The sensitivity analyses performed during evaluation are presented in </w:t>
      </w:r>
      <w:r w:rsidR="004E5A67" w:rsidRPr="002C3702">
        <w:rPr>
          <w:iCs/>
        </w:rPr>
        <w:fldChar w:fldCharType="begin"/>
      </w:r>
      <w:r w:rsidR="004E5A67" w:rsidRPr="002C3702">
        <w:rPr>
          <w:iCs/>
        </w:rPr>
        <w:instrText xml:space="preserve"> REF _Ref145056469 \h  \* MERGEFORMAT </w:instrText>
      </w:r>
      <w:r w:rsidR="004E5A67" w:rsidRPr="002C3702">
        <w:rPr>
          <w:iCs/>
        </w:rPr>
      </w:r>
      <w:r w:rsidR="004E5A67" w:rsidRPr="002C3702">
        <w:rPr>
          <w:iCs/>
        </w:rPr>
        <w:fldChar w:fldCharType="separate"/>
      </w:r>
      <w:r w:rsidR="00676505" w:rsidRPr="00676505">
        <w:rPr>
          <w:iCs/>
        </w:rPr>
        <w:t>Table 17</w:t>
      </w:r>
      <w:r w:rsidR="004E5A67" w:rsidRPr="002C3702">
        <w:rPr>
          <w:iCs/>
        </w:rPr>
        <w:fldChar w:fldCharType="end"/>
      </w:r>
      <w:r w:rsidRPr="002C3702">
        <w:rPr>
          <w:iCs/>
        </w:rPr>
        <w:t>, which includes revisions for uptake rate</w:t>
      </w:r>
      <w:r w:rsidR="00A018AB" w:rsidRPr="002C3702">
        <w:rPr>
          <w:iCs/>
        </w:rPr>
        <w:t>s</w:t>
      </w:r>
      <w:r w:rsidRPr="002C3702">
        <w:rPr>
          <w:iCs/>
        </w:rPr>
        <w:t xml:space="preserve"> </w:t>
      </w:r>
      <w:r w:rsidR="002E60A7" w:rsidRPr="002C3702">
        <w:rPr>
          <w:iCs/>
        </w:rPr>
        <w:t>(</w:t>
      </w:r>
      <w:r w:rsidR="008129BD">
        <w:rPr>
          <w:iCs/>
        </w:rPr>
        <w:t xml:space="preserve"> </w:t>
      </w:r>
      <w:r w:rsidR="008129BD" w:rsidRPr="00676505">
        <w:rPr>
          <w:iCs/>
          <w:color w:val="000000"/>
          <w:w w:val="15"/>
          <w:shd w:val="solid" w:color="000000" w:fill="000000"/>
          <w:fitText w:val="-20" w:id="-1032093173"/>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173"/>
          <w14:textFill>
            <w14:solidFill>
              <w14:srgbClr w14:val="000000">
                <w14:alpha w14:val="100000"/>
              </w14:srgbClr>
            </w14:solidFill>
          </w14:textFill>
        </w:rPr>
        <w:t>|</w:t>
      </w:r>
      <w:r w:rsidR="00D802D3" w:rsidRPr="002C3702">
        <w:rPr>
          <w:iCs/>
        </w:rPr>
        <w:t xml:space="preserve">% in Year 1, increasing by </w:t>
      </w:r>
      <w:r w:rsidR="008129BD">
        <w:rPr>
          <w:iCs/>
        </w:rPr>
        <w:t xml:space="preserve"> </w:t>
      </w:r>
      <w:r w:rsidR="008129BD" w:rsidRPr="00676505">
        <w:rPr>
          <w:iCs/>
          <w:color w:val="000000"/>
          <w:w w:val="15"/>
          <w:shd w:val="solid" w:color="000000" w:fill="000000"/>
          <w:fitText w:val="-20" w:id="-1032093172"/>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172"/>
          <w14:textFill>
            <w14:solidFill>
              <w14:srgbClr w14:val="000000">
                <w14:alpha w14:val="100000"/>
              </w14:srgbClr>
            </w14:solidFill>
          </w14:textFill>
        </w:rPr>
        <w:t>|</w:t>
      </w:r>
      <w:r w:rsidR="00D802D3" w:rsidRPr="002C3702">
        <w:rPr>
          <w:iCs/>
        </w:rPr>
        <w:t xml:space="preserve">% per year up to </w:t>
      </w:r>
      <w:r w:rsidR="008129BD">
        <w:rPr>
          <w:iCs/>
        </w:rPr>
        <w:t xml:space="preserve"> </w:t>
      </w:r>
      <w:r w:rsidR="008129BD" w:rsidRPr="00676505">
        <w:rPr>
          <w:iCs/>
          <w:color w:val="000000"/>
          <w:w w:val="15"/>
          <w:shd w:val="solid" w:color="000000" w:fill="000000"/>
          <w:fitText w:val="-20" w:id="-1032093171"/>
          <w14:textFill>
            <w14:solidFill>
              <w14:srgbClr w14:val="000000">
                <w14:alpha w14:val="100000"/>
              </w14:srgbClr>
            </w14:solidFill>
          </w14:textFill>
        </w:rPr>
        <w:t xml:space="preserve">|  </w:t>
      </w:r>
      <w:r w:rsidR="008129BD" w:rsidRPr="00676505">
        <w:rPr>
          <w:iCs/>
          <w:color w:val="000000"/>
          <w:spacing w:val="-69"/>
          <w:w w:val="15"/>
          <w:shd w:val="solid" w:color="000000" w:fill="000000"/>
          <w:fitText w:val="-20" w:id="-1032093171"/>
          <w14:textFill>
            <w14:solidFill>
              <w14:srgbClr w14:val="000000">
                <w14:alpha w14:val="100000"/>
              </w14:srgbClr>
            </w14:solidFill>
          </w14:textFill>
        </w:rPr>
        <w:t>|</w:t>
      </w:r>
      <w:r w:rsidR="00D802D3" w:rsidRPr="003700CF">
        <w:rPr>
          <w:iCs/>
        </w:rPr>
        <w:t>%</w:t>
      </w:r>
      <w:r w:rsidR="00D802D3" w:rsidRPr="002C3702">
        <w:rPr>
          <w:iCs/>
        </w:rPr>
        <w:t xml:space="preserve"> in Year 6) </w:t>
      </w:r>
      <w:r w:rsidRPr="002C3702">
        <w:rPr>
          <w:iCs/>
        </w:rPr>
        <w:t>and treatment duration</w:t>
      </w:r>
      <w:r w:rsidR="00A01485" w:rsidRPr="002C3702">
        <w:rPr>
          <w:iCs/>
        </w:rPr>
        <w:t xml:space="preserve"> </w:t>
      </w:r>
      <w:r w:rsidR="00820A92" w:rsidRPr="002C3702">
        <w:rPr>
          <w:iCs/>
        </w:rPr>
        <w:t>(18 months)</w:t>
      </w:r>
      <w:r w:rsidRPr="002C3702">
        <w:rPr>
          <w:iCs/>
        </w:rPr>
        <w:t xml:space="preserve">. </w:t>
      </w:r>
      <w:r w:rsidR="00820A92" w:rsidRPr="002C3702">
        <w:rPr>
          <w:iCs/>
          <w:color w:val="000000" w:themeColor="text1"/>
        </w:rPr>
        <w:t xml:space="preserve">The cumulative effect of these changes is a decrease in the financial impact to the PBS/RPBS in the first six years of listing from </w:t>
      </w:r>
      <w:r w:rsidR="00E619B1" w:rsidRPr="00E619B1">
        <w:t>$300 million to &lt; $400 million</w:t>
      </w:r>
      <w:r w:rsidR="00E619B1">
        <w:rPr>
          <w:b/>
          <w:bCs/>
        </w:rPr>
        <w:t xml:space="preserve"> </w:t>
      </w:r>
      <w:r w:rsidR="00820A92" w:rsidRPr="002C3702">
        <w:rPr>
          <w:iCs/>
          <w:color w:val="000000" w:themeColor="text1"/>
        </w:rPr>
        <w:t xml:space="preserve">in the base case to </w:t>
      </w:r>
      <w:r w:rsidR="00E619B1" w:rsidRPr="00E619B1">
        <w:t>$200 million to &lt; $300 million</w:t>
      </w:r>
      <w:r w:rsidR="00E619B1">
        <w:rPr>
          <w:b/>
          <w:bCs/>
        </w:rPr>
        <w:t xml:space="preserve"> </w:t>
      </w:r>
      <w:r w:rsidR="00820A92" w:rsidRPr="002C3702">
        <w:rPr>
          <w:iCs/>
          <w:color w:val="000000" w:themeColor="text1"/>
        </w:rPr>
        <w:t xml:space="preserve">(34% reduction). When assuming the revised uptake and the mean treatment duration assumed in the economic model (21 months), the financial impact to the PBS/RPBS in the first six years of listing is </w:t>
      </w:r>
      <w:r w:rsidR="00E619B1" w:rsidRPr="00E619B1">
        <w:t>$200 million to &lt; $300 million</w:t>
      </w:r>
      <w:r w:rsidR="00E619B1">
        <w:rPr>
          <w:b/>
          <w:bCs/>
        </w:rPr>
        <w:t xml:space="preserve"> </w:t>
      </w:r>
      <w:r w:rsidR="00820A92" w:rsidRPr="002C3702">
        <w:rPr>
          <w:iCs/>
          <w:color w:val="000000" w:themeColor="text1"/>
        </w:rPr>
        <w:t>(25% reduction).</w:t>
      </w:r>
    </w:p>
    <w:p w14:paraId="36491900" w14:textId="62587A05" w:rsidR="00030CC5" w:rsidRPr="002C3702" w:rsidRDefault="00030CC5" w:rsidP="00030CC5">
      <w:pPr>
        <w:pStyle w:val="Caption"/>
      </w:pPr>
      <w:bookmarkStart w:id="83" w:name="_Ref142571395"/>
      <w:bookmarkStart w:id="84" w:name="_Ref124779890"/>
      <w:bookmarkStart w:id="85" w:name="_Ref145056469"/>
      <w:r w:rsidRPr="002C3702">
        <w:t xml:space="preserve">Table </w:t>
      </w:r>
      <w:r w:rsidRPr="002C3702">
        <w:fldChar w:fldCharType="begin"/>
      </w:r>
      <w:r w:rsidRPr="002C3702">
        <w:instrText>SEQ Table \* ARABIC</w:instrText>
      </w:r>
      <w:r w:rsidRPr="002C3702">
        <w:fldChar w:fldCharType="separate"/>
      </w:r>
      <w:r w:rsidR="00676505">
        <w:rPr>
          <w:noProof/>
        </w:rPr>
        <w:t>17</w:t>
      </w:r>
      <w:r w:rsidRPr="002C3702">
        <w:fldChar w:fldCharType="end"/>
      </w:r>
      <w:bookmarkEnd w:id="83"/>
      <w:bookmarkEnd w:id="84"/>
      <w:bookmarkEnd w:id="85"/>
      <w:r w:rsidRPr="002C3702">
        <w:t>: Uncertainty analyses: net financial impacts to the PBS/RPBS (performed during the evaluation)</w:t>
      </w:r>
    </w:p>
    <w:tbl>
      <w:tblPr>
        <w:tblStyle w:val="TableGrid"/>
        <w:tblW w:w="5000" w:type="pct"/>
        <w:tblCellMar>
          <w:left w:w="57" w:type="dxa"/>
          <w:right w:w="57" w:type="dxa"/>
        </w:tblCellMar>
        <w:tblLook w:val="04A0" w:firstRow="1" w:lastRow="0" w:firstColumn="1" w:lastColumn="0" w:noHBand="0" w:noVBand="1"/>
      </w:tblPr>
      <w:tblGrid>
        <w:gridCol w:w="1654"/>
        <w:gridCol w:w="1095"/>
        <w:gridCol w:w="1102"/>
        <w:gridCol w:w="1100"/>
        <w:gridCol w:w="1026"/>
        <w:gridCol w:w="1026"/>
        <w:gridCol w:w="1071"/>
        <w:gridCol w:w="943"/>
      </w:tblGrid>
      <w:tr w:rsidR="000841DE" w:rsidRPr="002C3702" w14:paraId="2603CE8C" w14:textId="77777777" w:rsidTr="000841DE">
        <w:tc>
          <w:tcPr>
            <w:tcW w:w="917" w:type="pct"/>
          </w:tcPr>
          <w:p w14:paraId="2D50E939" w14:textId="77777777" w:rsidR="00030CC5" w:rsidRPr="002C3702" w:rsidRDefault="00030CC5" w:rsidP="006E7D62">
            <w:pPr>
              <w:keepNext/>
              <w:jc w:val="left"/>
              <w:rPr>
                <w:rFonts w:ascii="Arial Narrow" w:hAnsi="Arial Narrow" w:cs="Times New Roman"/>
                <w:b/>
                <w:iCs/>
                <w:sz w:val="20"/>
                <w:szCs w:val="20"/>
              </w:rPr>
            </w:pPr>
            <w:r w:rsidRPr="002C3702">
              <w:rPr>
                <w:rFonts w:ascii="Arial Narrow" w:hAnsi="Arial Narrow" w:cs="Times New Roman"/>
                <w:b/>
                <w:iCs/>
                <w:sz w:val="20"/>
                <w:szCs w:val="20"/>
              </w:rPr>
              <w:t>Assumption</w:t>
            </w:r>
          </w:p>
        </w:tc>
        <w:tc>
          <w:tcPr>
            <w:tcW w:w="607" w:type="pct"/>
            <w:vAlign w:val="center"/>
          </w:tcPr>
          <w:p w14:paraId="140FE97B"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1</w:t>
            </w:r>
          </w:p>
        </w:tc>
        <w:tc>
          <w:tcPr>
            <w:tcW w:w="611" w:type="pct"/>
            <w:vAlign w:val="center"/>
          </w:tcPr>
          <w:p w14:paraId="417CC8E2"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2</w:t>
            </w:r>
          </w:p>
        </w:tc>
        <w:tc>
          <w:tcPr>
            <w:tcW w:w="610" w:type="pct"/>
            <w:vAlign w:val="center"/>
          </w:tcPr>
          <w:p w14:paraId="6B335E97"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3</w:t>
            </w:r>
          </w:p>
        </w:tc>
        <w:tc>
          <w:tcPr>
            <w:tcW w:w="569" w:type="pct"/>
            <w:vAlign w:val="center"/>
          </w:tcPr>
          <w:p w14:paraId="2CC0B48D"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4</w:t>
            </w:r>
          </w:p>
        </w:tc>
        <w:tc>
          <w:tcPr>
            <w:tcW w:w="569" w:type="pct"/>
            <w:vAlign w:val="center"/>
          </w:tcPr>
          <w:p w14:paraId="77DB5C10"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5</w:t>
            </w:r>
          </w:p>
        </w:tc>
        <w:tc>
          <w:tcPr>
            <w:tcW w:w="594" w:type="pct"/>
            <w:vAlign w:val="center"/>
          </w:tcPr>
          <w:p w14:paraId="3567BFA9" w14:textId="77777777" w:rsidR="00030CC5" w:rsidRPr="002C3702" w:rsidRDefault="00030CC5" w:rsidP="000841DE">
            <w:pPr>
              <w:keepNext/>
              <w:jc w:val="center"/>
              <w:rPr>
                <w:rFonts w:ascii="Arial Narrow" w:hAnsi="Arial Narrow" w:cs="Times New Roman"/>
                <w:b/>
                <w:iCs/>
                <w:sz w:val="20"/>
                <w:szCs w:val="20"/>
              </w:rPr>
            </w:pPr>
            <w:r w:rsidRPr="002C3702">
              <w:rPr>
                <w:rFonts w:ascii="Arial Narrow" w:hAnsi="Arial Narrow" w:cs="Times New Roman"/>
                <w:b/>
                <w:iCs/>
                <w:sz w:val="20"/>
                <w:szCs w:val="20"/>
              </w:rPr>
              <w:t>Year 6</w:t>
            </w:r>
          </w:p>
        </w:tc>
        <w:tc>
          <w:tcPr>
            <w:tcW w:w="522" w:type="pct"/>
            <w:vAlign w:val="center"/>
          </w:tcPr>
          <w:p w14:paraId="002FCD8F" w14:textId="77777777" w:rsidR="000841DE" w:rsidRPr="002C3702" w:rsidRDefault="00030CC5" w:rsidP="000841DE">
            <w:pPr>
              <w:keepNext/>
              <w:ind w:left="-113" w:right="-113"/>
              <w:jc w:val="center"/>
              <w:rPr>
                <w:rFonts w:ascii="Arial Narrow" w:hAnsi="Arial Narrow" w:cs="Times New Roman"/>
                <w:b/>
                <w:iCs/>
                <w:sz w:val="20"/>
                <w:szCs w:val="20"/>
              </w:rPr>
            </w:pPr>
            <w:r w:rsidRPr="002C3702">
              <w:rPr>
                <w:rFonts w:ascii="Arial Narrow" w:hAnsi="Arial Narrow" w:cs="Times New Roman"/>
                <w:b/>
                <w:iCs/>
                <w:sz w:val="20"/>
                <w:szCs w:val="20"/>
              </w:rPr>
              <w:t xml:space="preserve">% change over </w:t>
            </w:r>
          </w:p>
          <w:p w14:paraId="683074F5" w14:textId="7B29730E" w:rsidR="00030CC5" w:rsidRPr="002C3702" w:rsidRDefault="00030CC5" w:rsidP="000841DE">
            <w:pPr>
              <w:keepNext/>
              <w:ind w:left="-113" w:right="-113"/>
              <w:jc w:val="center"/>
              <w:rPr>
                <w:rFonts w:ascii="Arial Narrow" w:hAnsi="Arial Narrow" w:cs="Times New Roman"/>
                <w:b/>
                <w:iCs/>
                <w:sz w:val="20"/>
                <w:szCs w:val="20"/>
              </w:rPr>
            </w:pPr>
            <w:r w:rsidRPr="002C3702">
              <w:rPr>
                <w:rFonts w:ascii="Arial Narrow" w:hAnsi="Arial Narrow" w:cs="Times New Roman"/>
                <w:b/>
                <w:iCs/>
                <w:sz w:val="20"/>
                <w:szCs w:val="20"/>
              </w:rPr>
              <w:t>6 years</w:t>
            </w:r>
          </w:p>
        </w:tc>
      </w:tr>
      <w:tr w:rsidR="000841DE" w:rsidRPr="002C3702" w14:paraId="7C14D935" w14:textId="77777777" w:rsidTr="000841DE">
        <w:tc>
          <w:tcPr>
            <w:tcW w:w="917" w:type="pct"/>
          </w:tcPr>
          <w:p w14:paraId="7B1787C7" w14:textId="77777777" w:rsidR="0051770A" w:rsidRPr="002C3702" w:rsidRDefault="0051770A" w:rsidP="0051770A">
            <w:pPr>
              <w:keepNext/>
              <w:jc w:val="left"/>
              <w:rPr>
                <w:rFonts w:ascii="Arial Narrow" w:hAnsi="Arial Narrow" w:cs="Times New Roman"/>
                <w:iCs/>
                <w:sz w:val="20"/>
                <w:szCs w:val="20"/>
              </w:rPr>
            </w:pPr>
            <w:r w:rsidRPr="002C3702">
              <w:rPr>
                <w:rFonts w:ascii="Arial Narrow" w:hAnsi="Arial Narrow" w:cs="Times New Roman"/>
                <w:iCs/>
                <w:sz w:val="20"/>
                <w:szCs w:val="20"/>
              </w:rPr>
              <w:t>Base case</w:t>
            </w:r>
          </w:p>
        </w:tc>
        <w:tc>
          <w:tcPr>
            <w:tcW w:w="607" w:type="pct"/>
            <w:vAlign w:val="center"/>
          </w:tcPr>
          <w:p w14:paraId="50C0E2F7" w14:textId="6F8DC568"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24"/>
                <w:sz w:val="20"/>
                <w:szCs w:val="20"/>
                <w:shd w:val="solid" w:color="000000" w:fill="000000"/>
                <w:fitText w:val="110" w:id="-1032093170"/>
                <w14:textFill>
                  <w14:solidFill>
                    <w14:srgbClr w14:val="000000">
                      <w14:alpha w14:val="100000"/>
                    </w14:srgbClr>
                  </w14:solidFill>
                </w14:textFill>
              </w:rPr>
              <w:t xml:space="preserve">　</w:t>
            </w:r>
            <w:r w:rsidRPr="008129BD">
              <w:rPr>
                <w:rFonts w:ascii="Arial Narrow" w:hAnsi="Arial Narrow" w:cs="Times New Roman"/>
                <w:snapToGrid w:val="0"/>
                <w:color w:val="000000"/>
                <w:w w:val="24"/>
                <w:sz w:val="20"/>
                <w:szCs w:val="20"/>
                <w:shd w:val="solid" w:color="000000" w:fill="000000"/>
                <w:fitText w:val="110" w:id="-1032093170"/>
                <w14:textFill>
                  <w14:solidFill>
                    <w14:srgbClr w14:val="000000">
                      <w14:alpha w14:val="100000"/>
                    </w14:srgbClr>
                  </w14:solidFill>
                </w14:textFill>
              </w:rPr>
              <w:t>|</w:t>
            </w:r>
            <w:r w:rsidRPr="008129BD">
              <w:rPr>
                <w:rFonts w:ascii="Arial Narrow" w:hAnsi="Arial Narrow" w:cs="Times New Roman" w:hint="eastAsia"/>
                <w:snapToGrid w:val="0"/>
                <w:color w:val="000000"/>
                <w:spacing w:val="6"/>
                <w:w w:val="24"/>
                <w:sz w:val="20"/>
                <w:szCs w:val="20"/>
                <w:shd w:val="solid" w:color="000000" w:fill="000000"/>
                <w:fitText w:val="110" w:id="-1032093170"/>
                <w14:textFill>
                  <w14:solidFill>
                    <w14:srgbClr w14:val="000000">
                      <w14:alpha w14:val="100000"/>
                    </w14:srgbClr>
                  </w14:solidFill>
                </w14:textFill>
              </w:rPr>
              <w:t xml:space="preserve">　</w:t>
            </w:r>
            <w:r w:rsidR="00E619B1" w:rsidRPr="00E619B1">
              <w:rPr>
                <w:rFonts w:ascii="Arial Narrow" w:hAnsi="Arial Narrow" w:cs="Times New Roman"/>
                <w:snapToGrid w:val="0"/>
                <w:sz w:val="20"/>
                <w:szCs w:val="20"/>
                <w:vertAlign w:val="superscript"/>
              </w:rPr>
              <w:t>1</w:t>
            </w:r>
          </w:p>
        </w:tc>
        <w:tc>
          <w:tcPr>
            <w:tcW w:w="611" w:type="pct"/>
            <w:vAlign w:val="center"/>
          </w:tcPr>
          <w:p w14:paraId="12CFF95F" w14:textId="76E26B72"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24"/>
                <w:sz w:val="20"/>
                <w:szCs w:val="20"/>
                <w:shd w:val="solid" w:color="000000" w:fill="000000"/>
                <w:fitText w:val="110" w:id="-1032093169"/>
                <w14:textFill>
                  <w14:solidFill>
                    <w14:srgbClr w14:val="000000">
                      <w14:alpha w14:val="100000"/>
                    </w14:srgbClr>
                  </w14:solidFill>
                </w14:textFill>
              </w:rPr>
              <w:t xml:space="preserve">　</w:t>
            </w:r>
            <w:r w:rsidRPr="008129BD">
              <w:rPr>
                <w:rFonts w:ascii="Arial Narrow" w:hAnsi="Arial Narrow" w:cs="Times New Roman"/>
                <w:snapToGrid w:val="0"/>
                <w:color w:val="000000"/>
                <w:w w:val="24"/>
                <w:sz w:val="20"/>
                <w:szCs w:val="20"/>
                <w:shd w:val="solid" w:color="000000" w:fill="000000"/>
                <w:fitText w:val="110" w:id="-1032093169"/>
                <w14:textFill>
                  <w14:solidFill>
                    <w14:srgbClr w14:val="000000">
                      <w14:alpha w14:val="100000"/>
                    </w14:srgbClr>
                  </w14:solidFill>
                </w14:textFill>
              </w:rPr>
              <w:t>|</w:t>
            </w:r>
            <w:r w:rsidRPr="008129BD">
              <w:rPr>
                <w:rFonts w:ascii="Arial Narrow" w:hAnsi="Arial Narrow" w:cs="Times New Roman" w:hint="eastAsia"/>
                <w:snapToGrid w:val="0"/>
                <w:color w:val="000000"/>
                <w:spacing w:val="6"/>
                <w:w w:val="24"/>
                <w:sz w:val="20"/>
                <w:szCs w:val="20"/>
                <w:shd w:val="solid" w:color="000000" w:fill="000000"/>
                <w:fitText w:val="110" w:id="-1032093169"/>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610" w:type="pct"/>
            <w:vAlign w:val="center"/>
          </w:tcPr>
          <w:p w14:paraId="4F9E6A9B" w14:textId="711C8550"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22"/>
                <w:sz w:val="20"/>
                <w:szCs w:val="20"/>
                <w:shd w:val="solid" w:color="000000" w:fill="000000"/>
                <w:fitText w:val="100" w:id="-1032093168"/>
                <w14:textFill>
                  <w14:solidFill>
                    <w14:srgbClr w14:val="000000">
                      <w14:alpha w14:val="100000"/>
                    </w14:srgbClr>
                  </w14:solidFill>
                </w14:textFill>
              </w:rPr>
              <w:t xml:space="preserve">　</w:t>
            </w:r>
            <w:r w:rsidRPr="008129BD">
              <w:rPr>
                <w:rFonts w:ascii="Arial Narrow" w:hAnsi="Arial Narrow" w:cs="Times New Roman"/>
                <w:snapToGrid w:val="0"/>
                <w:color w:val="000000"/>
                <w:w w:val="22"/>
                <w:sz w:val="20"/>
                <w:szCs w:val="20"/>
                <w:shd w:val="solid" w:color="000000" w:fill="000000"/>
                <w:fitText w:val="100" w:id="-1032093168"/>
                <w14:textFill>
                  <w14:solidFill>
                    <w14:srgbClr w14:val="000000">
                      <w14:alpha w14:val="100000"/>
                    </w14:srgbClr>
                  </w14:solidFill>
                </w14:textFill>
              </w:rPr>
              <w:t>|</w:t>
            </w:r>
            <w:r w:rsidRPr="008129BD">
              <w:rPr>
                <w:rFonts w:ascii="Arial Narrow" w:hAnsi="Arial Narrow" w:cs="Times New Roman" w:hint="eastAsia"/>
                <w:snapToGrid w:val="0"/>
                <w:color w:val="000000"/>
                <w:spacing w:val="3"/>
                <w:w w:val="22"/>
                <w:sz w:val="20"/>
                <w:szCs w:val="20"/>
                <w:shd w:val="solid" w:color="000000" w:fill="000000"/>
                <w:fitText w:val="100" w:id="-1032093168"/>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69" w:type="pct"/>
            <w:vAlign w:val="center"/>
          </w:tcPr>
          <w:p w14:paraId="0B6CA5E3" w14:textId="12B23BBC"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33"/>
                <w:sz w:val="20"/>
                <w:szCs w:val="20"/>
                <w:shd w:val="solid" w:color="000000" w:fill="000000"/>
                <w:fitText w:val="150" w:id="-1032093184"/>
                <w14:textFill>
                  <w14:solidFill>
                    <w14:srgbClr w14:val="000000">
                      <w14:alpha w14:val="100000"/>
                    </w14:srgbClr>
                  </w14:solidFill>
                </w14:textFill>
              </w:rPr>
              <w:t xml:space="preserve">　</w:t>
            </w:r>
            <w:r w:rsidRPr="008129BD">
              <w:rPr>
                <w:rFonts w:ascii="Arial Narrow" w:hAnsi="Arial Narrow" w:cs="Times New Roman"/>
                <w:snapToGrid w:val="0"/>
                <w:color w:val="000000"/>
                <w:w w:val="33"/>
                <w:sz w:val="20"/>
                <w:szCs w:val="20"/>
                <w:shd w:val="solid" w:color="000000" w:fill="000000"/>
                <w:fitText w:val="150" w:id="-1032093184"/>
                <w14:textFill>
                  <w14:solidFill>
                    <w14:srgbClr w14:val="000000">
                      <w14:alpha w14:val="100000"/>
                    </w14:srgbClr>
                  </w14:solidFill>
                </w14:textFill>
              </w:rPr>
              <w:t>|</w:t>
            </w:r>
            <w:r w:rsidRPr="008129BD">
              <w:rPr>
                <w:rFonts w:ascii="Arial Narrow" w:hAnsi="Arial Narrow" w:cs="Times New Roman" w:hint="eastAsia"/>
                <w:snapToGrid w:val="0"/>
                <w:color w:val="000000"/>
                <w:spacing w:val="4"/>
                <w:w w:val="33"/>
                <w:sz w:val="20"/>
                <w:szCs w:val="20"/>
                <w:shd w:val="solid" w:color="000000" w:fill="000000"/>
                <w:fitText w:val="150" w:id="-1032093184"/>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69" w:type="pct"/>
            <w:vAlign w:val="center"/>
          </w:tcPr>
          <w:p w14:paraId="6224A651" w14:textId="661DC77F"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33"/>
                <w:sz w:val="20"/>
                <w:szCs w:val="20"/>
                <w:shd w:val="solid" w:color="000000" w:fill="000000"/>
                <w:fitText w:val="150" w:id="-1032093183"/>
                <w14:textFill>
                  <w14:solidFill>
                    <w14:srgbClr w14:val="000000">
                      <w14:alpha w14:val="100000"/>
                    </w14:srgbClr>
                  </w14:solidFill>
                </w14:textFill>
              </w:rPr>
              <w:t xml:space="preserve">　</w:t>
            </w:r>
            <w:r w:rsidRPr="008129BD">
              <w:rPr>
                <w:rFonts w:ascii="Arial Narrow" w:hAnsi="Arial Narrow" w:cs="Times New Roman"/>
                <w:snapToGrid w:val="0"/>
                <w:color w:val="000000"/>
                <w:w w:val="33"/>
                <w:sz w:val="20"/>
                <w:szCs w:val="20"/>
                <w:shd w:val="solid" w:color="000000" w:fill="000000"/>
                <w:fitText w:val="150" w:id="-1032093183"/>
                <w14:textFill>
                  <w14:solidFill>
                    <w14:srgbClr w14:val="000000">
                      <w14:alpha w14:val="100000"/>
                    </w14:srgbClr>
                  </w14:solidFill>
                </w14:textFill>
              </w:rPr>
              <w:t>|</w:t>
            </w:r>
            <w:r w:rsidRPr="008129BD">
              <w:rPr>
                <w:rFonts w:ascii="Arial Narrow" w:hAnsi="Arial Narrow" w:cs="Times New Roman" w:hint="eastAsia"/>
                <w:snapToGrid w:val="0"/>
                <w:color w:val="000000"/>
                <w:spacing w:val="4"/>
                <w:w w:val="33"/>
                <w:sz w:val="20"/>
                <w:szCs w:val="20"/>
                <w:shd w:val="solid" w:color="000000" w:fill="000000"/>
                <w:fitText w:val="150" w:id="-1032093183"/>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94" w:type="pct"/>
            <w:vAlign w:val="center"/>
          </w:tcPr>
          <w:p w14:paraId="330D5BC0" w14:textId="02643A12" w:rsidR="0051770A" w:rsidRPr="00E619B1" w:rsidRDefault="008129BD" w:rsidP="000841DE">
            <w:pPr>
              <w:jc w:val="center"/>
              <w:rPr>
                <w:rFonts w:ascii="Arial Narrow" w:hAnsi="Arial Narrow" w:cs="Times New Roman"/>
                <w:snapToGrid w:val="0"/>
                <w:sz w:val="20"/>
                <w:szCs w:val="20"/>
                <w:highlight w:val="darkGray"/>
              </w:rPr>
            </w:pPr>
            <w:r>
              <w:rPr>
                <w:rFonts w:ascii="Arial Narrow" w:hAnsi="Arial Narrow" w:cs="Times New Roman"/>
                <w:snapToGrid w:val="0"/>
                <w:sz w:val="20"/>
                <w:szCs w:val="20"/>
              </w:rPr>
              <w:t xml:space="preserve"> </w:t>
            </w:r>
            <w:r w:rsidRPr="008129BD">
              <w:rPr>
                <w:rFonts w:ascii="Arial Narrow" w:hAnsi="Arial Narrow" w:cs="Times New Roman" w:hint="eastAsia"/>
                <w:snapToGrid w:val="0"/>
                <w:color w:val="000000"/>
                <w:w w:val="27"/>
                <w:sz w:val="20"/>
                <w:szCs w:val="20"/>
                <w:shd w:val="solid" w:color="000000" w:fill="000000"/>
                <w:fitText w:val="120" w:id="-1032093182"/>
                <w14:textFill>
                  <w14:solidFill>
                    <w14:srgbClr w14:val="000000">
                      <w14:alpha w14:val="100000"/>
                    </w14:srgbClr>
                  </w14:solidFill>
                </w14:textFill>
              </w:rPr>
              <w:t xml:space="preserve">　</w:t>
            </w:r>
            <w:r w:rsidRPr="008129BD">
              <w:rPr>
                <w:rFonts w:ascii="Arial Narrow" w:hAnsi="Arial Narrow" w:cs="Times New Roman"/>
                <w:snapToGrid w:val="0"/>
                <w:color w:val="000000"/>
                <w:w w:val="27"/>
                <w:sz w:val="20"/>
                <w:szCs w:val="20"/>
                <w:shd w:val="solid" w:color="000000" w:fill="000000"/>
                <w:fitText w:val="120" w:id="-1032093182"/>
                <w14:textFill>
                  <w14:solidFill>
                    <w14:srgbClr w14:val="000000">
                      <w14:alpha w14:val="100000"/>
                    </w14:srgbClr>
                  </w14:solidFill>
                </w14:textFill>
              </w:rPr>
              <w:t>|</w:t>
            </w:r>
            <w:r w:rsidRPr="008129BD">
              <w:rPr>
                <w:rFonts w:ascii="Arial Narrow" w:hAnsi="Arial Narrow" w:cs="Times New Roman" w:hint="eastAsia"/>
                <w:snapToGrid w:val="0"/>
                <w:color w:val="000000"/>
                <w:spacing w:val="2"/>
                <w:w w:val="27"/>
                <w:sz w:val="20"/>
                <w:szCs w:val="20"/>
                <w:shd w:val="solid" w:color="000000" w:fill="000000"/>
                <w:fitText w:val="120" w:id="-1032093182"/>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22" w:type="pct"/>
            <w:vAlign w:val="center"/>
          </w:tcPr>
          <w:p w14:paraId="2285A4ED" w14:textId="57AEA495" w:rsidR="0051770A" w:rsidRPr="002C3702" w:rsidRDefault="00820A92" w:rsidP="000841DE">
            <w:pPr>
              <w:keepNext/>
              <w:jc w:val="center"/>
              <w:rPr>
                <w:rFonts w:ascii="Arial Narrow" w:hAnsi="Arial Narrow" w:cs="Times New Roman"/>
                <w:iCs/>
                <w:sz w:val="20"/>
                <w:szCs w:val="20"/>
              </w:rPr>
            </w:pPr>
            <w:r w:rsidRPr="002C3702">
              <w:rPr>
                <w:rFonts w:ascii="Arial Narrow" w:hAnsi="Arial Narrow" w:cs="Times New Roman"/>
                <w:iCs/>
                <w:sz w:val="20"/>
                <w:szCs w:val="20"/>
              </w:rPr>
              <w:t>-</w:t>
            </w:r>
          </w:p>
        </w:tc>
      </w:tr>
      <w:tr w:rsidR="00030CC5" w:rsidRPr="002C3702" w14:paraId="44303264" w14:textId="77777777" w:rsidTr="000841DE">
        <w:tc>
          <w:tcPr>
            <w:tcW w:w="5000" w:type="pct"/>
            <w:gridSpan w:val="8"/>
            <w:vAlign w:val="center"/>
          </w:tcPr>
          <w:p w14:paraId="46DDC089" w14:textId="67019E35" w:rsidR="00030CC5" w:rsidRPr="002C3702" w:rsidRDefault="00030CC5" w:rsidP="00CC59FB">
            <w:pPr>
              <w:keepNext/>
              <w:rPr>
                <w:rFonts w:ascii="Arial Narrow" w:hAnsi="Arial Narrow" w:cs="Times New Roman"/>
                <w:b/>
                <w:iCs/>
                <w:sz w:val="20"/>
                <w:szCs w:val="20"/>
              </w:rPr>
            </w:pPr>
            <w:r w:rsidRPr="002C3702">
              <w:rPr>
                <w:rFonts w:ascii="Arial Narrow" w:hAnsi="Arial Narrow" w:cs="Times New Roman"/>
                <w:b/>
                <w:iCs/>
                <w:sz w:val="20"/>
                <w:szCs w:val="20"/>
              </w:rPr>
              <w:t xml:space="preserve">Uptake rate of ABE (base case: </w:t>
            </w:r>
            <w:r w:rsidR="00CF6630">
              <w:rPr>
                <w:rFonts w:ascii="Arial Narrow" w:hAnsi="Arial Narrow" w:cs="Times New Roman"/>
                <w:b/>
                <w:iCs/>
                <w:sz w:val="20"/>
                <w:szCs w:val="20"/>
              </w:rPr>
              <w:t xml:space="preserve"> </w:t>
            </w:r>
            <w:r w:rsidR="00CF6630" w:rsidRPr="00CF6630">
              <w:rPr>
                <w:rFonts w:ascii="Arial Narrow" w:hAnsi="Arial Narrow" w:cs="Times New Roman"/>
                <w:b/>
                <w:iCs/>
                <w:color w:val="000000"/>
                <w:spacing w:val="12"/>
                <w:sz w:val="20"/>
                <w:szCs w:val="20"/>
                <w:shd w:val="solid" w:color="000000" w:fill="000000"/>
                <w:fitText w:val="340" w:id="-1026295293"/>
                <w14:textFill>
                  <w14:solidFill>
                    <w14:srgbClr w14:val="000000">
                      <w14:alpha w14:val="100000"/>
                    </w14:srgbClr>
                  </w14:solidFill>
                </w14:textFill>
              </w:rPr>
              <w:t>||  |</w:t>
            </w:r>
            <w:r w:rsidR="00CF6630" w:rsidRPr="00CF6630">
              <w:rPr>
                <w:rFonts w:ascii="Arial Narrow" w:hAnsi="Arial Narrow" w:cs="Times New Roman"/>
                <w:b/>
                <w:iCs/>
                <w:color w:val="000000"/>
                <w:spacing w:val="5"/>
                <w:sz w:val="20"/>
                <w:szCs w:val="20"/>
                <w:shd w:val="solid" w:color="000000" w:fill="000000"/>
                <w:fitText w:val="340" w:id="-1026295293"/>
                <w14:textFill>
                  <w14:solidFill>
                    <w14:srgbClr w14:val="000000">
                      <w14:alpha w14:val="100000"/>
                    </w14:srgbClr>
                  </w14:solidFill>
                </w14:textFill>
              </w:rPr>
              <w:t>|</w:t>
            </w:r>
            <w:r w:rsidRPr="002C3702">
              <w:rPr>
                <w:rFonts w:ascii="Arial Narrow" w:hAnsi="Arial Narrow" w:cs="Times New Roman"/>
                <w:b/>
                <w:iCs/>
                <w:sz w:val="20"/>
                <w:szCs w:val="20"/>
              </w:rPr>
              <w:t>% in Years 1-6)</w:t>
            </w:r>
          </w:p>
        </w:tc>
      </w:tr>
      <w:tr w:rsidR="000841DE" w:rsidRPr="002C3702" w14:paraId="509A4857" w14:textId="77777777" w:rsidTr="000841DE">
        <w:tc>
          <w:tcPr>
            <w:tcW w:w="917" w:type="pct"/>
          </w:tcPr>
          <w:p w14:paraId="080A1261" w14:textId="0F1874D2" w:rsidR="00824BBF" w:rsidRPr="002C3702" w:rsidRDefault="008129BD" w:rsidP="00824BBF">
            <w:pPr>
              <w:keepNext/>
              <w:jc w:val="left"/>
              <w:rPr>
                <w:rFonts w:ascii="Arial Narrow" w:hAnsi="Arial Narrow" w:cs="Times New Roman"/>
                <w:iCs/>
                <w:sz w:val="20"/>
                <w:szCs w:val="20"/>
              </w:rPr>
            </w:pPr>
            <w:r>
              <w:rPr>
                <w:rFonts w:ascii="Arial Narrow" w:hAnsi="Arial Narrow" w:cs="Times New Roman"/>
                <w:iCs/>
                <w:sz w:val="20"/>
                <w:szCs w:val="20"/>
              </w:rPr>
              <w:t xml:space="preserve"> </w:t>
            </w:r>
            <w:r w:rsidRPr="00CF6630">
              <w:rPr>
                <w:rFonts w:ascii="Arial Narrow" w:hAnsi="Arial Narrow" w:cs="Times New Roman"/>
                <w:iCs/>
                <w:color w:val="000000"/>
                <w:spacing w:val="53"/>
                <w:sz w:val="20"/>
                <w:szCs w:val="20"/>
                <w:shd w:val="solid" w:color="000000" w:fill="000000"/>
                <w:fitText w:val="330" w:id="-1032093181"/>
                <w14:textFill>
                  <w14:solidFill>
                    <w14:srgbClr w14:val="000000">
                      <w14:alpha w14:val="100000"/>
                    </w14:srgbClr>
                  </w14:solidFill>
                </w14:textFill>
              </w:rPr>
              <w:t>|||</w:t>
            </w:r>
            <w:r w:rsidRPr="00CF6630">
              <w:rPr>
                <w:rFonts w:ascii="Arial Narrow" w:hAnsi="Arial Narrow" w:cs="Times New Roman"/>
                <w:iCs/>
                <w:color w:val="000000"/>
                <w:spacing w:val="1"/>
                <w:sz w:val="20"/>
                <w:szCs w:val="20"/>
                <w:shd w:val="solid" w:color="000000" w:fill="000000"/>
                <w:fitText w:val="330" w:id="-1032093181"/>
                <w14:textFill>
                  <w14:solidFill>
                    <w14:srgbClr w14:val="000000">
                      <w14:alpha w14:val="100000"/>
                    </w14:srgbClr>
                  </w14:solidFill>
                </w14:textFill>
              </w:rPr>
              <w:t>|</w:t>
            </w:r>
            <w:r w:rsidR="00824BBF" w:rsidRPr="002C3702">
              <w:rPr>
                <w:rFonts w:ascii="Arial Narrow" w:hAnsi="Arial Narrow" w:cs="Times New Roman"/>
                <w:iCs/>
                <w:sz w:val="20"/>
                <w:szCs w:val="20"/>
              </w:rPr>
              <w:t xml:space="preserve">% in Year 1, increasing by 5% per year up to </w:t>
            </w:r>
            <w:r>
              <w:rPr>
                <w:rFonts w:ascii="Arial Narrow" w:hAnsi="Arial Narrow" w:cs="Times New Roman"/>
                <w:iCs/>
                <w:sz w:val="20"/>
                <w:szCs w:val="20"/>
              </w:rPr>
              <w:t xml:space="preserve"> </w:t>
            </w:r>
            <w:r w:rsidRPr="00CF6630">
              <w:rPr>
                <w:rFonts w:ascii="Arial Narrow" w:hAnsi="Arial Narrow" w:cs="Times New Roman"/>
                <w:iCs/>
                <w:color w:val="000000"/>
                <w:spacing w:val="53"/>
                <w:sz w:val="20"/>
                <w:szCs w:val="20"/>
                <w:shd w:val="solid" w:color="000000" w:fill="000000"/>
                <w:fitText w:val="330" w:id="-1032093180"/>
                <w14:textFill>
                  <w14:solidFill>
                    <w14:srgbClr w14:val="000000">
                      <w14:alpha w14:val="100000"/>
                    </w14:srgbClr>
                  </w14:solidFill>
                </w14:textFill>
              </w:rPr>
              <w:t>|||</w:t>
            </w:r>
            <w:r w:rsidRPr="00CF6630">
              <w:rPr>
                <w:rFonts w:ascii="Arial Narrow" w:hAnsi="Arial Narrow" w:cs="Times New Roman"/>
                <w:iCs/>
                <w:color w:val="000000"/>
                <w:spacing w:val="1"/>
                <w:sz w:val="20"/>
                <w:szCs w:val="20"/>
                <w:shd w:val="solid" w:color="000000" w:fill="000000"/>
                <w:fitText w:val="330" w:id="-1032093180"/>
                <w14:textFill>
                  <w14:solidFill>
                    <w14:srgbClr w14:val="000000">
                      <w14:alpha w14:val="100000"/>
                    </w14:srgbClr>
                  </w14:solidFill>
                </w14:textFill>
              </w:rPr>
              <w:t>|</w:t>
            </w:r>
            <w:r w:rsidR="00824BBF" w:rsidRPr="002C3702">
              <w:rPr>
                <w:rFonts w:ascii="Arial Narrow" w:hAnsi="Arial Narrow" w:cs="Times New Roman"/>
                <w:iCs/>
                <w:sz w:val="20"/>
                <w:szCs w:val="20"/>
              </w:rPr>
              <w:t>% in Year 6</w:t>
            </w:r>
            <w:r w:rsidR="00C76942" w:rsidRPr="002C3702">
              <w:rPr>
                <w:rFonts w:ascii="Arial Narrow" w:hAnsi="Arial Narrow" w:cs="Times New Roman"/>
                <w:iCs/>
                <w:sz w:val="20"/>
                <w:szCs w:val="20"/>
              </w:rPr>
              <w:t xml:space="preserve"> (SA.1)</w:t>
            </w:r>
            <w:r w:rsidR="00824BBF" w:rsidRPr="002C3702">
              <w:rPr>
                <w:rFonts w:ascii="Arial Narrow" w:hAnsi="Arial Narrow" w:cs="Times New Roman"/>
                <w:iCs/>
                <w:sz w:val="20"/>
                <w:szCs w:val="20"/>
              </w:rPr>
              <w:t xml:space="preserve"> </w:t>
            </w:r>
          </w:p>
        </w:tc>
        <w:tc>
          <w:tcPr>
            <w:tcW w:w="607" w:type="pct"/>
            <w:vAlign w:val="center"/>
          </w:tcPr>
          <w:p w14:paraId="056FC3DF" w14:textId="6C07B210"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79"/>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79"/>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79"/>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2</w:t>
            </w:r>
          </w:p>
        </w:tc>
        <w:tc>
          <w:tcPr>
            <w:tcW w:w="611" w:type="pct"/>
            <w:vAlign w:val="center"/>
          </w:tcPr>
          <w:p w14:paraId="2BB9F111" w14:textId="3F21471A"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78"/>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78"/>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78"/>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4</w:t>
            </w:r>
          </w:p>
        </w:tc>
        <w:tc>
          <w:tcPr>
            <w:tcW w:w="610" w:type="pct"/>
            <w:vAlign w:val="center"/>
          </w:tcPr>
          <w:p w14:paraId="1761F5B7" w14:textId="77DEE3D3"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2"/>
                <w:sz w:val="20"/>
                <w:szCs w:val="20"/>
                <w:shd w:val="solid" w:color="000000" w:fill="000000"/>
                <w:fitText w:val="100" w:id="-1032093177"/>
                <w14:textFill>
                  <w14:solidFill>
                    <w14:srgbClr w14:val="000000">
                      <w14:alpha w14:val="100000"/>
                    </w14:srgbClr>
                  </w14:solidFill>
                </w14:textFill>
              </w:rPr>
              <w:t xml:space="preserve">　</w:t>
            </w:r>
            <w:r w:rsidRPr="008129BD">
              <w:rPr>
                <w:rFonts w:ascii="Arial Narrow" w:hAnsi="Arial Narrow" w:cs="Times New Roman"/>
                <w:iCs/>
                <w:snapToGrid w:val="0"/>
                <w:color w:val="000000"/>
                <w:w w:val="22"/>
                <w:sz w:val="20"/>
                <w:szCs w:val="20"/>
                <w:shd w:val="solid" w:color="000000" w:fill="000000"/>
                <w:fitText w:val="100" w:id="-1032093177"/>
                <w14:textFill>
                  <w14:solidFill>
                    <w14:srgbClr w14:val="000000">
                      <w14:alpha w14:val="100000"/>
                    </w14:srgbClr>
                  </w14:solidFill>
                </w14:textFill>
              </w:rPr>
              <w:t>|</w:t>
            </w:r>
            <w:r w:rsidRPr="008129BD">
              <w:rPr>
                <w:rFonts w:ascii="Arial Narrow" w:hAnsi="Arial Narrow" w:cs="Times New Roman" w:hint="eastAsia"/>
                <w:iCs/>
                <w:snapToGrid w:val="0"/>
                <w:color w:val="000000"/>
                <w:spacing w:val="3"/>
                <w:w w:val="22"/>
                <w:sz w:val="20"/>
                <w:szCs w:val="20"/>
                <w:shd w:val="solid" w:color="000000" w:fill="000000"/>
                <w:fitText w:val="100" w:id="-1032093177"/>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241C2D79" w14:textId="6E0A36C7"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76"/>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76"/>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76"/>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68093314" w14:textId="0FFDF2D2"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75"/>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75"/>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75"/>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94" w:type="pct"/>
            <w:vAlign w:val="center"/>
          </w:tcPr>
          <w:p w14:paraId="43F961FA" w14:textId="1C716F48" w:rsidR="00824BBF"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27"/>
                <w:sz w:val="20"/>
                <w:szCs w:val="20"/>
                <w:shd w:val="solid" w:color="000000" w:fill="000000"/>
                <w:fitText w:val="120" w:id="-1032093174"/>
                <w14:textFill>
                  <w14:solidFill>
                    <w14:srgbClr w14:val="000000">
                      <w14:alpha w14:val="100000"/>
                    </w14:srgbClr>
                  </w14:solidFill>
                </w14:textFill>
              </w:rPr>
              <w:t xml:space="preserve">　</w:t>
            </w:r>
            <w:r w:rsidRPr="00CF6630">
              <w:rPr>
                <w:rFonts w:ascii="Arial Narrow" w:hAnsi="Arial Narrow" w:cs="Times New Roman"/>
                <w:iCs/>
                <w:snapToGrid w:val="0"/>
                <w:color w:val="000000"/>
                <w:w w:val="27"/>
                <w:sz w:val="20"/>
                <w:szCs w:val="20"/>
                <w:shd w:val="solid" w:color="000000" w:fill="000000"/>
                <w:fitText w:val="120" w:id="-1032093174"/>
                <w14:textFill>
                  <w14:solidFill>
                    <w14:srgbClr w14:val="000000">
                      <w14:alpha w14:val="100000"/>
                    </w14:srgbClr>
                  </w14:solidFill>
                </w14:textFill>
              </w:rPr>
              <w:t>|</w:t>
            </w:r>
            <w:r w:rsidRPr="00CF6630">
              <w:rPr>
                <w:rFonts w:ascii="Arial Narrow" w:hAnsi="Arial Narrow" w:cs="Times New Roman" w:hint="eastAsia"/>
                <w:iCs/>
                <w:snapToGrid w:val="0"/>
                <w:color w:val="000000"/>
                <w:spacing w:val="2"/>
                <w:w w:val="27"/>
                <w:sz w:val="20"/>
                <w:szCs w:val="20"/>
                <w:shd w:val="solid" w:color="000000" w:fill="000000"/>
                <w:fitText w:val="120" w:id="-1032093174"/>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22" w:type="pct"/>
            <w:vAlign w:val="center"/>
          </w:tcPr>
          <w:p w14:paraId="51309A3F" w14:textId="0A6FC35B" w:rsidR="00824BBF" w:rsidRPr="002C3702" w:rsidRDefault="00824BBF" w:rsidP="000841DE">
            <w:pPr>
              <w:keepNext/>
              <w:jc w:val="center"/>
              <w:rPr>
                <w:rFonts w:ascii="Arial Narrow" w:hAnsi="Arial Narrow" w:cs="Times New Roman"/>
                <w:iCs/>
                <w:sz w:val="20"/>
                <w:szCs w:val="20"/>
                <w:highlight w:val="yellow"/>
              </w:rPr>
            </w:pPr>
            <w:r w:rsidRPr="002C3702">
              <w:rPr>
                <w:rFonts w:ascii="Arial Narrow" w:hAnsi="Arial Narrow" w:cs="Times New Roman"/>
                <w:iCs/>
                <w:sz w:val="20"/>
                <w:szCs w:val="20"/>
              </w:rPr>
              <w:t>-</w:t>
            </w:r>
            <w:r w:rsidR="00C76942" w:rsidRPr="002C3702">
              <w:rPr>
                <w:rFonts w:ascii="Arial Narrow" w:hAnsi="Arial Narrow" w:cs="Times New Roman"/>
                <w:iCs/>
                <w:sz w:val="20"/>
                <w:szCs w:val="20"/>
              </w:rPr>
              <w:t>15.5</w:t>
            </w:r>
            <w:r w:rsidRPr="002C3702">
              <w:rPr>
                <w:rFonts w:ascii="Arial Narrow" w:hAnsi="Arial Narrow" w:cs="Times New Roman"/>
                <w:iCs/>
                <w:sz w:val="20"/>
                <w:szCs w:val="20"/>
              </w:rPr>
              <w:t>%</w:t>
            </w:r>
          </w:p>
        </w:tc>
      </w:tr>
      <w:tr w:rsidR="00030CC5" w:rsidRPr="002C3702" w14:paraId="332BA9F7" w14:textId="77777777" w:rsidTr="000841DE">
        <w:tc>
          <w:tcPr>
            <w:tcW w:w="5000" w:type="pct"/>
            <w:gridSpan w:val="8"/>
            <w:vAlign w:val="center"/>
          </w:tcPr>
          <w:p w14:paraId="49D60932" w14:textId="55D1FABB" w:rsidR="00030CC5" w:rsidRPr="002C3702" w:rsidRDefault="00820A92" w:rsidP="00CC59FB">
            <w:pPr>
              <w:keepNext/>
              <w:rPr>
                <w:rFonts w:ascii="Arial Narrow" w:hAnsi="Arial Narrow" w:cs="Times New Roman"/>
                <w:iCs/>
                <w:sz w:val="20"/>
                <w:szCs w:val="20"/>
                <w:highlight w:val="yellow"/>
              </w:rPr>
            </w:pPr>
            <w:r w:rsidRPr="002C3702">
              <w:rPr>
                <w:rFonts w:ascii="Arial Narrow" w:hAnsi="Arial Narrow" w:cs="Times New Roman"/>
                <w:b/>
                <w:iCs/>
                <w:sz w:val="20"/>
                <w:szCs w:val="20"/>
              </w:rPr>
              <w:t>T</w:t>
            </w:r>
            <w:r w:rsidR="00237329" w:rsidRPr="002C3702">
              <w:rPr>
                <w:rFonts w:ascii="Arial Narrow" w:hAnsi="Arial Narrow" w:cs="Times New Roman"/>
                <w:b/>
                <w:iCs/>
                <w:sz w:val="20"/>
                <w:szCs w:val="20"/>
              </w:rPr>
              <w:t>reatment duration (</w:t>
            </w:r>
            <w:r w:rsidR="00030CC5" w:rsidRPr="002C3702">
              <w:rPr>
                <w:rFonts w:ascii="Arial Narrow" w:hAnsi="Arial Narrow" w:cs="Times New Roman"/>
                <w:b/>
                <w:iCs/>
                <w:sz w:val="20"/>
                <w:szCs w:val="20"/>
              </w:rPr>
              <w:t xml:space="preserve">base case: </w:t>
            </w:r>
            <w:r w:rsidR="0066170F" w:rsidRPr="002C3702">
              <w:rPr>
                <w:rFonts w:ascii="Arial Narrow" w:hAnsi="Arial Narrow" w:cs="Times New Roman"/>
                <w:b/>
                <w:iCs/>
                <w:sz w:val="20"/>
                <w:szCs w:val="20"/>
              </w:rPr>
              <w:t>24</w:t>
            </w:r>
            <w:r w:rsidR="00E170AB" w:rsidRPr="002C3702">
              <w:rPr>
                <w:rFonts w:ascii="Arial Narrow" w:hAnsi="Arial Narrow" w:cs="Times New Roman"/>
                <w:b/>
                <w:iCs/>
                <w:sz w:val="20"/>
                <w:szCs w:val="20"/>
              </w:rPr>
              <w:t xml:space="preserve"> </w:t>
            </w:r>
            <w:r w:rsidR="00030CC5" w:rsidRPr="002C3702">
              <w:rPr>
                <w:rFonts w:ascii="Arial Narrow" w:hAnsi="Arial Narrow" w:cs="Times New Roman"/>
                <w:b/>
                <w:iCs/>
                <w:sz w:val="20"/>
                <w:szCs w:val="20"/>
              </w:rPr>
              <w:t>months</w:t>
            </w:r>
            <w:r w:rsidR="0066170F" w:rsidRPr="002C3702">
              <w:rPr>
                <w:rFonts w:ascii="Arial Narrow" w:hAnsi="Arial Narrow" w:cs="Times New Roman"/>
                <w:b/>
                <w:iCs/>
                <w:sz w:val="20"/>
                <w:szCs w:val="20"/>
              </w:rPr>
              <w:t>)</w:t>
            </w:r>
          </w:p>
        </w:tc>
      </w:tr>
      <w:tr w:rsidR="000841DE" w:rsidRPr="002C3702" w14:paraId="03F6C46A" w14:textId="77777777" w:rsidTr="000841DE">
        <w:tc>
          <w:tcPr>
            <w:tcW w:w="917" w:type="pct"/>
          </w:tcPr>
          <w:p w14:paraId="2D244AAA" w14:textId="5E67E3C4" w:rsidR="00C76942" w:rsidRPr="002C3702" w:rsidRDefault="00C76942" w:rsidP="00C76942">
            <w:pPr>
              <w:keepNext/>
              <w:jc w:val="left"/>
              <w:rPr>
                <w:rFonts w:ascii="Arial Narrow" w:hAnsi="Arial Narrow" w:cs="Times New Roman"/>
                <w:iCs/>
                <w:sz w:val="20"/>
                <w:szCs w:val="20"/>
              </w:rPr>
            </w:pPr>
            <w:r w:rsidRPr="002C3702">
              <w:rPr>
                <w:rFonts w:ascii="Arial Narrow" w:hAnsi="Arial Narrow" w:cs="Times New Roman"/>
                <w:iCs/>
                <w:sz w:val="20"/>
                <w:szCs w:val="20"/>
              </w:rPr>
              <w:t>Treatment duration of 18 months (</w:t>
            </w:r>
            <w:r w:rsidR="00E91B8B" w:rsidRPr="002C3702">
              <w:rPr>
                <w:rFonts w:ascii="Arial Narrow" w:hAnsi="Arial Narrow" w:cs="Times New Roman"/>
                <w:iCs/>
                <w:sz w:val="20"/>
                <w:szCs w:val="20"/>
              </w:rPr>
              <w:t xml:space="preserve">consistent with </w:t>
            </w:r>
            <w:r w:rsidRPr="002C3702">
              <w:rPr>
                <w:rFonts w:ascii="Arial Narrow" w:hAnsi="Arial Narrow" w:cs="Times New Roman"/>
                <w:iCs/>
                <w:sz w:val="20"/>
                <w:szCs w:val="20"/>
              </w:rPr>
              <w:t>previous PBAC advice) (SA.2)</w:t>
            </w:r>
          </w:p>
        </w:tc>
        <w:tc>
          <w:tcPr>
            <w:tcW w:w="607" w:type="pct"/>
            <w:vAlign w:val="center"/>
          </w:tcPr>
          <w:p w14:paraId="64511EBE" w14:textId="0B340384"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73"/>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73"/>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73"/>
                <w14:textFill>
                  <w14:solidFill>
                    <w14:srgbClr w14:val="000000">
                      <w14:alpha w14:val="100000"/>
                    </w14:srgbClr>
                  </w14:solidFill>
                </w14:textFill>
              </w:rPr>
              <w:t xml:space="preserve">　</w:t>
            </w:r>
            <w:r w:rsidR="00E619B1" w:rsidRPr="00E619B1">
              <w:rPr>
                <w:rFonts w:ascii="Arial Narrow" w:hAnsi="Arial Narrow" w:cs="Times New Roman"/>
                <w:snapToGrid w:val="0"/>
                <w:sz w:val="20"/>
                <w:szCs w:val="20"/>
                <w:vertAlign w:val="superscript"/>
              </w:rPr>
              <w:t>1</w:t>
            </w:r>
          </w:p>
        </w:tc>
        <w:tc>
          <w:tcPr>
            <w:tcW w:w="611" w:type="pct"/>
            <w:vAlign w:val="center"/>
          </w:tcPr>
          <w:p w14:paraId="171547B3" w14:textId="10FEE896"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72"/>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72"/>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72"/>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4</w:t>
            </w:r>
          </w:p>
        </w:tc>
        <w:tc>
          <w:tcPr>
            <w:tcW w:w="610" w:type="pct"/>
            <w:vAlign w:val="center"/>
          </w:tcPr>
          <w:p w14:paraId="266C6E5A" w14:textId="5ED489E3"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2"/>
                <w:sz w:val="20"/>
                <w:szCs w:val="20"/>
                <w:shd w:val="solid" w:color="000000" w:fill="000000"/>
                <w:fitText w:val="100" w:id="-1032093171"/>
                <w14:textFill>
                  <w14:solidFill>
                    <w14:srgbClr w14:val="000000">
                      <w14:alpha w14:val="100000"/>
                    </w14:srgbClr>
                  </w14:solidFill>
                </w14:textFill>
              </w:rPr>
              <w:t xml:space="preserve">　</w:t>
            </w:r>
            <w:r w:rsidRPr="008129BD">
              <w:rPr>
                <w:rFonts w:ascii="Arial Narrow" w:hAnsi="Arial Narrow" w:cs="Times New Roman"/>
                <w:iCs/>
                <w:snapToGrid w:val="0"/>
                <w:color w:val="000000"/>
                <w:w w:val="22"/>
                <w:sz w:val="20"/>
                <w:szCs w:val="20"/>
                <w:shd w:val="solid" w:color="000000" w:fill="000000"/>
                <w:fitText w:val="100" w:id="-1032093171"/>
                <w14:textFill>
                  <w14:solidFill>
                    <w14:srgbClr w14:val="000000">
                      <w14:alpha w14:val="100000"/>
                    </w14:srgbClr>
                  </w14:solidFill>
                </w14:textFill>
              </w:rPr>
              <w:t>|</w:t>
            </w:r>
            <w:r w:rsidRPr="008129BD">
              <w:rPr>
                <w:rFonts w:ascii="Arial Narrow" w:hAnsi="Arial Narrow" w:cs="Times New Roman" w:hint="eastAsia"/>
                <w:iCs/>
                <w:snapToGrid w:val="0"/>
                <w:color w:val="000000"/>
                <w:spacing w:val="3"/>
                <w:w w:val="22"/>
                <w:sz w:val="20"/>
                <w:szCs w:val="20"/>
                <w:shd w:val="solid" w:color="000000" w:fill="000000"/>
                <w:fitText w:val="100" w:id="-1032093171"/>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28D241BF" w14:textId="3CB2654C"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70"/>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70"/>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70"/>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25310811" w14:textId="3B54D139"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69"/>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69"/>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69"/>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94" w:type="pct"/>
            <w:vAlign w:val="center"/>
          </w:tcPr>
          <w:p w14:paraId="650F392F" w14:textId="09B5F46D"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27"/>
                <w:sz w:val="20"/>
                <w:szCs w:val="20"/>
                <w:shd w:val="solid" w:color="000000" w:fill="000000"/>
                <w:fitText w:val="120" w:id="-1032093168"/>
                <w14:textFill>
                  <w14:solidFill>
                    <w14:srgbClr w14:val="000000">
                      <w14:alpha w14:val="100000"/>
                    </w14:srgbClr>
                  </w14:solidFill>
                </w14:textFill>
              </w:rPr>
              <w:t xml:space="preserve">　</w:t>
            </w:r>
            <w:r w:rsidRPr="00CF6630">
              <w:rPr>
                <w:rFonts w:ascii="Arial Narrow" w:hAnsi="Arial Narrow" w:cs="Times New Roman"/>
                <w:iCs/>
                <w:snapToGrid w:val="0"/>
                <w:color w:val="000000"/>
                <w:w w:val="27"/>
                <w:sz w:val="20"/>
                <w:szCs w:val="20"/>
                <w:shd w:val="solid" w:color="000000" w:fill="000000"/>
                <w:fitText w:val="120" w:id="-1032093168"/>
                <w14:textFill>
                  <w14:solidFill>
                    <w14:srgbClr w14:val="000000">
                      <w14:alpha w14:val="100000"/>
                    </w14:srgbClr>
                  </w14:solidFill>
                </w14:textFill>
              </w:rPr>
              <w:t>|</w:t>
            </w:r>
            <w:r w:rsidRPr="00CF6630">
              <w:rPr>
                <w:rFonts w:ascii="Arial Narrow" w:hAnsi="Arial Narrow" w:cs="Times New Roman" w:hint="eastAsia"/>
                <w:iCs/>
                <w:snapToGrid w:val="0"/>
                <w:color w:val="000000"/>
                <w:spacing w:val="2"/>
                <w:w w:val="27"/>
                <w:sz w:val="20"/>
                <w:szCs w:val="20"/>
                <w:shd w:val="solid" w:color="000000" w:fill="000000"/>
                <w:fitText w:val="120" w:id="-1032093168"/>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22" w:type="pct"/>
            <w:shd w:val="clear" w:color="auto" w:fill="auto"/>
            <w:vAlign w:val="center"/>
          </w:tcPr>
          <w:p w14:paraId="1411A515" w14:textId="65C76F1F" w:rsidR="00C76942" w:rsidRPr="002C3702" w:rsidRDefault="00C76942" w:rsidP="000841DE">
            <w:pPr>
              <w:keepNext/>
              <w:jc w:val="center"/>
              <w:rPr>
                <w:rFonts w:ascii="Arial Narrow" w:hAnsi="Arial Narrow" w:cs="Times New Roman"/>
                <w:iCs/>
                <w:sz w:val="20"/>
                <w:szCs w:val="20"/>
                <w:highlight w:val="yellow"/>
              </w:rPr>
            </w:pPr>
            <w:r w:rsidRPr="002C3702">
              <w:rPr>
                <w:rFonts w:ascii="Arial Narrow" w:hAnsi="Arial Narrow" w:cs="Times New Roman"/>
                <w:iCs/>
                <w:sz w:val="20"/>
                <w:szCs w:val="20"/>
              </w:rPr>
              <w:t>-22.5%</w:t>
            </w:r>
          </w:p>
        </w:tc>
      </w:tr>
      <w:tr w:rsidR="000841DE" w:rsidRPr="002C3702" w14:paraId="502D2A80" w14:textId="77777777" w:rsidTr="000841DE">
        <w:tc>
          <w:tcPr>
            <w:tcW w:w="917" w:type="pct"/>
          </w:tcPr>
          <w:p w14:paraId="294CBE0A" w14:textId="264B992C" w:rsidR="00C76942" w:rsidRPr="002C3702" w:rsidRDefault="00C76942" w:rsidP="00C76942">
            <w:pPr>
              <w:keepNext/>
              <w:jc w:val="left"/>
              <w:rPr>
                <w:rFonts w:ascii="Arial Narrow" w:hAnsi="Arial Narrow" w:cs="Times New Roman"/>
                <w:iCs/>
                <w:sz w:val="20"/>
                <w:szCs w:val="20"/>
              </w:rPr>
            </w:pPr>
            <w:r w:rsidRPr="002C3702">
              <w:rPr>
                <w:rFonts w:ascii="Arial Narrow" w:hAnsi="Arial Narrow" w:cs="Times New Roman"/>
                <w:iCs/>
                <w:sz w:val="20"/>
                <w:szCs w:val="20"/>
              </w:rPr>
              <w:t>Treatment duration of 21 months (</w:t>
            </w:r>
            <w:r w:rsidR="00E91B8B" w:rsidRPr="002C3702">
              <w:rPr>
                <w:rFonts w:ascii="Arial Narrow" w:hAnsi="Arial Narrow" w:cs="Times New Roman"/>
                <w:iCs/>
                <w:sz w:val="20"/>
                <w:szCs w:val="20"/>
              </w:rPr>
              <w:t xml:space="preserve">consistent with </w:t>
            </w:r>
            <w:r w:rsidRPr="002C3702">
              <w:rPr>
                <w:rFonts w:ascii="Arial Narrow" w:hAnsi="Arial Narrow" w:cs="Times New Roman"/>
                <w:iCs/>
                <w:sz w:val="20"/>
                <w:szCs w:val="20"/>
              </w:rPr>
              <w:t>economic model) (SA.3)</w:t>
            </w:r>
          </w:p>
        </w:tc>
        <w:tc>
          <w:tcPr>
            <w:tcW w:w="607" w:type="pct"/>
            <w:vAlign w:val="center"/>
          </w:tcPr>
          <w:p w14:paraId="002346AD" w14:textId="0D7F1DBA"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84"/>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84"/>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84"/>
                <w14:textFill>
                  <w14:solidFill>
                    <w14:srgbClr w14:val="000000">
                      <w14:alpha w14:val="100000"/>
                    </w14:srgbClr>
                  </w14:solidFill>
                </w14:textFill>
              </w:rPr>
              <w:t xml:space="preserve">　</w:t>
            </w:r>
            <w:r w:rsidR="00E619B1" w:rsidRPr="00E619B1">
              <w:rPr>
                <w:rFonts w:ascii="Arial Narrow" w:hAnsi="Arial Narrow" w:cs="Times New Roman"/>
                <w:snapToGrid w:val="0"/>
                <w:sz w:val="20"/>
                <w:szCs w:val="20"/>
                <w:vertAlign w:val="superscript"/>
              </w:rPr>
              <w:t>1</w:t>
            </w:r>
          </w:p>
        </w:tc>
        <w:tc>
          <w:tcPr>
            <w:tcW w:w="611" w:type="pct"/>
            <w:vAlign w:val="center"/>
          </w:tcPr>
          <w:p w14:paraId="645B016F" w14:textId="683868DB"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4"/>
                <w:sz w:val="20"/>
                <w:szCs w:val="20"/>
                <w:shd w:val="solid" w:color="000000" w:fill="000000"/>
                <w:fitText w:val="110" w:id="-1032093183"/>
                <w14:textFill>
                  <w14:solidFill>
                    <w14:srgbClr w14:val="000000">
                      <w14:alpha w14:val="100000"/>
                    </w14:srgbClr>
                  </w14:solidFill>
                </w14:textFill>
              </w:rPr>
              <w:t xml:space="preserve">　</w:t>
            </w:r>
            <w:r w:rsidRPr="008129BD">
              <w:rPr>
                <w:rFonts w:ascii="Arial Narrow" w:hAnsi="Arial Narrow" w:cs="Times New Roman"/>
                <w:iCs/>
                <w:snapToGrid w:val="0"/>
                <w:color w:val="000000"/>
                <w:w w:val="24"/>
                <w:sz w:val="20"/>
                <w:szCs w:val="20"/>
                <w:shd w:val="solid" w:color="000000" w:fill="000000"/>
                <w:fitText w:val="110" w:id="-1032093183"/>
                <w14:textFill>
                  <w14:solidFill>
                    <w14:srgbClr w14:val="000000">
                      <w14:alpha w14:val="100000"/>
                    </w14:srgbClr>
                  </w14:solidFill>
                </w14:textFill>
              </w:rPr>
              <w:t>|</w:t>
            </w:r>
            <w:r w:rsidRPr="008129BD">
              <w:rPr>
                <w:rFonts w:ascii="Arial Narrow" w:hAnsi="Arial Narrow" w:cs="Times New Roman" w:hint="eastAsia"/>
                <w:iCs/>
                <w:snapToGrid w:val="0"/>
                <w:color w:val="000000"/>
                <w:spacing w:val="6"/>
                <w:w w:val="24"/>
                <w:sz w:val="20"/>
                <w:szCs w:val="20"/>
                <w:shd w:val="solid" w:color="000000" w:fill="000000"/>
                <w:fitText w:val="110" w:id="-1032093183"/>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610" w:type="pct"/>
            <w:vAlign w:val="center"/>
          </w:tcPr>
          <w:p w14:paraId="1252EE13" w14:textId="107A0B17"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8129BD">
              <w:rPr>
                <w:rFonts w:ascii="Arial Narrow" w:hAnsi="Arial Narrow" w:cs="Times New Roman" w:hint="eastAsia"/>
                <w:iCs/>
                <w:snapToGrid w:val="0"/>
                <w:color w:val="000000"/>
                <w:w w:val="22"/>
                <w:sz w:val="20"/>
                <w:szCs w:val="20"/>
                <w:shd w:val="solid" w:color="000000" w:fill="000000"/>
                <w:fitText w:val="100" w:id="-1032093182"/>
                <w14:textFill>
                  <w14:solidFill>
                    <w14:srgbClr w14:val="000000">
                      <w14:alpha w14:val="100000"/>
                    </w14:srgbClr>
                  </w14:solidFill>
                </w14:textFill>
              </w:rPr>
              <w:t xml:space="preserve">　</w:t>
            </w:r>
            <w:r w:rsidRPr="008129BD">
              <w:rPr>
                <w:rFonts w:ascii="Arial Narrow" w:hAnsi="Arial Narrow" w:cs="Times New Roman"/>
                <w:iCs/>
                <w:snapToGrid w:val="0"/>
                <w:color w:val="000000"/>
                <w:w w:val="22"/>
                <w:sz w:val="20"/>
                <w:szCs w:val="20"/>
                <w:shd w:val="solid" w:color="000000" w:fill="000000"/>
                <w:fitText w:val="100" w:id="-1032093182"/>
                <w14:textFill>
                  <w14:solidFill>
                    <w14:srgbClr w14:val="000000">
                      <w14:alpha w14:val="100000"/>
                    </w14:srgbClr>
                  </w14:solidFill>
                </w14:textFill>
              </w:rPr>
              <w:t>|</w:t>
            </w:r>
            <w:r w:rsidRPr="008129BD">
              <w:rPr>
                <w:rFonts w:ascii="Arial Narrow" w:hAnsi="Arial Narrow" w:cs="Times New Roman" w:hint="eastAsia"/>
                <w:iCs/>
                <w:snapToGrid w:val="0"/>
                <w:color w:val="000000"/>
                <w:spacing w:val="3"/>
                <w:w w:val="22"/>
                <w:sz w:val="20"/>
                <w:szCs w:val="20"/>
                <w:shd w:val="solid" w:color="000000" w:fill="000000"/>
                <w:fitText w:val="100" w:id="-1032093182"/>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1283FC3D" w14:textId="62B8067F"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81"/>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81"/>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81"/>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5</w:t>
            </w:r>
          </w:p>
        </w:tc>
        <w:tc>
          <w:tcPr>
            <w:tcW w:w="569" w:type="pct"/>
            <w:vAlign w:val="center"/>
          </w:tcPr>
          <w:p w14:paraId="6C705F83" w14:textId="2A93D428"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33"/>
                <w:sz w:val="20"/>
                <w:szCs w:val="20"/>
                <w:shd w:val="solid" w:color="000000" w:fill="000000"/>
                <w:fitText w:val="150" w:id="-1032093180"/>
                <w14:textFill>
                  <w14:solidFill>
                    <w14:srgbClr w14:val="000000">
                      <w14:alpha w14:val="100000"/>
                    </w14:srgbClr>
                  </w14:solidFill>
                </w14:textFill>
              </w:rPr>
              <w:t xml:space="preserve">　</w:t>
            </w:r>
            <w:r w:rsidRPr="00CF6630">
              <w:rPr>
                <w:rFonts w:ascii="Arial Narrow" w:hAnsi="Arial Narrow" w:cs="Times New Roman"/>
                <w:iCs/>
                <w:snapToGrid w:val="0"/>
                <w:color w:val="000000"/>
                <w:w w:val="33"/>
                <w:sz w:val="20"/>
                <w:szCs w:val="20"/>
                <w:shd w:val="solid" w:color="000000" w:fill="000000"/>
                <w:fitText w:val="150" w:id="-1032093180"/>
                <w14:textFill>
                  <w14:solidFill>
                    <w14:srgbClr w14:val="000000">
                      <w14:alpha w14:val="100000"/>
                    </w14:srgbClr>
                  </w14:solidFill>
                </w14:textFill>
              </w:rPr>
              <w:t>|</w:t>
            </w:r>
            <w:r w:rsidRPr="00CF6630">
              <w:rPr>
                <w:rFonts w:ascii="Arial Narrow" w:hAnsi="Arial Narrow" w:cs="Times New Roman" w:hint="eastAsia"/>
                <w:iCs/>
                <w:snapToGrid w:val="0"/>
                <w:color w:val="000000"/>
                <w:spacing w:val="4"/>
                <w:w w:val="33"/>
                <w:sz w:val="20"/>
                <w:szCs w:val="20"/>
                <w:shd w:val="solid" w:color="000000" w:fill="000000"/>
                <w:fitText w:val="150" w:id="-1032093180"/>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94" w:type="pct"/>
            <w:vAlign w:val="center"/>
          </w:tcPr>
          <w:p w14:paraId="2E0D1D00" w14:textId="3583A895" w:rsidR="00C76942" w:rsidRPr="00E619B1" w:rsidRDefault="008129BD" w:rsidP="000841DE">
            <w:pPr>
              <w:jc w:val="center"/>
              <w:rPr>
                <w:rFonts w:ascii="Arial Narrow" w:hAnsi="Arial Narrow" w:cs="Times New Roman"/>
                <w:iCs/>
                <w:snapToGrid w:val="0"/>
                <w:sz w:val="20"/>
                <w:szCs w:val="20"/>
                <w:highlight w:val="darkGray"/>
              </w:rPr>
            </w:pPr>
            <w:r>
              <w:rPr>
                <w:rFonts w:ascii="Arial Narrow" w:hAnsi="Arial Narrow" w:cs="Times New Roman"/>
                <w:iCs/>
                <w:snapToGrid w:val="0"/>
                <w:sz w:val="20"/>
                <w:szCs w:val="20"/>
              </w:rPr>
              <w:t xml:space="preserve"> </w:t>
            </w:r>
            <w:r w:rsidRPr="00CF6630">
              <w:rPr>
                <w:rFonts w:ascii="Arial Narrow" w:hAnsi="Arial Narrow" w:cs="Times New Roman" w:hint="eastAsia"/>
                <w:iCs/>
                <w:snapToGrid w:val="0"/>
                <w:color w:val="000000"/>
                <w:w w:val="27"/>
                <w:sz w:val="20"/>
                <w:szCs w:val="20"/>
                <w:shd w:val="solid" w:color="000000" w:fill="000000"/>
                <w:fitText w:val="120" w:id="-1032093179"/>
                <w14:textFill>
                  <w14:solidFill>
                    <w14:srgbClr w14:val="000000">
                      <w14:alpha w14:val="100000"/>
                    </w14:srgbClr>
                  </w14:solidFill>
                </w14:textFill>
              </w:rPr>
              <w:t xml:space="preserve">　</w:t>
            </w:r>
            <w:r w:rsidRPr="00CF6630">
              <w:rPr>
                <w:rFonts w:ascii="Arial Narrow" w:hAnsi="Arial Narrow" w:cs="Times New Roman"/>
                <w:iCs/>
                <w:snapToGrid w:val="0"/>
                <w:color w:val="000000"/>
                <w:w w:val="27"/>
                <w:sz w:val="20"/>
                <w:szCs w:val="20"/>
                <w:shd w:val="solid" w:color="000000" w:fill="000000"/>
                <w:fitText w:val="120" w:id="-1032093179"/>
                <w14:textFill>
                  <w14:solidFill>
                    <w14:srgbClr w14:val="000000">
                      <w14:alpha w14:val="100000"/>
                    </w14:srgbClr>
                  </w14:solidFill>
                </w14:textFill>
              </w:rPr>
              <w:t>|</w:t>
            </w:r>
            <w:r w:rsidRPr="00CF6630">
              <w:rPr>
                <w:rFonts w:ascii="Arial Narrow" w:hAnsi="Arial Narrow" w:cs="Times New Roman" w:hint="eastAsia"/>
                <w:iCs/>
                <w:snapToGrid w:val="0"/>
                <w:color w:val="000000"/>
                <w:spacing w:val="2"/>
                <w:w w:val="27"/>
                <w:sz w:val="20"/>
                <w:szCs w:val="20"/>
                <w:shd w:val="solid" w:color="000000" w:fill="000000"/>
                <w:fitText w:val="120" w:id="-1032093179"/>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3</w:t>
            </w:r>
          </w:p>
        </w:tc>
        <w:tc>
          <w:tcPr>
            <w:tcW w:w="522" w:type="pct"/>
            <w:shd w:val="clear" w:color="auto" w:fill="auto"/>
            <w:vAlign w:val="center"/>
          </w:tcPr>
          <w:p w14:paraId="481E5EF1" w14:textId="04EAE096" w:rsidR="00C76942" w:rsidRPr="002C3702" w:rsidRDefault="00C76942" w:rsidP="000841DE">
            <w:pPr>
              <w:keepNext/>
              <w:jc w:val="center"/>
              <w:rPr>
                <w:rFonts w:ascii="Arial Narrow" w:hAnsi="Arial Narrow" w:cs="Times New Roman"/>
                <w:iCs/>
                <w:sz w:val="20"/>
                <w:szCs w:val="20"/>
              </w:rPr>
            </w:pPr>
            <w:r w:rsidRPr="002C3702">
              <w:rPr>
                <w:rFonts w:ascii="Arial Narrow" w:hAnsi="Arial Narrow" w:cs="Times New Roman"/>
                <w:iCs/>
                <w:sz w:val="20"/>
                <w:szCs w:val="20"/>
              </w:rPr>
              <w:t>-11.3%</w:t>
            </w:r>
          </w:p>
        </w:tc>
      </w:tr>
      <w:tr w:rsidR="00030CC5" w:rsidRPr="002C3702" w14:paraId="3A0CBB62" w14:textId="77777777" w:rsidTr="000841DE">
        <w:tc>
          <w:tcPr>
            <w:tcW w:w="5000" w:type="pct"/>
            <w:gridSpan w:val="8"/>
            <w:vAlign w:val="center"/>
          </w:tcPr>
          <w:p w14:paraId="2CD9C950" w14:textId="14922B5D" w:rsidR="00030CC5" w:rsidRPr="002C3702" w:rsidRDefault="00030CC5" w:rsidP="00CC59FB">
            <w:pPr>
              <w:keepNext/>
              <w:rPr>
                <w:rFonts w:ascii="Arial Narrow" w:hAnsi="Arial Narrow"/>
                <w:b/>
                <w:bCs/>
                <w:iCs/>
                <w:sz w:val="20"/>
                <w:szCs w:val="20"/>
              </w:rPr>
            </w:pPr>
            <w:r w:rsidRPr="002C3702">
              <w:rPr>
                <w:rFonts w:ascii="Arial Narrow" w:hAnsi="Arial Narrow"/>
                <w:b/>
                <w:bCs/>
                <w:iCs/>
                <w:sz w:val="20"/>
                <w:szCs w:val="20"/>
              </w:rPr>
              <w:t>Multivariate analyses</w:t>
            </w:r>
          </w:p>
        </w:tc>
      </w:tr>
      <w:tr w:rsidR="000841DE" w:rsidRPr="002C3702" w14:paraId="1B44B51A" w14:textId="77777777" w:rsidTr="000841DE">
        <w:tc>
          <w:tcPr>
            <w:tcW w:w="917" w:type="pct"/>
          </w:tcPr>
          <w:p w14:paraId="157D76B8" w14:textId="77777777" w:rsidR="00C76942" w:rsidRPr="002C3702" w:rsidRDefault="00C76942" w:rsidP="00C76942">
            <w:pPr>
              <w:keepNext/>
              <w:ind w:right="-57"/>
              <w:jc w:val="left"/>
              <w:rPr>
                <w:rFonts w:ascii="Arial Narrow" w:hAnsi="Arial Narrow"/>
                <w:iCs/>
                <w:sz w:val="20"/>
                <w:szCs w:val="20"/>
              </w:rPr>
            </w:pPr>
            <w:r w:rsidRPr="002C3702">
              <w:rPr>
                <w:rFonts w:ascii="Arial Narrow" w:hAnsi="Arial Narrow"/>
                <w:iCs/>
                <w:sz w:val="20"/>
                <w:szCs w:val="20"/>
              </w:rPr>
              <w:t>(#1, #2)</w:t>
            </w:r>
          </w:p>
        </w:tc>
        <w:tc>
          <w:tcPr>
            <w:tcW w:w="607" w:type="pct"/>
            <w:vAlign w:val="center"/>
          </w:tcPr>
          <w:p w14:paraId="09403BB3" w14:textId="381E7F89"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8"/>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8"/>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8"/>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2</w:t>
            </w:r>
          </w:p>
        </w:tc>
        <w:tc>
          <w:tcPr>
            <w:tcW w:w="611" w:type="pct"/>
            <w:vAlign w:val="center"/>
          </w:tcPr>
          <w:p w14:paraId="003F071E" w14:textId="7946EFD1"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7"/>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7"/>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7"/>
                <w14:textFill>
                  <w14:solidFill>
                    <w14:srgbClr w14:val="000000">
                      <w14:alpha w14:val="100000"/>
                    </w14:srgbClr>
                  </w14:solidFill>
                </w14:textFill>
              </w:rPr>
              <w:t xml:space="preserve">　</w:t>
            </w:r>
            <w:r w:rsidR="00E619B1" w:rsidRPr="00E619B1">
              <w:rPr>
                <w:rFonts w:ascii="Arial Narrow" w:hAnsi="Arial Narrow" w:cs="Times New Roman"/>
                <w:snapToGrid w:val="0"/>
                <w:sz w:val="20"/>
                <w:szCs w:val="20"/>
                <w:vertAlign w:val="superscript"/>
              </w:rPr>
              <w:t>1</w:t>
            </w:r>
          </w:p>
        </w:tc>
        <w:tc>
          <w:tcPr>
            <w:tcW w:w="610" w:type="pct"/>
            <w:vAlign w:val="center"/>
          </w:tcPr>
          <w:p w14:paraId="0D00A926" w14:textId="41D67013"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6"/>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6"/>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6"/>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4</w:t>
            </w:r>
          </w:p>
        </w:tc>
        <w:tc>
          <w:tcPr>
            <w:tcW w:w="569" w:type="pct"/>
            <w:vAlign w:val="center"/>
          </w:tcPr>
          <w:p w14:paraId="6D65C077" w14:textId="35CE5262"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98"/>
                <w:sz w:val="20"/>
                <w:szCs w:val="20"/>
                <w:shd w:val="solid" w:color="000000" w:fill="000000"/>
                <w:fitText w:val="190" w:id="-1032093175"/>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90" w:id="-1032093175"/>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4</w:t>
            </w:r>
          </w:p>
        </w:tc>
        <w:tc>
          <w:tcPr>
            <w:tcW w:w="569" w:type="pct"/>
            <w:vAlign w:val="center"/>
          </w:tcPr>
          <w:p w14:paraId="73957D25" w14:textId="1D8BD088"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98"/>
                <w:sz w:val="20"/>
                <w:szCs w:val="20"/>
                <w:shd w:val="solid" w:color="000000" w:fill="000000"/>
                <w:fitText w:val="190" w:id="-1032093174"/>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90" w:id="-1032093174"/>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5</w:t>
            </w:r>
          </w:p>
        </w:tc>
        <w:tc>
          <w:tcPr>
            <w:tcW w:w="594" w:type="pct"/>
            <w:vAlign w:val="center"/>
          </w:tcPr>
          <w:p w14:paraId="48EEE2F6" w14:textId="0029F128"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78"/>
                <w:sz w:val="20"/>
                <w:szCs w:val="20"/>
                <w:shd w:val="solid" w:color="000000" w:fill="000000"/>
                <w:fitText w:val="170" w:id="-1032093173"/>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70" w:id="-1032093173"/>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5</w:t>
            </w:r>
          </w:p>
        </w:tc>
        <w:tc>
          <w:tcPr>
            <w:tcW w:w="522" w:type="pct"/>
            <w:vAlign w:val="center"/>
          </w:tcPr>
          <w:p w14:paraId="0F85CE36" w14:textId="6925B61A" w:rsidR="00C76942" w:rsidRPr="002C3702" w:rsidRDefault="00C76942" w:rsidP="000841DE">
            <w:pPr>
              <w:keepNext/>
              <w:jc w:val="center"/>
              <w:rPr>
                <w:rFonts w:ascii="Arial Narrow" w:hAnsi="Arial Narrow"/>
                <w:b/>
                <w:bCs/>
                <w:iCs/>
                <w:sz w:val="20"/>
                <w:szCs w:val="20"/>
              </w:rPr>
            </w:pPr>
            <w:r w:rsidRPr="002C3702">
              <w:rPr>
                <w:rFonts w:ascii="Arial Narrow" w:hAnsi="Arial Narrow"/>
                <w:b/>
                <w:bCs/>
                <w:iCs/>
                <w:sz w:val="20"/>
                <w:szCs w:val="20"/>
              </w:rPr>
              <w:t>-34.2%</w:t>
            </w:r>
          </w:p>
        </w:tc>
      </w:tr>
      <w:tr w:rsidR="000841DE" w:rsidRPr="002C3702" w14:paraId="0476499E" w14:textId="77777777" w:rsidTr="000841DE">
        <w:tc>
          <w:tcPr>
            <w:tcW w:w="917" w:type="pct"/>
          </w:tcPr>
          <w:p w14:paraId="78809A9C" w14:textId="5D7A4F2B" w:rsidR="00C76942" w:rsidRPr="002C3702" w:rsidRDefault="00C76942" w:rsidP="00C76942">
            <w:pPr>
              <w:keepNext/>
              <w:ind w:right="-57"/>
              <w:jc w:val="left"/>
              <w:rPr>
                <w:rFonts w:ascii="Arial Narrow" w:hAnsi="Arial Narrow"/>
                <w:iCs/>
                <w:sz w:val="20"/>
                <w:szCs w:val="20"/>
              </w:rPr>
            </w:pPr>
            <w:r w:rsidRPr="002C3702">
              <w:rPr>
                <w:rFonts w:ascii="Arial Narrow" w:hAnsi="Arial Narrow"/>
                <w:iCs/>
                <w:sz w:val="20"/>
                <w:szCs w:val="20"/>
              </w:rPr>
              <w:t>(#1, #3)</w:t>
            </w:r>
          </w:p>
        </w:tc>
        <w:tc>
          <w:tcPr>
            <w:tcW w:w="607" w:type="pct"/>
            <w:vAlign w:val="center"/>
          </w:tcPr>
          <w:p w14:paraId="78B85ABD" w14:textId="3E98BB60"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2"/>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2"/>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2"/>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2</w:t>
            </w:r>
          </w:p>
        </w:tc>
        <w:tc>
          <w:tcPr>
            <w:tcW w:w="611" w:type="pct"/>
            <w:vAlign w:val="center"/>
          </w:tcPr>
          <w:p w14:paraId="537DFF77" w14:textId="78FED28F"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1"/>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1"/>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1"/>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4</w:t>
            </w:r>
          </w:p>
        </w:tc>
        <w:tc>
          <w:tcPr>
            <w:tcW w:w="610" w:type="pct"/>
            <w:vAlign w:val="center"/>
          </w:tcPr>
          <w:p w14:paraId="23BE6D58" w14:textId="54CF9FEF"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CF6630">
              <w:rPr>
                <w:rFonts w:ascii="Arial Narrow" w:hAnsi="Arial Narrow" w:cs="Times New Roman" w:hint="eastAsia"/>
                <w:b/>
                <w:bCs/>
                <w:iCs/>
                <w:snapToGrid w:val="0"/>
                <w:color w:val="000000"/>
                <w:w w:val="33"/>
                <w:sz w:val="20"/>
                <w:szCs w:val="20"/>
                <w:shd w:val="solid" w:color="000000" w:fill="000000"/>
                <w:fitText w:val="150" w:id="-1032093170"/>
                <w14:textFill>
                  <w14:solidFill>
                    <w14:srgbClr w14:val="000000">
                      <w14:alpha w14:val="100000"/>
                    </w14:srgbClr>
                  </w14:solidFill>
                </w14:textFill>
              </w:rPr>
              <w:t xml:space="preserve">　</w:t>
            </w:r>
            <w:r w:rsidRPr="00CF6630">
              <w:rPr>
                <w:rFonts w:ascii="Arial Narrow" w:hAnsi="Arial Narrow" w:cs="Times New Roman"/>
                <w:b/>
                <w:bCs/>
                <w:iCs/>
                <w:snapToGrid w:val="0"/>
                <w:color w:val="000000"/>
                <w:w w:val="33"/>
                <w:sz w:val="20"/>
                <w:szCs w:val="20"/>
                <w:shd w:val="solid" w:color="000000" w:fill="000000"/>
                <w:fitText w:val="150" w:id="-1032093170"/>
                <w14:textFill>
                  <w14:solidFill>
                    <w14:srgbClr w14:val="000000">
                      <w14:alpha w14:val="100000"/>
                    </w14:srgbClr>
                  </w14:solidFill>
                </w14:textFill>
              </w:rPr>
              <w:t>|</w:t>
            </w:r>
            <w:r w:rsidRPr="00CF6630">
              <w:rPr>
                <w:rFonts w:ascii="Arial Narrow" w:hAnsi="Arial Narrow" w:cs="Times New Roman" w:hint="eastAsia"/>
                <w:b/>
                <w:bCs/>
                <w:iCs/>
                <w:snapToGrid w:val="0"/>
                <w:color w:val="000000"/>
                <w:spacing w:val="3"/>
                <w:w w:val="33"/>
                <w:sz w:val="20"/>
                <w:szCs w:val="20"/>
                <w:shd w:val="solid" w:color="000000" w:fill="000000"/>
                <w:fitText w:val="150" w:id="-1032093170"/>
                <w14:textFill>
                  <w14:solidFill>
                    <w14:srgbClr w14:val="000000">
                      <w14:alpha w14:val="100000"/>
                    </w14:srgbClr>
                  </w14:solidFill>
                </w14:textFill>
              </w:rPr>
              <w:t xml:space="preserve">　</w:t>
            </w:r>
            <w:r w:rsidR="00E619B1">
              <w:rPr>
                <w:rFonts w:ascii="Arial Narrow" w:hAnsi="Arial Narrow" w:cs="Times New Roman"/>
                <w:snapToGrid w:val="0"/>
                <w:sz w:val="20"/>
                <w:szCs w:val="20"/>
                <w:vertAlign w:val="superscript"/>
              </w:rPr>
              <w:t>4</w:t>
            </w:r>
          </w:p>
        </w:tc>
        <w:tc>
          <w:tcPr>
            <w:tcW w:w="569" w:type="pct"/>
            <w:vAlign w:val="center"/>
          </w:tcPr>
          <w:p w14:paraId="5B759F23" w14:textId="23FA5952"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98"/>
                <w:sz w:val="20"/>
                <w:szCs w:val="20"/>
                <w:shd w:val="solid" w:color="000000" w:fill="000000"/>
                <w:fitText w:val="190" w:id="-1032093169"/>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90" w:id="-1032093169"/>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5</w:t>
            </w:r>
          </w:p>
        </w:tc>
        <w:tc>
          <w:tcPr>
            <w:tcW w:w="569" w:type="pct"/>
            <w:vAlign w:val="center"/>
          </w:tcPr>
          <w:p w14:paraId="4A66D735" w14:textId="19A0D3AC"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98"/>
                <w:sz w:val="20"/>
                <w:szCs w:val="20"/>
                <w:shd w:val="solid" w:color="000000" w:fill="000000"/>
                <w:fitText w:val="190" w:id="-1032093168"/>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90" w:id="-1032093168"/>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5</w:t>
            </w:r>
          </w:p>
        </w:tc>
        <w:tc>
          <w:tcPr>
            <w:tcW w:w="594" w:type="pct"/>
            <w:vAlign w:val="center"/>
          </w:tcPr>
          <w:p w14:paraId="665AEFC2" w14:textId="2C19DCE9" w:rsidR="00C76942" w:rsidRPr="00E619B1" w:rsidRDefault="008129BD" w:rsidP="000841DE">
            <w:pPr>
              <w:jc w:val="center"/>
              <w:rPr>
                <w:rFonts w:ascii="Arial Narrow" w:hAnsi="Arial Narrow" w:cs="Times New Roman"/>
                <w:b/>
                <w:bCs/>
                <w:iCs/>
                <w:snapToGrid w:val="0"/>
                <w:sz w:val="20"/>
                <w:szCs w:val="20"/>
                <w:highlight w:val="darkGray"/>
              </w:rPr>
            </w:pPr>
            <w:r>
              <w:rPr>
                <w:rFonts w:ascii="Arial Narrow" w:hAnsi="Arial Narrow" w:cs="Times New Roman"/>
                <w:b/>
                <w:bCs/>
                <w:iCs/>
                <w:snapToGrid w:val="0"/>
                <w:sz w:val="20"/>
                <w:szCs w:val="20"/>
              </w:rPr>
              <w:t xml:space="preserve"> </w:t>
            </w:r>
            <w:r w:rsidRPr="008129BD">
              <w:rPr>
                <w:rFonts w:ascii="Arial Narrow" w:hAnsi="Arial Narrow" w:cs="Times New Roman"/>
                <w:b/>
                <w:bCs/>
                <w:iCs/>
                <w:snapToGrid w:val="0"/>
                <w:color w:val="000000"/>
                <w:spacing w:val="78"/>
                <w:sz w:val="20"/>
                <w:szCs w:val="20"/>
                <w:shd w:val="solid" w:color="000000" w:fill="000000"/>
                <w:fitText w:val="170" w:id="-1032093184"/>
                <w14:textFill>
                  <w14:solidFill>
                    <w14:srgbClr w14:val="000000">
                      <w14:alpha w14:val="100000"/>
                    </w14:srgbClr>
                  </w14:solidFill>
                </w14:textFill>
              </w:rPr>
              <w:t>|</w:t>
            </w:r>
            <w:r w:rsidRPr="008129BD">
              <w:rPr>
                <w:rFonts w:ascii="Arial Narrow" w:hAnsi="Arial Narrow" w:cs="Times New Roman"/>
                <w:b/>
                <w:bCs/>
                <w:iCs/>
                <w:snapToGrid w:val="0"/>
                <w:color w:val="000000"/>
                <w:spacing w:val="1"/>
                <w:sz w:val="20"/>
                <w:szCs w:val="20"/>
                <w:shd w:val="solid" w:color="000000" w:fill="000000"/>
                <w:fitText w:val="170" w:id="-1032093184"/>
                <w14:textFill>
                  <w14:solidFill>
                    <w14:srgbClr w14:val="000000">
                      <w14:alpha w14:val="100000"/>
                    </w14:srgbClr>
                  </w14:solidFill>
                </w14:textFill>
              </w:rPr>
              <w:t>|</w:t>
            </w:r>
            <w:r w:rsidR="00E619B1">
              <w:rPr>
                <w:rFonts w:ascii="Arial Narrow" w:hAnsi="Arial Narrow" w:cs="Times New Roman"/>
                <w:snapToGrid w:val="0"/>
                <w:sz w:val="20"/>
                <w:szCs w:val="20"/>
                <w:vertAlign w:val="superscript"/>
              </w:rPr>
              <w:t>3</w:t>
            </w:r>
          </w:p>
        </w:tc>
        <w:tc>
          <w:tcPr>
            <w:tcW w:w="522" w:type="pct"/>
            <w:vAlign w:val="center"/>
          </w:tcPr>
          <w:p w14:paraId="49ACC7B5" w14:textId="2DEBDB87" w:rsidR="00C76942" w:rsidRPr="002C3702" w:rsidRDefault="00C76942" w:rsidP="000841DE">
            <w:pPr>
              <w:keepNext/>
              <w:jc w:val="center"/>
              <w:rPr>
                <w:rFonts w:ascii="Arial Narrow" w:hAnsi="Arial Narrow" w:cs="Times New Roman"/>
                <w:b/>
                <w:bCs/>
                <w:iCs/>
                <w:snapToGrid w:val="0"/>
                <w:sz w:val="20"/>
                <w:szCs w:val="20"/>
              </w:rPr>
            </w:pPr>
            <w:r w:rsidRPr="002C3702">
              <w:rPr>
                <w:rFonts w:ascii="Arial Narrow" w:hAnsi="Arial Narrow" w:cs="Times New Roman"/>
                <w:b/>
                <w:bCs/>
                <w:iCs/>
                <w:snapToGrid w:val="0"/>
                <w:sz w:val="20"/>
                <w:szCs w:val="20"/>
              </w:rPr>
              <w:t>-24.9%</w:t>
            </w:r>
          </w:p>
        </w:tc>
      </w:tr>
    </w:tbl>
    <w:p w14:paraId="35E464DD" w14:textId="77777777" w:rsidR="00030CC5" w:rsidRPr="002C3702" w:rsidRDefault="00030CC5" w:rsidP="00030CC5">
      <w:pPr>
        <w:pStyle w:val="TableFigureFooter"/>
        <w:keepNext/>
        <w:rPr>
          <w:iCs/>
        </w:rPr>
      </w:pPr>
      <w:r w:rsidRPr="002C3702">
        <w:t xml:space="preserve">Source: </w:t>
      </w:r>
      <w:r w:rsidRPr="002C3702">
        <w:rPr>
          <w:iCs/>
        </w:rPr>
        <w:t xml:space="preserve">Conducted during evaluation using “A6.1_ Cost and utilisation model abemaciclib EBC November 2023” Excel workbook. </w:t>
      </w:r>
    </w:p>
    <w:p w14:paraId="53BEC735" w14:textId="0B065C62" w:rsidR="00030CC5" w:rsidRDefault="00030CC5" w:rsidP="00E619B1">
      <w:pPr>
        <w:pStyle w:val="TableFigureFooter"/>
        <w:keepNext/>
        <w:spacing w:after="0"/>
        <w:rPr>
          <w:iCs/>
        </w:rPr>
      </w:pPr>
      <w:r w:rsidRPr="002C3702">
        <w:rPr>
          <w:iCs/>
        </w:rPr>
        <w:t>ABE = abemaciclib; DoT = duration of treatment; DUSC = Drug Utilisation Sub-Committee; EBC = early breast cancer; NA = not applicable; SA = sensitivity analysis.</w:t>
      </w:r>
    </w:p>
    <w:p w14:paraId="52ACD52F" w14:textId="77777777" w:rsidR="00E619B1" w:rsidRPr="009A6D58" w:rsidRDefault="00E619B1" w:rsidP="00E619B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B7B4DDB" w14:textId="77777777" w:rsidR="00E619B1" w:rsidRPr="009A6D58" w:rsidRDefault="00E619B1" w:rsidP="00E619B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619B1">
        <w:rPr>
          <w:rFonts w:ascii="Arial Narrow" w:hAnsi="Arial Narrow"/>
          <w:i/>
          <w:sz w:val="18"/>
          <w:szCs w:val="18"/>
        </w:rPr>
        <w:t>$20 million to &lt; $30 million</w:t>
      </w:r>
    </w:p>
    <w:p w14:paraId="5466A5F8" w14:textId="77777777" w:rsidR="00E619B1" w:rsidRPr="009A6D58" w:rsidRDefault="00E619B1" w:rsidP="00E619B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619B1">
        <w:rPr>
          <w:rFonts w:ascii="Arial Narrow" w:hAnsi="Arial Narrow"/>
          <w:i/>
          <w:sz w:val="18"/>
          <w:szCs w:val="18"/>
        </w:rPr>
        <w:t>$10 million to &lt; $20 million</w:t>
      </w:r>
    </w:p>
    <w:p w14:paraId="00FA0C04" w14:textId="77777777" w:rsidR="00E619B1" w:rsidRDefault="00E619B1" w:rsidP="00E619B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619B1">
        <w:rPr>
          <w:rFonts w:ascii="Arial Narrow" w:hAnsi="Arial Narrow"/>
          <w:i/>
          <w:sz w:val="18"/>
          <w:szCs w:val="18"/>
        </w:rPr>
        <w:t>$50 million to &lt; $60 million</w:t>
      </w:r>
    </w:p>
    <w:p w14:paraId="13AB9EAB" w14:textId="77777777" w:rsidR="00E619B1" w:rsidRDefault="00E619B1" w:rsidP="00E619B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619B1">
        <w:rPr>
          <w:rFonts w:ascii="Arial Narrow" w:hAnsi="Arial Narrow"/>
          <w:i/>
          <w:sz w:val="18"/>
          <w:szCs w:val="18"/>
        </w:rPr>
        <w:t>$30 million to &lt; $40 million</w:t>
      </w:r>
    </w:p>
    <w:p w14:paraId="0E12D453" w14:textId="2700B6F4" w:rsidR="00E619B1" w:rsidRPr="00E619B1" w:rsidRDefault="00E619B1" w:rsidP="00E619B1">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E619B1">
        <w:rPr>
          <w:rFonts w:ascii="Arial Narrow" w:hAnsi="Arial Narrow"/>
          <w:i/>
          <w:sz w:val="18"/>
          <w:szCs w:val="18"/>
        </w:rPr>
        <w:t>$40 million to &lt; $50 million</w:t>
      </w:r>
    </w:p>
    <w:p w14:paraId="58ED1AD0" w14:textId="77777777" w:rsidR="00030CC5" w:rsidRPr="002C3702" w:rsidRDefault="00030CC5" w:rsidP="00030CC5">
      <w:pPr>
        <w:pStyle w:val="4-SubsectionHeading"/>
      </w:pPr>
      <w:bookmarkStart w:id="86" w:name="_Toc22897648"/>
      <w:bookmarkStart w:id="87" w:name="_Toc145422847"/>
      <w:r w:rsidRPr="002C3702">
        <w:t>Quality Use of Medicines</w:t>
      </w:r>
      <w:bookmarkEnd w:id="86"/>
      <w:bookmarkEnd w:id="87"/>
    </w:p>
    <w:p w14:paraId="1B2A803F" w14:textId="4275109B" w:rsidR="00030CC5" w:rsidRPr="002C3702" w:rsidRDefault="00567141" w:rsidP="00030CC5">
      <w:pPr>
        <w:pStyle w:val="3-BodyText"/>
      </w:pPr>
      <w:r w:rsidRPr="002C3702">
        <w:rPr>
          <w:iCs/>
        </w:rPr>
        <w:t xml:space="preserve">The </w:t>
      </w:r>
      <w:r w:rsidR="00852548" w:rsidRPr="002C3702">
        <w:rPr>
          <w:iCs/>
        </w:rPr>
        <w:t xml:space="preserve">current </w:t>
      </w:r>
      <w:r w:rsidRPr="002C3702">
        <w:rPr>
          <w:iCs/>
        </w:rPr>
        <w:t xml:space="preserve">submission did not provide information </w:t>
      </w:r>
      <w:r w:rsidR="002744F1" w:rsidRPr="002C3702">
        <w:rPr>
          <w:iCs/>
        </w:rPr>
        <w:t>regarding quality use of medicines (QUM)</w:t>
      </w:r>
      <w:r w:rsidRPr="002C3702">
        <w:rPr>
          <w:iCs/>
        </w:rPr>
        <w:t xml:space="preserve">. </w:t>
      </w:r>
      <w:r w:rsidR="00383581" w:rsidRPr="002C3702">
        <w:rPr>
          <w:iCs/>
        </w:rPr>
        <w:t xml:space="preserve">However, </w:t>
      </w:r>
      <w:r w:rsidR="00030CC5" w:rsidRPr="002C3702">
        <w:rPr>
          <w:iCs/>
        </w:rPr>
        <w:t>activities outlined in the March 2023 resubmission to promote safe and effective use of ABE in clinical practice included online medical education modules, scientific</w:t>
      </w:r>
      <w:r w:rsidR="00030CC5" w:rsidRPr="002C3702">
        <w:t xml:space="preserve"> meetings, health education symposia, and conferences.</w:t>
      </w:r>
    </w:p>
    <w:p w14:paraId="4886ACD4" w14:textId="5E40E791" w:rsidR="00030CC5" w:rsidRPr="002C3702" w:rsidRDefault="00030CC5" w:rsidP="00030CC5">
      <w:pPr>
        <w:pStyle w:val="3-BodyText"/>
      </w:pPr>
      <w:r w:rsidRPr="002C3702">
        <w:t xml:space="preserve">The PBAC </w:t>
      </w:r>
      <w:r w:rsidR="007E4D20" w:rsidRPr="002C3702">
        <w:t xml:space="preserve">previously </w:t>
      </w:r>
      <w:r w:rsidRPr="002C3702">
        <w:t xml:space="preserve">considered that there was unlikely to be new QUM issues given ABE is an existing therapy with a known safety profile. As such, the PBAC had agreed with the </w:t>
      </w:r>
      <w:r w:rsidRPr="002C3702" w:rsidDel="007E4D20">
        <w:t xml:space="preserve">current </w:t>
      </w:r>
      <w:r w:rsidR="23AAC2D8" w:rsidRPr="002C3702">
        <w:t>submission</w:t>
      </w:r>
      <w:r w:rsidRPr="002C3702">
        <w:t xml:space="preserve"> that the AEs associated with adjuvant abemaciclib could be monitored and managed with dose modifications (para</w:t>
      </w:r>
      <w:r w:rsidR="006D455D" w:rsidRPr="002C3702">
        <w:t>s</w:t>
      </w:r>
      <w:r w:rsidRPr="002C3702">
        <w:t xml:space="preserve"> 7.8 and 7.9, </w:t>
      </w:r>
      <w:r w:rsidR="00B3218C" w:rsidRPr="002C3702">
        <w:t>a</w:t>
      </w:r>
      <w:r w:rsidRPr="002C3702">
        <w:t>bemaciclib, PSD, March 2022 PBAC Meeting).</w:t>
      </w:r>
    </w:p>
    <w:p w14:paraId="71A126D7" w14:textId="00E7D9F9" w:rsidR="00030CC5" w:rsidRPr="002C3702" w:rsidRDefault="00030CC5" w:rsidP="00030CC5">
      <w:pPr>
        <w:pStyle w:val="3-BodyText"/>
      </w:pPr>
      <w:r w:rsidRPr="002C3702">
        <w:t xml:space="preserve">The March 2023 resubmission stated that the sponsor will continue to support a patient program that supplies loperamide free of charge to patients on PBS-subsidised treatment for the management of the most common AE, diarrhoea, associated with ABE treatment. The details of the provision of a loperamide support program were not described in the March 2023 resubmission nor in the current </w:t>
      </w:r>
      <w:r w:rsidR="23AAC2D8" w:rsidRPr="002C3702">
        <w:t>submission</w:t>
      </w:r>
      <w:r w:rsidRPr="002C3702">
        <w:t>.</w:t>
      </w:r>
      <w:r w:rsidRPr="002C3702">
        <w:rPr>
          <w:iCs/>
        </w:rPr>
        <w:t> </w:t>
      </w:r>
    </w:p>
    <w:p w14:paraId="4E5C008A" w14:textId="77777777" w:rsidR="00030CC5" w:rsidRPr="002C3702" w:rsidRDefault="00030CC5" w:rsidP="00030CC5">
      <w:pPr>
        <w:pStyle w:val="4-SubsectionHeading"/>
      </w:pPr>
      <w:bookmarkStart w:id="88" w:name="_Toc22897649"/>
      <w:bookmarkStart w:id="89" w:name="_Toc145422848"/>
      <w:r w:rsidRPr="002C3702">
        <w:t>Financial Management – Risk Sharing Arrangements</w:t>
      </w:r>
      <w:bookmarkEnd w:id="88"/>
      <w:bookmarkEnd w:id="89"/>
    </w:p>
    <w:p w14:paraId="1B68C5DE" w14:textId="7051A359" w:rsidR="00E14810" w:rsidRPr="002C3702" w:rsidRDefault="00A5093A" w:rsidP="00E14810">
      <w:pPr>
        <w:pStyle w:val="3-BodyText"/>
      </w:pPr>
      <w:r w:rsidRPr="002C3702">
        <w:rPr>
          <w:iCs/>
        </w:rPr>
        <w:t xml:space="preserve">The PBAC previously noted that there was significant risk in use outside the proposed restriction to patients with lower risk of recurrence than seen in the monarchE trial (para 7.14, abemaciclib, PSD, March 2022 PBAC meeting). </w:t>
      </w:r>
      <w:r w:rsidR="00030CC5" w:rsidRPr="002C3702">
        <w:t xml:space="preserve">The current </w:t>
      </w:r>
      <w:r w:rsidR="23AAC2D8" w:rsidRPr="002C3702">
        <w:t>submission</w:t>
      </w:r>
      <w:r w:rsidR="00030CC5" w:rsidRPr="002C3702">
        <w:t xml:space="preserve"> proposed a </w:t>
      </w:r>
      <w:r w:rsidR="00860046">
        <w:t>R</w:t>
      </w:r>
      <w:r w:rsidR="00860046" w:rsidRPr="002C3702">
        <w:t xml:space="preserve">isk </w:t>
      </w:r>
      <w:r w:rsidR="00860046">
        <w:t>S</w:t>
      </w:r>
      <w:r w:rsidR="00860046" w:rsidRPr="002C3702">
        <w:t xml:space="preserve">haring </w:t>
      </w:r>
      <w:r w:rsidR="00860046">
        <w:t>A</w:t>
      </w:r>
      <w:r w:rsidR="00860046" w:rsidRPr="002C3702">
        <w:t xml:space="preserve">greement </w:t>
      </w:r>
      <w:r w:rsidR="00030CC5" w:rsidRPr="002C3702">
        <w:t xml:space="preserve">with annual subsidisation caps (SCs) with a rebate of </w:t>
      </w:r>
      <w:r w:rsidR="008129BD">
        <w:t xml:space="preserve"> </w:t>
      </w:r>
      <w:r w:rsidR="008129BD" w:rsidRPr="00676505">
        <w:rPr>
          <w:color w:val="000000"/>
          <w:w w:val="15"/>
          <w:shd w:val="solid" w:color="000000" w:fill="000000"/>
          <w:fitText w:val="-20" w:id="-1032093183"/>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83"/>
          <w14:textFill>
            <w14:solidFill>
              <w14:srgbClr w14:val="000000">
                <w14:alpha w14:val="100000"/>
              </w14:srgbClr>
            </w14:solidFill>
          </w14:textFill>
        </w:rPr>
        <w:t>|</w:t>
      </w:r>
      <w:r w:rsidR="00030CC5" w:rsidRPr="002C3702">
        <w:t>% for use exceeding the financial caps</w:t>
      </w:r>
      <w:r w:rsidR="00A03FC2" w:rsidRPr="002C3702">
        <w:t>.</w:t>
      </w:r>
      <w:r w:rsidR="00E14810" w:rsidRPr="002C3702">
        <w:t xml:space="preserve"> The PBAC previously considered a rebate of </w:t>
      </w:r>
      <w:r w:rsidR="008129BD">
        <w:t xml:space="preserve"> </w:t>
      </w:r>
      <w:r w:rsidR="008129BD" w:rsidRPr="00676505">
        <w:rPr>
          <w:color w:val="000000"/>
          <w:w w:val="15"/>
          <w:shd w:val="solid" w:color="000000" w:fill="000000"/>
          <w:fitText w:val="-20" w:id="-1032093182"/>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82"/>
          <w14:textFill>
            <w14:solidFill>
              <w14:srgbClr w14:val="000000">
                <w14:alpha w14:val="100000"/>
              </w14:srgbClr>
            </w14:solidFill>
          </w14:textFill>
        </w:rPr>
        <w:t>|</w:t>
      </w:r>
      <w:r w:rsidR="00E14810" w:rsidRPr="00AB3685">
        <w:t>%</w:t>
      </w:r>
      <w:r w:rsidR="00E14810" w:rsidRPr="002C3702">
        <w:t xml:space="preserve"> for use exceeding the financial caps would be appropriate</w:t>
      </w:r>
      <w:r w:rsidR="006B6DB8" w:rsidRPr="002C3702">
        <w:t xml:space="preserve"> </w:t>
      </w:r>
      <w:r w:rsidR="00E14810" w:rsidRPr="002C3702">
        <w:t>(</w:t>
      </w:r>
      <w:r w:rsidR="00263145" w:rsidRPr="002C3702">
        <w:t>para</w:t>
      </w:r>
      <w:r w:rsidR="00E14810" w:rsidRPr="002C3702">
        <w:t xml:space="preserve"> 7.15, </w:t>
      </w:r>
      <w:r w:rsidR="00B3218C" w:rsidRPr="002C3702">
        <w:t>a</w:t>
      </w:r>
      <w:r w:rsidR="00E14810" w:rsidRPr="002C3702">
        <w:t xml:space="preserve">bemaciclib, PSD, March 2023 PBAC Meeting). </w:t>
      </w:r>
    </w:p>
    <w:p w14:paraId="6186BA0F" w14:textId="1D0DFDAC" w:rsidR="00030CC5" w:rsidRPr="002C3702" w:rsidRDefault="00030CC5" w:rsidP="00030CC5">
      <w:pPr>
        <w:pStyle w:val="3-BodyText"/>
      </w:pPr>
      <w:r w:rsidRPr="002C3702">
        <w:t xml:space="preserve">The subsidisation cap structure provided </w:t>
      </w:r>
      <w:r w:rsidR="002203E6" w:rsidRPr="002C3702">
        <w:t xml:space="preserve">in the </w:t>
      </w:r>
      <w:r w:rsidR="004C162F">
        <w:t>p</w:t>
      </w:r>
      <w:r w:rsidR="002203E6" w:rsidRPr="002C3702">
        <w:t>re-PBAC response</w:t>
      </w:r>
      <w:r w:rsidRPr="002C3702">
        <w:t xml:space="preserve"> for ABE over 6 years at effective AEMP is presented in </w:t>
      </w:r>
      <w:r w:rsidR="004E5A67" w:rsidRPr="002C3702">
        <w:fldChar w:fldCharType="begin"/>
      </w:r>
      <w:r w:rsidR="004E5A67" w:rsidRPr="002C3702">
        <w:instrText xml:space="preserve"> REF _Ref145056453 \h </w:instrText>
      </w:r>
      <w:r w:rsidR="004E5A67" w:rsidRPr="002C3702">
        <w:fldChar w:fldCharType="separate"/>
      </w:r>
      <w:r w:rsidR="00676505" w:rsidRPr="002C3702">
        <w:t xml:space="preserve">Table </w:t>
      </w:r>
      <w:r w:rsidR="00676505">
        <w:rPr>
          <w:noProof/>
        </w:rPr>
        <w:t>18</w:t>
      </w:r>
      <w:r w:rsidR="004E5A67" w:rsidRPr="002C3702">
        <w:fldChar w:fldCharType="end"/>
      </w:r>
      <w:r w:rsidRPr="002C3702">
        <w:t xml:space="preserve">. </w:t>
      </w:r>
    </w:p>
    <w:p w14:paraId="089CC751" w14:textId="45686B05" w:rsidR="00030CC5" w:rsidRPr="002C3702" w:rsidRDefault="00030CC5" w:rsidP="00030CC5">
      <w:pPr>
        <w:pStyle w:val="Caption"/>
      </w:pPr>
      <w:bookmarkStart w:id="90" w:name="_Ref142571471"/>
      <w:bookmarkStart w:id="91" w:name="_Ref142511547"/>
      <w:bookmarkStart w:id="92" w:name="_Ref145056453"/>
      <w:r w:rsidRPr="002C3702">
        <w:t xml:space="preserve">Table </w:t>
      </w:r>
      <w:r w:rsidRPr="002C3702">
        <w:fldChar w:fldCharType="begin"/>
      </w:r>
      <w:r w:rsidRPr="002C3702">
        <w:instrText>SEQ Table \* ARABIC</w:instrText>
      </w:r>
      <w:r w:rsidRPr="002C3702">
        <w:fldChar w:fldCharType="separate"/>
      </w:r>
      <w:r w:rsidR="00676505">
        <w:rPr>
          <w:noProof/>
        </w:rPr>
        <w:t>18</w:t>
      </w:r>
      <w:r w:rsidRPr="002C3702">
        <w:fldChar w:fldCharType="end"/>
      </w:r>
      <w:bookmarkEnd w:id="90"/>
      <w:bookmarkEnd w:id="91"/>
      <w:bookmarkEnd w:id="92"/>
      <w:r w:rsidRPr="002C3702">
        <w:t xml:space="preserve">: Subsidisation cap (SC) structure for ABE in early breast cancer </w:t>
      </w:r>
      <w:r w:rsidR="007F2EE6" w:rsidRPr="002C3702" w:rsidDel="007F2EE6">
        <w:t xml:space="preserve"> </w:t>
      </w:r>
      <w:r w:rsidRPr="002C3702">
        <w:t>(effective AEMP)</w:t>
      </w:r>
    </w:p>
    <w:tbl>
      <w:tblPr>
        <w:tblStyle w:val="TableGrid"/>
        <w:tblW w:w="5000" w:type="pct"/>
        <w:tblLook w:val="04A0" w:firstRow="1" w:lastRow="0" w:firstColumn="1" w:lastColumn="0" w:noHBand="0" w:noVBand="1"/>
      </w:tblPr>
      <w:tblGrid>
        <w:gridCol w:w="989"/>
        <w:gridCol w:w="1338"/>
        <w:gridCol w:w="1338"/>
        <w:gridCol w:w="1338"/>
        <w:gridCol w:w="1338"/>
        <w:gridCol w:w="1338"/>
        <w:gridCol w:w="1338"/>
      </w:tblGrid>
      <w:tr w:rsidR="00B76B32" w:rsidRPr="002C3702" w14:paraId="058978C0" w14:textId="77777777" w:rsidTr="00E619B1">
        <w:tc>
          <w:tcPr>
            <w:tcW w:w="548" w:type="pct"/>
          </w:tcPr>
          <w:p w14:paraId="4D1D8693" w14:textId="77777777" w:rsidR="0017501A" w:rsidRPr="002C3702" w:rsidRDefault="0017501A" w:rsidP="0017501A">
            <w:pPr>
              <w:pStyle w:val="Tabletext"/>
            </w:pPr>
          </w:p>
        </w:tc>
        <w:tc>
          <w:tcPr>
            <w:tcW w:w="742" w:type="pct"/>
          </w:tcPr>
          <w:p w14:paraId="198AE804" w14:textId="6A2D3452" w:rsidR="00C27F06" w:rsidRPr="002C3702" w:rsidRDefault="0017501A" w:rsidP="00C27F06">
            <w:pPr>
              <w:pStyle w:val="TableFigureHeading"/>
              <w:jc w:val="center"/>
            </w:pPr>
            <w:r w:rsidRPr="002C3702">
              <w:t>Year 1</w:t>
            </w:r>
          </w:p>
          <w:p w14:paraId="00C09132" w14:textId="5E548D7D" w:rsidR="0017501A" w:rsidRPr="002C3702" w:rsidRDefault="0017501A" w:rsidP="00C27F06">
            <w:pPr>
              <w:pStyle w:val="TableFigureHeading"/>
              <w:jc w:val="center"/>
            </w:pPr>
            <w:r w:rsidRPr="002C3702">
              <w:t>(2024)</w:t>
            </w:r>
            <w:r w:rsidR="00C27F06" w:rsidRPr="002C3702">
              <w:t xml:space="preserve"> </w:t>
            </w:r>
            <w:r w:rsidR="00C27F06" w:rsidRPr="002C3702">
              <w:rPr>
                <w:vertAlign w:val="superscript"/>
              </w:rPr>
              <w:t>a</w:t>
            </w:r>
          </w:p>
        </w:tc>
        <w:tc>
          <w:tcPr>
            <w:tcW w:w="742" w:type="pct"/>
          </w:tcPr>
          <w:p w14:paraId="36F601DA" w14:textId="633D1111" w:rsidR="00C27F06" w:rsidRPr="002C3702" w:rsidRDefault="0017501A" w:rsidP="00C27F06">
            <w:pPr>
              <w:pStyle w:val="TableFigureHeading"/>
              <w:jc w:val="center"/>
            </w:pPr>
            <w:r w:rsidRPr="002C3702">
              <w:t>Year 2</w:t>
            </w:r>
          </w:p>
          <w:p w14:paraId="768ECBD4" w14:textId="49E6D13E" w:rsidR="0017501A" w:rsidRPr="002C3702" w:rsidRDefault="0017501A" w:rsidP="00C27F06">
            <w:pPr>
              <w:pStyle w:val="TableFigureHeading"/>
              <w:jc w:val="center"/>
            </w:pPr>
            <w:r w:rsidRPr="002C3702">
              <w:t xml:space="preserve">(2025) </w:t>
            </w:r>
            <w:r w:rsidRPr="002C3702">
              <w:rPr>
                <w:vertAlign w:val="superscript"/>
              </w:rPr>
              <w:t>a</w:t>
            </w:r>
          </w:p>
        </w:tc>
        <w:tc>
          <w:tcPr>
            <w:tcW w:w="742" w:type="pct"/>
          </w:tcPr>
          <w:p w14:paraId="0D33CC71" w14:textId="38C4ACDE" w:rsidR="00C27F06" w:rsidRPr="002C3702" w:rsidRDefault="0017501A" w:rsidP="00C27F06">
            <w:pPr>
              <w:pStyle w:val="TableFigureHeading"/>
              <w:jc w:val="center"/>
            </w:pPr>
            <w:r w:rsidRPr="002C3702">
              <w:t>Year 3</w:t>
            </w:r>
          </w:p>
          <w:p w14:paraId="5F2E8BB6" w14:textId="3C9359BF" w:rsidR="0017501A" w:rsidRPr="002C3702" w:rsidRDefault="0017501A" w:rsidP="00C27F06">
            <w:pPr>
              <w:pStyle w:val="TableFigureHeading"/>
              <w:jc w:val="center"/>
            </w:pPr>
            <w:r w:rsidRPr="002C3702">
              <w:t xml:space="preserve">(2026) </w:t>
            </w:r>
            <w:r w:rsidR="00C27F06" w:rsidRPr="002C3702">
              <w:rPr>
                <w:vertAlign w:val="superscript"/>
              </w:rPr>
              <w:t>a</w:t>
            </w:r>
          </w:p>
        </w:tc>
        <w:tc>
          <w:tcPr>
            <w:tcW w:w="742" w:type="pct"/>
          </w:tcPr>
          <w:p w14:paraId="1FE0DEBE" w14:textId="6C288581" w:rsidR="00C27F06" w:rsidRPr="002C3702" w:rsidRDefault="0017501A" w:rsidP="00C27F06">
            <w:pPr>
              <w:pStyle w:val="TableFigureHeading"/>
              <w:jc w:val="center"/>
            </w:pPr>
            <w:r w:rsidRPr="002C3702">
              <w:t>Year 4</w:t>
            </w:r>
          </w:p>
          <w:p w14:paraId="17B2A8B3" w14:textId="6EF74A0E" w:rsidR="0017501A" w:rsidRPr="002C3702" w:rsidRDefault="0017501A" w:rsidP="00C27F06">
            <w:pPr>
              <w:pStyle w:val="TableFigureHeading"/>
              <w:jc w:val="center"/>
            </w:pPr>
            <w:r w:rsidRPr="002C3702">
              <w:t xml:space="preserve">(2027) </w:t>
            </w:r>
            <w:r w:rsidR="00C27F06" w:rsidRPr="002C3702">
              <w:rPr>
                <w:vertAlign w:val="superscript"/>
              </w:rPr>
              <w:t>a</w:t>
            </w:r>
          </w:p>
        </w:tc>
        <w:tc>
          <w:tcPr>
            <w:tcW w:w="742" w:type="pct"/>
          </w:tcPr>
          <w:p w14:paraId="539454EE" w14:textId="6996A34B" w:rsidR="00C27F06" w:rsidRPr="002C3702" w:rsidRDefault="0017501A" w:rsidP="00C27F06">
            <w:pPr>
              <w:pStyle w:val="TableFigureHeading"/>
              <w:jc w:val="center"/>
            </w:pPr>
            <w:r w:rsidRPr="002C3702">
              <w:t>Year 5</w:t>
            </w:r>
          </w:p>
          <w:p w14:paraId="3BFE9DDD" w14:textId="43DB6A93" w:rsidR="0017501A" w:rsidRPr="002C3702" w:rsidRDefault="0017501A" w:rsidP="00C27F06">
            <w:pPr>
              <w:pStyle w:val="TableFigureHeading"/>
              <w:jc w:val="center"/>
            </w:pPr>
            <w:r w:rsidRPr="002C3702">
              <w:t xml:space="preserve">(2028) </w:t>
            </w:r>
            <w:r w:rsidR="00C27F06" w:rsidRPr="002C3702">
              <w:rPr>
                <w:vertAlign w:val="superscript"/>
              </w:rPr>
              <w:t>a</w:t>
            </w:r>
          </w:p>
        </w:tc>
        <w:tc>
          <w:tcPr>
            <w:tcW w:w="742" w:type="pct"/>
          </w:tcPr>
          <w:p w14:paraId="40C247A0" w14:textId="530350C8" w:rsidR="00C27F06" w:rsidRPr="002C3702" w:rsidRDefault="0017501A" w:rsidP="00C27F06">
            <w:pPr>
              <w:pStyle w:val="TableFigureHeading"/>
              <w:jc w:val="center"/>
            </w:pPr>
            <w:r w:rsidRPr="002C3702">
              <w:t>Year 6</w:t>
            </w:r>
          </w:p>
          <w:p w14:paraId="31FB0206" w14:textId="3D13EEF0" w:rsidR="0017501A" w:rsidRPr="002C3702" w:rsidRDefault="0017501A" w:rsidP="00C27F06">
            <w:pPr>
              <w:pStyle w:val="TableFigureHeading"/>
              <w:jc w:val="center"/>
            </w:pPr>
            <w:r w:rsidRPr="002C3702">
              <w:t xml:space="preserve">(2029) </w:t>
            </w:r>
            <w:r w:rsidR="00C27F06" w:rsidRPr="002C3702">
              <w:rPr>
                <w:vertAlign w:val="superscript"/>
              </w:rPr>
              <w:t>a</w:t>
            </w:r>
          </w:p>
        </w:tc>
      </w:tr>
      <w:tr w:rsidR="00573532" w:rsidRPr="002C3702" w14:paraId="5AF39E94" w14:textId="77777777" w:rsidTr="005F7C44">
        <w:tc>
          <w:tcPr>
            <w:tcW w:w="548" w:type="pct"/>
          </w:tcPr>
          <w:p w14:paraId="05EA05B1" w14:textId="17C999CC" w:rsidR="00573532" w:rsidRPr="002C3702" w:rsidRDefault="00573532" w:rsidP="00573532">
            <w:pPr>
              <w:pStyle w:val="Tabletext"/>
            </w:pPr>
            <w:r w:rsidRPr="002C3702">
              <w:t>Cap</w:t>
            </w:r>
            <w:r w:rsidR="00E619B1">
              <w:t xml:space="preserve"> ($)</w:t>
            </w:r>
            <w:r w:rsidRPr="002C3702">
              <w:t xml:space="preserve"> </w:t>
            </w:r>
            <w:r w:rsidRPr="002C3702">
              <w:rPr>
                <w:vertAlign w:val="superscript"/>
              </w:rPr>
              <w:t>b</w:t>
            </w:r>
          </w:p>
        </w:tc>
        <w:tc>
          <w:tcPr>
            <w:tcW w:w="742" w:type="pct"/>
            <w:vAlign w:val="center"/>
          </w:tcPr>
          <w:p w14:paraId="7DE903A8" w14:textId="04D9D22B" w:rsidR="00573532" w:rsidRPr="00E619B1" w:rsidRDefault="008129BD" w:rsidP="005F7C44">
            <w:pPr>
              <w:pStyle w:val="Tabletext"/>
              <w:jc w:val="center"/>
              <w:rPr>
                <w:highlight w:val="darkGray"/>
              </w:rPr>
            </w:pPr>
            <w:r w:rsidRPr="008129BD">
              <w:rPr>
                <w:color w:val="000000"/>
                <w:spacing w:val="53"/>
                <w:shd w:val="solid" w:color="000000" w:fill="000000"/>
                <w:fitText w:val="330" w:id="-1032093181"/>
                <w14:textFill>
                  <w14:solidFill>
                    <w14:srgbClr w14:val="000000">
                      <w14:alpha w14:val="100000"/>
                    </w14:srgbClr>
                  </w14:solidFill>
                </w14:textFill>
              </w:rPr>
              <w:t>|||</w:t>
            </w:r>
            <w:r w:rsidRPr="008129BD">
              <w:rPr>
                <w:color w:val="000000"/>
                <w:spacing w:val="1"/>
                <w:shd w:val="solid" w:color="000000" w:fill="000000"/>
                <w:fitText w:val="330" w:id="-1032093181"/>
                <w14:textFill>
                  <w14:solidFill>
                    <w14:srgbClr w14:val="000000">
                      <w14:alpha w14:val="100000"/>
                    </w14:srgbClr>
                  </w14:solidFill>
                </w14:textFill>
              </w:rPr>
              <w:t>|</w:t>
            </w:r>
          </w:p>
        </w:tc>
        <w:tc>
          <w:tcPr>
            <w:tcW w:w="742" w:type="pct"/>
            <w:vAlign w:val="center"/>
          </w:tcPr>
          <w:p w14:paraId="6F3E3240" w14:textId="33606B6D" w:rsidR="00573532" w:rsidRPr="00E619B1" w:rsidRDefault="008129BD" w:rsidP="005F7C44">
            <w:pPr>
              <w:pStyle w:val="Tabletext"/>
              <w:jc w:val="center"/>
              <w:rPr>
                <w:highlight w:val="darkGray"/>
              </w:rPr>
            </w:pPr>
            <w:r w:rsidRPr="008129BD">
              <w:rPr>
                <w:color w:val="000000"/>
                <w:spacing w:val="53"/>
                <w:shd w:val="solid" w:color="000000" w:fill="000000"/>
                <w:fitText w:val="330" w:id="-1032093180"/>
                <w14:textFill>
                  <w14:solidFill>
                    <w14:srgbClr w14:val="000000">
                      <w14:alpha w14:val="100000"/>
                    </w14:srgbClr>
                  </w14:solidFill>
                </w14:textFill>
              </w:rPr>
              <w:t>|||</w:t>
            </w:r>
            <w:r w:rsidRPr="008129BD">
              <w:rPr>
                <w:color w:val="000000"/>
                <w:spacing w:val="1"/>
                <w:shd w:val="solid" w:color="000000" w:fill="000000"/>
                <w:fitText w:val="330" w:id="-1032093180"/>
                <w14:textFill>
                  <w14:solidFill>
                    <w14:srgbClr w14:val="000000">
                      <w14:alpha w14:val="100000"/>
                    </w14:srgbClr>
                  </w14:solidFill>
                </w14:textFill>
              </w:rPr>
              <w:t>|</w:t>
            </w:r>
          </w:p>
        </w:tc>
        <w:tc>
          <w:tcPr>
            <w:tcW w:w="742" w:type="pct"/>
            <w:vAlign w:val="center"/>
          </w:tcPr>
          <w:p w14:paraId="401AA295" w14:textId="15060A18" w:rsidR="00573532" w:rsidRPr="00E619B1" w:rsidRDefault="008129BD" w:rsidP="005F7C44">
            <w:pPr>
              <w:pStyle w:val="Tabletext"/>
              <w:jc w:val="center"/>
              <w:rPr>
                <w:highlight w:val="darkGray"/>
              </w:rPr>
            </w:pPr>
            <w:r w:rsidRPr="008129BD">
              <w:rPr>
                <w:color w:val="000000"/>
                <w:spacing w:val="53"/>
                <w:shd w:val="solid" w:color="000000" w:fill="000000"/>
                <w:fitText w:val="330" w:id="-1032093179"/>
                <w14:textFill>
                  <w14:solidFill>
                    <w14:srgbClr w14:val="000000">
                      <w14:alpha w14:val="100000"/>
                    </w14:srgbClr>
                  </w14:solidFill>
                </w14:textFill>
              </w:rPr>
              <w:t>|||</w:t>
            </w:r>
            <w:r w:rsidRPr="008129BD">
              <w:rPr>
                <w:color w:val="000000"/>
                <w:spacing w:val="1"/>
                <w:shd w:val="solid" w:color="000000" w:fill="000000"/>
                <w:fitText w:val="330" w:id="-1032093179"/>
                <w14:textFill>
                  <w14:solidFill>
                    <w14:srgbClr w14:val="000000">
                      <w14:alpha w14:val="100000"/>
                    </w14:srgbClr>
                  </w14:solidFill>
                </w14:textFill>
              </w:rPr>
              <w:t>|</w:t>
            </w:r>
          </w:p>
        </w:tc>
        <w:tc>
          <w:tcPr>
            <w:tcW w:w="742" w:type="pct"/>
            <w:vAlign w:val="center"/>
          </w:tcPr>
          <w:p w14:paraId="58DC062B" w14:textId="23BDF7DD" w:rsidR="00573532" w:rsidRPr="00E619B1" w:rsidRDefault="008129BD" w:rsidP="005F7C44">
            <w:pPr>
              <w:pStyle w:val="Tabletext"/>
              <w:jc w:val="center"/>
              <w:rPr>
                <w:highlight w:val="darkGray"/>
              </w:rPr>
            </w:pPr>
            <w:r w:rsidRPr="008129BD">
              <w:rPr>
                <w:color w:val="000000"/>
                <w:spacing w:val="53"/>
                <w:shd w:val="solid" w:color="000000" w:fill="000000"/>
                <w:fitText w:val="330" w:id="-1032093178"/>
                <w14:textFill>
                  <w14:solidFill>
                    <w14:srgbClr w14:val="000000">
                      <w14:alpha w14:val="100000"/>
                    </w14:srgbClr>
                  </w14:solidFill>
                </w14:textFill>
              </w:rPr>
              <w:t>|||</w:t>
            </w:r>
            <w:r w:rsidRPr="008129BD">
              <w:rPr>
                <w:color w:val="000000"/>
                <w:spacing w:val="1"/>
                <w:shd w:val="solid" w:color="000000" w:fill="000000"/>
                <w:fitText w:val="330" w:id="-1032093178"/>
                <w14:textFill>
                  <w14:solidFill>
                    <w14:srgbClr w14:val="000000">
                      <w14:alpha w14:val="100000"/>
                    </w14:srgbClr>
                  </w14:solidFill>
                </w14:textFill>
              </w:rPr>
              <w:t>|</w:t>
            </w:r>
          </w:p>
        </w:tc>
        <w:tc>
          <w:tcPr>
            <w:tcW w:w="742" w:type="pct"/>
            <w:vAlign w:val="center"/>
          </w:tcPr>
          <w:p w14:paraId="0BE589DF" w14:textId="49DA9527" w:rsidR="00573532" w:rsidRPr="00E619B1" w:rsidRDefault="008129BD" w:rsidP="005F7C44">
            <w:pPr>
              <w:pStyle w:val="Tabletext"/>
              <w:jc w:val="center"/>
              <w:rPr>
                <w:highlight w:val="darkGray"/>
              </w:rPr>
            </w:pPr>
            <w:r w:rsidRPr="008129BD">
              <w:rPr>
                <w:color w:val="000000"/>
                <w:spacing w:val="53"/>
                <w:shd w:val="solid" w:color="000000" w:fill="000000"/>
                <w:fitText w:val="330" w:id="-1032093177"/>
                <w14:textFill>
                  <w14:solidFill>
                    <w14:srgbClr w14:val="000000">
                      <w14:alpha w14:val="100000"/>
                    </w14:srgbClr>
                  </w14:solidFill>
                </w14:textFill>
              </w:rPr>
              <w:t>|||</w:t>
            </w:r>
            <w:r w:rsidRPr="008129BD">
              <w:rPr>
                <w:color w:val="000000"/>
                <w:spacing w:val="1"/>
                <w:shd w:val="solid" w:color="000000" w:fill="000000"/>
                <w:fitText w:val="330" w:id="-1032093177"/>
                <w14:textFill>
                  <w14:solidFill>
                    <w14:srgbClr w14:val="000000">
                      <w14:alpha w14:val="100000"/>
                    </w14:srgbClr>
                  </w14:solidFill>
                </w14:textFill>
              </w:rPr>
              <w:t>|</w:t>
            </w:r>
          </w:p>
        </w:tc>
        <w:tc>
          <w:tcPr>
            <w:tcW w:w="742" w:type="pct"/>
            <w:vAlign w:val="center"/>
          </w:tcPr>
          <w:p w14:paraId="7FE6F937" w14:textId="6198D807" w:rsidR="00573532" w:rsidRPr="00E619B1" w:rsidRDefault="008129BD" w:rsidP="005F7C44">
            <w:pPr>
              <w:pStyle w:val="Tabletext"/>
              <w:jc w:val="center"/>
              <w:rPr>
                <w:highlight w:val="darkGray"/>
              </w:rPr>
            </w:pPr>
            <w:r w:rsidRPr="005F7C44">
              <w:rPr>
                <w:color w:val="000000"/>
                <w:spacing w:val="53"/>
                <w:shd w:val="solid" w:color="000000" w:fill="000000"/>
                <w:fitText w:val="330" w:id="-1032093176"/>
                <w14:textFill>
                  <w14:solidFill>
                    <w14:srgbClr w14:val="000000">
                      <w14:alpha w14:val="100000"/>
                    </w14:srgbClr>
                  </w14:solidFill>
                </w14:textFill>
              </w:rPr>
              <w:t>|||</w:t>
            </w:r>
            <w:r w:rsidRPr="005F7C44">
              <w:rPr>
                <w:color w:val="000000"/>
                <w:spacing w:val="1"/>
                <w:shd w:val="solid" w:color="000000" w:fill="000000"/>
                <w:fitText w:val="330" w:id="-1032093176"/>
                <w14:textFill>
                  <w14:solidFill>
                    <w14:srgbClr w14:val="000000">
                      <w14:alpha w14:val="100000"/>
                    </w14:srgbClr>
                  </w14:solidFill>
                </w14:textFill>
              </w:rPr>
              <w:t>|</w:t>
            </w:r>
          </w:p>
        </w:tc>
      </w:tr>
    </w:tbl>
    <w:p w14:paraId="3B8A1C80" w14:textId="737E4AC7" w:rsidR="00030CC5" w:rsidRPr="002C3702" w:rsidRDefault="00030CC5" w:rsidP="00030CC5">
      <w:pPr>
        <w:rPr>
          <w:rFonts w:ascii="Arial Narrow" w:hAnsi="Arial Narrow"/>
          <w:snapToGrid w:val="0"/>
          <w:sz w:val="18"/>
          <w:szCs w:val="22"/>
        </w:rPr>
      </w:pPr>
      <w:r w:rsidRPr="002C3702">
        <w:rPr>
          <w:rFonts w:ascii="Arial Narrow" w:hAnsi="Arial Narrow"/>
          <w:snapToGrid w:val="0"/>
          <w:sz w:val="18"/>
          <w:szCs w:val="22"/>
        </w:rPr>
        <w:t xml:space="preserve">Source: </w:t>
      </w:r>
      <w:r w:rsidR="00573532" w:rsidRPr="002C3702">
        <w:rPr>
          <w:rFonts w:ascii="Arial Narrow" w:hAnsi="Arial Narrow"/>
          <w:snapToGrid w:val="0"/>
          <w:sz w:val="18"/>
          <w:szCs w:val="22"/>
        </w:rPr>
        <w:t xml:space="preserve">Pre-PBAC response </w:t>
      </w:r>
      <w:r w:rsidR="006E7C89" w:rsidRPr="002C3702">
        <w:rPr>
          <w:rFonts w:ascii="Arial Narrow" w:hAnsi="Arial Narrow"/>
          <w:snapToGrid w:val="0"/>
          <w:sz w:val="18"/>
          <w:szCs w:val="22"/>
        </w:rPr>
        <w:t>(</w:t>
      </w:r>
      <w:r w:rsidR="00573532" w:rsidRPr="002C3702">
        <w:rPr>
          <w:rFonts w:ascii="Arial Narrow" w:hAnsi="Arial Narrow"/>
          <w:snapToGrid w:val="0"/>
          <w:sz w:val="18"/>
          <w:szCs w:val="22"/>
        </w:rPr>
        <w:t>p</w:t>
      </w:r>
      <w:r w:rsidR="006E7C89" w:rsidRPr="002C3702">
        <w:rPr>
          <w:rFonts w:ascii="Arial Narrow" w:hAnsi="Arial Narrow"/>
          <w:snapToGrid w:val="0"/>
          <w:sz w:val="18"/>
          <w:szCs w:val="22"/>
        </w:rPr>
        <w:t>p2−3)</w:t>
      </w:r>
      <w:r w:rsidR="00DC631E" w:rsidRPr="002C3702">
        <w:rPr>
          <w:rFonts w:ascii="Arial Narrow" w:hAnsi="Arial Narrow"/>
          <w:snapToGrid w:val="0"/>
          <w:sz w:val="18"/>
          <w:szCs w:val="22"/>
        </w:rPr>
        <w:t xml:space="preserve"> and accompanied workbook ‘A6.1_ Cost and utilisation model abemaciclib EBC November 2023_updated.xlsx’</w:t>
      </w:r>
    </w:p>
    <w:p w14:paraId="3C7440B4" w14:textId="77777777" w:rsidR="00030CC5" w:rsidRPr="002C3702" w:rsidRDefault="00030CC5" w:rsidP="00030CC5">
      <w:pPr>
        <w:rPr>
          <w:rFonts w:ascii="Arial Narrow" w:hAnsi="Arial Narrow"/>
          <w:snapToGrid w:val="0"/>
          <w:sz w:val="18"/>
          <w:szCs w:val="22"/>
        </w:rPr>
      </w:pPr>
      <w:r w:rsidRPr="002C3702">
        <w:rPr>
          <w:rFonts w:ascii="Arial Narrow" w:hAnsi="Arial Narrow"/>
          <w:snapToGrid w:val="0"/>
          <w:sz w:val="18"/>
          <w:szCs w:val="22"/>
        </w:rPr>
        <w:t>ABE = abemaciclib; AEMP = approved ex-manufacturer price, SC= subsidisation cap.</w:t>
      </w:r>
    </w:p>
    <w:p w14:paraId="1DA20536" w14:textId="05697129" w:rsidR="00794195" w:rsidRPr="002C3702" w:rsidRDefault="00C01997" w:rsidP="00030CC5">
      <w:pPr>
        <w:pStyle w:val="TableFigureFooter"/>
        <w:keepNext/>
      </w:pPr>
      <w:r w:rsidRPr="002C3702">
        <w:rPr>
          <w:vertAlign w:val="superscript"/>
        </w:rPr>
        <w:t>a</w:t>
      </w:r>
      <w:r w:rsidR="00E92BFA" w:rsidRPr="002C3702">
        <w:rPr>
          <w:vertAlign w:val="superscript"/>
        </w:rPr>
        <w:t xml:space="preserve"> </w:t>
      </w:r>
      <w:r w:rsidR="00674B0F" w:rsidRPr="002C3702">
        <w:t xml:space="preserve">Based </w:t>
      </w:r>
      <w:r w:rsidR="008B3E74" w:rsidRPr="002C3702">
        <w:t>on e</w:t>
      </w:r>
      <w:r w:rsidR="0069128C" w:rsidRPr="002C3702">
        <w:t xml:space="preserve">ffective AEMP-based Commonwealth </w:t>
      </w:r>
      <w:r w:rsidR="008B3E74" w:rsidRPr="002C3702">
        <w:t>e</w:t>
      </w:r>
      <w:r w:rsidR="0069128C" w:rsidRPr="002C3702">
        <w:t>xpenditure.</w:t>
      </w:r>
    </w:p>
    <w:p w14:paraId="557293E1" w14:textId="2FF507BD" w:rsidR="00C01997" w:rsidRPr="002C3702" w:rsidRDefault="00C01997" w:rsidP="00C01997">
      <w:pPr>
        <w:pStyle w:val="TableFigureFooter"/>
        <w:keepNext/>
      </w:pPr>
      <w:r w:rsidRPr="002C3702">
        <w:rPr>
          <w:vertAlign w:val="superscript"/>
        </w:rPr>
        <w:t>b</w:t>
      </w:r>
      <w:r w:rsidR="00E92BFA" w:rsidRPr="002C3702">
        <w:rPr>
          <w:vertAlign w:val="superscript"/>
        </w:rPr>
        <w:t xml:space="preserve"> </w:t>
      </w:r>
      <w:r w:rsidRPr="002C3702">
        <w:t xml:space="preserve">There is no discount applied up to the specified cap, and an </w:t>
      </w:r>
      <w:r w:rsidR="008129BD">
        <w:t xml:space="preserve"> </w:t>
      </w:r>
      <w:r w:rsidR="008129BD" w:rsidRPr="008129BD">
        <w:rPr>
          <w:color w:val="000000"/>
          <w:spacing w:val="40"/>
          <w:shd w:val="solid" w:color="000000" w:fill="000000"/>
          <w:fitText w:val="280" w:id="-1032093175"/>
          <w14:textFill>
            <w14:solidFill>
              <w14:srgbClr w14:val="000000">
                <w14:alpha w14:val="100000"/>
              </w14:srgbClr>
            </w14:solidFill>
          </w14:textFill>
        </w:rPr>
        <w:t xml:space="preserve">|  </w:t>
      </w:r>
      <w:r w:rsidR="008129BD" w:rsidRPr="008129BD">
        <w:rPr>
          <w:color w:val="000000"/>
          <w:spacing w:val="2"/>
          <w:shd w:val="solid" w:color="000000" w:fill="000000"/>
          <w:fitText w:val="280" w:id="-1032093175"/>
          <w14:textFill>
            <w14:solidFill>
              <w14:srgbClr w14:val="000000">
                <w14:alpha w14:val="100000"/>
              </w14:srgbClr>
            </w14:solidFill>
          </w14:textFill>
        </w:rPr>
        <w:t>|</w:t>
      </w:r>
      <w:r w:rsidRPr="002C3702">
        <w:t>% discount is applied beyond that cap.</w:t>
      </w:r>
    </w:p>
    <w:p w14:paraId="7DEDC3DD" w14:textId="6DCE281E" w:rsidR="000A1CC7" w:rsidRPr="000A1CC7" w:rsidRDefault="000A1CC7" w:rsidP="000A1CC7">
      <w:pPr>
        <w:pStyle w:val="3-BodyText"/>
        <w:rPr>
          <w:rFonts w:ascii="Segoe UI" w:hAnsi="Segoe UI" w:cs="Segoe UI"/>
          <w:snapToGrid/>
        </w:rPr>
      </w:pPr>
      <w:r w:rsidRPr="000A1CC7">
        <w:t xml:space="preserve">The PBAC noted the submission proposed a Risk Sharing Arrangement (RSA) with annual subsidisation caps with a rebate of </w:t>
      </w:r>
      <w:r w:rsidR="008129BD">
        <w:t xml:space="preserve"> </w:t>
      </w:r>
      <w:r w:rsidR="008129BD" w:rsidRPr="00676505">
        <w:rPr>
          <w:color w:val="000000"/>
          <w:w w:val="15"/>
          <w:shd w:val="solid" w:color="000000" w:fill="000000"/>
          <w:fitText w:val="-20" w:id="-1032093174"/>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74"/>
          <w14:textFill>
            <w14:solidFill>
              <w14:srgbClr w14:val="000000">
                <w14:alpha w14:val="100000"/>
              </w14:srgbClr>
            </w14:solidFill>
          </w14:textFill>
        </w:rPr>
        <w:t>|</w:t>
      </w:r>
      <w:r w:rsidRPr="000A1CC7">
        <w:t>% for use exceeding the financial caps. The PBAC noted this was aligned with its March 2023 advice and considered the rebate level reasonable. However, the PBAC also noted that a shared cap for the CDK4/6 inhibitors across the adjuvant and metastatic settings may be appropriate given that the cost-effectiveness for abemaciclib in the adjuvant setting relies on reduced costs in the metastatic setting due to no repeated use of CDK4/6 inhibitors. The PBAC noted that the caps would need to be increased to account for additional patients treated with abemaciclib in the adjuvant setting, with offsets for reduced use of CDK4/6 inhibitors in the metastatic setting, consistent with the economic model.</w:t>
      </w:r>
    </w:p>
    <w:p w14:paraId="2ED9E3C3" w14:textId="51179552" w:rsidR="002B09A4" w:rsidRPr="002C3702" w:rsidRDefault="004A015A" w:rsidP="00AA0946">
      <w:pPr>
        <w:pStyle w:val="3-BodyText"/>
        <w:numPr>
          <w:ilvl w:val="0"/>
          <w:numId w:val="0"/>
        </w:numPr>
        <w:ind w:firstLine="720"/>
        <w:rPr>
          <w:i/>
          <w:iCs/>
        </w:rPr>
      </w:pPr>
      <w:bookmarkStart w:id="93" w:name="_Hlk103934877"/>
      <w:r w:rsidRPr="002C3702">
        <w:rPr>
          <w:i/>
          <w:iCs/>
        </w:rPr>
        <w:t>For more detail on PBAC’s view, see section 7 PBAC outcome.</w:t>
      </w:r>
      <w:bookmarkEnd w:id="93"/>
    </w:p>
    <w:p w14:paraId="4ACC5DF9" w14:textId="08FB307C" w:rsidR="00E05474" w:rsidRPr="00E31C08" w:rsidRDefault="00E05474" w:rsidP="00E31C08">
      <w:pPr>
        <w:pStyle w:val="2-SectionHeading"/>
      </w:pPr>
      <w:bookmarkStart w:id="94" w:name="_Hlk76377955"/>
      <w:bookmarkStart w:id="95" w:name="_Hlk76381249"/>
      <w:bookmarkStart w:id="96" w:name="_Toc143027860"/>
      <w:bookmarkStart w:id="97" w:name="_Toc145359025"/>
      <w:bookmarkStart w:id="98" w:name="_Toc145422850"/>
      <w:r w:rsidRPr="00E31C08">
        <w:t>PBAC Outcome</w:t>
      </w:r>
    </w:p>
    <w:p w14:paraId="3FEB8EBE" w14:textId="2B0A621E" w:rsidR="009A5074" w:rsidRPr="002C3702" w:rsidRDefault="009A5074" w:rsidP="003D4554">
      <w:pPr>
        <w:widowControl w:val="0"/>
        <w:numPr>
          <w:ilvl w:val="1"/>
          <w:numId w:val="1"/>
        </w:numPr>
        <w:spacing w:after="120"/>
        <w:rPr>
          <w:rFonts w:asciiTheme="minorHAnsi" w:hAnsiTheme="minorHAnsi"/>
          <w:snapToGrid w:val="0"/>
        </w:rPr>
      </w:pPr>
      <w:r w:rsidRPr="002C3702">
        <w:rPr>
          <w:rFonts w:asciiTheme="minorHAnsi" w:hAnsiTheme="minorHAnsi"/>
          <w:snapToGrid w:val="0"/>
        </w:rPr>
        <w:t xml:space="preserve">The PBAC recommended the </w:t>
      </w:r>
      <w:r w:rsidRPr="002C3702">
        <w:t>General Schedule Authority Required listing of abemaciclib, in combination with standard adjuvant endocrine therapy (ET), for the treatment of hormone receptor positive (HR+), human epidermal growth factor receptor 2 negative (HER2-), lymph node positive, invasive, resected early breast cancer (EBC) at high risk of disease recurrence</w:t>
      </w:r>
      <w:r w:rsidRPr="002C3702">
        <w:rPr>
          <w:rFonts w:asciiTheme="minorHAnsi" w:hAnsiTheme="minorHAnsi"/>
          <w:snapToGrid w:val="0"/>
        </w:rPr>
        <w:t xml:space="preserve">. </w:t>
      </w:r>
      <w:r w:rsidRPr="002C3702">
        <w:t>The PBAC considered the evidence presented demonstrated an invasive disease-free survival</w:t>
      </w:r>
      <w:r w:rsidR="003D4554" w:rsidRPr="002C3702">
        <w:t xml:space="preserve"> (IDFS)</w:t>
      </w:r>
      <w:r w:rsidRPr="002C3702">
        <w:t xml:space="preserve"> benefit over the comparator (‘ET alone’) but noted that a benefit in terms of overall survival had not been demonstrated in the updated clinical trial data and therefore remained uncertain. The PBAC noted that changes to the economic evaluation and financial estimates had partially addressed the Committee’s previous concerns. </w:t>
      </w:r>
      <w:r w:rsidR="008C6F82" w:rsidRPr="002C3702">
        <w:t>The PBAC</w:t>
      </w:r>
      <w:r w:rsidR="00336CF4" w:rsidRPr="002C3702">
        <w:t xml:space="preserve"> advised that </w:t>
      </w:r>
      <w:r w:rsidR="001F4CF7" w:rsidRPr="002C3702">
        <w:t xml:space="preserve">revisions should be made </w:t>
      </w:r>
      <w:r w:rsidR="00336CF4" w:rsidRPr="002C3702">
        <w:t xml:space="preserve">to the duration of treatment effect and </w:t>
      </w:r>
      <w:r w:rsidR="009F7D32" w:rsidRPr="002C3702">
        <w:t xml:space="preserve">the </w:t>
      </w:r>
      <w:r w:rsidR="00336CF4" w:rsidRPr="002C3702">
        <w:t xml:space="preserve">patient </w:t>
      </w:r>
      <w:r w:rsidR="001F4CF7" w:rsidRPr="002C3702">
        <w:t xml:space="preserve">age </w:t>
      </w:r>
      <w:r w:rsidR="009F7D32" w:rsidRPr="002C3702">
        <w:t>assumed in the economic model</w:t>
      </w:r>
      <w:r w:rsidR="00336CF4" w:rsidRPr="002C3702">
        <w:t xml:space="preserve"> </w:t>
      </w:r>
      <w:r w:rsidR="001F4CF7" w:rsidRPr="002C3702">
        <w:t xml:space="preserve">and that the listing of abemaciclib would be considered cost-effective </w:t>
      </w:r>
      <w:r w:rsidR="00336CF4" w:rsidRPr="002C3702">
        <w:t>with a price reduction</w:t>
      </w:r>
      <w:r w:rsidRPr="002C3702">
        <w:t xml:space="preserve">. The PBAC also considered that the financial estimates remained overestimated </w:t>
      </w:r>
      <w:r w:rsidR="003D4554" w:rsidRPr="002C3702">
        <w:t>and advised the</w:t>
      </w:r>
      <w:r w:rsidRPr="002C3702">
        <w:t xml:space="preserve"> </w:t>
      </w:r>
      <w:r w:rsidR="004E0390" w:rsidRPr="002C3702">
        <w:t xml:space="preserve">assumed </w:t>
      </w:r>
      <w:r w:rsidRPr="002C3702">
        <w:t>uptake rates</w:t>
      </w:r>
      <w:r w:rsidR="003D4554" w:rsidRPr="002C3702">
        <w:t xml:space="preserve"> should be reduced</w:t>
      </w:r>
      <w:r w:rsidRPr="002C3702">
        <w:t xml:space="preserve">. </w:t>
      </w:r>
    </w:p>
    <w:p w14:paraId="55B675FB" w14:textId="521E2BBA" w:rsidR="00A551BF" w:rsidRPr="002C3702" w:rsidRDefault="004C44AA" w:rsidP="00A551BF">
      <w:pPr>
        <w:widowControl w:val="0"/>
        <w:numPr>
          <w:ilvl w:val="1"/>
          <w:numId w:val="1"/>
        </w:numPr>
        <w:spacing w:after="120"/>
        <w:rPr>
          <w:rFonts w:asciiTheme="minorHAnsi" w:hAnsiTheme="minorHAnsi"/>
          <w:snapToGrid w:val="0"/>
        </w:rPr>
      </w:pPr>
      <w:r w:rsidRPr="002C3702">
        <w:t xml:space="preserve">The PBAC noted the consumer comments </w:t>
      </w:r>
      <w:r w:rsidR="00E255E8" w:rsidRPr="002C3702">
        <w:t>emphasising</w:t>
      </w:r>
      <w:r w:rsidRPr="002C3702">
        <w:t xml:space="preserve"> </w:t>
      </w:r>
      <w:r w:rsidR="004C4748" w:rsidRPr="002C3702">
        <w:t xml:space="preserve">the clinical need for reducing the risk of recurrence </w:t>
      </w:r>
      <w:r w:rsidR="00E255E8" w:rsidRPr="002C3702">
        <w:t>for</w:t>
      </w:r>
      <w:r w:rsidR="004C4748" w:rsidRPr="002C3702">
        <w:t xml:space="preserve"> patients diagnosed with high risk EBC and emphasising the likely clinical benefit associated with access to </w:t>
      </w:r>
      <w:r w:rsidR="00DF7117" w:rsidRPr="002C3702">
        <w:t>cyclin-dependent kinase (</w:t>
      </w:r>
      <w:r w:rsidR="004C4748" w:rsidRPr="002C3702">
        <w:t>CDK</w:t>
      </w:r>
      <w:r w:rsidR="00DF7117" w:rsidRPr="002C3702">
        <w:t>)</w:t>
      </w:r>
      <w:r w:rsidR="004C4748" w:rsidRPr="002C3702">
        <w:t>4/6 inhibitor therapy for these patients. The PBAC noted the consumer comments outlining the disease free survival benefits associated with abemaciclib, based on the results of the monarchE trial</w:t>
      </w:r>
      <w:r w:rsidR="004E0390" w:rsidRPr="002C3702">
        <w:t xml:space="preserve">. </w:t>
      </w:r>
      <w:r w:rsidR="004E0390" w:rsidRPr="002C3702">
        <w:rPr>
          <w:bCs/>
        </w:rPr>
        <w:t>The PBAC noted comments stating that the private cost of abemaciclib remain</w:t>
      </w:r>
      <w:r w:rsidR="000B0437" w:rsidRPr="002C3702">
        <w:rPr>
          <w:bCs/>
        </w:rPr>
        <w:t>ed</w:t>
      </w:r>
      <w:r w:rsidR="004E0390" w:rsidRPr="002C3702">
        <w:rPr>
          <w:bCs/>
        </w:rPr>
        <w:t xml:space="preserve"> a financial burden to patients and that a PBS listing would ensure equity of access.</w:t>
      </w:r>
    </w:p>
    <w:p w14:paraId="4F65D2A2" w14:textId="24FCCC30" w:rsidR="009A5074" w:rsidRPr="002C3702" w:rsidRDefault="009A5074" w:rsidP="009A5074">
      <w:pPr>
        <w:pStyle w:val="3-BodyText"/>
        <w:rPr>
          <w:snapToGrid/>
        </w:rPr>
      </w:pPr>
      <w:r w:rsidRPr="002C3702">
        <w:rPr>
          <w:snapToGrid/>
        </w:rPr>
        <w:t>The PBAC considered that there remained a moderate clinical need for effective treatments for patients with this condition.</w:t>
      </w:r>
      <w:r w:rsidR="00E255E8" w:rsidRPr="002C3702">
        <w:rPr>
          <w:snapToGrid/>
        </w:rPr>
        <w:t xml:space="preserve"> </w:t>
      </w:r>
    </w:p>
    <w:p w14:paraId="17B5CF8A" w14:textId="4862F3A3" w:rsidR="00D623CB" w:rsidRPr="002C3702" w:rsidRDefault="00D623CB" w:rsidP="00D623CB">
      <w:pPr>
        <w:widowControl w:val="0"/>
        <w:numPr>
          <w:ilvl w:val="1"/>
          <w:numId w:val="1"/>
        </w:numPr>
        <w:spacing w:after="120"/>
        <w:rPr>
          <w:rFonts w:asciiTheme="minorHAnsi" w:hAnsiTheme="minorHAnsi"/>
          <w:snapToGrid w:val="0"/>
        </w:rPr>
      </w:pPr>
      <w:r w:rsidRPr="002C3702">
        <w:t>The PBAC</w:t>
      </w:r>
      <w:r w:rsidR="003D0468" w:rsidRPr="002C3702">
        <w:t xml:space="preserve"> noted that the sequential impact of listing abemaciclib in EBC to metastatic disease had not been captured in the clinical management algorithm </w:t>
      </w:r>
      <w:r w:rsidR="00366053" w:rsidRPr="002C3702">
        <w:t xml:space="preserve">included in </w:t>
      </w:r>
      <w:r w:rsidR="003D0468" w:rsidRPr="002C3702">
        <w:t>the submission. The PBAC</w:t>
      </w:r>
      <w:r w:rsidRPr="002C3702">
        <w:t xml:space="preserve"> </w:t>
      </w:r>
      <w:r w:rsidR="00D51822" w:rsidRPr="002C3702">
        <w:t>reiterated that</w:t>
      </w:r>
      <w:r w:rsidRPr="002C3702">
        <w:t xml:space="preserve"> flow on changes to all </w:t>
      </w:r>
      <w:r w:rsidRPr="002C3702">
        <w:rPr>
          <w:iCs/>
        </w:rPr>
        <w:t xml:space="preserve">CDK4/6 inhibitors currently PBS </w:t>
      </w:r>
      <w:r w:rsidRPr="002C3702">
        <w:t>listed in the advanced/metastatic treatment setting</w:t>
      </w:r>
      <w:r w:rsidR="00D51822" w:rsidRPr="002C3702">
        <w:t xml:space="preserve"> was required</w:t>
      </w:r>
      <w:r w:rsidRPr="002C3702">
        <w:t xml:space="preserve"> to exclude sequential use (i.e. use in early breast cancer and then use in advanced/metastatic breast cancer) as </w:t>
      </w:r>
      <w:r w:rsidRPr="002C3702">
        <w:rPr>
          <w:iCs/>
        </w:rPr>
        <w:t>there are currently no safety or efficacy data for repeated use of CDK4/6 inhibitors</w:t>
      </w:r>
      <w:r w:rsidR="00D51822" w:rsidRPr="002C3702">
        <w:rPr>
          <w:color w:val="000000" w:themeColor="text1"/>
        </w:rPr>
        <w:t xml:space="preserve">. </w:t>
      </w:r>
    </w:p>
    <w:p w14:paraId="22E16677" w14:textId="77777777" w:rsidR="00097A52" w:rsidRPr="002C3702" w:rsidRDefault="00097A52" w:rsidP="00097A52">
      <w:pPr>
        <w:widowControl w:val="0"/>
        <w:numPr>
          <w:ilvl w:val="1"/>
          <w:numId w:val="1"/>
        </w:numPr>
        <w:spacing w:after="120"/>
        <w:rPr>
          <w:rStyle w:val="normaltextrun"/>
          <w:rFonts w:asciiTheme="minorHAnsi" w:hAnsiTheme="minorHAnsi"/>
          <w:snapToGrid w:val="0"/>
        </w:rPr>
      </w:pPr>
      <w:r w:rsidRPr="002C3702">
        <w:rPr>
          <w:rFonts w:asciiTheme="minorHAnsi" w:hAnsiTheme="minorHAnsi"/>
          <w:snapToGrid w:val="0"/>
        </w:rPr>
        <w:t>The PBAC considered that the proposed restriction was appropriate, however noted that it should include a criterion that prevented use with other PBS-subsidised therapies for this condition.</w:t>
      </w:r>
    </w:p>
    <w:p w14:paraId="0FA628F4" w14:textId="14F28FDD" w:rsidR="00D623CB" w:rsidRPr="002C3702" w:rsidRDefault="00D623CB" w:rsidP="00D623CB">
      <w:pPr>
        <w:pStyle w:val="3-BodyText"/>
      </w:pPr>
      <w:r w:rsidRPr="002C3702">
        <w:t>The PBAC noted the nominated comparator, ET alone, was the same as for the March 2023 submission and considered it remained appropriate.</w:t>
      </w:r>
    </w:p>
    <w:p w14:paraId="22C13AAB" w14:textId="24EF001C" w:rsidR="00D623CB" w:rsidRPr="002C3702" w:rsidRDefault="00D623CB" w:rsidP="00894E32">
      <w:pPr>
        <w:pStyle w:val="3-BodyText"/>
      </w:pPr>
      <w:r w:rsidRPr="002C3702">
        <w:t>The PBAC noted additional follow-up data for the monarchE trial was provided in the Pre-Sub Committee Response (PSCR), which increased the median duration of follow-up from 42 months of data included in the submission to 54 months.</w:t>
      </w:r>
      <w:r w:rsidR="00541E6A" w:rsidRPr="002C3702">
        <w:t xml:space="preserve"> </w:t>
      </w:r>
      <w:r w:rsidR="00541E6A" w:rsidRPr="002C3702">
        <w:rPr>
          <w:rFonts w:eastAsia="Calibri"/>
        </w:rPr>
        <w:t>The PBAC noted</w:t>
      </w:r>
      <w:r w:rsidR="000B7693" w:rsidRPr="002C3702">
        <w:rPr>
          <w:rFonts w:eastAsia="Calibri"/>
        </w:rPr>
        <w:t xml:space="preserve"> that </w:t>
      </w:r>
      <w:r w:rsidR="00541E6A" w:rsidRPr="002C3702">
        <w:rPr>
          <w:rFonts w:eastAsia="Calibri"/>
        </w:rPr>
        <w:t>the addition of abemaciclib resulted in a statistically significant reduction in I</w:t>
      </w:r>
      <w:r w:rsidR="00541E6A" w:rsidRPr="002C3702">
        <w:rPr>
          <w:color w:val="000000"/>
        </w:rPr>
        <w:t>DFS (HR 0.6</w:t>
      </w:r>
      <w:r w:rsidR="0007695F" w:rsidRPr="002C3702">
        <w:rPr>
          <w:color w:val="000000"/>
        </w:rPr>
        <w:t>7</w:t>
      </w:r>
      <w:r w:rsidR="00541E6A" w:rsidRPr="002C3702">
        <w:rPr>
          <w:color w:val="000000"/>
        </w:rPr>
        <w:t>, 95% CI</w:t>
      </w:r>
      <w:r w:rsidR="00541E6A" w:rsidRPr="002C3702">
        <w:rPr>
          <w:bCs/>
          <w:szCs w:val="20"/>
        </w:rPr>
        <w:t xml:space="preserve"> 0.</w:t>
      </w:r>
      <w:r w:rsidR="0007695F" w:rsidRPr="002C3702">
        <w:rPr>
          <w:bCs/>
          <w:szCs w:val="20"/>
        </w:rPr>
        <w:t>59</w:t>
      </w:r>
      <w:r w:rsidR="00541E6A" w:rsidRPr="002C3702">
        <w:rPr>
          <w:bCs/>
          <w:szCs w:val="20"/>
        </w:rPr>
        <w:t>, 0.7</w:t>
      </w:r>
      <w:r w:rsidR="0007695F" w:rsidRPr="002C3702">
        <w:rPr>
          <w:bCs/>
          <w:szCs w:val="20"/>
        </w:rPr>
        <w:t>7</w:t>
      </w:r>
      <w:r w:rsidR="00541E6A" w:rsidRPr="002C3702">
        <w:rPr>
          <w:color w:val="000000"/>
        </w:rPr>
        <w:t xml:space="preserve">) and </w:t>
      </w:r>
      <w:r w:rsidR="008A6610" w:rsidRPr="002C3702">
        <w:rPr>
          <w:color w:val="000000"/>
        </w:rPr>
        <w:t>distant-relapse free survival (</w:t>
      </w:r>
      <w:r w:rsidR="00541E6A" w:rsidRPr="002C3702">
        <w:t>DRFS</w:t>
      </w:r>
      <w:r w:rsidR="008A6610" w:rsidRPr="002C3702">
        <w:t>)</w:t>
      </w:r>
      <w:r w:rsidR="00541E6A" w:rsidRPr="002C3702">
        <w:t xml:space="preserve"> (HR 0.6</w:t>
      </w:r>
      <w:r w:rsidR="0007695F" w:rsidRPr="002C3702">
        <w:t>7</w:t>
      </w:r>
      <w:r w:rsidR="00541E6A" w:rsidRPr="002C3702">
        <w:t>, 95% CI 0.5</w:t>
      </w:r>
      <w:r w:rsidR="0007695F" w:rsidRPr="002C3702">
        <w:t>8</w:t>
      </w:r>
      <w:r w:rsidR="00541E6A" w:rsidRPr="002C3702">
        <w:t>, 0.77</w:t>
      </w:r>
      <w:r w:rsidR="00894E32" w:rsidRPr="002C3702">
        <w:t>)</w:t>
      </w:r>
      <w:r w:rsidR="00251844" w:rsidRPr="002C3702">
        <w:t xml:space="preserve">. The </w:t>
      </w:r>
      <w:r w:rsidR="004C25A9" w:rsidRPr="002C3702">
        <w:t xml:space="preserve">PBAC </w:t>
      </w:r>
      <w:r w:rsidR="00366053" w:rsidRPr="002C3702">
        <w:t xml:space="preserve">noted </w:t>
      </w:r>
      <w:r w:rsidR="004C25A9" w:rsidRPr="002C3702">
        <w:t xml:space="preserve">that </w:t>
      </w:r>
      <w:r w:rsidR="000F503C" w:rsidRPr="002C3702">
        <w:t>the magnitude of relative treatment effect appear</w:t>
      </w:r>
      <w:r w:rsidR="00894E32" w:rsidRPr="002C3702">
        <w:t>s</w:t>
      </w:r>
      <w:r w:rsidR="000F503C" w:rsidRPr="002C3702">
        <w:t xml:space="preserve"> to be maintained </w:t>
      </w:r>
      <w:r w:rsidR="004C25A9" w:rsidRPr="002C3702">
        <w:t xml:space="preserve">up </w:t>
      </w:r>
      <w:r w:rsidR="000F503C" w:rsidRPr="002C3702">
        <w:t xml:space="preserve">to </w:t>
      </w:r>
      <w:r w:rsidR="00894E32" w:rsidRPr="002C3702">
        <w:t xml:space="preserve">the </w:t>
      </w:r>
      <w:r w:rsidR="000B7693" w:rsidRPr="002C3702">
        <w:t>recent</w:t>
      </w:r>
      <w:r w:rsidR="0058623C" w:rsidRPr="002C3702">
        <w:t xml:space="preserve"> </w:t>
      </w:r>
      <w:r w:rsidR="00894E32" w:rsidRPr="002C3702">
        <w:t>data cut</w:t>
      </w:r>
      <w:r w:rsidR="0058623C" w:rsidRPr="002C3702">
        <w:t>-off</w:t>
      </w:r>
      <w:r w:rsidR="00894E32" w:rsidRPr="002C3702">
        <w:t xml:space="preserve"> (median follow-up = 4.5 years). The PBAC recalled it had previously considered that the difference in IDFS and DRFS was likely to represent a clinically meaningful benefit</w:t>
      </w:r>
      <w:r w:rsidR="00894E32" w:rsidRPr="002C3702">
        <w:rPr>
          <w:rFonts w:eastAsia="Calibri"/>
        </w:rPr>
        <w:t xml:space="preserve">. The PBAC also recalled it considered that overall the claim </w:t>
      </w:r>
      <w:r w:rsidR="00894E32" w:rsidRPr="002C3702">
        <w:rPr>
          <w:rFonts w:eastAsia="Calibri"/>
          <w:iCs/>
        </w:rPr>
        <w:t xml:space="preserve">of superior comparative effectiveness of abemaciclib + ET over ET alone was supported </w:t>
      </w:r>
      <w:r w:rsidR="00894E32" w:rsidRPr="002C3702">
        <w:t>(</w:t>
      </w:r>
      <w:r w:rsidR="00894E32" w:rsidRPr="002C3702">
        <w:rPr>
          <w:color w:val="000000" w:themeColor="text1"/>
        </w:rPr>
        <w:t>para 7.7, abemaciclib, PSD, March 2023 PBAC meeting)</w:t>
      </w:r>
      <w:r w:rsidR="00894E32" w:rsidRPr="002C3702">
        <w:t xml:space="preserve">. </w:t>
      </w:r>
      <w:r w:rsidR="00894E32" w:rsidRPr="002C3702">
        <w:rPr>
          <w:iCs/>
        </w:rPr>
        <w:t>The</w:t>
      </w:r>
      <w:r w:rsidR="00894E32" w:rsidRPr="002C3702">
        <w:t xml:space="preserve"> </w:t>
      </w:r>
      <w:r w:rsidR="00894E32" w:rsidRPr="002C3702">
        <w:rPr>
          <w:iCs/>
        </w:rPr>
        <w:t xml:space="preserve">PBAC considered that the updated efficacy results remain consistent with this conclusion. </w:t>
      </w:r>
      <w:r w:rsidR="000F503C" w:rsidRPr="002C3702">
        <w:rPr>
          <w:rFonts w:eastAsia="Calibri"/>
          <w:iCs/>
        </w:rPr>
        <w:t xml:space="preserve">However, </w:t>
      </w:r>
      <w:r w:rsidR="000F503C" w:rsidRPr="002C3702">
        <w:rPr>
          <w:rFonts w:eastAsia="Calibri"/>
        </w:rPr>
        <w:t xml:space="preserve">the PBAC considered that due to immature </w:t>
      </w:r>
      <w:r w:rsidR="00E533AC" w:rsidRPr="002C3702">
        <w:rPr>
          <w:rFonts w:eastAsia="Calibri"/>
        </w:rPr>
        <w:t>overall survival (</w:t>
      </w:r>
      <w:r w:rsidR="000F503C" w:rsidRPr="002C3702">
        <w:rPr>
          <w:rFonts w:eastAsia="Calibri"/>
        </w:rPr>
        <w:t>OS</w:t>
      </w:r>
      <w:r w:rsidR="00E533AC" w:rsidRPr="002C3702">
        <w:rPr>
          <w:rFonts w:eastAsia="Calibri"/>
        </w:rPr>
        <w:t>)</w:t>
      </w:r>
      <w:r w:rsidR="000F503C" w:rsidRPr="002C3702">
        <w:rPr>
          <w:rFonts w:eastAsia="Calibri"/>
        </w:rPr>
        <w:t xml:space="preserve"> data there remained an unclear relationship between IDFS/DRFS and OS.  </w:t>
      </w:r>
    </w:p>
    <w:p w14:paraId="6E6D8219" w14:textId="22BF4288" w:rsidR="00F61A32" w:rsidRPr="002C3702" w:rsidRDefault="00A54457" w:rsidP="00A551BF">
      <w:pPr>
        <w:widowControl w:val="0"/>
        <w:numPr>
          <w:ilvl w:val="1"/>
          <w:numId w:val="1"/>
        </w:numPr>
        <w:spacing w:after="120"/>
        <w:rPr>
          <w:rFonts w:asciiTheme="minorHAnsi" w:hAnsiTheme="minorHAnsi"/>
          <w:snapToGrid w:val="0"/>
        </w:rPr>
      </w:pPr>
      <w:r w:rsidRPr="002C3702">
        <w:rPr>
          <w:rFonts w:asciiTheme="minorHAnsi" w:hAnsiTheme="minorHAnsi"/>
          <w:snapToGrid w:val="0"/>
        </w:rPr>
        <w:t>The PBAC recalled it had</w:t>
      </w:r>
      <w:r w:rsidR="00080A64" w:rsidRPr="002C3702">
        <w:rPr>
          <w:rFonts w:asciiTheme="minorHAnsi" w:hAnsiTheme="minorHAnsi"/>
          <w:snapToGrid w:val="0"/>
        </w:rPr>
        <w:t xml:space="preserve"> previously considered</w:t>
      </w:r>
      <w:r w:rsidR="003D0468" w:rsidRPr="002C3702">
        <w:rPr>
          <w:rStyle w:val="normaltextrun"/>
          <w:rFonts w:cs="Calibri"/>
          <w:iCs/>
          <w:color w:val="000000"/>
          <w:shd w:val="clear" w:color="auto" w:fill="FFFFFF"/>
        </w:rPr>
        <w:t xml:space="preserve"> that </w:t>
      </w:r>
      <w:r w:rsidR="00556EA6" w:rsidRPr="002C3702">
        <w:t xml:space="preserve">abemaciclib </w:t>
      </w:r>
      <w:r w:rsidR="003D0468" w:rsidRPr="002C3702">
        <w:rPr>
          <w:rStyle w:val="normaltextrun"/>
          <w:rFonts w:cs="Calibri"/>
          <w:iCs/>
          <w:color w:val="000000"/>
          <w:shd w:val="clear" w:color="auto" w:fill="FFFFFF"/>
        </w:rPr>
        <w:t xml:space="preserve">in combination with ET </w:t>
      </w:r>
      <w:r w:rsidR="003D0468" w:rsidRPr="002C3702">
        <w:rPr>
          <w:rStyle w:val="normaltextrun"/>
          <w:rFonts w:cs="Calibri"/>
          <w:iCs/>
          <w:color w:val="000000" w:themeColor="text1"/>
        </w:rPr>
        <w:t>was</w:t>
      </w:r>
      <w:r w:rsidR="003D0468" w:rsidRPr="002C3702">
        <w:rPr>
          <w:rStyle w:val="normaltextrun"/>
          <w:rFonts w:cs="Calibri"/>
          <w:iCs/>
          <w:color w:val="000000"/>
          <w:shd w:val="clear" w:color="auto" w:fill="FFFFFF"/>
        </w:rPr>
        <w:t xml:space="preserve"> associated with inferior safety compared to ET alone, </w:t>
      </w:r>
      <w:r w:rsidR="003D0468" w:rsidRPr="002C3702">
        <w:rPr>
          <w:iCs/>
        </w:rPr>
        <w:t>and</w:t>
      </w:r>
      <w:r w:rsidR="00080A64" w:rsidRPr="002C3702">
        <w:rPr>
          <w:iCs/>
        </w:rPr>
        <w:t xml:space="preserve"> while the risk of adverse events was likely to be greater outside the controlled clinical trial environment, the adverse events associated</w:t>
      </w:r>
      <w:r w:rsidR="00080A64" w:rsidRPr="002C3702">
        <w:rPr>
          <w:rFonts w:asciiTheme="minorHAnsi" w:hAnsiTheme="minorHAnsi"/>
          <w:snapToGrid w:val="0"/>
        </w:rPr>
        <w:t xml:space="preserve"> with abemaciclib could be monitored and managed with dose modifications </w:t>
      </w:r>
      <w:r w:rsidR="00080A64" w:rsidRPr="002C3702">
        <w:t>(</w:t>
      </w:r>
      <w:r w:rsidR="00080A64" w:rsidRPr="002C3702">
        <w:rPr>
          <w:color w:val="000000" w:themeColor="text1"/>
        </w:rPr>
        <w:t>para 7.8, abemaciclib, PSD, March 2023 PBAC meeting)</w:t>
      </w:r>
      <w:r w:rsidR="00080A64" w:rsidRPr="002C3702">
        <w:rPr>
          <w:rFonts w:asciiTheme="minorHAnsi" w:hAnsiTheme="minorHAnsi"/>
          <w:snapToGrid w:val="0"/>
        </w:rPr>
        <w:t>.</w:t>
      </w:r>
      <w:r w:rsidR="003D0468" w:rsidRPr="002C3702">
        <w:rPr>
          <w:rFonts w:asciiTheme="minorHAnsi" w:hAnsiTheme="minorHAnsi"/>
          <w:snapToGrid w:val="0"/>
        </w:rPr>
        <w:t xml:space="preserve"> </w:t>
      </w:r>
      <w:r w:rsidR="00EA6D59" w:rsidRPr="002C3702">
        <w:rPr>
          <w:rFonts w:asciiTheme="minorHAnsi" w:hAnsiTheme="minorHAnsi"/>
          <w:snapToGrid w:val="0"/>
        </w:rPr>
        <w:t>T</w:t>
      </w:r>
      <w:r w:rsidR="003D0468" w:rsidRPr="002C3702">
        <w:rPr>
          <w:rFonts w:asciiTheme="minorHAnsi" w:hAnsiTheme="minorHAnsi"/>
          <w:snapToGrid w:val="0"/>
        </w:rPr>
        <w:t xml:space="preserve">he PBAC considered </w:t>
      </w:r>
      <w:r w:rsidR="00366053" w:rsidRPr="002C3702">
        <w:rPr>
          <w:rFonts w:asciiTheme="minorHAnsi" w:hAnsiTheme="minorHAnsi"/>
          <w:snapToGrid w:val="0"/>
        </w:rPr>
        <w:t xml:space="preserve">the </w:t>
      </w:r>
      <w:r w:rsidR="003D0468" w:rsidRPr="002C3702">
        <w:rPr>
          <w:rFonts w:asciiTheme="minorHAnsi" w:hAnsiTheme="minorHAnsi"/>
          <w:snapToGrid w:val="0"/>
        </w:rPr>
        <w:t>claim of inferior yet monitorable and manageable safety was reasonable.</w:t>
      </w:r>
    </w:p>
    <w:p w14:paraId="2AECC622" w14:textId="30C74F7C" w:rsidR="00DD6B66" w:rsidRPr="002C3702" w:rsidRDefault="00DD6B66" w:rsidP="00DD6B66">
      <w:pPr>
        <w:widowControl w:val="0"/>
        <w:numPr>
          <w:ilvl w:val="1"/>
          <w:numId w:val="1"/>
        </w:numPr>
        <w:spacing w:after="120"/>
        <w:rPr>
          <w:rFonts w:asciiTheme="minorHAnsi" w:hAnsiTheme="minorHAnsi"/>
          <w:snapToGrid w:val="0"/>
        </w:rPr>
      </w:pPr>
      <w:bookmarkStart w:id="99" w:name="_Ref130559871"/>
      <w:r w:rsidRPr="002C3702">
        <w:rPr>
          <w:rFonts w:asciiTheme="minorHAnsi" w:hAnsiTheme="minorHAnsi"/>
          <w:snapToGrid w:val="0"/>
        </w:rPr>
        <w:t xml:space="preserve">The PBAC noted the economic model </w:t>
      </w:r>
      <w:r w:rsidR="00E533AC" w:rsidRPr="002C3702">
        <w:rPr>
          <w:rFonts w:asciiTheme="minorHAnsi" w:hAnsiTheme="minorHAnsi"/>
          <w:snapToGrid w:val="0"/>
        </w:rPr>
        <w:t>maintained its</w:t>
      </w:r>
      <w:r w:rsidRPr="002C3702">
        <w:rPr>
          <w:rFonts w:asciiTheme="minorHAnsi" w:hAnsiTheme="minorHAnsi"/>
          <w:snapToGrid w:val="0"/>
        </w:rPr>
        <w:t xml:space="preserve"> assum</w:t>
      </w:r>
      <w:r w:rsidR="00E533AC" w:rsidRPr="002C3702">
        <w:rPr>
          <w:rFonts w:asciiTheme="minorHAnsi" w:hAnsiTheme="minorHAnsi"/>
          <w:snapToGrid w:val="0"/>
        </w:rPr>
        <w:t>ption</w:t>
      </w:r>
      <w:r w:rsidRPr="002C3702">
        <w:rPr>
          <w:rFonts w:asciiTheme="minorHAnsi" w:hAnsiTheme="minorHAnsi"/>
          <w:snapToGrid w:val="0"/>
        </w:rPr>
        <w:t xml:space="preserve"> that treatment with abemaciclib would reduce the risk of recurrence and that this would result in an increase in OS. The PBAC </w:t>
      </w:r>
      <w:r w:rsidR="00E533AC" w:rsidRPr="002C3702">
        <w:rPr>
          <w:rFonts w:asciiTheme="minorHAnsi" w:hAnsiTheme="minorHAnsi"/>
          <w:snapToGrid w:val="0"/>
        </w:rPr>
        <w:t xml:space="preserve">recalled it had previously </w:t>
      </w:r>
      <w:r w:rsidRPr="002C3702">
        <w:rPr>
          <w:rFonts w:asciiTheme="minorHAnsi" w:hAnsiTheme="minorHAnsi"/>
          <w:snapToGrid w:val="0"/>
        </w:rPr>
        <w:t xml:space="preserve">considered </w:t>
      </w:r>
      <w:r w:rsidR="006818A1" w:rsidRPr="002C3702">
        <w:rPr>
          <w:rFonts w:asciiTheme="minorHAnsi" w:hAnsiTheme="minorHAnsi"/>
          <w:snapToGrid w:val="0"/>
        </w:rPr>
        <w:t xml:space="preserve">that </w:t>
      </w:r>
      <w:r w:rsidRPr="002C3702">
        <w:rPr>
          <w:rFonts w:asciiTheme="minorHAnsi" w:hAnsiTheme="minorHAnsi"/>
          <w:snapToGrid w:val="0"/>
        </w:rPr>
        <w:t>it</w:t>
      </w:r>
      <w:r w:rsidR="006818A1" w:rsidRPr="002C3702">
        <w:rPr>
          <w:rFonts w:asciiTheme="minorHAnsi" w:hAnsiTheme="minorHAnsi"/>
          <w:snapToGrid w:val="0"/>
        </w:rPr>
        <w:t xml:space="preserve"> was</w:t>
      </w:r>
      <w:r w:rsidRPr="002C3702">
        <w:rPr>
          <w:rFonts w:asciiTheme="minorHAnsi" w:hAnsiTheme="minorHAnsi"/>
          <w:snapToGrid w:val="0"/>
        </w:rPr>
        <w:t xml:space="preserve"> unclear if treatment with abemaciclib results in recurrence being avoided in a proportion of patients and hence a permanent cure as claimed, or if abemaciclib delays micro-metastases progressing to macro-metastases and hence delays when recurrence occurs</w:t>
      </w:r>
      <w:r w:rsidR="00E533AC" w:rsidRPr="002C3702">
        <w:rPr>
          <w:rFonts w:asciiTheme="minorHAnsi" w:hAnsiTheme="minorHAnsi"/>
          <w:snapToGrid w:val="0"/>
        </w:rPr>
        <w:t xml:space="preserve"> </w:t>
      </w:r>
      <w:r w:rsidR="00E533AC" w:rsidRPr="002C3702">
        <w:t>(</w:t>
      </w:r>
      <w:r w:rsidR="00E533AC" w:rsidRPr="002C3702">
        <w:rPr>
          <w:color w:val="000000" w:themeColor="text1"/>
        </w:rPr>
        <w:t>para 7.9, abemaciclib, PSD, March 2023 PBAC meeting)</w:t>
      </w:r>
      <w:r w:rsidRPr="002C3702">
        <w:rPr>
          <w:rFonts w:asciiTheme="minorHAnsi" w:hAnsiTheme="minorHAnsi"/>
          <w:snapToGrid w:val="0"/>
        </w:rPr>
        <w:t xml:space="preserve">. Overall, </w:t>
      </w:r>
      <w:bookmarkStart w:id="100" w:name="_Hlk143009255"/>
      <w:r w:rsidRPr="002C3702">
        <w:rPr>
          <w:rFonts w:asciiTheme="minorHAnsi" w:hAnsiTheme="minorHAnsi"/>
          <w:snapToGrid w:val="0"/>
        </w:rPr>
        <w:t xml:space="preserve">the PBAC considered the modelled OS gain </w:t>
      </w:r>
      <w:r w:rsidR="00E533AC" w:rsidRPr="002C3702">
        <w:rPr>
          <w:rFonts w:asciiTheme="minorHAnsi" w:hAnsiTheme="minorHAnsi"/>
          <w:snapToGrid w:val="0"/>
        </w:rPr>
        <w:t>remained</w:t>
      </w:r>
      <w:r w:rsidRPr="002C3702">
        <w:rPr>
          <w:rFonts w:asciiTheme="minorHAnsi" w:hAnsiTheme="minorHAnsi"/>
          <w:snapToGrid w:val="0"/>
        </w:rPr>
        <w:t xml:space="preserve"> highly uncertain</w:t>
      </w:r>
      <w:bookmarkEnd w:id="100"/>
      <w:r w:rsidRPr="002C3702">
        <w:rPr>
          <w:rFonts w:asciiTheme="minorHAnsi" w:hAnsiTheme="minorHAnsi"/>
          <w:snapToGrid w:val="0"/>
        </w:rPr>
        <w:t>.</w:t>
      </w:r>
      <w:bookmarkEnd w:id="99"/>
    </w:p>
    <w:p w14:paraId="73762073" w14:textId="1458285A" w:rsidR="0088505B" w:rsidRPr="002C3702" w:rsidRDefault="00AB45AF" w:rsidP="007D72F2">
      <w:pPr>
        <w:widowControl w:val="0"/>
        <w:numPr>
          <w:ilvl w:val="1"/>
          <w:numId w:val="1"/>
        </w:numPr>
        <w:spacing w:after="120"/>
        <w:rPr>
          <w:rFonts w:asciiTheme="minorHAnsi" w:hAnsiTheme="minorHAnsi"/>
          <w:snapToGrid w:val="0"/>
        </w:rPr>
      </w:pPr>
      <w:bookmarkStart w:id="101" w:name="_Ref150430851"/>
      <w:r w:rsidRPr="002C3702">
        <w:rPr>
          <w:rFonts w:asciiTheme="minorHAnsi" w:hAnsiTheme="minorHAnsi"/>
          <w:snapToGrid w:val="0"/>
        </w:rPr>
        <w:t xml:space="preserve">The PBAC </w:t>
      </w:r>
      <w:r w:rsidR="00DD6B66" w:rsidRPr="002C3702">
        <w:rPr>
          <w:rFonts w:asciiTheme="minorHAnsi" w:hAnsiTheme="minorHAnsi"/>
          <w:snapToGrid w:val="0"/>
        </w:rPr>
        <w:t xml:space="preserve">recalled that in March 2023 it had considered that abemaciclib could be considered cost-effective if changes were made to the economic model in </w:t>
      </w:r>
      <w:r w:rsidR="00F57F3C" w:rsidRPr="002C3702">
        <w:rPr>
          <w:rFonts w:asciiTheme="minorHAnsi" w:hAnsiTheme="minorHAnsi"/>
          <w:snapToGrid w:val="0"/>
        </w:rPr>
        <w:t>combination</w:t>
      </w:r>
      <w:r w:rsidR="00DD6B66" w:rsidRPr="002C3702">
        <w:rPr>
          <w:rFonts w:asciiTheme="minorHAnsi" w:hAnsiTheme="minorHAnsi"/>
          <w:snapToGrid w:val="0"/>
        </w:rPr>
        <w:t xml:space="preserve"> with </w:t>
      </w:r>
      <w:r w:rsidR="005E19C2" w:rsidRPr="002C3702">
        <w:rPr>
          <w:rFonts w:asciiTheme="minorHAnsi" w:hAnsiTheme="minorHAnsi"/>
          <w:snapToGrid w:val="0"/>
        </w:rPr>
        <w:t>an incremental cost effectiveness ratio (ICER) of up to $30,000 per quality adjusted life year (QALY)</w:t>
      </w:r>
      <w:r w:rsidR="002C10D4" w:rsidRPr="002C3702">
        <w:rPr>
          <w:rFonts w:asciiTheme="minorHAnsi" w:hAnsiTheme="minorHAnsi"/>
          <w:snapToGrid w:val="0"/>
        </w:rPr>
        <w:t>. T</w:t>
      </w:r>
      <w:r w:rsidR="00AE1CDF" w:rsidRPr="002C3702">
        <w:rPr>
          <w:rFonts w:asciiTheme="minorHAnsi" w:hAnsiTheme="minorHAnsi"/>
          <w:snapToGrid w:val="0"/>
        </w:rPr>
        <w:t>he PBAC considered th</w:t>
      </w:r>
      <w:r w:rsidR="00962C6A" w:rsidRPr="002C3702">
        <w:rPr>
          <w:rFonts w:asciiTheme="minorHAnsi" w:hAnsiTheme="minorHAnsi"/>
          <w:snapToGrid w:val="0"/>
        </w:rPr>
        <w:t xml:space="preserve">ese amendments </w:t>
      </w:r>
      <w:r w:rsidR="00AE1CDF" w:rsidRPr="002C3702">
        <w:rPr>
          <w:rFonts w:asciiTheme="minorHAnsi" w:hAnsiTheme="minorHAnsi"/>
          <w:snapToGrid w:val="0"/>
        </w:rPr>
        <w:t>would</w:t>
      </w:r>
      <w:r w:rsidR="005E19C2" w:rsidRPr="002C3702">
        <w:rPr>
          <w:rFonts w:asciiTheme="minorHAnsi" w:hAnsiTheme="minorHAnsi"/>
          <w:snapToGrid w:val="0"/>
        </w:rPr>
        <w:t xml:space="preserve"> account </w:t>
      </w:r>
      <w:r w:rsidR="003948D3" w:rsidRPr="002C3702">
        <w:t>for the uncertainty regarding the modelled OS.</w:t>
      </w:r>
      <w:r w:rsidR="00F57F3C" w:rsidRPr="002C3702">
        <w:t xml:space="preserve"> </w:t>
      </w:r>
      <w:r w:rsidR="0088505B" w:rsidRPr="002C3702">
        <w:rPr>
          <w:rFonts w:asciiTheme="minorHAnsi" w:hAnsiTheme="minorHAnsi"/>
          <w:snapToGrid w:val="0"/>
        </w:rPr>
        <w:t xml:space="preserve">The PBAC noted that the submission presented a revised economic evaluation and proposed further revisions in the </w:t>
      </w:r>
      <w:r w:rsidR="004C162F">
        <w:rPr>
          <w:rFonts w:asciiTheme="minorHAnsi" w:hAnsiTheme="minorHAnsi"/>
          <w:snapToGrid w:val="0"/>
        </w:rPr>
        <w:t>p</w:t>
      </w:r>
      <w:r w:rsidR="0088505B" w:rsidRPr="002C3702">
        <w:rPr>
          <w:rFonts w:asciiTheme="minorHAnsi" w:hAnsiTheme="minorHAnsi"/>
          <w:snapToGrid w:val="0"/>
        </w:rPr>
        <w:t xml:space="preserve">re-PBAC Response. The PBAC noted issues previously raised by the PBAC </w:t>
      </w:r>
      <w:r w:rsidR="00AE1CDF" w:rsidRPr="002C3702">
        <w:rPr>
          <w:rFonts w:asciiTheme="minorHAnsi" w:hAnsiTheme="minorHAnsi"/>
          <w:snapToGrid w:val="0"/>
        </w:rPr>
        <w:t>that remained</w:t>
      </w:r>
      <w:r w:rsidR="0088505B" w:rsidRPr="002C3702">
        <w:rPr>
          <w:rFonts w:asciiTheme="minorHAnsi" w:hAnsiTheme="minorHAnsi"/>
          <w:snapToGrid w:val="0"/>
        </w:rPr>
        <w:t xml:space="preserve"> partially addressed</w:t>
      </w:r>
      <w:r w:rsidR="001F4CF7" w:rsidRPr="002C3702">
        <w:rPr>
          <w:rFonts w:asciiTheme="minorHAnsi" w:hAnsiTheme="minorHAnsi"/>
          <w:snapToGrid w:val="0"/>
        </w:rPr>
        <w:t xml:space="preserve"> were</w:t>
      </w:r>
      <w:r w:rsidR="0088505B" w:rsidRPr="002C3702">
        <w:rPr>
          <w:rFonts w:asciiTheme="minorHAnsi" w:hAnsiTheme="minorHAnsi"/>
          <w:snapToGrid w:val="0"/>
        </w:rPr>
        <w:t>:</w:t>
      </w:r>
      <w:bookmarkEnd w:id="101"/>
    </w:p>
    <w:p w14:paraId="4DB12AF7" w14:textId="4835F6FC" w:rsidR="002F7177" w:rsidRPr="00CA0CD8" w:rsidRDefault="007D72F2" w:rsidP="00784E0C">
      <w:pPr>
        <w:pStyle w:val="ListParagraph"/>
        <w:widowControl w:val="0"/>
        <w:numPr>
          <w:ilvl w:val="0"/>
          <w:numId w:val="14"/>
        </w:numPr>
        <w:ind w:left="1134"/>
        <w:rPr>
          <w:rFonts w:cstheme="minorHAnsi"/>
          <w:b/>
          <w:bCs/>
        </w:rPr>
      </w:pPr>
      <w:r w:rsidRPr="002C3702">
        <w:t>the treatment waning period had been reduced from 7</w:t>
      </w:r>
      <w:r w:rsidRPr="002C3702">
        <w:rPr>
          <w:rFonts w:cstheme="minorHAnsi"/>
        </w:rPr>
        <w:t>−</w:t>
      </w:r>
      <w:r w:rsidR="000E5306" w:rsidRPr="002C3702">
        <w:rPr>
          <w:rFonts w:cstheme="minorHAnsi"/>
        </w:rPr>
        <w:t>28.9</w:t>
      </w:r>
      <w:r w:rsidRPr="002C3702">
        <w:rPr>
          <w:rFonts w:cstheme="minorHAnsi"/>
        </w:rPr>
        <w:t xml:space="preserve"> years </w:t>
      </w:r>
      <w:r w:rsidR="006D635D" w:rsidRPr="002C3702">
        <w:rPr>
          <w:rFonts w:cstheme="minorHAnsi"/>
        </w:rPr>
        <w:t xml:space="preserve">(March 2023 resubmission) </w:t>
      </w:r>
      <w:r w:rsidRPr="002C3702">
        <w:rPr>
          <w:rFonts w:cstheme="minorHAnsi"/>
        </w:rPr>
        <w:t>to 6−9 years, instead of 4−7 years</w:t>
      </w:r>
      <w:r w:rsidR="000E5306" w:rsidRPr="002C3702">
        <w:rPr>
          <w:rFonts w:cstheme="minorHAnsi"/>
        </w:rPr>
        <w:t xml:space="preserve"> as requested by the PBAC</w:t>
      </w:r>
      <w:r w:rsidR="000B7693" w:rsidRPr="002C3702">
        <w:rPr>
          <w:rFonts w:cstheme="minorHAnsi"/>
        </w:rPr>
        <w:t xml:space="preserve"> (para </w:t>
      </w:r>
      <w:r w:rsidR="000B7693" w:rsidRPr="002C3702">
        <w:rPr>
          <w:rFonts w:cstheme="minorHAnsi"/>
        </w:rPr>
        <w:fldChar w:fldCharType="begin"/>
      </w:r>
      <w:r w:rsidR="000B7693" w:rsidRPr="002C3702">
        <w:rPr>
          <w:rFonts w:cstheme="minorHAnsi"/>
        </w:rPr>
        <w:instrText xml:space="preserve"> REF _Ref150427577 \r \h </w:instrText>
      </w:r>
      <w:r w:rsidR="000B7693" w:rsidRPr="002C3702">
        <w:rPr>
          <w:rFonts w:cstheme="minorHAnsi"/>
        </w:rPr>
      </w:r>
      <w:r w:rsidR="000B7693" w:rsidRPr="002C3702">
        <w:rPr>
          <w:rFonts w:cstheme="minorHAnsi"/>
        </w:rPr>
        <w:fldChar w:fldCharType="separate"/>
      </w:r>
      <w:r w:rsidR="00676505">
        <w:rPr>
          <w:rFonts w:cstheme="minorHAnsi"/>
        </w:rPr>
        <w:t>6.39</w:t>
      </w:r>
      <w:r w:rsidR="000B7693" w:rsidRPr="002C3702">
        <w:rPr>
          <w:rFonts w:cstheme="minorHAnsi"/>
        </w:rPr>
        <w:fldChar w:fldCharType="end"/>
      </w:r>
      <w:r w:rsidR="000B7693" w:rsidRPr="002C3702">
        <w:rPr>
          <w:rFonts w:cstheme="minorHAnsi"/>
        </w:rPr>
        <w:t>)</w:t>
      </w:r>
      <w:r w:rsidR="000E5306" w:rsidRPr="002C3702">
        <w:rPr>
          <w:rFonts w:cstheme="minorHAnsi"/>
        </w:rPr>
        <w:t xml:space="preserve">. The PBAC noted </w:t>
      </w:r>
      <w:r w:rsidR="002F7177" w:rsidRPr="002C3702">
        <w:rPr>
          <w:rFonts w:cstheme="minorHAnsi"/>
        </w:rPr>
        <w:t xml:space="preserve">that </w:t>
      </w:r>
      <w:r w:rsidR="002F7177" w:rsidRPr="002C3702">
        <w:t xml:space="preserve">the magnitude of relative treatment effect appears to be maintained </w:t>
      </w:r>
      <w:r w:rsidR="00366053" w:rsidRPr="002C3702">
        <w:t xml:space="preserve">with </w:t>
      </w:r>
      <w:r w:rsidR="002F7177" w:rsidRPr="002C3702">
        <w:t>the recent July 2023 data cut-off (median follow-up = 4.5</w:t>
      </w:r>
      <w:r w:rsidR="00784E0C">
        <w:t> </w:t>
      </w:r>
      <w:r w:rsidR="002F7177" w:rsidRPr="002C3702">
        <w:t>years), and therefore considered that a treatment waning period of 5</w:t>
      </w:r>
      <w:r w:rsidR="002F7177" w:rsidRPr="002C3702">
        <w:rPr>
          <w:rFonts w:cstheme="minorHAnsi"/>
        </w:rPr>
        <w:t>−8 years would be appropriate</w:t>
      </w:r>
      <w:r w:rsidR="000070BD">
        <w:rPr>
          <w:rFonts w:cstheme="minorHAnsi"/>
        </w:rPr>
        <w:t xml:space="preserve">. The PBAC noted this length of treatment waning </w:t>
      </w:r>
      <w:r w:rsidR="004E3FF5">
        <w:rPr>
          <w:rFonts w:cstheme="minorHAnsi"/>
        </w:rPr>
        <w:t>increas</w:t>
      </w:r>
      <w:r w:rsidR="000070BD">
        <w:rPr>
          <w:rFonts w:cstheme="minorHAnsi"/>
        </w:rPr>
        <w:t>ed</w:t>
      </w:r>
      <w:r w:rsidR="004E3FF5">
        <w:rPr>
          <w:rFonts w:cstheme="minorHAnsi"/>
        </w:rPr>
        <w:t xml:space="preserve"> the ICER to </w:t>
      </w:r>
      <w:r w:rsidR="00CA0CD8" w:rsidRPr="00CA0CD8">
        <w:rPr>
          <w:rFonts w:cstheme="minorHAnsi"/>
        </w:rPr>
        <w:t>$25,000 to &lt; $35,000</w:t>
      </w:r>
      <w:r w:rsidR="00CA0CD8">
        <w:rPr>
          <w:rFonts w:cstheme="minorHAnsi"/>
        </w:rPr>
        <w:t xml:space="preserve"> </w:t>
      </w:r>
      <w:r w:rsidR="00445DAC" w:rsidRPr="00CA0CD8">
        <w:rPr>
          <w:rFonts w:cstheme="minorHAnsi"/>
        </w:rPr>
        <w:t>per QALY</w:t>
      </w:r>
      <w:r w:rsidR="004E3FF5" w:rsidRPr="00CA0CD8">
        <w:rPr>
          <w:rFonts w:cstheme="minorHAnsi"/>
        </w:rPr>
        <w:t>.</w:t>
      </w:r>
    </w:p>
    <w:p w14:paraId="0F5EF598" w14:textId="117885C5" w:rsidR="002F7177" w:rsidRPr="002C3702" w:rsidRDefault="002F7177" w:rsidP="00784E0C">
      <w:pPr>
        <w:pStyle w:val="ListParagraph"/>
        <w:widowControl w:val="0"/>
        <w:numPr>
          <w:ilvl w:val="0"/>
          <w:numId w:val="14"/>
        </w:numPr>
        <w:ind w:left="1134"/>
      </w:pPr>
      <w:r w:rsidRPr="002C3702">
        <w:t>The cohort starting age was increased from 52.2 years</w:t>
      </w:r>
      <w:r w:rsidR="00761A15" w:rsidRPr="002C3702">
        <w:t xml:space="preserve"> (March 2023 resubmission)</w:t>
      </w:r>
      <w:r w:rsidRPr="002C3702">
        <w:t xml:space="preserve"> to 58.5 years</w:t>
      </w:r>
      <w:r w:rsidR="000E6709" w:rsidRPr="002C3702">
        <w:t xml:space="preserve">, instead of approximately 60 years as previously requested by the PBAC (para </w:t>
      </w:r>
      <w:r w:rsidR="000E6709" w:rsidRPr="002C3702">
        <w:fldChar w:fldCharType="begin"/>
      </w:r>
      <w:r w:rsidR="000E6709" w:rsidRPr="002C3702">
        <w:instrText xml:space="preserve"> REF _Ref147924264 \r \h </w:instrText>
      </w:r>
      <w:r w:rsidR="000E6709" w:rsidRPr="002C3702">
        <w:fldChar w:fldCharType="separate"/>
      </w:r>
      <w:r w:rsidR="00676505">
        <w:t>6.40</w:t>
      </w:r>
      <w:r w:rsidR="000E6709" w:rsidRPr="002C3702">
        <w:fldChar w:fldCharType="end"/>
      </w:r>
      <w:r w:rsidR="000E6709" w:rsidRPr="002C3702">
        <w:t>).</w:t>
      </w:r>
      <w:r w:rsidR="00757F93" w:rsidRPr="002C3702">
        <w:t xml:space="preserve"> The PBAC considered the </w:t>
      </w:r>
      <w:r w:rsidR="001A608B" w:rsidRPr="002C3702">
        <w:t xml:space="preserve">cohort </w:t>
      </w:r>
      <w:r w:rsidR="00757F93" w:rsidRPr="002C3702">
        <w:t xml:space="preserve">starting age </w:t>
      </w:r>
      <w:r w:rsidR="000841A3">
        <w:t xml:space="preserve">in the model </w:t>
      </w:r>
      <w:r w:rsidR="00757F93" w:rsidRPr="002C3702">
        <w:t xml:space="preserve">remained underestimated, and </w:t>
      </w:r>
      <w:r w:rsidR="000841A3">
        <w:t xml:space="preserve">noted </w:t>
      </w:r>
      <w:r w:rsidR="001A608B" w:rsidRPr="002C3702">
        <w:t>that a</w:t>
      </w:r>
      <w:r w:rsidR="000841A3">
        <w:t>n</w:t>
      </w:r>
      <w:r w:rsidR="001A608B" w:rsidRPr="002C3702">
        <w:t xml:space="preserve"> </w:t>
      </w:r>
      <w:r w:rsidR="000841A3">
        <w:t xml:space="preserve">appropriate </w:t>
      </w:r>
      <w:r w:rsidR="001A608B" w:rsidRPr="002C3702">
        <w:t xml:space="preserve">starting age of </w:t>
      </w:r>
      <w:r w:rsidR="00757F93" w:rsidRPr="002C3702">
        <w:t>61.4</w:t>
      </w:r>
      <w:r w:rsidR="00784E0C">
        <w:t> </w:t>
      </w:r>
      <w:r w:rsidR="00757F93" w:rsidRPr="002C3702">
        <w:t>years, based on the mean age reported in Chan et al 2021</w:t>
      </w:r>
      <w:r w:rsidR="006C238A" w:rsidRPr="002C3702">
        <w:rPr>
          <w:rStyle w:val="FootnoteReference"/>
        </w:rPr>
        <w:footnoteReference w:id="16"/>
      </w:r>
      <w:r w:rsidR="00757F93" w:rsidRPr="002C3702">
        <w:t xml:space="preserve">, </w:t>
      </w:r>
      <w:r w:rsidR="000841A3">
        <w:t xml:space="preserve">increased the ICER to </w:t>
      </w:r>
      <w:r w:rsidR="00CA0CD8" w:rsidRPr="00CA0CD8">
        <w:rPr>
          <w:rFonts w:cstheme="minorHAnsi"/>
        </w:rPr>
        <w:t>$25,000 to &lt; $35,000</w:t>
      </w:r>
      <w:r w:rsidR="00CA0CD8">
        <w:rPr>
          <w:rFonts w:cstheme="minorHAnsi"/>
        </w:rPr>
        <w:t xml:space="preserve"> </w:t>
      </w:r>
      <w:r w:rsidR="00445DAC">
        <w:t>per QALY</w:t>
      </w:r>
      <w:r w:rsidR="00757F93" w:rsidRPr="002C3702">
        <w:t xml:space="preserve">. </w:t>
      </w:r>
    </w:p>
    <w:p w14:paraId="68A7FB82" w14:textId="2DDFD4D0" w:rsidR="00AB45AF" w:rsidRPr="00CA0CD8" w:rsidRDefault="006C238A" w:rsidP="00CA0CD8">
      <w:pPr>
        <w:widowControl w:val="0"/>
        <w:numPr>
          <w:ilvl w:val="1"/>
          <w:numId w:val="1"/>
        </w:numPr>
        <w:spacing w:after="120"/>
        <w:rPr>
          <w:b/>
          <w:bCs/>
        </w:rPr>
      </w:pPr>
      <w:r w:rsidRPr="002C3702">
        <w:t xml:space="preserve">The PBAC noted that the changes </w:t>
      </w:r>
      <w:r w:rsidR="004E3FF5">
        <w:t xml:space="preserve">to treatment waning and cohort starting age </w:t>
      </w:r>
      <w:r w:rsidRPr="002C3702">
        <w:t xml:space="preserve">outlined in </w:t>
      </w:r>
      <w:r w:rsidR="004F2B3C" w:rsidRPr="002C3702">
        <w:t xml:space="preserve">paragraph </w:t>
      </w:r>
      <w:r w:rsidR="004F2B3C" w:rsidRPr="002C3702">
        <w:fldChar w:fldCharType="begin"/>
      </w:r>
      <w:r w:rsidR="004F2B3C" w:rsidRPr="002C3702">
        <w:instrText xml:space="preserve"> REF _Ref150430851 \r \h </w:instrText>
      </w:r>
      <w:r w:rsidR="004F2B3C" w:rsidRPr="002C3702">
        <w:fldChar w:fldCharType="separate"/>
      </w:r>
      <w:r w:rsidR="00676505">
        <w:t>7.10</w:t>
      </w:r>
      <w:r w:rsidR="004F2B3C" w:rsidRPr="002C3702">
        <w:fldChar w:fldCharType="end"/>
      </w:r>
      <w:r w:rsidR="004F2B3C" w:rsidRPr="002C3702">
        <w:t xml:space="preserve"> increased the base case ICER from </w:t>
      </w:r>
      <w:r w:rsidR="00CA0CD8" w:rsidRPr="00CA0CD8">
        <w:t>$15,000 to &lt; $25,000</w:t>
      </w:r>
      <w:r w:rsidR="00CA0CD8">
        <w:rPr>
          <w:b/>
          <w:bCs/>
        </w:rPr>
        <w:t xml:space="preserve"> </w:t>
      </w:r>
      <w:r w:rsidR="004F2B3C" w:rsidRPr="002C3702">
        <w:t xml:space="preserve">per QALY to </w:t>
      </w:r>
      <w:r w:rsidR="00CA0CD8" w:rsidRPr="00CA0CD8">
        <w:t>$35,000 to &lt; $45,000</w:t>
      </w:r>
      <w:r w:rsidR="00CA0CD8">
        <w:rPr>
          <w:b/>
          <w:bCs/>
        </w:rPr>
        <w:t xml:space="preserve"> </w:t>
      </w:r>
      <w:r w:rsidR="004F2B3C" w:rsidRPr="002C3702">
        <w:t>per QALY. The</w:t>
      </w:r>
      <w:r w:rsidR="00581E24" w:rsidRPr="002C3702">
        <w:t xml:space="preserve"> PBAC recalled it previously considered that an ICER </w:t>
      </w:r>
      <w:r w:rsidR="00FD00E0" w:rsidRPr="002C3702">
        <w:t xml:space="preserve">of </w:t>
      </w:r>
      <w:r w:rsidR="00FD00E0" w:rsidRPr="00CA0CD8">
        <w:rPr>
          <w:rFonts w:cs="Calibri"/>
        </w:rPr>
        <w:t>up to $</w:t>
      </w:r>
      <w:r w:rsidR="00581E24" w:rsidRPr="002C3702">
        <w:t>30,000 per QALY would be required to account for the uncertainty regarding the modelled OS (</w:t>
      </w:r>
      <w:r w:rsidR="00581E24" w:rsidRPr="00CA0CD8">
        <w:rPr>
          <w:color w:val="000000" w:themeColor="text1"/>
        </w:rPr>
        <w:t>para 7.13, abemaciclib, PSD, March 2023 PBAC meeting)</w:t>
      </w:r>
      <w:r w:rsidR="00581E24" w:rsidRPr="002C3702">
        <w:t xml:space="preserve">, and noted </w:t>
      </w:r>
      <w:r w:rsidR="004F2B3C" w:rsidRPr="002C3702">
        <w:t>that a further price reduction would be required t</w:t>
      </w:r>
      <w:r w:rsidR="0036154D" w:rsidRPr="002C3702">
        <w:t>o</w:t>
      </w:r>
      <w:r w:rsidR="004F2B3C" w:rsidRPr="002C3702">
        <w:t xml:space="preserve"> maintain</w:t>
      </w:r>
      <w:r w:rsidR="00581E24" w:rsidRPr="002C3702">
        <w:t xml:space="preserve"> an ICER of </w:t>
      </w:r>
      <w:r w:rsidR="00FD00E0" w:rsidRPr="00CA0CD8">
        <w:rPr>
          <w:rFonts w:cs="Calibri"/>
        </w:rPr>
        <w:t>≤ $</w:t>
      </w:r>
      <w:r w:rsidR="00581E24" w:rsidRPr="002C3702">
        <w:t>30,000 per QALY.</w:t>
      </w:r>
      <w:r w:rsidR="004F2B3C" w:rsidRPr="002C3702">
        <w:t xml:space="preserve"> </w:t>
      </w:r>
      <w:r w:rsidR="00DD6B66" w:rsidRPr="002C3702">
        <w:t>The PBAC</w:t>
      </w:r>
      <w:r w:rsidR="00581E24" w:rsidRPr="002C3702">
        <w:t xml:space="preserve"> also</w:t>
      </w:r>
      <w:r w:rsidR="00DD6B66" w:rsidRPr="002C3702">
        <w:t xml:space="preserve"> recalled it had previously considered that the cost-effectiveness of abemaciclib relied on a gain in OS and </w:t>
      </w:r>
      <w:r w:rsidR="001A608B" w:rsidRPr="002C3702">
        <w:t>reiterated</w:t>
      </w:r>
      <w:r w:rsidR="00DD6B66" w:rsidRPr="002C3702">
        <w:t xml:space="preserve"> that if listed, the sponsor should provide the PBAC with the final overall survival results (or any further interim analyses) from the monarchE trial when available (</w:t>
      </w:r>
      <w:r w:rsidR="00DD6B66" w:rsidRPr="00CA0CD8">
        <w:rPr>
          <w:rFonts w:eastAsia="Calibri"/>
          <w:iCs/>
        </w:rPr>
        <w:t>planned at 650 events, or 10 years)</w:t>
      </w:r>
      <w:r w:rsidR="00DD6B66" w:rsidRPr="00CA0CD8">
        <w:rPr>
          <w:rFonts w:asciiTheme="minorHAnsi" w:hAnsiTheme="minorHAnsi"/>
          <w:snapToGrid w:val="0"/>
        </w:rPr>
        <w:t>.</w:t>
      </w:r>
      <w:r w:rsidR="0088505B" w:rsidRPr="00CA0CD8">
        <w:rPr>
          <w:rFonts w:asciiTheme="minorHAnsi" w:hAnsiTheme="minorHAnsi"/>
          <w:snapToGrid w:val="0"/>
        </w:rPr>
        <w:t xml:space="preserve"> </w:t>
      </w:r>
    </w:p>
    <w:p w14:paraId="7FFA0C19" w14:textId="31659863" w:rsidR="00881121" w:rsidRPr="002C3702" w:rsidRDefault="00881121" w:rsidP="001A608B">
      <w:pPr>
        <w:widowControl w:val="0"/>
        <w:numPr>
          <w:ilvl w:val="1"/>
          <w:numId w:val="1"/>
        </w:numPr>
        <w:spacing w:after="120"/>
      </w:pPr>
      <w:bookmarkStart w:id="102" w:name="_Ref150439666"/>
      <w:r w:rsidRPr="002C3702">
        <w:t>The PBAC noted that changes were made</w:t>
      </w:r>
      <w:r w:rsidR="00F93AD1" w:rsidRPr="002C3702">
        <w:t xml:space="preserve"> in the submission</w:t>
      </w:r>
      <w:r w:rsidRPr="002C3702">
        <w:t xml:space="preserve"> to the financial estimates that were consistent with its March 2023 advice</w:t>
      </w:r>
      <w:r w:rsidR="00F93AD1" w:rsidRPr="002C3702">
        <w:rPr>
          <w:rFonts w:asciiTheme="minorHAnsi" w:hAnsiTheme="minorHAnsi"/>
          <w:snapToGrid w:val="0"/>
        </w:rPr>
        <w:t xml:space="preserve"> and that further revisions were proposed in the </w:t>
      </w:r>
      <w:r w:rsidR="004C162F">
        <w:rPr>
          <w:rFonts w:asciiTheme="minorHAnsi" w:hAnsiTheme="minorHAnsi"/>
          <w:snapToGrid w:val="0"/>
        </w:rPr>
        <w:t>p</w:t>
      </w:r>
      <w:r w:rsidR="00F93AD1" w:rsidRPr="002C3702">
        <w:rPr>
          <w:rFonts w:asciiTheme="minorHAnsi" w:hAnsiTheme="minorHAnsi"/>
          <w:snapToGrid w:val="0"/>
        </w:rPr>
        <w:t xml:space="preserve">re-PBAC </w:t>
      </w:r>
      <w:r w:rsidR="00E93317" w:rsidRPr="002C3702">
        <w:rPr>
          <w:rFonts w:asciiTheme="minorHAnsi" w:hAnsiTheme="minorHAnsi"/>
          <w:snapToGrid w:val="0"/>
        </w:rPr>
        <w:t>r</w:t>
      </w:r>
      <w:r w:rsidR="00F93AD1" w:rsidRPr="002C3702">
        <w:rPr>
          <w:rFonts w:asciiTheme="minorHAnsi" w:hAnsiTheme="minorHAnsi"/>
          <w:snapToGrid w:val="0"/>
        </w:rPr>
        <w:t>esponse</w:t>
      </w:r>
      <w:r w:rsidRPr="002C3702">
        <w:t xml:space="preserve">, however considered the patient numbers estimated </w:t>
      </w:r>
      <w:r w:rsidR="00F93AD1" w:rsidRPr="002C3702">
        <w:t xml:space="preserve">in the </w:t>
      </w:r>
      <w:r w:rsidR="004C162F">
        <w:t>p</w:t>
      </w:r>
      <w:r w:rsidR="00F93AD1" w:rsidRPr="002C3702">
        <w:t>re-PBAC response</w:t>
      </w:r>
      <w:r w:rsidRPr="002C3702">
        <w:t xml:space="preserve"> remained overestimated</w:t>
      </w:r>
      <w:r w:rsidR="00FD00E0" w:rsidRPr="002C3702">
        <w:t xml:space="preserve"> due to the assumed uptake rates</w:t>
      </w:r>
      <w:r w:rsidRPr="002C3702">
        <w:t xml:space="preserve">. </w:t>
      </w:r>
      <w:r w:rsidR="008A6EF1" w:rsidRPr="002C3702">
        <w:t xml:space="preserve">The submission </w:t>
      </w:r>
      <w:r w:rsidR="00EB39CC" w:rsidRPr="002C3702">
        <w:t>reduced the uptake</w:t>
      </w:r>
      <w:r w:rsidR="00FD00E0" w:rsidRPr="002C3702">
        <w:t xml:space="preserve"> </w:t>
      </w:r>
      <w:r w:rsidR="003234E0" w:rsidRPr="002C3702">
        <w:t xml:space="preserve">of abemaciclib </w:t>
      </w:r>
      <w:r w:rsidR="00EB39CC" w:rsidRPr="002C3702">
        <w:t xml:space="preserve">from </w:t>
      </w:r>
      <w:r w:rsidR="008129BD">
        <w:t xml:space="preserve"> </w:t>
      </w:r>
      <w:r w:rsidR="008129BD" w:rsidRPr="00676505">
        <w:rPr>
          <w:color w:val="000000"/>
          <w:w w:val="15"/>
          <w:shd w:val="solid" w:color="000000" w:fill="000000"/>
          <w:fitText w:val="-20" w:id="-1032093173"/>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73"/>
          <w14:textFill>
            <w14:solidFill>
              <w14:srgbClr w14:val="000000">
                <w14:alpha w14:val="100000"/>
              </w14:srgbClr>
            </w14:solidFill>
          </w14:textFill>
        </w:rPr>
        <w:t>|</w:t>
      </w:r>
      <w:r w:rsidR="00EB39CC" w:rsidRPr="002C3702">
        <w:t xml:space="preserve">% in Year 1 increasing to </w:t>
      </w:r>
      <w:r w:rsidR="008129BD">
        <w:t xml:space="preserve"> </w:t>
      </w:r>
      <w:r w:rsidR="008129BD" w:rsidRPr="00676505">
        <w:rPr>
          <w:color w:val="000000"/>
          <w:w w:val="15"/>
          <w:shd w:val="solid" w:color="000000" w:fill="000000"/>
          <w:fitText w:val="-20" w:id="-1032093172"/>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72"/>
          <w14:textFill>
            <w14:solidFill>
              <w14:srgbClr w14:val="000000">
                <w14:alpha w14:val="100000"/>
              </w14:srgbClr>
            </w14:solidFill>
          </w14:textFill>
        </w:rPr>
        <w:t>|</w:t>
      </w:r>
      <w:r w:rsidR="00EB39CC" w:rsidRPr="002C3702">
        <w:t>% in Years 3</w:t>
      </w:r>
      <w:r w:rsidR="00EB39CC" w:rsidRPr="002C3702">
        <w:rPr>
          <w:rFonts w:cs="Calibri"/>
        </w:rPr>
        <w:t>−6</w:t>
      </w:r>
      <w:r w:rsidR="003234E0" w:rsidRPr="002C3702">
        <w:rPr>
          <w:rFonts w:cs="Calibri"/>
        </w:rPr>
        <w:t xml:space="preserve"> (</w:t>
      </w:r>
      <w:r w:rsidR="003234E0" w:rsidRPr="002C3702">
        <w:t>March 2023 resubmission)</w:t>
      </w:r>
      <w:r w:rsidR="00EB39CC" w:rsidRPr="002C3702">
        <w:rPr>
          <w:rFonts w:cs="Calibri"/>
        </w:rPr>
        <w:t xml:space="preserve">, to </w:t>
      </w:r>
      <w:r w:rsidR="008129BD">
        <w:rPr>
          <w:rFonts w:cs="Calibri"/>
        </w:rPr>
        <w:t xml:space="preserve"> </w:t>
      </w:r>
      <w:r w:rsidR="008129BD" w:rsidRPr="00676505">
        <w:rPr>
          <w:rFonts w:cs="Calibri"/>
          <w:color w:val="000000"/>
          <w:w w:val="15"/>
          <w:shd w:val="solid" w:color="000000" w:fill="000000"/>
          <w:fitText w:val="-20" w:id="-1032093171"/>
          <w14:textFill>
            <w14:solidFill>
              <w14:srgbClr w14:val="000000">
                <w14:alpha w14:val="100000"/>
              </w14:srgbClr>
            </w14:solidFill>
          </w14:textFill>
        </w:rPr>
        <w:t xml:space="preserve">|  </w:t>
      </w:r>
      <w:r w:rsidR="008129BD" w:rsidRPr="00676505">
        <w:rPr>
          <w:rFonts w:cs="Calibri"/>
          <w:color w:val="000000"/>
          <w:spacing w:val="-69"/>
          <w:w w:val="15"/>
          <w:shd w:val="solid" w:color="000000" w:fill="000000"/>
          <w:fitText w:val="-20" w:id="-1032093171"/>
          <w14:textFill>
            <w14:solidFill>
              <w14:srgbClr w14:val="000000">
                <w14:alpha w14:val="100000"/>
              </w14:srgbClr>
            </w14:solidFill>
          </w14:textFill>
        </w:rPr>
        <w:t>|</w:t>
      </w:r>
      <w:r w:rsidR="00EB39CC" w:rsidRPr="002C3702">
        <w:rPr>
          <w:rFonts w:cs="Calibri"/>
        </w:rPr>
        <w:t xml:space="preserve">% in Year 1 increasing </w:t>
      </w:r>
      <w:r w:rsidR="00EB39CC" w:rsidRPr="003700CF">
        <w:rPr>
          <w:rFonts w:cs="Calibri"/>
        </w:rPr>
        <w:t xml:space="preserve">to </w:t>
      </w:r>
      <w:r w:rsidR="008129BD">
        <w:rPr>
          <w:rFonts w:cs="Calibri"/>
        </w:rPr>
        <w:t xml:space="preserve"> </w:t>
      </w:r>
      <w:r w:rsidR="008129BD" w:rsidRPr="00676505">
        <w:rPr>
          <w:rFonts w:cs="Calibri"/>
          <w:color w:val="000000"/>
          <w:w w:val="15"/>
          <w:shd w:val="solid" w:color="000000" w:fill="000000"/>
          <w:fitText w:val="-20" w:id="-1032093170"/>
          <w14:textFill>
            <w14:solidFill>
              <w14:srgbClr w14:val="000000">
                <w14:alpha w14:val="100000"/>
              </w14:srgbClr>
            </w14:solidFill>
          </w14:textFill>
        </w:rPr>
        <w:t xml:space="preserve">|  </w:t>
      </w:r>
      <w:r w:rsidR="008129BD" w:rsidRPr="00676505">
        <w:rPr>
          <w:rFonts w:cs="Calibri"/>
          <w:color w:val="000000"/>
          <w:spacing w:val="-69"/>
          <w:w w:val="15"/>
          <w:shd w:val="solid" w:color="000000" w:fill="000000"/>
          <w:fitText w:val="-20" w:id="-1032093170"/>
          <w14:textFill>
            <w14:solidFill>
              <w14:srgbClr w14:val="000000">
                <w14:alpha w14:val="100000"/>
              </w14:srgbClr>
            </w14:solidFill>
          </w14:textFill>
        </w:rPr>
        <w:t>|</w:t>
      </w:r>
      <w:r w:rsidR="00EB39CC" w:rsidRPr="002C3702">
        <w:rPr>
          <w:rFonts w:cs="Calibri"/>
        </w:rPr>
        <w:t xml:space="preserve">% in Year 2 and </w:t>
      </w:r>
      <w:r w:rsidR="008129BD">
        <w:rPr>
          <w:rFonts w:cs="Calibri"/>
        </w:rPr>
        <w:t xml:space="preserve"> </w:t>
      </w:r>
      <w:r w:rsidR="008129BD" w:rsidRPr="00676505">
        <w:rPr>
          <w:rFonts w:cs="Calibri"/>
          <w:color w:val="000000"/>
          <w:w w:val="15"/>
          <w:shd w:val="solid" w:color="000000" w:fill="000000"/>
          <w:fitText w:val="-20" w:id="-1032093169"/>
          <w14:textFill>
            <w14:solidFill>
              <w14:srgbClr w14:val="000000">
                <w14:alpha w14:val="100000"/>
              </w14:srgbClr>
            </w14:solidFill>
          </w14:textFill>
        </w:rPr>
        <w:t xml:space="preserve">|  </w:t>
      </w:r>
      <w:r w:rsidR="008129BD" w:rsidRPr="00676505">
        <w:rPr>
          <w:rFonts w:cs="Calibri"/>
          <w:color w:val="000000"/>
          <w:spacing w:val="-69"/>
          <w:w w:val="15"/>
          <w:shd w:val="solid" w:color="000000" w:fill="000000"/>
          <w:fitText w:val="-20" w:id="-1032093169"/>
          <w14:textFill>
            <w14:solidFill>
              <w14:srgbClr w14:val="000000">
                <w14:alpha w14:val="100000"/>
              </w14:srgbClr>
            </w14:solidFill>
          </w14:textFill>
        </w:rPr>
        <w:t>|</w:t>
      </w:r>
      <w:r w:rsidR="00EB39CC" w:rsidRPr="002C3702">
        <w:rPr>
          <w:rFonts w:cs="Calibri"/>
        </w:rPr>
        <w:t xml:space="preserve">% in </w:t>
      </w:r>
      <w:r w:rsidR="00EB39CC" w:rsidRPr="002C3702">
        <w:t>Years 3</w:t>
      </w:r>
      <w:r w:rsidR="00EB39CC" w:rsidRPr="002C3702">
        <w:rPr>
          <w:rFonts w:cs="Calibri"/>
        </w:rPr>
        <w:t>−6</w:t>
      </w:r>
      <w:r w:rsidR="009D3528" w:rsidRPr="002C3702">
        <w:rPr>
          <w:rFonts w:cs="Calibri"/>
        </w:rPr>
        <w:t xml:space="preserve">. The PBAC recalled it had </w:t>
      </w:r>
      <w:r w:rsidR="00A67905" w:rsidRPr="002C3702">
        <w:rPr>
          <w:rFonts w:cs="Calibri"/>
        </w:rPr>
        <w:t xml:space="preserve">previously </w:t>
      </w:r>
      <w:r w:rsidR="009D3528" w:rsidRPr="002C3702">
        <w:rPr>
          <w:rFonts w:cs="Calibri"/>
        </w:rPr>
        <w:t xml:space="preserve">considered </w:t>
      </w:r>
      <w:r w:rsidR="009D3528" w:rsidRPr="002C3702">
        <w:t xml:space="preserve">a maximum uptake rate of </w:t>
      </w:r>
      <w:r w:rsidR="008129BD">
        <w:t xml:space="preserve"> </w:t>
      </w:r>
      <w:r w:rsidR="008129BD" w:rsidRPr="00676505">
        <w:rPr>
          <w:color w:val="000000"/>
          <w:w w:val="15"/>
          <w:shd w:val="solid" w:color="000000" w:fill="000000"/>
          <w:fitText w:val="-20" w:id="-1032093168"/>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68"/>
          <w14:textFill>
            <w14:solidFill>
              <w14:srgbClr w14:val="000000">
                <w14:alpha w14:val="100000"/>
              </w14:srgbClr>
            </w14:solidFill>
          </w14:textFill>
        </w:rPr>
        <w:t>|</w:t>
      </w:r>
      <w:r w:rsidR="009D3528" w:rsidRPr="002C3702">
        <w:t>% would be reasonable</w:t>
      </w:r>
      <w:r w:rsidR="00EB39CC" w:rsidRPr="002C3702">
        <w:rPr>
          <w:rFonts w:cs="Calibri"/>
        </w:rPr>
        <w:t xml:space="preserve"> </w:t>
      </w:r>
      <w:r w:rsidR="009D3528" w:rsidRPr="002C3702">
        <w:t>(</w:t>
      </w:r>
      <w:r w:rsidR="009D3528" w:rsidRPr="002C3702">
        <w:rPr>
          <w:color w:val="000000" w:themeColor="text1"/>
        </w:rPr>
        <w:t>para 7.14, abemaciclib, PSD, March 2023 PBAC meeting)</w:t>
      </w:r>
      <w:r w:rsidR="00BE514E" w:rsidRPr="002C3702">
        <w:rPr>
          <w:color w:val="000000" w:themeColor="text1"/>
        </w:rPr>
        <w:t xml:space="preserve"> and considered</w:t>
      </w:r>
      <w:r w:rsidR="00A67905" w:rsidRPr="002C3702">
        <w:rPr>
          <w:color w:val="000000" w:themeColor="text1"/>
        </w:rPr>
        <w:t xml:space="preserve"> that</w:t>
      </w:r>
      <w:r w:rsidR="00BE514E" w:rsidRPr="002C3702">
        <w:rPr>
          <w:color w:val="000000" w:themeColor="text1"/>
        </w:rPr>
        <w:t xml:space="preserve"> it would</w:t>
      </w:r>
      <w:r w:rsidR="00A67905" w:rsidRPr="002C3702">
        <w:rPr>
          <w:color w:val="000000" w:themeColor="text1"/>
        </w:rPr>
        <w:t xml:space="preserve"> </w:t>
      </w:r>
      <w:r w:rsidR="00BE514E" w:rsidRPr="002C3702">
        <w:rPr>
          <w:color w:val="000000" w:themeColor="text1"/>
        </w:rPr>
        <w:t xml:space="preserve">take </w:t>
      </w:r>
      <w:r w:rsidR="00FD00E0" w:rsidRPr="002C3702">
        <w:rPr>
          <w:color w:val="000000" w:themeColor="text1"/>
        </w:rPr>
        <w:t>longer</w:t>
      </w:r>
      <w:r w:rsidR="00BE514E" w:rsidRPr="002C3702">
        <w:rPr>
          <w:color w:val="000000" w:themeColor="text1"/>
        </w:rPr>
        <w:t xml:space="preserve"> than estimated in the </w:t>
      </w:r>
      <w:r w:rsidR="004C162F">
        <w:rPr>
          <w:color w:val="000000" w:themeColor="text1"/>
        </w:rPr>
        <w:t>p</w:t>
      </w:r>
      <w:r w:rsidR="00BE514E" w:rsidRPr="002C3702">
        <w:rPr>
          <w:color w:val="000000" w:themeColor="text1"/>
        </w:rPr>
        <w:t>re-PBAC response to reac</w:t>
      </w:r>
      <w:r w:rsidR="00FD00E0" w:rsidRPr="002C3702">
        <w:rPr>
          <w:color w:val="000000" w:themeColor="text1"/>
        </w:rPr>
        <w:t xml:space="preserve">h a level of </w:t>
      </w:r>
      <w:r w:rsidR="008129BD">
        <w:rPr>
          <w:color w:val="000000" w:themeColor="text1"/>
        </w:rPr>
        <w:t xml:space="preserve"> </w:t>
      </w:r>
      <w:r w:rsidR="008129BD" w:rsidRPr="00676505">
        <w:rPr>
          <w:color w:val="000000" w:themeColor="text1"/>
          <w:w w:val="15"/>
          <w:shd w:val="solid" w:color="000000" w:fill="000000"/>
          <w:fitText w:val="-20" w:id="-1032093184"/>
          <w14:textFill>
            <w14:solidFill>
              <w14:schemeClr w14:val="tx1">
                <w14:alpha w14:val="100000"/>
              </w14:schemeClr>
            </w14:solidFill>
          </w14:textFill>
        </w:rPr>
        <w:t xml:space="preserve">|  </w:t>
      </w:r>
      <w:r w:rsidR="008129BD" w:rsidRPr="00676505">
        <w:rPr>
          <w:color w:val="000000" w:themeColor="text1"/>
          <w:spacing w:val="-69"/>
          <w:w w:val="15"/>
          <w:shd w:val="solid" w:color="000000" w:fill="000000"/>
          <w:fitText w:val="-20" w:id="-1032093184"/>
          <w14:textFill>
            <w14:solidFill>
              <w14:schemeClr w14:val="tx1">
                <w14:alpha w14:val="100000"/>
              </w14:schemeClr>
            </w14:solidFill>
          </w14:textFill>
        </w:rPr>
        <w:t>|</w:t>
      </w:r>
      <w:r w:rsidR="00FD00E0" w:rsidRPr="00743352">
        <w:rPr>
          <w:color w:val="000000" w:themeColor="text1"/>
        </w:rPr>
        <w:t>%</w:t>
      </w:r>
      <w:r w:rsidR="009D3528" w:rsidRPr="00743352">
        <w:rPr>
          <w:rFonts w:asciiTheme="minorHAnsi" w:hAnsiTheme="minorHAnsi"/>
          <w:snapToGrid w:val="0"/>
        </w:rPr>
        <w:t>.</w:t>
      </w:r>
      <w:r w:rsidR="00BE514E" w:rsidRPr="002C3702">
        <w:rPr>
          <w:rFonts w:asciiTheme="minorHAnsi" w:hAnsiTheme="minorHAnsi"/>
          <w:snapToGrid w:val="0"/>
        </w:rPr>
        <w:t xml:space="preserve"> The PBAC considered an uptake of </w:t>
      </w:r>
      <w:r w:rsidR="008129BD">
        <w:rPr>
          <w:rFonts w:asciiTheme="minorHAnsi" w:hAnsiTheme="minorHAnsi"/>
          <w:snapToGrid w:val="0"/>
        </w:rPr>
        <w:t xml:space="preserve"> </w:t>
      </w:r>
      <w:r w:rsidR="008129BD" w:rsidRPr="00676505">
        <w:rPr>
          <w:rFonts w:asciiTheme="minorHAnsi" w:hAnsiTheme="minorHAnsi"/>
          <w:snapToGrid w:val="0"/>
          <w:color w:val="000000"/>
          <w:w w:val="15"/>
          <w:shd w:val="solid" w:color="000000" w:fill="000000"/>
          <w:fitText w:val="-20" w:id="-1032093183"/>
          <w14:textFill>
            <w14:solidFill>
              <w14:srgbClr w14:val="000000">
                <w14:alpha w14:val="100000"/>
              </w14:srgbClr>
            </w14:solidFill>
          </w14:textFill>
        </w:rPr>
        <w:t xml:space="preserve">|  </w:t>
      </w:r>
      <w:r w:rsidR="008129BD" w:rsidRPr="00676505">
        <w:rPr>
          <w:rFonts w:asciiTheme="minorHAnsi" w:hAnsiTheme="minorHAnsi"/>
          <w:snapToGrid w:val="0"/>
          <w:color w:val="000000"/>
          <w:spacing w:val="-69"/>
          <w:w w:val="15"/>
          <w:shd w:val="solid" w:color="000000" w:fill="000000"/>
          <w:fitText w:val="-20" w:id="-1032093183"/>
          <w14:textFill>
            <w14:solidFill>
              <w14:srgbClr w14:val="000000">
                <w14:alpha w14:val="100000"/>
              </w14:srgbClr>
            </w14:solidFill>
          </w14:textFill>
        </w:rPr>
        <w:t>|</w:t>
      </w:r>
      <w:r w:rsidR="00BE514E" w:rsidRPr="002C3702">
        <w:rPr>
          <w:rFonts w:asciiTheme="minorHAnsi" w:hAnsiTheme="minorHAnsi"/>
          <w:snapToGrid w:val="0"/>
        </w:rPr>
        <w:t xml:space="preserve">% in Year </w:t>
      </w:r>
      <w:r w:rsidR="00A67905" w:rsidRPr="002C3702">
        <w:rPr>
          <w:rFonts w:asciiTheme="minorHAnsi" w:hAnsiTheme="minorHAnsi"/>
          <w:snapToGrid w:val="0"/>
        </w:rPr>
        <w:t>1</w:t>
      </w:r>
      <w:r w:rsidR="00BE514E" w:rsidRPr="002C3702">
        <w:rPr>
          <w:rFonts w:asciiTheme="minorHAnsi" w:hAnsiTheme="minorHAnsi"/>
          <w:snapToGrid w:val="0"/>
        </w:rPr>
        <w:t xml:space="preserve"> gradually increasing to </w:t>
      </w:r>
      <w:r w:rsidR="008129BD">
        <w:rPr>
          <w:rFonts w:asciiTheme="minorHAnsi" w:hAnsiTheme="minorHAnsi"/>
          <w:snapToGrid w:val="0"/>
        </w:rPr>
        <w:t xml:space="preserve"> </w:t>
      </w:r>
      <w:r w:rsidR="008129BD" w:rsidRPr="00676505">
        <w:rPr>
          <w:rFonts w:asciiTheme="minorHAnsi" w:hAnsiTheme="minorHAnsi"/>
          <w:snapToGrid w:val="0"/>
          <w:color w:val="000000"/>
          <w:w w:val="15"/>
          <w:shd w:val="solid" w:color="000000" w:fill="000000"/>
          <w:fitText w:val="-20" w:id="-1032093182"/>
          <w14:textFill>
            <w14:solidFill>
              <w14:srgbClr w14:val="000000">
                <w14:alpha w14:val="100000"/>
              </w14:srgbClr>
            </w14:solidFill>
          </w14:textFill>
        </w:rPr>
        <w:t xml:space="preserve">|  </w:t>
      </w:r>
      <w:r w:rsidR="008129BD" w:rsidRPr="00676505">
        <w:rPr>
          <w:rFonts w:asciiTheme="minorHAnsi" w:hAnsiTheme="minorHAnsi"/>
          <w:snapToGrid w:val="0"/>
          <w:color w:val="000000"/>
          <w:spacing w:val="-69"/>
          <w:w w:val="15"/>
          <w:shd w:val="solid" w:color="000000" w:fill="000000"/>
          <w:fitText w:val="-20" w:id="-1032093182"/>
          <w14:textFill>
            <w14:solidFill>
              <w14:srgbClr w14:val="000000">
                <w14:alpha w14:val="100000"/>
              </w14:srgbClr>
            </w14:solidFill>
          </w14:textFill>
        </w:rPr>
        <w:t>|</w:t>
      </w:r>
      <w:r w:rsidR="00BE514E" w:rsidRPr="002C3702">
        <w:rPr>
          <w:rFonts w:asciiTheme="minorHAnsi" w:hAnsiTheme="minorHAnsi"/>
          <w:snapToGrid w:val="0"/>
        </w:rPr>
        <w:t>% in Year 6 would be appropriate.</w:t>
      </w:r>
      <w:bookmarkEnd w:id="102"/>
    </w:p>
    <w:p w14:paraId="0D13E86C" w14:textId="6F7ECF9A" w:rsidR="00A67905" w:rsidRPr="002C3702" w:rsidRDefault="00A67905" w:rsidP="008C188A">
      <w:pPr>
        <w:widowControl w:val="0"/>
        <w:numPr>
          <w:ilvl w:val="1"/>
          <w:numId w:val="1"/>
        </w:numPr>
        <w:spacing w:after="120"/>
      </w:pPr>
      <w:r w:rsidRPr="002C3702">
        <w:rPr>
          <w:rFonts w:asciiTheme="minorHAnsi" w:hAnsiTheme="minorHAnsi"/>
          <w:snapToGrid w:val="0"/>
        </w:rPr>
        <w:t>The PBAC noted</w:t>
      </w:r>
      <w:r w:rsidR="00FD00E0" w:rsidRPr="002C3702">
        <w:rPr>
          <w:rFonts w:asciiTheme="minorHAnsi" w:hAnsiTheme="minorHAnsi"/>
          <w:snapToGrid w:val="0"/>
        </w:rPr>
        <w:t xml:space="preserve"> that</w:t>
      </w:r>
      <w:r w:rsidRPr="002C3702">
        <w:rPr>
          <w:rFonts w:asciiTheme="minorHAnsi" w:hAnsiTheme="minorHAnsi"/>
          <w:snapToGrid w:val="0"/>
        </w:rPr>
        <w:t xml:space="preserve"> the treatment duration was reduced from 24 months to 21 months</w:t>
      </w:r>
      <w:r w:rsidR="00260010" w:rsidRPr="002C3702">
        <w:rPr>
          <w:rFonts w:asciiTheme="minorHAnsi" w:hAnsiTheme="minorHAnsi"/>
          <w:snapToGrid w:val="0"/>
        </w:rPr>
        <w:t xml:space="preserve"> in the </w:t>
      </w:r>
      <w:r w:rsidR="004C162F">
        <w:rPr>
          <w:rFonts w:asciiTheme="minorHAnsi" w:hAnsiTheme="minorHAnsi"/>
          <w:snapToGrid w:val="0"/>
        </w:rPr>
        <w:t>p</w:t>
      </w:r>
      <w:r w:rsidR="00260010" w:rsidRPr="002C3702">
        <w:rPr>
          <w:rFonts w:asciiTheme="minorHAnsi" w:hAnsiTheme="minorHAnsi"/>
          <w:snapToGrid w:val="0"/>
        </w:rPr>
        <w:t>re-PBAC response</w:t>
      </w:r>
      <w:r w:rsidRPr="002C3702">
        <w:rPr>
          <w:rFonts w:asciiTheme="minorHAnsi" w:hAnsiTheme="minorHAnsi"/>
          <w:snapToGrid w:val="0"/>
        </w:rPr>
        <w:t xml:space="preserve">, consistent with the treatment duration modelled in the economic evaluation. The PBAC recalled it had previously considered that a treatment duration of 18 months was a more reasonable estimate, as it considered </w:t>
      </w:r>
      <w:r w:rsidRPr="002C3702">
        <w:rPr>
          <w:iCs/>
        </w:rPr>
        <w:t>abemaciclib use in clinical practice would likely be less than the mean treatment duration reported in the monarchE trial (82.7 weeks, 20.7 months)</w:t>
      </w:r>
      <w:r w:rsidRPr="002C3702" w:rsidDel="00934C65">
        <w:rPr>
          <w:iCs/>
        </w:rPr>
        <w:t xml:space="preserve"> </w:t>
      </w:r>
      <w:r w:rsidRPr="002C3702">
        <w:rPr>
          <w:iCs/>
        </w:rPr>
        <w:t>due to toxicity and the likely older cohort treated through the PBS (</w:t>
      </w:r>
      <w:r w:rsidR="007A0CBE" w:rsidRPr="002C3702">
        <w:rPr>
          <w:color w:val="000000" w:themeColor="text1"/>
        </w:rPr>
        <w:t>para 7.14, abemaciclib, PSD, March 2023 PBAC meeting). The PBAC</w:t>
      </w:r>
      <w:r w:rsidR="00055F9C" w:rsidRPr="002C3702">
        <w:rPr>
          <w:color w:val="000000" w:themeColor="text1"/>
        </w:rPr>
        <w:t xml:space="preserve"> </w:t>
      </w:r>
      <w:r w:rsidR="0072730F" w:rsidRPr="002C3702">
        <w:rPr>
          <w:color w:val="000000" w:themeColor="text1"/>
        </w:rPr>
        <w:t>accepted a treatment duration of 21 months to be appropriate to inform the financial estimates given consistency with the economic model, and in the context of</w:t>
      </w:r>
      <w:r w:rsidR="008C188A" w:rsidRPr="002C3702">
        <w:rPr>
          <w:color w:val="000000" w:themeColor="text1"/>
        </w:rPr>
        <w:t xml:space="preserve"> a reduced treatment uptake</w:t>
      </w:r>
      <w:r w:rsidR="00055F9C" w:rsidRPr="002C3702">
        <w:rPr>
          <w:color w:val="000000" w:themeColor="text1"/>
        </w:rPr>
        <w:t xml:space="preserve"> </w:t>
      </w:r>
      <w:r w:rsidR="008C188A" w:rsidRPr="002C3702">
        <w:rPr>
          <w:color w:val="000000" w:themeColor="text1"/>
        </w:rPr>
        <w:t xml:space="preserve">(as outlined in paragraph </w:t>
      </w:r>
      <w:r w:rsidR="008C188A" w:rsidRPr="002C3702">
        <w:rPr>
          <w:color w:val="000000" w:themeColor="text1"/>
        </w:rPr>
        <w:fldChar w:fldCharType="begin"/>
      </w:r>
      <w:r w:rsidR="008C188A" w:rsidRPr="002C3702">
        <w:rPr>
          <w:color w:val="000000" w:themeColor="text1"/>
        </w:rPr>
        <w:instrText xml:space="preserve"> REF _Ref150439666 \r \h </w:instrText>
      </w:r>
      <w:r w:rsidR="008C188A" w:rsidRPr="002C3702">
        <w:rPr>
          <w:color w:val="000000" w:themeColor="text1"/>
        </w:rPr>
      </w:r>
      <w:r w:rsidR="008C188A" w:rsidRPr="002C3702">
        <w:rPr>
          <w:color w:val="000000" w:themeColor="text1"/>
        </w:rPr>
        <w:fldChar w:fldCharType="separate"/>
      </w:r>
      <w:r w:rsidR="00676505">
        <w:rPr>
          <w:color w:val="000000" w:themeColor="text1"/>
        </w:rPr>
        <w:t>7.12</w:t>
      </w:r>
      <w:r w:rsidR="008C188A" w:rsidRPr="002C3702">
        <w:rPr>
          <w:color w:val="000000" w:themeColor="text1"/>
        </w:rPr>
        <w:fldChar w:fldCharType="end"/>
      </w:r>
      <w:r w:rsidR="008C188A" w:rsidRPr="002C3702">
        <w:rPr>
          <w:color w:val="000000" w:themeColor="text1"/>
        </w:rPr>
        <w:t>).</w:t>
      </w:r>
    </w:p>
    <w:p w14:paraId="3C8FC96C" w14:textId="0341C5DD" w:rsidR="000A1CC7" w:rsidRPr="000A1CC7" w:rsidRDefault="000A1CC7" w:rsidP="000A1CC7">
      <w:pPr>
        <w:pStyle w:val="3-BodyText"/>
        <w:rPr>
          <w:rFonts w:ascii="Segoe UI" w:hAnsi="Segoe UI" w:cs="Segoe UI"/>
          <w:snapToGrid/>
        </w:rPr>
      </w:pPr>
      <w:r w:rsidRPr="000A1CC7">
        <w:t xml:space="preserve">The PBAC noted the submission proposed a Risk Sharing Arrangement (RSA) with annual subsidisation caps with a rebate of </w:t>
      </w:r>
      <w:r w:rsidR="008129BD">
        <w:t xml:space="preserve"> </w:t>
      </w:r>
      <w:r w:rsidR="008129BD" w:rsidRPr="00676505">
        <w:rPr>
          <w:color w:val="000000"/>
          <w:w w:val="15"/>
          <w:shd w:val="solid" w:color="000000" w:fill="000000"/>
          <w:fitText w:val="-20" w:id="-1032093181"/>
          <w14:textFill>
            <w14:solidFill>
              <w14:srgbClr w14:val="000000">
                <w14:alpha w14:val="100000"/>
              </w14:srgbClr>
            </w14:solidFill>
          </w14:textFill>
        </w:rPr>
        <w:t xml:space="preserve">|  </w:t>
      </w:r>
      <w:r w:rsidR="008129BD" w:rsidRPr="00676505">
        <w:rPr>
          <w:color w:val="000000"/>
          <w:spacing w:val="-69"/>
          <w:w w:val="15"/>
          <w:shd w:val="solid" w:color="000000" w:fill="000000"/>
          <w:fitText w:val="-20" w:id="-1032093181"/>
          <w14:textFill>
            <w14:solidFill>
              <w14:srgbClr w14:val="000000">
                <w14:alpha w14:val="100000"/>
              </w14:srgbClr>
            </w14:solidFill>
          </w14:textFill>
        </w:rPr>
        <w:t>|</w:t>
      </w:r>
      <w:r w:rsidRPr="000A1CC7">
        <w:t>% for use exceeding the financial caps. The PBAC noted this was aligned with its March 2023 advice and considered the rebate level reasonable. However, the PBAC also noted that a shared cap for the CDK4/6 inhibitors across the adjuvant and metastatic settings may be appropriate given that the cost-effectiveness for abemaciclib in the adjuvant setting relies on reduced costs in the metastatic setting due to no repeated use of CDK4/6 inhibitors. The PBAC noted that the caps would need to be increased to account for additional patients treated with abemaciclib in the adjuvant setting, with offsets for reduced use of CDK4/6 inhibitors in the metastatic setting, consistent with the economic model.</w:t>
      </w:r>
    </w:p>
    <w:p w14:paraId="7DC93987" w14:textId="0B15A83B" w:rsidR="007A0CBE" w:rsidRPr="002C3702" w:rsidRDefault="007A0CBE" w:rsidP="007A0CBE">
      <w:pPr>
        <w:pStyle w:val="3-BodyText"/>
        <w:rPr>
          <w:b/>
        </w:rPr>
      </w:pPr>
      <w:r w:rsidRPr="002C3702">
        <w:t xml:space="preserve">The PBAC found that the criteria prescribed by the </w:t>
      </w:r>
      <w:r w:rsidRPr="002C3702">
        <w:rPr>
          <w:i/>
        </w:rPr>
        <w:t>National Health (Pharmaceuticals and Vaccines – Cost Recovery) Regulations 2022</w:t>
      </w:r>
      <w:r w:rsidRPr="002C3702">
        <w:t xml:space="preserve"> for Pricing Pathway A were not met. </w:t>
      </w:r>
      <w:r w:rsidR="00860046" w:rsidRPr="002C3702">
        <w:t>Specifically,</w:t>
      </w:r>
      <w:r w:rsidRPr="002C3702">
        <w:t xml:space="preserve"> the PBAC found that in the circumstances of its recommendation for abemaciclib:</w:t>
      </w:r>
    </w:p>
    <w:p w14:paraId="2BB0FCAF" w14:textId="77777777" w:rsidR="007A0CBE" w:rsidRPr="002C3702" w:rsidRDefault="007A0CBE" w:rsidP="002D7B8E">
      <w:pPr>
        <w:widowControl w:val="0"/>
        <w:numPr>
          <w:ilvl w:val="1"/>
          <w:numId w:val="13"/>
        </w:numPr>
        <w:spacing w:after="120"/>
        <w:ind w:left="993"/>
        <w:rPr>
          <w:rFonts w:asciiTheme="minorHAnsi" w:hAnsiTheme="minorHAnsi" w:cstheme="minorHAnsi"/>
        </w:rPr>
      </w:pPr>
      <w:r w:rsidRPr="002C3702">
        <w:rPr>
          <w:rFonts w:asciiTheme="minorHAnsi" w:hAnsiTheme="minorHAnsi" w:cstheme="minorHAnsi"/>
        </w:rPr>
        <w:t>The treatment is expected to provide a moderate improvement in efficacy over the comparator (ET alone) on the basis of the clinical evidence considered at the March 2023 meeting;</w:t>
      </w:r>
    </w:p>
    <w:p w14:paraId="3FDA9D2A" w14:textId="77777777" w:rsidR="007A0CBE" w:rsidRPr="002C3702" w:rsidRDefault="007A0CBE" w:rsidP="002D7B8E">
      <w:pPr>
        <w:widowControl w:val="0"/>
        <w:numPr>
          <w:ilvl w:val="1"/>
          <w:numId w:val="13"/>
        </w:numPr>
        <w:spacing w:after="120"/>
        <w:ind w:left="993"/>
        <w:rPr>
          <w:rFonts w:asciiTheme="minorHAnsi" w:hAnsiTheme="minorHAnsi" w:cstheme="minorHAnsi"/>
        </w:rPr>
      </w:pPr>
      <w:r w:rsidRPr="002C3702" w:rsidDel="00C344CE">
        <w:rPr>
          <w:rFonts w:asciiTheme="minorHAnsi" w:hAnsiTheme="minorHAnsi" w:cstheme="minorHAnsi"/>
        </w:rPr>
        <w:t xml:space="preserve"> </w:t>
      </w:r>
      <w:r w:rsidRPr="002C3702">
        <w:rPr>
          <w:rFonts w:asciiTheme="minorHAnsi" w:hAnsiTheme="minorHAnsi" w:cstheme="minorHAnsi"/>
        </w:rPr>
        <w:t>The treatment is not expected to address a high and urgent unmet clinical need;</w:t>
      </w:r>
    </w:p>
    <w:p w14:paraId="40CC3B0F" w14:textId="77777777" w:rsidR="007A0CBE" w:rsidRPr="002C3702" w:rsidRDefault="007A0CBE" w:rsidP="002D7B8E">
      <w:pPr>
        <w:widowControl w:val="0"/>
        <w:numPr>
          <w:ilvl w:val="1"/>
          <w:numId w:val="13"/>
        </w:numPr>
        <w:spacing w:after="120"/>
        <w:ind w:left="993"/>
        <w:rPr>
          <w:rFonts w:asciiTheme="minorHAnsi" w:hAnsiTheme="minorHAnsi" w:cstheme="minorHAnsi"/>
        </w:rPr>
      </w:pPr>
      <w:r w:rsidRPr="002C3702">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76029061" w14:textId="77777777" w:rsidR="007A0CBE" w:rsidRPr="002C3702" w:rsidRDefault="007A0CBE" w:rsidP="007A0CBE">
      <w:pPr>
        <w:pStyle w:val="3-BodyText"/>
        <w:rPr>
          <w:szCs w:val="22"/>
        </w:rPr>
      </w:pPr>
      <w:r w:rsidRPr="002C3702">
        <w:t xml:space="preserve">The PBAC noted that this submission is not eligible for an Independent Review as it received a positive recommendation. </w:t>
      </w:r>
    </w:p>
    <w:p w14:paraId="5B69C296" w14:textId="77777777" w:rsidR="007A0CBE" w:rsidRPr="002C3702" w:rsidRDefault="007A0CBE" w:rsidP="007A0CBE">
      <w:pPr>
        <w:spacing w:before="240"/>
        <w:rPr>
          <w:rFonts w:asciiTheme="minorHAnsi" w:hAnsiTheme="minorHAnsi"/>
          <w:b/>
          <w:bCs/>
          <w:snapToGrid w:val="0"/>
        </w:rPr>
      </w:pPr>
      <w:r w:rsidRPr="002C3702">
        <w:rPr>
          <w:rFonts w:asciiTheme="minorHAnsi" w:hAnsiTheme="minorHAnsi"/>
          <w:b/>
          <w:bCs/>
          <w:snapToGrid w:val="0"/>
        </w:rPr>
        <w:t>Outcome:</w:t>
      </w:r>
    </w:p>
    <w:p w14:paraId="4710FFA8" w14:textId="162FE2D9" w:rsidR="002E5C63" w:rsidRPr="002C3702" w:rsidRDefault="007A0CBE" w:rsidP="007A0CBE">
      <w:pPr>
        <w:rPr>
          <w:rFonts w:asciiTheme="minorHAnsi" w:hAnsiTheme="minorHAnsi"/>
          <w:bCs/>
          <w:snapToGrid w:val="0"/>
        </w:rPr>
      </w:pPr>
      <w:r w:rsidRPr="002C3702">
        <w:rPr>
          <w:rFonts w:asciiTheme="minorHAnsi" w:hAnsiTheme="minorHAnsi"/>
          <w:bCs/>
          <w:snapToGrid w:val="0"/>
        </w:rPr>
        <w:t xml:space="preserve">Recommended </w:t>
      </w:r>
    </w:p>
    <w:p w14:paraId="5B35B1FC" w14:textId="77777777" w:rsidR="007A0CBE" w:rsidRPr="002C3702" w:rsidRDefault="007A0CBE" w:rsidP="007A0CBE">
      <w:pPr>
        <w:pStyle w:val="2-SectionHeading"/>
      </w:pPr>
      <w:r w:rsidRPr="002C3702">
        <w:t>Recommended listing</w:t>
      </w:r>
    </w:p>
    <w:p w14:paraId="6D6C2ED2" w14:textId="264697C8" w:rsidR="009D66E4" w:rsidRPr="002C3702" w:rsidRDefault="007A0CBE" w:rsidP="009D66E4">
      <w:pPr>
        <w:pStyle w:val="3-BodyText"/>
      </w:pPr>
      <w:r w:rsidRPr="002C3702">
        <w:t xml:space="preserve">Add </w:t>
      </w:r>
      <w:r w:rsidR="0043720C" w:rsidRPr="002C3702">
        <w:t xml:space="preserve">new items with new </w:t>
      </w:r>
      <w:r w:rsidRPr="002C3702">
        <w:t>indication as follows</w:t>
      </w:r>
      <w:r w:rsidR="002E5C63" w:rsidRPr="002C3702">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424"/>
        <w:gridCol w:w="1418"/>
        <w:gridCol w:w="1275"/>
        <w:gridCol w:w="1276"/>
        <w:gridCol w:w="992"/>
        <w:gridCol w:w="1701"/>
      </w:tblGrid>
      <w:tr w:rsidR="009D66E4" w:rsidRPr="002C3702" w14:paraId="2B656752" w14:textId="77777777" w:rsidTr="0001204A">
        <w:trPr>
          <w:cantSplit/>
          <w:trHeight w:val="471"/>
        </w:trPr>
        <w:tc>
          <w:tcPr>
            <w:tcW w:w="9067" w:type="dxa"/>
            <w:gridSpan w:val="7"/>
            <w:tcBorders>
              <w:top w:val="single" w:sz="4" w:space="0" w:color="auto"/>
              <w:left w:val="single" w:sz="4" w:space="0" w:color="auto"/>
              <w:bottom w:val="single" w:sz="4" w:space="0" w:color="auto"/>
              <w:right w:val="single" w:sz="4" w:space="0" w:color="auto"/>
            </w:tcBorders>
          </w:tcPr>
          <w:p w14:paraId="6A4D1D2E" w14:textId="77777777" w:rsidR="009D66E4" w:rsidRPr="002C3702" w:rsidRDefault="009D66E4" w:rsidP="0001204A">
            <w:pPr>
              <w:keepNext/>
              <w:rPr>
                <w:rFonts w:ascii="Arial Narrow" w:hAnsi="Arial Narrow"/>
                <w:b/>
                <w:sz w:val="20"/>
                <w:szCs w:val="20"/>
              </w:rPr>
            </w:pPr>
            <w:r w:rsidRPr="002C3702">
              <w:rPr>
                <w:rFonts w:ascii="Arial Narrow" w:hAnsi="Arial Narrow"/>
                <w:b/>
                <w:sz w:val="20"/>
                <w:szCs w:val="20"/>
              </w:rPr>
              <w:t xml:space="preserve">Category / Program: </w:t>
            </w:r>
            <w:r w:rsidRPr="002C3702">
              <w:rPr>
                <w:rFonts w:ascii="Arial Narrow" w:hAnsi="Arial Narrow"/>
                <w:sz w:val="20"/>
                <w:szCs w:val="20"/>
              </w:rPr>
              <w:t xml:space="preserve">GENERAL – General Schedule (Code GE) </w:t>
            </w:r>
          </w:p>
        </w:tc>
      </w:tr>
      <w:tr w:rsidR="009D66E4" w:rsidRPr="002C3702" w14:paraId="490470A8" w14:textId="77777777" w:rsidTr="0001204A">
        <w:trPr>
          <w:cantSplit/>
          <w:trHeight w:val="471"/>
        </w:trPr>
        <w:tc>
          <w:tcPr>
            <w:tcW w:w="2405" w:type="dxa"/>
            <w:gridSpan w:val="2"/>
            <w:shd w:val="clear" w:color="auto" w:fill="auto"/>
          </w:tcPr>
          <w:p w14:paraId="6C39870F" w14:textId="77777777" w:rsidR="009D66E4" w:rsidRPr="002C3702" w:rsidRDefault="009D66E4" w:rsidP="0001204A">
            <w:pPr>
              <w:keepNext/>
              <w:ind w:left="-57"/>
              <w:rPr>
                <w:rFonts w:ascii="Arial Narrow" w:hAnsi="Arial Narrow"/>
                <w:b/>
                <w:bCs/>
                <w:sz w:val="20"/>
                <w:szCs w:val="20"/>
              </w:rPr>
            </w:pPr>
            <w:r w:rsidRPr="002C3702">
              <w:rPr>
                <w:rFonts w:ascii="Arial Narrow" w:hAnsi="Arial Narrow"/>
                <w:b/>
                <w:bCs/>
                <w:sz w:val="20"/>
                <w:szCs w:val="20"/>
              </w:rPr>
              <w:t>MEDICINAL PRODUCT</w:t>
            </w:r>
          </w:p>
          <w:p w14:paraId="75FF3538" w14:textId="77777777" w:rsidR="009D66E4" w:rsidRPr="002C3702" w:rsidRDefault="009D66E4" w:rsidP="0001204A">
            <w:pPr>
              <w:keepNext/>
              <w:ind w:left="-57"/>
              <w:rPr>
                <w:rFonts w:ascii="Arial Narrow" w:hAnsi="Arial Narrow"/>
                <w:b/>
                <w:sz w:val="20"/>
                <w:szCs w:val="20"/>
              </w:rPr>
            </w:pPr>
            <w:r w:rsidRPr="002C3702">
              <w:rPr>
                <w:rFonts w:ascii="Arial Narrow" w:hAnsi="Arial Narrow"/>
                <w:b/>
                <w:bCs/>
                <w:sz w:val="20"/>
                <w:szCs w:val="20"/>
              </w:rPr>
              <w:t>medicinal product pack</w:t>
            </w:r>
          </w:p>
        </w:tc>
        <w:tc>
          <w:tcPr>
            <w:tcW w:w="1418" w:type="dxa"/>
          </w:tcPr>
          <w:p w14:paraId="5AA99F67" w14:textId="77777777" w:rsidR="009D66E4" w:rsidRPr="002C3702" w:rsidRDefault="009D66E4" w:rsidP="0001204A">
            <w:pPr>
              <w:keepNext/>
              <w:ind w:left="-108"/>
              <w:jc w:val="center"/>
              <w:rPr>
                <w:rFonts w:ascii="Arial Narrow" w:hAnsi="Arial Narrow"/>
                <w:b/>
                <w:sz w:val="20"/>
                <w:szCs w:val="20"/>
                <w:highlight w:val="lightGray"/>
              </w:rPr>
            </w:pPr>
            <w:r w:rsidRPr="002C3702">
              <w:rPr>
                <w:rFonts w:ascii="Arial Narrow" w:hAnsi="Arial Narrow"/>
                <w:b/>
                <w:sz w:val="20"/>
                <w:szCs w:val="20"/>
              </w:rPr>
              <w:t>PBS item code</w:t>
            </w:r>
          </w:p>
        </w:tc>
        <w:tc>
          <w:tcPr>
            <w:tcW w:w="1275" w:type="dxa"/>
          </w:tcPr>
          <w:p w14:paraId="38550836" w14:textId="77777777" w:rsidR="009D66E4" w:rsidRPr="002C3702" w:rsidRDefault="009D66E4" w:rsidP="0001204A">
            <w:pPr>
              <w:keepNext/>
              <w:ind w:left="-108"/>
              <w:jc w:val="center"/>
              <w:rPr>
                <w:rFonts w:ascii="Arial Narrow" w:hAnsi="Arial Narrow"/>
                <w:b/>
                <w:sz w:val="20"/>
                <w:szCs w:val="20"/>
              </w:rPr>
            </w:pPr>
            <w:r w:rsidRPr="002C3702">
              <w:rPr>
                <w:rFonts w:ascii="Arial Narrow" w:hAnsi="Arial Narrow"/>
                <w:b/>
                <w:sz w:val="20"/>
                <w:szCs w:val="20"/>
              </w:rPr>
              <w:t>Max. qty packs</w:t>
            </w:r>
          </w:p>
        </w:tc>
        <w:tc>
          <w:tcPr>
            <w:tcW w:w="1276" w:type="dxa"/>
          </w:tcPr>
          <w:p w14:paraId="3128D8A2" w14:textId="77777777" w:rsidR="009D66E4" w:rsidRPr="002C3702" w:rsidRDefault="009D66E4" w:rsidP="0001204A">
            <w:pPr>
              <w:keepNext/>
              <w:ind w:left="-108"/>
              <w:jc w:val="center"/>
              <w:rPr>
                <w:rFonts w:ascii="Arial Narrow" w:hAnsi="Arial Narrow"/>
                <w:b/>
                <w:sz w:val="20"/>
                <w:szCs w:val="20"/>
              </w:rPr>
            </w:pPr>
            <w:r w:rsidRPr="002C3702">
              <w:rPr>
                <w:rFonts w:ascii="Arial Narrow" w:hAnsi="Arial Narrow"/>
                <w:b/>
                <w:sz w:val="20"/>
                <w:szCs w:val="20"/>
              </w:rPr>
              <w:t>Max. qty units</w:t>
            </w:r>
          </w:p>
        </w:tc>
        <w:tc>
          <w:tcPr>
            <w:tcW w:w="992" w:type="dxa"/>
          </w:tcPr>
          <w:p w14:paraId="070B909A" w14:textId="77777777" w:rsidR="009D66E4" w:rsidRPr="002C3702" w:rsidRDefault="009D66E4" w:rsidP="0001204A">
            <w:pPr>
              <w:keepNext/>
              <w:ind w:left="-108"/>
              <w:jc w:val="center"/>
              <w:rPr>
                <w:rFonts w:ascii="Arial Narrow" w:hAnsi="Arial Narrow"/>
                <w:b/>
                <w:sz w:val="20"/>
                <w:szCs w:val="20"/>
              </w:rPr>
            </w:pPr>
            <w:r w:rsidRPr="002C3702">
              <w:rPr>
                <w:rFonts w:ascii="Arial Narrow" w:hAnsi="Arial Narrow"/>
                <w:b/>
                <w:sz w:val="20"/>
                <w:szCs w:val="20"/>
              </w:rPr>
              <w:t>Rpts</w:t>
            </w:r>
          </w:p>
        </w:tc>
        <w:tc>
          <w:tcPr>
            <w:tcW w:w="1701" w:type="dxa"/>
          </w:tcPr>
          <w:p w14:paraId="61B71DF0" w14:textId="77777777" w:rsidR="009D66E4" w:rsidRPr="002C3702" w:rsidRDefault="009D66E4" w:rsidP="0001204A">
            <w:pPr>
              <w:keepNext/>
              <w:rPr>
                <w:rFonts w:ascii="Arial Narrow" w:hAnsi="Arial Narrow"/>
                <w:b/>
                <w:sz w:val="20"/>
                <w:szCs w:val="20"/>
              </w:rPr>
            </w:pPr>
            <w:r w:rsidRPr="002C3702">
              <w:rPr>
                <w:rFonts w:ascii="Arial Narrow" w:hAnsi="Arial Narrow"/>
                <w:b/>
                <w:sz w:val="20"/>
                <w:szCs w:val="20"/>
              </w:rPr>
              <w:t>Available brands</w:t>
            </w:r>
          </w:p>
        </w:tc>
      </w:tr>
      <w:tr w:rsidR="009D66E4" w:rsidRPr="002C3702" w14:paraId="4600525A" w14:textId="77777777" w:rsidTr="0001204A">
        <w:trPr>
          <w:cantSplit/>
          <w:trHeight w:val="224"/>
        </w:trPr>
        <w:tc>
          <w:tcPr>
            <w:tcW w:w="9067" w:type="dxa"/>
            <w:gridSpan w:val="7"/>
            <w:shd w:val="clear" w:color="auto" w:fill="auto"/>
          </w:tcPr>
          <w:p w14:paraId="4A62A928" w14:textId="77777777" w:rsidR="009D66E4" w:rsidRPr="002C3702" w:rsidRDefault="009D66E4" w:rsidP="0001204A">
            <w:pPr>
              <w:keepNext/>
              <w:ind w:left="-57"/>
              <w:rPr>
                <w:rFonts w:ascii="Arial Narrow" w:hAnsi="Arial Narrow"/>
                <w:sz w:val="20"/>
                <w:szCs w:val="20"/>
              </w:rPr>
            </w:pPr>
            <w:r w:rsidRPr="002C3702">
              <w:rPr>
                <w:rFonts w:ascii="Arial Narrow" w:hAnsi="Arial Narrow"/>
                <w:sz w:val="20"/>
                <w:szCs w:val="20"/>
              </w:rPr>
              <w:t xml:space="preserve">ABEMACICLIB </w:t>
            </w:r>
          </w:p>
        </w:tc>
      </w:tr>
      <w:tr w:rsidR="009D66E4" w:rsidRPr="002C3702" w14:paraId="249BDC90" w14:textId="77777777" w:rsidTr="0001204A">
        <w:trPr>
          <w:cantSplit/>
          <w:trHeight w:val="232"/>
        </w:trPr>
        <w:tc>
          <w:tcPr>
            <w:tcW w:w="2405" w:type="dxa"/>
            <w:gridSpan w:val="2"/>
            <w:shd w:val="clear" w:color="auto" w:fill="auto"/>
          </w:tcPr>
          <w:p w14:paraId="156412FA" w14:textId="77777777" w:rsidR="009D66E4" w:rsidRPr="002C3702" w:rsidRDefault="009D66E4" w:rsidP="0001204A">
            <w:pPr>
              <w:keepNext/>
              <w:ind w:left="-57"/>
              <w:rPr>
                <w:rFonts w:ascii="Arial Narrow" w:hAnsi="Arial Narrow"/>
                <w:sz w:val="20"/>
                <w:szCs w:val="20"/>
              </w:rPr>
            </w:pPr>
            <w:r w:rsidRPr="002C3702">
              <w:rPr>
                <w:rFonts w:ascii="Arial Narrow" w:hAnsi="Arial Narrow"/>
                <w:sz w:val="20"/>
                <w:szCs w:val="20"/>
              </w:rPr>
              <w:t xml:space="preserve">abemaciclib 150 mg tablet, 56 </w:t>
            </w:r>
          </w:p>
        </w:tc>
        <w:tc>
          <w:tcPr>
            <w:tcW w:w="1418" w:type="dxa"/>
          </w:tcPr>
          <w:p w14:paraId="3B38B0DA" w14:textId="0724B660"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 xml:space="preserve">NEW </w:t>
            </w:r>
            <w:r w:rsidR="00436DFB" w:rsidRPr="002C3702">
              <w:rPr>
                <w:rFonts w:ascii="Arial Narrow" w:hAnsi="Arial Narrow"/>
                <w:sz w:val="20"/>
                <w:szCs w:val="20"/>
              </w:rPr>
              <w:t>1</w:t>
            </w:r>
          </w:p>
          <w:p w14:paraId="08E55F3C" w14:textId="77777777" w:rsidR="009D66E4" w:rsidRPr="002C3702" w:rsidRDefault="009D66E4" w:rsidP="0001204A">
            <w:pPr>
              <w:keepNext/>
              <w:jc w:val="center"/>
              <w:rPr>
                <w:rFonts w:ascii="Arial Narrow" w:hAnsi="Arial Narrow"/>
                <w:sz w:val="20"/>
                <w:szCs w:val="20"/>
                <w:vertAlign w:val="subscript"/>
              </w:rPr>
            </w:pPr>
            <w:r w:rsidRPr="002C3702">
              <w:rPr>
                <w:rFonts w:ascii="Arial Narrow" w:hAnsi="Arial Narrow"/>
                <w:sz w:val="20"/>
                <w:szCs w:val="20"/>
                <w:vertAlign w:val="subscript"/>
              </w:rPr>
              <w:t>MP</w:t>
            </w:r>
          </w:p>
        </w:tc>
        <w:tc>
          <w:tcPr>
            <w:tcW w:w="1275" w:type="dxa"/>
          </w:tcPr>
          <w:p w14:paraId="62833193"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1</w:t>
            </w:r>
          </w:p>
        </w:tc>
        <w:tc>
          <w:tcPr>
            <w:tcW w:w="1276" w:type="dxa"/>
          </w:tcPr>
          <w:p w14:paraId="5E11B7C1"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56</w:t>
            </w:r>
          </w:p>
        </w:tc>
        <w:tc>
          <w:tcPr>
            <w:tcW w:w="992" w:type="dxa"/>
          </w:tcPr>
          <w:p w14:paraId="68C361C5"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w:t>
            </w:r>
          </w:p>
        </w:tc>
        <w:tc>
          <w:tcPr>
            <w:tcW w:w="1701" w:type="dxa"/>
          </w:tcPr>
          <w:p w14:paraId="2A8AA9AB" w14:textId="77777777" w:rsidR="009D66E4" w:rsidRPr="002C3702" w:rsidRDefault="009D66E4" w:rsidP="0001204A">
            <w:pPr>
              <w:keepNext/>
              <w:rPr>
                <w:rFonts w:ascii="Arial Narrow" w:hAnsi="Arial Narrow"/>
                <w:sz w:val="20"/>
                <w:szCs w:val="20"/>
              </w:rPr>
            </w:pPr>
            <w:r w:rsidRPr="002C3702">
              <w:rPr>
                <w:rFonts w:ascii="Arial Narrow" w:hAnsi="Arial Narrow"/>
                <w:sz w:val="20"/>
                <w:szCs w:val="20"/>
              </w:rPr>
              <w:t xml:space="preserve">Verzenio </w:t>
            </w:r>
          </w:p>
        </w:tc>
      </w:tr>
      <w:tr w:rsidR="009D66E4" w:rsidRPr="002C3702" w14:paraId="3A1AD39B" w14:textId="77777777" w:rsidTr="0001204A">
        <w:trPr>
          <w:cantSplit/>
          <w:trHeight w:val="264"/>
        </w:trPr>
        <w:tc>
          <w:tcPr>
            <w:tcW w:w="2405" w:type="dxa"/>
            <w:gridSpan w:val="2"/>
            <w:shd w:val="clear" w:color="auto" w:fill="auto"/>
          </w:tcPr>
          <w:p w14:paraId="0A69592E" w14:textId="77777777" w:rsidR="009D66E4" w:rsidRPr="002C3702" w:rsidRDefault="009D66E4" w:rsidP="0001204A">
            <w:pPr>
              <w:keepNext/>
              <w:ind w:left="-57"/>
              <w:rPr>
                <w:rFonts w:ascii="Arial Narrow" w:hAnsi="Arial Narrow"/>
                <w:sz w:val="20"/>
                <w:szCs w:val="20"/>
              </w:rPr>
            </w:pPr>
            <w:r w:rsidRPr="002C3702">
              <w:rPr>
                <w:rFonts w:ascii="Arial Narrow" w:hAnsi="Arial Narrow"/>
                <w:sz w:val="20"/>
                <w:szCs w:val="20"/>
              </w:rPr>
              <w:t>abemaciclib 100 mg tablet, 56</w:t>
            </w:r>
          </w:p>
        </w:tc>
        <w:tc>
          <w:tcPr>
            <w:tcW w:w="1418" w:type="dxa"/>
          </w:tcPr>
          <w:p w14:paraId="068EFD86" w14:textId="2BD7AE88"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 xml:space="preserve">NEW </w:t>
            </w:r>
            <w:r w:rsidR="00436DFB" w:rsidRPr="002C3702">
              <w:rPr>
                <w:rFonts w:ascii="Arial Narrow" w:hAnsi="Arial Narrow"/>
                <w:sz w:val="20"/>
                <w:szCs w:val="20"/>
              </w:rPr>
              <w:t>2</w:t>
            </w:r>
          </w:p>
          <w:p w14:paraId="36A0BFEB"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vertAlign w:val="subscript"/>
              </w:rPr>
              <w:t>MP</w:t>
            </w:r>
          </w:p>
        </w:tc>
        <w:tc>
          <w:tcPr>
            <w:tcW w:w="1275" w:type="dxa"/>
          </w:tcPr>
          <w:p w14:paraId="4FEF63BA"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1</w:t>
            </w:r>
          </w:p>
        </w:tc>
        <w:tc>
          <w:tcPr>
            <w:tcW w:w="1276" w:type="dxa"/>
          </w:tcPr>
          <w:p w14:paraId="2DD1A9BE"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56</w:t>
            </w:r>
          </w:p>
        </w:tc>
        <w:tc>
          <w:tcPr>
            <w:tcW w:w="992" w:type="dxa"/>
          </w:tcPr>
          <w:p w14:paraId="5F69A953"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w:t>
            </w:r>
          </w:p>
        </w:tc>
        <w:tc>
          <w:tcPr>
            <w:tcW w:w="1701" w:type="dxa"/>
          </w:tcPr>
          <w:p w14:paraId="7391C40B" w14:textId="77777777" w:rsidR="009D66E4" w:rsidRPr="002C3702" w:rsidRDefault="009D66E4" w:rsidP="0001204A">
            <w:pPr>
              <w:keepNext/>
              <w:rPr>
                <w:rFonts w:ascii="Arial Narrow" w:hAnsi="Arial Narrow"/>
                <w:sz w:val="20"/>
                <w:szCs w:val="20"/>
              </w:rPr>
            </w:pPr>
            <w:r w:rsidRPr="002C3702">
              <w:rPr>
                <w:rFonts w:ascii="Arial Narrow" w:hAnsi="Arial Narrow"/>
                <w:sz w:val="20"/>
                <w:szCs w:val="20"/>
              </w:rPr>
              <w:t xml:space="preserve">Verzenio </w:t>
            </w:r>
          </w:p>
        </w:tc>
      </w:tr>
      <w:tr w:rsidR="009D66E4" w:rsidRPr="002C3702" w14:paraId="14E4B537" w14:textId="77777777" w:rsidTr="0001204A">
        <w:trPr>
          <w:cantSplit/>
          <w:trHeight w:val="281"/>
        </w:trPr>
        <w:tc>
          <w:tcPr>
            <w:tcW w:w="2405" w:type="dxa"/>
            <w:gridSpan w:val="2"/>
            <w:shd w:val="clear" w:color="auto" w:fill="auto"/>
          </w:tcPr>
          <w:p w14:paraId="3234B3A8" w14:textId="77777777" w:rsidR="009D66E4" w:rsidRPr="002C3702" w:rsidRDefault="009D66E4" w:rsidP="0001204A">
            <w:pPr>
              <w:keepNext/>
              <w:tabs>
                <w:tab w:val="left" w:pos="1077"/>
              </w:tabs>
              <w:ind w:left="-57"/>
              <w:rPr>
                <w:rFonts w:ascii="Arial Narrow" w:hAnsi="Arial Narrow"/>
                <w:sz w:val="20"/>
                <w:szCs w:val="20"/>
              </w:rPr>
            </w:pPr>
            <w:r w:rsidRPr="002C3702">
              <w:rPr>
                <w:rFonts w:ascii="Arial Narrow" w:hAnsi="Arial Narrow"/>
                <w:sz w:val="20"/>
                <w:szCs w:val="20"/>
              </w:rPr>
              <w:t>abemaciclib 50 mg tablet, 56</w:t>
            </w:r>
          </w:p>
        </w:tc>
        <w:tc>
          <w:tcPr>
            <w:tcW w:w="1418" w:type="dxa"/>
          </w:tcPr>
          <w:p w14:paraId="2ADCFF69" w14:textId="0C4F6A81"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 xml:space="preserve">NEW </w:t>
            </w:r>
            <w:r w:rsidR="00436DFB" w:rsidRPr="002C3702">
              <w:rPr>
                <w:rFonts w:ascii="Arial Narrow" w:hAnsi="Arial Narrow"/>
                <w:sz w:val="20"/>
                <w:szCs w:val="20"/>
              </w:rPr>
              <w:t>3</w:t>
            </w:r>
          </w:p>
          <w:p w14:paraId="7B3F2EA4"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vertAlign w:val="subscript"/>
              </w:rPr>
              <w:t>MP</w:t>
            </w:r>
          </w:p>
        </w:tc>
        <w:tc>
          <w:tcPr>
            <w:tcW w:w="1275" w:type="dxa"/>
          </w:tcPr>
          <w:p w14:paraId="41ED3F11"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1</w:t>
            </w:r>
          </w:p>
        </w:tc>
        <w:tc>
          <w:tcPr>
            <w:tcW w:w="1276" w:type="dxa"/>
          </w:tcPr>
          <w:p w14:paraId="459941D2"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56</w:t>
            </w:r>
          </w:p>
        </w:tc>
        <w:tc>
          <w:tcPr>
            <w:tcW w:w="992" w:type="dxa"/>
          </w:tcPr>
          <w:p w14:paraId="237EFC8B" w14:textId="77777777" w:rsidR="009D66E4" w:rsidRPr="002C3702" w:rsidRDefault="009D66E4" w:rsidP="0001204A">
            <w:pPr>
              <w:keepNext/>
              <w:jc w:val="center"/>
              <w:rPr>
                <w:rFonts w:ascii="Arial Narrow" w:hAnsi="Arial Narrow"/>
                <w:sz w:val="20"/>
                <w:szCs w:val="20"/>
              </w:rPr>
            </w:pPr>
            <w:r w:rsidRPr="002C3702">
              <w:rPr>
                <w:rFonts w:ascii="Arial Narrow" w:hAnsi="Arial Narrow"/>
                <w:sz w:val="20"/>
                <w:szCs w:val="20"/>
              </w:rPr>
              <w:t>5</w:t>
            </w:r>
          </w:p>
        </w:tc>
        <w:tc>
          <w:tcPr>
            <w:tcW w:w="1701" w:type="dxa"/>
          </w:tcPr>
          <w:p w14:paraId="59AB1F82" w14:textId="77777777" w:rsidR="009D66E4" w:rsidRPr="002C3702" w:rsidRDefault="009D66E4" w:rsidP="0001204A">
            <w:pPr>
              <w:keepNext/>
              <w:rPr>
                <w:rFonts w:ascii="Arial Narrow" w:hAnsi="Arial Narrow"/>
                <w:sz w:val="20"/>
                <w:szCs w:val="20"/>
              </w:rPr>
            </w:pPr>
            <w:r w:rsidRPr="002C3702">
              <w:rPr>
                <w:rFonts w:ascii="Arial Narrow" w:hAnsi="Arial Narrow"/>
                <w:sz w:val="20"/>
                <w:szCs w:val="20"/>
              </w:rPr>
              <w:t>Verzenio</w:t>
            </w:r>
          </w:p>
        </w:tc>
      </w:tr>
      <w:tr w:rsidR="009D66E4" w:rsidRPr="002C3702" w14:paraId="7A6A5ACE" w14:textId="77777777" w:rsidTr="0001204A">
        <w:trPr>
          <w:cantSplit/>
          <w:trHeight w:val="393"/>
        </w:trPr>
        <w:tc>
          <w:tcPr>
            <w:tcW w:w="9067" w:type="dxa"/>
            <w:gridSpan w:val="7"/>
            <w:shd w:val="clear" w:color="auto" w:fill="auto"/>
          </w:tcPr>
          <w:p w14:paraId="2508C38B" w14:textId="77777777" w:rsidR="009D66E4" w:rsidRPr="002C3702" w:rsidRDefault="009D66E4" w:rsidP="0001204A">
            <w:pPr>
              <w:keepNext/>
              <w:jc w:val="right"/>
              <w:rPr>
                <w:rFonts w:ascii="Arial Narrow" w:hAnsi="Arial Narrow"/>
                <w:sz w:val="20"/>
                <w:szCs w:val="20"/>
              </w:rPr>
            </w:pPr>
            <w:r w:rsidRPr="002C3702">
              <w:rPr>
                <w:rFonts w:ascii="Arial Narrow" w:hAnsi="Arial Narrow"/>
                <w:sz w:val="20"/>
                <w:szCs w:val="20"/>
              </w:rPr>
              <w:t>Safety Net Rule Penalty Applies? Yes</w:t>
            </w:r>
          </w:p>
          <w:p w14:paraId="5C4266B0" w14:textId="0BDAAB82" w:rsidR="009D66E4" w:rsidRPr="002C3702" w:rsidRDefault="009D66E4" w:rsidP="0001204A">
            <w:pPr>
              <w:keepNext/>
              <w:jc w:val="right"/>
              <w:rPr>
                <w:rFonts w:ascii="Arial Narrow" w:hAnsi="Arial Narrow"/>
                <w:sz w:val="20"/>
                <w:szCs w:val="20"/>
              </w:rPr>
            </w:pPr>
          </w:p>
        </w:tc>
      </w:tr>
      <w:tr w:rsidR="009D66E4" w:rsidRPr="002C3702" w14:paraId="449AE359" w14:textId="77777777" w:rsidTr="0001204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D2A8E1D" w14:textId="77777777" w:rsidR="009D66E4" w:rsidRPr="002C3702" w:rsidRDefault="009D66E4" w:rsidP="0001204A">
            <w:pPr>
              <w:rPr>
                <w:rFonts w:ascii="Arial Narrow" w:hAnsi="Arial Narrow"/>
                <w:sz w:val="20"/>
                <w:szCs w:val="20"/>
                <w:highlight w:val="lightGray"/>
              </w:rPr>
            </w:pPr>
          </w:p>
        </w:tc>
      </w:tr>
      <w:tr w:rsidR="009D66E4" w:rsidRPr="002C3702" w14:paraId="642EEE78" w14:textId="77777777" w:rsidTr="0001204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510ADFE" w14:textId="77777777" w:rsidR="009D66E4" w:rsidRPr="002C3702" w:rsidRDefault="009D66E4" w:rsidP="0001204A">
            <w:pPr>
              <w:rPr>
                <w:rFonts w:ascii="Arial Narrow" w:hAnsi="Arial Narrow"/>
                <w:b/>
                <w:sz w:val="20"/>
                <w:szCs w:val="20"/>
              </w:rPr>
            </w:pPr>
            <w:r w:rsidRPr="002C3702">
              <w:rPr>
                <w:rFonts w:ascii="Arial Narrow" w:hAnsi="Arial Narrow"/>
                <w:b/>
                <w:sz w:val="20"/>
                <w:szCs w:val="20"/>
              </w:rPr>
              <w:t>Restriction Summary / Treatment of Concept: [New 1]: Authority Required</w:t>
            </w:r>
          </w:p>
          <w:p w14:paraId="6BEFA8E3" w14:textId="77777777" w:rsidR="009D66E4" w:rsidRPr="002C3702" w:rsidRDefault="009D66E4" w:rsidP="0001204A">
            <w:pPr>
              <w:rPr>
                <w:rFonts w:ascii="Arial Narrow" w:hAnsi="Arial Narrow"/>
                <w:b/>
                <w:sz w:val="20"/>
                <w:szCs w:val="20"/>
              </w:rPr>
            </w:pPr>
          </w:p>
        </w:tc>
      </w:tr>
      <w:tr w:rsidR="00436DFB" w:rsidRPr="002C3702" w14:paraId="3DDC4023" w14:textId="77777777" w:rsidTr="0001204A">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7F33B418" w14:textId="461E5AA0" w:rsidR="00436DFB" w:rsidRPr="002C3702" w:rsidRDefault="00436DFB" w:rsidP="00436DFB">
            <w:pPr>
              <w:jc w:val="center"/>
              <w:rPr>
                <w:rFonts w:ascii="Arial Narrow" w:hAnsi="Arial Narrow"/>
                <w:sz w:val="20"/>
                <w:szCs w:val="20"/>
              </w:rPr>
            </w:pPr>
          </w:p>
        </w:tc>
        <w:tc>
          <w:tcPr>
            <w:tcW w:w="8086" w:type="dxa"/>
            <w:gridSpan w:val="6"/>
            <w:vAlign w:val="center"/>
          </w:tcPr>
          <w:p w14:paraId="7D90FA38" w14:textId="47AB136A" w:rsidR="00436DFB" w:rsidRPr="002C3702" w:rsidRDefault="00436DFB" w:rsidP="0001204A">
            <w:pPr>
              <w:rPr>
                <w:rFonts w:ascii="Arial Narrow" w:hAnsi="Arial Narrow" w:cs="Times New Roman"/>
                <w:sz w:val="20"/>
                <w:szCs w:val="20"/>
              </w:rPr>
            </w:pPr>
            <w:r w:rsidRPr="002C3702">
              <w:rPr>
                <w:rFonts w:ascii="Arial Narrow" w:hAnsi="Arial Narrow"/>
                <w:b/>
                <w:sz w:val="20"/>
                <w:szCs w:val="20"/>
              </w:rPr>
              <w:t xml:space="preserve">Category / Program: </w:t>
            </w:r>
            <w:r w:rsidRPr="002C3702">
              <w:rPr>
                <w:rFonts w:ascii="Arial Narrow" w:hAnsi="Arial Narrow"/>
                <w:sz w:val="20"/>
                <w:szCs w:val="20"/>
              </w:rPr>
              <w:t>GENERAL – General Schedule (Code GE)</w:t>
            </w:r>
          </w:p>
        </w:tc>
      </w:tr>
      <w:tr w:rsidR="00436DFB" w:rsidRPr="002C3702" w14:paraId="5012401F" w14:textId="77777777" w:rsidTr="0001204A">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22CC5B3E" w14:textId="77777777" w:rsidR="00436DFB" w:rsidRPr="002C3702" w:rsidRDefault="00436DFB" w:rsidP="0001204A">
            <w:pPr>
              <w:jc w:val="center"/>
              <w:rPr>
                <w:rFonts w:ascii="Arial Narrow" w:hAnsi="Arial Narrow"/>
                <w:sz w:val="20"/>
                <w:szCs w:val="20"/>
              </w:rPr>
            </w:pPr>
          </w:p>
        </w:tc>
        <w:tc>
          <w:tcPr>
            <w:tcW w:w="8086" w:type="dxa"/>
            <w:gridSpan w:val="6"/>
            <w:vAlign w:val="center"/>
          </w:tcPr>
          <w:p w14:paraId="14D525A7" w14:textId="2096F0C5" w:rsidR="00436DFB" w:rsidRPr="002C3702" w:rsidRDefault="00436DFB" w:rsidP="0001204A">
            <w:pPr>
              <w:rPr>
                <w:rFonts w:ascii="Arial Narrow" w:hAnsi="Arial Narrow"/>
                <w:b/>
                <w:bCs/>
                <w:sz w:val="20"/>
                <w:szCs w:val="20"/>
              </w:rPr>
            </w:pPr>
            <w:r w:rsidRPr="002C3702">
              <w:rPr>
                <w:rFonts w:ascii="Arial Narrow" w:hAnsi="Arial Narrow"/>
                <w:b/>
                <w:sz w:val="20"/>
                <w:szCs w:val="20"/>
              </w:rPr>
              <w:t xml:space="preserve">Prescriber type: </w:t>
            </w:r>
            <w:r w:rsidRPr="002C3702">
              <w:rPr>
                <w:rFonts w:ascii="Arial Narrow" w:hAnsi="Arial Narrow"/>
                <w:sz w:val="20"/>
                <w:szCs w:val="20"/>
              </w:rPr>
              <w:fldChar w:fldCharType="begin">
                <w:ffData>
                  <w:name w:val=""/>
                  <w:enabled/>
                  <w:calcOnExit w:val="0"/>
                  <w:checkBox>
                    <w:sizeAuto/>
                    <w:default w:val="1"/>
                  </w:checkBox>
                </w:ffData>
              </w:fldChar>
            </w:r>
            <w:r w:rsidRPr="002C3702">
              <w:rPr>
                <w:rFonts w:ascii="Arial Narrow" w:hAnsi="Arial Narrow"/>
                <w:sz w:val="20"/>
                <w:szCs w:val="20"/>
              </w:rPr>
              <w:instrText xml:space="preserve"> FORMCHECKBOX </w:instrText>
            </w:r>
            <w:r w:rsidR="00676505">
              <w:rPr>
                <w:rFonts w:ascii="Arial Narrow" w:hAnsi="Arial Narrow"/>
                <w:sz w:val="20"/>
                <w:szCs w:val="20"/>
              </w:rPr>
            </w:r>
            <w:r w:rsidR="00676505">
              <w:rPr>
                <w:rFonts w:ascii="Arial Narrow" w:hAnsi="Arial Narrow"/>
                <w:sz w:val="20"/>
                <w:szCs w:val="20"/>
              </w:rPr>
              <w:fldChar w:fldCharType="separate"/>
            </w:r>
            <w:r w:rsidRPr="002C3702">
              <w:rPr>
                <w:rFonts w:ascii="Arial Narrow" w:hAnsi="Arial Narrow"/>
                <w:sz w:val="20"/>
                <w:szCs w:val="20"/>
              </w:rPr>
              <w:fldChar w:fldCharType="end"/>
            </w:r>
            <w:r w:rsidRPr="002C3702">
              <w:rPr>
                <w:rFonts w:ascii="Arial Narrow" w:hAnsi="Arial Narrow"/>
                <w:sz w:val="20"/>
                <w:szCs w:val="20"/>
              </w:rPr>
              <w:t>Medical Practitioners</w:t>
            </w:r>
          </w:p>
        </w:tc>
      </w:tr>
      <w:tr w:rsidR="00436DFB" w:rsidRPr="002C3702" w14:paraId="1DF08AC0" w14:textId="77777777" w:rsidTr="00436DFB">
        <w:tblPrEx>
          <w:tblCellMar>
            <w:top w:w="15" w:type="dxa"/>
            <w:left w:w="15" w:type="dxa"/>
            <w:bottom w:w="15" w:type="dxa"/>
            <w:right w:w="15" w:type="dxa"/>
          </w:tblCellMar>
          <w:tblLook w:val="04A0" w:firstRow="1" w:lastRow="0" w:firstColumn="1" w:lastColumn="0" w:noHBand="0" w:noVBand="1"/>
        </w:tblPrEx>
        <w:trPr>
          <w:trHeight w:val="284"/>
        </w:trPr>
        <w:tc>
          <w:tcPr>
            <w:tcW w:w="981" w:type="dxa"/>
            <w:vMerge/>
            <w:vAlign w:val="center"/>
          </w:tcPr>
          <w:p w14:paraId="464C7795" w14:textId="77777777" w:rsidR="00436DFB" w:rsidRPr="002C3702" w:rsidRDefault="00436DFB" w:rsidP="0001204A">
            <w:pPr>
              <w:jc w:val="center"/>
              <w:rPr>
                <w:rFonts w:ascii="Arial Narrow" w:hAnsi="Arial Narrow"/>
                <w:sz w:val="20"/>
                <w:szCs w:val="20"/>
              </w:rPr>
            </w:pPr>
          </w:p>
        </w:tc>
        <w:tc>
          <w:tcPr>
            <w:tcW w:w="8086" w:type="dxa"/>
            <w:gridSpan w:val="6"/>
            <w:vAlign w:val="center"/>
          </w:tcPr>
          <w:p w14:paraId="7E9464EB" w14:textId="4B107BD0" w:rsidR="00436DFB" w:rsidRPr="002C3702" w:rsidRDefault="00436DFB" w:rsidP="0001204A">
            <w:pPr>
              <w:rPr>
                <w:rFonts w:ascii="Arial Narrow" w:hAnsi="Arial Narrow"/>
                <w:b/>
                <w:bCs/>
                <w:sz w:val="20"/>
                <w:szCs w:val="20"/>
              </w:rPr>
            </w:pPr>
            <w:r w:rsidRPr="002C3702">
              <w:rPr>
                <w:rFonts w:ascii="Arial Narrow" w:hAnsi="Arial Narrow"/>
                <w:b/>
                <w:sz w:val="20"/>
                <w:szCs w:val="20"/>
              </w:rPr>
              <w:t xml:space="preserve">Restriction Type – </w:t>
            </w:r>
            <w:r w:rsidRPr="002C3702">
              <w:rPr>
                <w:rFonts w:ascii="Arial Narrow" w:hAnsi="Arial Narrow"/>
                <w:sz w:val="20"/>
                <w:szCs w:val="20"/>
              </w:rPr>
              <w:fldChar w:fldCharType="begin">
                <w:ffData>
                  <w:name w:val=""/>
                  <w:enabled/>
                  <w:calcOnExit w:val="0"/>
                  <w:checkBox>
                    <w:sizeAuto/>
                    <w:default w:val="1"/>
                  </w:checkBox>
                </w:ffData>
              </w:fldChar>
            </w:r>
            <w:r w:rsidRPr="002C3702">
              <w:rPr>
                <w:rFonts w:ascii="Arial Narrow" w:hAnsi="Arial Narrow"/>
                <w:sz w:val="20"/>
                <w:szCs w:val="20"/>
              </w:rPr>
              <w:instrText xml:space="preserve"> FORMCHECKBOX </w:instrText>
            </w:r>
            <w:r w:rsidR="00676505">
              <w:rPr>
                <w:rFonts w:ascii="Arial Narrow" w:hAnsi="Arial Narrow"/>
                <w:sz w:val="20"/>
                <w:szCs w:val="20"/>
              </w:rPr>
            </w:r>
            <w:r w:rsidR="00676505">
              <w:rPr>
                <w:rFonts w:ascii="Arial Narrow" w:hAnsi="Arial Narrow"/>
                <w:sz w:val="20"/>
                <w:szCs w:val="20"/>
              </w:rPr>
              <w:fldChar w:fldCharType="separate"/>
            </w:r>
            <w:r w:rsidRPr="002C3702">
              <w:rPr>
                <w:rFonts w:ascii="Arial Narrow" w:hAnsi="Arial Narrow"/>
                <w:sz w:val="20"/>
                <w:szCs w:val="20"/>
              </w:rPr>
              <w:fldChar w:fldCharType="end"/>
            </w:r>
            <w:r w:rsidRPr="002C3702">
              <w:rPr>
                <w:rFonts w:ascii="Arial Narrow" w:hAnsi="Arial Narrow"/>
                <w:sz w:val="20"/>
                <w:szCs w:val="20"/>
              </w:rPr>
              <w:t xml:space="preserve"> Authority Required (telephone/online PBS Authorities system)</w:t>
            </w:r>
          </w:p>
        </w:tc>
      </w:tr>
      <w:tr w:rsidR="009D66E4" w:rsidRPr="002C3702" w14:paraId="0A002617"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69336E" w14:textId="77777777" w:rsidR="009D66E4" w:rsidRPr="002C3702" w:rsidRDefault="009D66E4" w:rsidP="0001204A">
            <w:pPr>
              <w:jc w:val="center"/>
              <w:rPr>
                <w:rFonts w:ascii="Arial Narrow" w:hAnsi="Arial Narrow"/>
                <w:sz w:val="20"/>
                <w:szCs w:val="20"/>
              </w:rPr>
            </w:pPr>
          </w:p>
        </w:tc>
        <w:tc>
          <w:tcPr>
            <w:tcW w:w="8086" w:type="dxa"/>
            <w:gridSpan w:val="6"/>
            <w:vAlign w:val="center"/>
          </w:tcPr>
          <w:p w14:paraId="0CE6B6D1" w14:textId="77777777" w:rsidR="009D66E4" w:rsidRPr="002C3702" w:rsidRDefault="009D66E4" w:rsidP="0001204A">
            <w:pPr>
              <w:rPr>
                <w:rFonts w:ascii="Arial Narrow" w:hAnsi="Arial Narrow"/>
                <w:b/>
                <w:bCs/>
                <w:sz w:val="20"/>
                <w:szCs w:val="20"/>
              </w:rPr>
            </w:pPr>
          </w:p>
        </w:tc>
      </w:tr>
      <w:tr w:rsidR="00436DFB" w:rsidRPr="002C3702" w14:paraId="13A9F0E3"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7CFA3367" w14:textId="15878405" w:rsidR="00436DFB" w:rsidRPr="002C3702" w:rsidRDefault="00436DFB" w:rsidP="00436DFB">
            <w:pPr>
              <w:jc w:val="center"/>
              <w:rPr>
                <w:rFonts w:ascii="Arial Narrow" w:hAnsi="Arial Narrow"/>
                <w:sz w:val="20"/>
                <w:szCs w:val="20"/>
              </w:rPr>
            </w:pPr>
          </w:p>
        </w:tc>
        <w:tc>
          <w:tcPr>
            <w:tcW w:w="8086" w:type="dxa"/>
            <w:gridSpan w:val="6"/>
            <w:vAlign w:val="center"/>
          </w:tcPr>
          <w:p w14:paraId="25930169" w14:textId="7B27C944" w:rsidR="00436DFB" w:rsidRPr="002C3702" w:rsidRDefault="00436DFB" w:rsidP="00436DFB">
            <w:pPr>
              <w:rPr>
                <w:rFonts w:ascii="Arial Narrow" w:hAnsi="Arial Narrow"/>
                <w:b/>
                <w:bCs/>
                <w:sz w:val="20"/>
                <w:szCs w:val="20"/>
              </w:rPr>
            </w:pPr>
            <w:r w:rsidRPr="002C3702">
              <w:rPr>
                <w:rFonts w:ascii="Arial Narrow" w:hAnsi="Arial Narrow"/>
                <w:b/>
                <w:bCs/>
                <w:sz w:val="20"/>
                <w:szCs w:val="20"/>
              </w:rPr>
              <w:t>Indication:</w:t>
            </w:r>
            <w:r w:rsidRPr="002C3702">
              <w:rPr>
                <w:rFonts w:ascii="Arial Narrow" w:hAnsi="Arial Narrow"/>
                <w:sz w:val="20"/>
                <w:szCs w:val="20"/>
              </w:rPr>
              <w:t xml:space="preserve"> Early breast cancer </w:t>
            </w:r>
          </w:p>
        </w:tc>
      </w:tr>
      <w:tr w:rsidR="00436DFB" w:rsidRPr="002C3702" w14:paraId="5CF3F637"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C1E974"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2425E5F7"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Clinical criteria:</w:t>
            </w:r>
          </w:p>
        </w:tc>
      </w:tr>
      <w:tr w:rsidR="00436DFB" w:rsidRPr="002C3702" w14:paraId="7CC7C28D"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3992BF" w14:textId="0AE069C5" w:rsidR="00436DFB" w:rsidRPr="002C3702" w:rsidRDefault="00436DFB" w:rsidP="00436DFB">
            <w:pPr>
              <w:jc w:val="center"/>
              <w:rPr>
                <w:rFonts w:ascii="Arial Narrow" w:hAnsi="Arial Narrow"/>
                <w:sz w:val="20"/>
                <w:szCs w:val="20"/>
              </w:rPr>
            </w:pPr>
          </w:p>
        </w:tc>
        <w:tc>
          <w:tcPr>
            <w:tcW w:w="8086" w:type="dxa"/>
            <w:gridSpan w:val="6"/>
            <w:vAlign w:val="center"/>
          </w:tcPr>
          <w:p w14:paraId="39BF590B" w14:textId="77777777" w:rsidR="00436DFB" w:rsidRPr="002C3702" w:rsidRDefault="00436DFB" w:rsidP="00436DFB">
            <w:pPr>
              <w:autoSpaceDE w:val="0"/>
              <w:autoSpaceDN w:val="0"/>
              <w:adjustRightInd w:val="0"/>
              <w:rPr>
                <w:rFonts w:ascii="Arial Narrow" w:hAnsi="Arial Narrow"/>
                <w:b/>
                <w:bCs/>
                <w:sz w:val="20"/>
                <w:szCs w:val="20"/>
              </w:rPr>
            </w:pPr>
            <w:r w:rsidRPr="002C3702">
              <w:rPr>
                <w:rFonts w:ascii="Arial Narrow" w:hAnsi="Arial Narrow" w:cs="Arial Narrow"/>
                <w:iCs/>
                <w:sz w:val="20"/>
                <w:szCs w:val="20"/>
              </w:rPr>
              <w:t>The treatment must be adjuvant to surgical resection</w:t>
            </w:r>
          </w:p>
        </w:tc>
      </w:tr>
      <w:tr w:rsidR="00436DFB" w:rsidRPr="002C3702" w14:paraId="3406E20C"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7F86F9"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3569B9BA" w14:textId="77777777" w:rsidR="00436DFB" w:rsidRPr="002C3702" w:rsidRDefault="00436DFB" w:rsidP="00436DFB">
            <w:pPr>
              <w:autoSpaceDE w:val="0"/>
              <w:autoSpaceDN w:val="0"/>
              <w:adjustRightInd w:val="0"/>
              <w:rPr>
                <w:rFonts w:ascii="Arial Narrow" w:hAnsi="Arial Narrow" w:cs="Arial Narrow"/>
                <w:iCs/>
                <w:sz w:val="20"/>
                <w:szCs w:val="20"/>
              </w:rPr>
            </w:pPr>
            <w:r w:rsidRPr="002C3702">
              <w:rPr>
                <w:rFonts w:ascii="Arial Narrow" w:hAnsi="Arial Narrow"/>
                <w:b/>
                <w:bCs/>
                <w:sz w:val="20"/>
                <w:szCs w:val="20"/>
              </w:rPr>
              <w:t>AND</w:t>
            </w:r>
          </w:p>
        </w:tc>
      </w:tr>
      <w:tr w:rsidR="00436DFB" w:rsidRPr="002C3702" w14:paraId="10ED3A33"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1AB929"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273E025C" w14:textId="77777777" w:rsidR="00436DFB" w:rsidRPr="002C3702" w:rsidRDefault="00436DFB" w:rsidP="00436DFB">
            <w:pPr>
              <w:autoSpaceDE w:val="0"/>
              <w:autoSpaceDN w:val="0"/>
              <w:adjustRightInd w:val="0"/>
              <w:rPr>
                <w:rFonts w:ascii="Arial Narrow" w:hAnsi="Arial Narrow" w:cs="Arial Narrow"/>
                <w:iCs/>
                <w:sz w:val="20"/>
                <w:szCs w:val="20"/>
              </w:rPr>
            </w:pPr>
            <w:r w:rsidRPr="002C3702">
              <w:rPr>
                <w:rFonts w:ascii="Arial Narrow" w:hAnsi="Arial Narrow"/>
                <w:b/>
                <w:bCs/>
                <w:sz w:val="20"/>
                <w:szCs w:val="20"/>
              </w:rPr>
              <w:t xml:space="preserve">Clinical criteria: </w:t>
            </w:r>
          </w:p>
        </w:tc>
      </w:tr>
      <w:tr w:rsidR="00436DFB" w:rsidRPr="002C3702" w14:paraId="1662C718"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77DE6188" w14:textId="5E4655A6" w:rsidR="00436DFB" w:rsidRPr="002C3702" w:rsidRDefault="00436DFB" w:rsidP="00436DFB">
            <w:pPr>
              <w:jc w:val="center"/>
              <w:rPr>
                <w:rFonts w:ascii="Arial Narrow" w:hAnsi="Arial Narrow"/>
                <w:sz w:val="20"/>
                <w:szCs w:val="20"/>
              </w:rPr>
            </w:pPr>
          </w:p>
        </w:tc>
        <w:tc>
          <w:tcPr>
            <w:tcW w:w="8086" w:type="dxa"/>
            <w:gridSpan w:val="6"/>
            <w:vAlign w:val="center"/>
          </w:tcPr>
          <w:p w14:paraId="2950A8A7" w14:textId="77777777" w:rsidR="00436DFB" w:rsidRPr="002C3702" w:rsidRDefault="00436DFB" w:rsidP="00436DFB">
            <w:pPr>
              <w:autoSpaceDE w:val="0"/>
              <w:autoSpaceDN w:val="0"/>
              <w:adjustRightInd w:val="0"/>
              <w:rPr>
                <w:rFonts w:ascii="Arial Narrow" w:hAnsi="Arial Narrow" w:cs="Arial Narrow"/>
                <w:iCs/>
                <w:sz w:val="20"/>
                <w:szCs w:val="20"/>
              </w:rPr>
            </w:pPr>
            <w:r w:rsidRPr="002C3702">
              <w:rPr>
                <w:rFonts w:ascii="Arial Narrow" w:hAnsi="Arial Narrow"/>
                <w:sz w:val="20"/>
                <w:szCs w:val="20"/>
              </w:rPr>
              <w:t xml:space="preserve">The condition must not have been treated with endocrine therapy for more than 6 months prior to commencing this drug </w:t>
            </w:r>
          </w:p>
        </w:tc>
      </w:tr>
      <w:tr w:rsidR="00436DFB" w:rsidRPr="002C3702" w14:paraId="07F39BB6"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667C8E93"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537699B5"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AND</w:t>
            </w:r>
          </w:p>
        </w:tc>
      </w:tr>
      <w:tr w:rsidR="00436DFB" w:rsidRPr="002C3702" w14:paraId="2DC8980E" w14:textId="77777777" w:rsidTr="004C162F">
        <w:tblPrEx>
          <w:tblCellMar>
            <w:top w:w="15" w:type="dxa"/>
            <w:left w:w="15" w:type="dxa"/>
            <w:bottom w:w="15" w:type="dxa"/>
            <w:right w:w="15" w:type="dxa"/>
          </w:tblCellMar>
          <w:tblLook w:val="04A0" w:firstRow="1" w:lastRow="0" w:firstColumn="1" w:lastColumn="0" w:noHBand="0" w:noVBand="1"/>
        </w:tblPrEx>
        <w:trPr>
          <w:trHeight w:val="155"/>
        </w:trPr>
        <w:tc>
          <w:tcPr>
            <w:tcW w:w="981" w:type="dxa"/>
            <w:vAlign w:val="center"/>
          </w:tcPr>
          <w:p w14:paraId="27A93843" w14:textId="77777777" w:rsidR="00436DFB" w:rsidRPr="002C3702" w:rsidRDefault="00436DFB" w:rsidP="00436DFB">
            <w:pPr>
              <w:jc w:val="center"/>
              <w:rPr>
                <w:rFonts w:ascii="Arial Narrow" w:hAnsi="Arial Narrow"/>
                <w:sz w:val="20"/>
                <w:szCs w:val="20"/>
              </w:rPr>
            </w:pPr>
          </w:p>
        </w:tc>
        <w:tc>
          <w:tcPr>
            <w:tcW w:w="8086" w:type="dxa"/>
            <w:gridSpan w:val="6"/>
            <w:vAlign w:val="center"/>
            <w:hideMark/>
          </w:tcPr>
          <w:p w14:paraId="21E01D16"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 xml:space="preserve">Clinical criteria: </w:t>
            </w:r>
          </w:p>
        </w:tc>
      </w:tr>
      <w:tr w:rsidR="00436DFB" w:rsidRPr="002C3702" w14:paraId="2E9ED01F" w14:textId="77777777" w:rsidTr="004C162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37E1A5F" w14:textId="4B50AC27" w:rsidR="00436DFB" w:rsidRPr="002C3702" w:rsidRDefault="00436DFB" w:rsidP="00436DFB">
            <w:pPr>
              <w:jc w:val="center"/>
              <w:rPr>
                <w:rFonts w:ascii="Arial Narrow" w:hAnsi="Arial Narrow"/>
                <w:sz w:val="20"/>
                <w:szCs w:val="20"/>
              </w:rPr>
            </w:pPr>
          </w:p>
        </w:tc>
        <w:tc>
          <w:tcPr>
            <w:tcW w:w="8086" w:type="dxa"/>
            <w:gridSpan w:val="6"/>
            <w:vAlign w:val="center"/>
            <w:hideMark/>
          </w:tcPr>
          <w:p w14:paraId="17C6545A" w14:textId="77777777" w:rsidR="00436DFB" w:rsidRPr="002C3702" w:rsidRDefault="00436DFB" w:rsidP="00436DFB">
            <w:pPr>
              <w:rPr>
                <w:rFonts w:ascii="Arial Narrow" w:hAnsi="Arial Narrow"/>
                <w:sz w:val="20"/>
                <w:szCs w:val="20"/>
              </w:rPr>
            </w:pPr>
            <w:r w:rsidRPr="002C3702">
              <w:rPr>
                <w:rFonts w:ascii="Arial Narrow" w:hAnsi="Arial Narrow"/>
                <w:sz w:val="20"/>
                <w:szCs w:val="20"/>
              </w:rPr>
              <w:t>The condition must be human epidermal growth factor receptor 2 (HER2) negative</w:t>
            </w:r>
          </w:p>
        </w:tc>
      </w:tr>
      <w:tr w:rsidR="00436DFB" w:rsidRPr="002C3702" w14:paraId="1A7DFC18"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A2FD6C"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10E0C8A4" w14:textId="77777777" w:rsidR="00436DFB" w:rsidRPr="002C3702" w:rsidRDefault="00436DFB" w:rsidP="00436DFB">
            <w:pPr>
              <w:rPr>
                <w:rFonts w:ascii="Arial Narrow" w:hAnsi="Arial Narrow" w:cs="Arial Narrow"/>
                <w:iCs/>
                <w:sz w:val="20"/>
                <w:szCs w:val="20"/>
              </w:rPr>
            </w:pPr>
            <w:r w:rsidRPr="002C3702">
              <w:rPr>
                <w:rFonts w:ascii="Arial Narrow" w:hAnsi="Arial Narrow"/>
                <w:b/>
                <w:bCs/>
                <w:sz w:val="20"/>
                <w:szCs w:val="20"/>
              </w:rPr>
              <w:t>AND</w:t>
            </w:r>
          </w:p>
        </w:tc>
      </w:tr>
      <w:tr w:rsidR="00436DFB" w:rsidRPr="002C3702" w14:paraId="2BCE5A3B"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3CE741"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31808DD8" w14:textId="77777777" w:rsidR="00436DFB" w:rsidRPr="002C3702" w:rsidRDefault="00436DFB" w:rsidP="00436DFB">
            <w:pPr>
              <w:rPr>
                <w:rFonts w:ascii="Arial Narrow" w:hAnsi="Arial Narrow" w:cs="Arial Narrow"/>
                <w:iCs/>
                <w:sz w:val="20"/>
                <w:szCs w:val="20"/>
              </w:rPr>
            </w:pPr>
            <w:r w:rsidRPr="002C3702">
              <w:rPr>
                <w:rFonts w:ascii="Arial Narrow" w:hAnsi="Arial Narrow"/>
                <w:b/>
                <w:bCs/>
                <w:sz w:val="20"/>
                <w:szCs w:val="20"/>
              </w:rPr>
              <w:t xml:space="preserve">Clinical criteria: </w:t>
            </w:r>
          </w:p>
        </w:tc>
      </w:tr>
      <w:tr w:rsidR="00436DFB" w:rsidRPr="002C3702" w14:paraId="1A07ABB2"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685D35" w14:textId="70E92EC1" w:rsidR="00436DFB" w:rsidRPr="002C3702" w:rsidRDefault="00436DFB" w:rsidP="00436DFB">
            <w:pPr>
              <w:jc w:val="center"/>
              <w:rPr>
                <w:rFonts w:ascii="Arial Narrow" w:hAnsi="Arial Narrow"/>
                <w:sz w:val="20"/>
                <w:szCs w:val="20"/>
              </w:rPr>
            </w:pPr>
          </w:p>
        </w:tc>
        <w:tc>
          <w:tcPr>
            <w:tcW w:w="8086" w:type="dxa"/>
            <w:gridSpan w:val="6"/>
            <w:vAlign w:val="center"/>
          </w:tcPr>
          <w:p w14:paraId="0CCC7095" w14:textId="77777777" w:rsidR="00436DFB" w:rsidRPr="002C3702" w:rsidRDefault="00436DFB" w:rsidP="00436DFB">
            <w:pPr>
              <w:rPr>
                <w:rFonts w:ascii="Arial Narrow" w:hAnsi="Arial Narrow" w:cs="Arial Narrow"/>
                <w:iCs/>
                <w:sz w:val="20"/>
                <w:szCs w:val="20"/>
              </w:rPr>
            </w:pPr>
            <w:r w:rsidRPr="002C3702">
              <w:rPr>
                <w:rFonts w:ascii="Arial Narrow" w:hAnsi="Arial Narrow" w:cs="Arial Narrow"/>
                <w:iCs/>
                <w:sz w:val="20"/>
                <w:szCs w:val="20"/>
              </w:rPr>
              <w:t>The condition must be hormone receptor positive</w:t>
            </w:r>
          </w:p>
        </w:tc>
      </w:tr>
      <w:tr w:rsidR="00436DFB" w:rsidRPr="002C3702" w14:paraId="6C201963" w14:textId="77777777" w:rsidTr="004C162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527B8B" w14:textId="77777777" w:rsidR="00436DFB" w:rsidRPr="002C3702" w:rsidRDefault="00436DFB" w:rsidP="00436DFB">
            <w:pPr>
              <w:jc w:val="center"/>
              <w:rPr>
                <w:rFonts w:ascii="Arial Narrow" w:hAnsi="Arial Narrow"/>
                <w:sz w:val="20"/>
                <w:szCs w:val="20"/>
              </w:rPr>
            </w:pPr>
          </w:p>
        </w:tc>
        <w:tc>
          <w:tcPr>
            <w:tcW w:w="8086" w:type="dxa"/>
            <w:gridSpan w:val="6"/>
            <w:vAlign w:val="center"/>
            <w:hideMark/>
          </w:tcPr>
          <w:p w14:paraId="7E5A5FF4"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AND</w:t>
            </w:r>
          </w:p>
        </w:tc>
      </w:tr>
      <w:tr w:rsidR="00436DFB" w:rsidRPr="002C3702" w14:paraId="5FAED795"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7ACDA6" w14:textId="77777777" w:rsidR="00436DFB" w:rsidRPr="002C3702" w:rsidRDefault="00436DFB" w:rsidP="00436DFB">
            <w:pPr>
              <w:jc w:val="center"/>
              <w:rPr>
                <w:rFonts w:ascii="Arial Narrow" w:hAnsi="Arial Narrow"/>
                <w:sz w:val="20"/>
                <w:szCs w:val="20"/>
              </w:rPr>
            </w:pPr>
          </w:p>
        </w:tc>
        <w:tc>
          <w:tcPr>
            <w:tcW w:w="8086" w:type="dxa"/>
            <w:gridSpan w:val="6"/>
            <w:vAlign w:val="center"/>
            <w:hideMark/>
          </w:tcPr>
          <w:p w14:paraId="50301552"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Clinical criteria:</w:t>
            </w:r>
          </w:p>
        </w:tc>
      </w:tr>
      <w:tr w:rsidR="00436DFB" w:rsidRPr="002C3702" w14:paraId="1D531E0C"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916571" w14:textId="3CB3931B" w:rsidR="00436DFB" w:rsidRPr="002C3702" w:rsidRDefault="00436DFB" w:rsidP="00436DFB">
            <w:pPr>
              <w:jc w:val="center"/>
              <w:rPr>
                <w:rFonts w:ascii="Arial Narrow" w:hAnsi="Arial Narrow"/>
                <w:sz w:val="20"/>
                <w:szCs w:val="20"/>
              </w:rPr>
            </w:pPr>
          </w:p>
        </w:tc>
        <w:tc>
          <w:tcPr>
            <w:tcW w:w="8086" w:type="dxa"/>
            <w:gridSpan w:val="6"/>
            <w:vAlign w:val="center"/>
          </w:tcPr>
          <w:p w14:paraId="51ED729F" w14:textId="77777777" w:rsidR="00436DFB" w:rsidRPr="002C3702" w:rsidRDefault="00436DFB" w:rsidP="00436DFB">
            <w:pPr>
              <w:rPr>
                <w:rFonts w:ascii="Arial Narrow" w:hAnsi="Arial Narrow"/>
                <w:sz w:val="20"/>
                <w:szCs w:val="20"/>
              </w:rPr>
            </w:pPr>
            <w:r w:rsidRPr="002C3702">
              <w:rPr>
                <w:rFonts w:ascii="Arial Narrow" w:hAnsi="Arial Narrow"/>
                <w:sz w:val="20"/>
                <w:szCs w:val="20"/>
              </w:rPr>
              <w:t>The condition must be at high risk of recurrence at treatment initiation with this drug, with high risk being any of: (a) cancer cells in at least 4 positive axillary lymph nodes, (b) cancer cells in 1 to 3 positive axillary lymph nodes plus at least one of: (i) tumour size of at least 5 cm in size, (ii) grade 3 tumour histology (on the Nottingham grading system)</w:t>
            </w:r>
          </w:p>
        </w:tc>
      </w:tr>
      <w:tr w:rsidR="00436DFB" w:rsidRPr="002C3702" w14:paraId="1ACDF30C"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B4757F" w14:textId="77777777" w:rsidR="00436DFB" w:rsidRPr="002C3702" w:rsidRDefault="00436DFB" w:rsidP="00436DFB">
            <w:pPr>
              <w:jc w:val="center"/>
              <w:rPr>
                <w:rFonts w:ascii="Arial Narrow" w:hAnsi="Arial Narrow"/>
                <w:sz w:val="20"/>
                <w:szCs w:val="20"/>
              </w:rPr>
            </w:pPr>
          </w:p>
        </w:tc>
        <w:tc>
          <w:tcPr>
            <w:tcW w:w="8086" w:type="dxa"/>
            <w:gridSpan w:val="6"/>
            <w:vAlign w:val="center"/>
            <w:hideMark/>
          </w:tcPr>
          <w:p w14:paraId="5E0C5962"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AND</w:t>
            </w:r>
          </w:p>
        </w:tc>
      </w:tr>
      <w:tr w:rsidR="00436DFB" w:rsidRPr="002C3702" w14:paraId="60180391"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69F1E328" w14:textId="77777777" w:rsidR="00436DFB" w:rsidRPr="002C3702" w:rsidRDefault="00436DFB" w:rsidP="00436DFB">
            <w:pPr>
              <w:jc w:val="center"/>
              <w:rPr>
                <w:rFonts w:ascii="Arial Narrow" w:hAnsi="Arial Narrow"/>
                <w:sz w:val="20"/>
                <w:szCs w:val="20"/>
              </w:rPr>
            </w:pPr>
          </w:p>
        </w:tc>
        <w:tc>
          <w:tcPr>
            <w:tcW w:w="8086" w:type="dxa"/>
            <w:gridSpan w:val="6"/>
            <w:vAlign w:val="center"/>
            <w:hideMark/>
          </w:tcPr>
          <w:p w14:paraId="7FA46086"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Clinical criteria:</w:t>
            </w:r>
          </w:p>
        </w:tc>
      </w:tr>
      <w:tr w:rsidR="00436DFB" w:rsidRPr="002C3702" w14:paraId="50EF65A5"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4DBA81" w14:textId="501F495A" w:rsidR="00436DFB" w:rsidRPr="002C3702" w:rsidRDefault="00436DFB" w:rsidP="00436DFB">
            <w:pPr>
              <w:jc w:val="center"/>
              <w:rPr>
                <w:rFonts w:ascii="Arial Narrow" w:hAnsi="Arial Narrow"/>
                <w:sz w:val="20"/>
                <w:szCs w:val="20"/>
              </w:rPr>
            </w:pPr>
          </w:p>
        </w:tc>
        <w:tc>
          <w:tcPr>
            <w:tcW w:w="8086" w:type="dxa"/>
            <w:gridSpan w:val="6"/>
            <w:vAlign w:val="center"/>
          </w:tcPr>
          <w:p w14:paraId="04F89EC4" w14:textId="5EF2647B" w:rsidR="00436DFB" w:rsidRPr="002C3702" w:rsidRDefault="00436DFB" w:rsidP="00436DFB">
            <w:pPr>
              <w:rPr>
                <w:rFonts w:ascii="Arial Narrow" w:hAnsi="Arial Narrow"/>
                <w:sz w:val="20"/>
                <w:szCs w:val="20"/>
              </w:rPr>
            </w:pPr>
            <w:r w:rsidRPr="002C3702">
              <w:rPr>
                <w:rFonts w:ascii="Arial Narrow" w:hAnsi="Arial Narrow"/>
                <w:sz w:val="20"/>
                <w:szCs w:val="20"/>
              </w:rPr>
              <w:t>The treatment must not be a PBS-subsidised benefit beyond whichever comes first: (i) a total of 2 years of active treatment (this includes any non-PBS subsidised supply if applicable), (ii) disease recurrence/progression</w:t>
            </w:r>
          </w:p>
        </w:tc>
      </w:tr>
      <w:tr w:rsidR="00436DFB" w:rsidRPr="002C3702" w14:paraId="6B1A88F2"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79967C"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608F0E0A" w14:textId="669567A4" w:rsidR="00436DFB" w:rsidRPr="002C3702" w:rsidRDefault="00436DFB" w:rsidP="00436DFB">
            <w:pPr>
              <w:rPr>
                <w:rFonts w:ascii="Arial Narrow" w:hAnsi="Arial Narrow"/>
                <w:sz w:val="20"/>
                <w:szCs w:val="20"/>
              </w:rPr>
            </w:pPr>
            <w:r w:rsidRPr="002C3702">
              <w:rPr>
                <w:rFonts w:ascii="Arial Narrow" w:hAnsi="Arial Narrow"/>
                <w:b/>
                <w:bCs/>
                <w:i/>
                <w:iCs/>
                <w:color w:val="333333"/>
                <w:sz w:val="20"/>
                <w:szCs w:val="20"/>
              </w:rPr>
              <w:t>AND</w:t>
            </w:r>
          </w:p>
        </w:tc>
      </w:tr>
      <w:tr w:rsidR="00436DFB" w:rsidRPr="002C3702" w14:paraId="02E335B9"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049AA8"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6FAE0ADA" w14:textId="0CB5E2C3" w:rsidR="00436DFB" w:rsidRPr="002C3702" w:rsidRDefault="00436DFB" w:rsidP="00436DFB">
            <w:pPr>
              <w:rPr>
                <w:rFonts w:ascii="Arial Narrow" w:hAnsi="Arial Narrow"/>
                <w:sz w:val="20"/>
                <w:szCs w:val="20"/>
              </w:rPr>
            </w:pPr>
            <w:r w:rsidRPr="002C3702">
              <w:rPr>
                <w:rFonts w:ascii="Arial Narrow" w:hAnsi="Arial Narrow"/>
                <w:b/>
                <w:bCs/>
                <w:i/>
                <w:iCs/>
                <w:color w:val="333333"/>
                <w:sz w:val="20"/>
                <w:szCs w:val="20"/>
              </w:rPr>
              <w:t>Clinical criteria:</w:t>
            </w:r>
          </w:p>
        </w:tc>
      </w:tr>
      <w:tr w:rsidR="00436DFB" w:rsidRPr="002C3702" w14:paraId="5AD4F37F"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0B1B5DBC" w14:textId="5B4DD3AA" w:rsidR="00436DFB" w:rsidRPr="002C3702" w:rsidRDefault="00436DFB" w:rsidP="00436DFB">
            <w:pPr>
              <w:jc w:val="center"/>
              <w:rPr>
                <w:rFonts w:ascii="Arial Narrow" w:hAnsi="Arial Narrow"/>
                <w:sz w:val="20"/>
                <w:szCs w:val="20"/>
              </w:rPr>
            </w:pPr>
          </w:p>
        </w:tc>
        <w:tc>
          <w:tcPr>
            <w:tcW w:w="8086" w:type="dxa"/>
            <w:gridSpan w:val="6"/>
            <w:vAlign w:val="center"/>
          </w:tcPr>
          <w:p w14:paraId="33E7B343" w14:textId="26E84EB9" w:rsidR="00436DFB" w:rsidRPr="002C3702" w:rsidRDefault="00436DFB" w:rsidP="00436DFB">
            <w:pPr>
              <w:rPr>
                <w:rFonts w:ascii="Segoe UI" w:hAnsi="Segoe UI" w:cs="Segoe UI"/>
                <w:i/>
                <w:iCs/>
              </w:rPr>
            </w:pPr>
            <w:r w:rsidRPr="002C3702">
              <w:rPr>
                <w:rFonts w:ascii="Arial Narrow" w:hAnsi="Arial Narrow"/>
                <w:i/>
                <w:iCs/>
                <w:sz w:val="20"/>
                <w:szCs w:val="20"/>
              </w:rPr>
              <w:t>The treatment must be the sole PBS-subsidised therapy for this condition</w:t>
            </w:r>
          </w:p>
        </w:tc>
      </w:tr>
      <w:tr w:rsidR="00436DFB" w:rsidRPr="002C3702" w14:paraId="050907C7"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35AE28CE"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756028C5" w14:textId="1FF68F45" w:rsidR="00436DFB" w:rsidRPr="002C3702" w:rsidRDefault="00436DFB" w:rsidP="00436DFB">
            <w:pPr>
              <w:rPr>
                <w:rFonts w:ascii="Arial Narrow" w:hAnsi="Arial Narrow"/>
                <w:i/>
                <w:iCs/>
                <w:color w:val="333333"/>
                <w:sz w:val="20"/>
                <w:szCs w:val="20"/>
              </w:rPr>
            </w:pPr>
            <w:r w:rsidRPr="002C3702">
              <w:rPr>
                <w:rFonts w:ascii="Arial Narrow" w:hAnsi="Arial Narrow"/>
                <w:b/>
                <w:bCs/>
                <w:i/>
                <w:iCs/>
                <w:color w:val="333333"/>
                <w:sz w:val="20"/>
                <w:szCs w:val="20"/>
              </w:rPr>
              <w:t>AND</w:t>
            </w:r>
          </w:p>
        </w:tc>
      </w:tr>
      <w:tr w:rsidR="00436DFB" w:rsidRPr="002C3702" w14:paraId="61128A01"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8E2707" w14:textId="77777777" w:rsidR="00436DFB" w:rsidRPr="002C3702" w:rsidRDefault="00436DFB" w:rsidP="00436DFB">
            <w:pPr>
              <w:jc w:val="center"/>
              <w:rPr>
                <w:rFonts w:ascii="Arial Narrow" w:hAnsi="Arial Narrow"/>
                <w:sz w:val="20"/>
                <w:szCs w:val="20"/>
              </w:rPr>
            </w:pPr>
          </w:p>
        </w:tc>
        <w:tc>
          <w:tcPr>
            <w:tcW w:w="8086" w:type="dxa"/>
            <w:gridSpan w:val="6"/>
            <w:vAlign w:val="center"/>
          </w:tcPr>
          <w:p w14:paraId="067C13DC"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Treatment criteria:</w:t>
            </w:r>
          </w:p>
        </w:tc>
      </w:tr>
      <w:tr w:rsidR="00436DFB" w:rsidRPr="002C3702" w14:paraId="3E98B0E2"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1F453337" w14:textId="53BE1605" w:rsidR="00436DFB" w:rsidRPr="002C3702" w:rsidRDefault="00436DFB" w:rsidP="00436DFB">
            <w:pPr>
              <w:jc w:val="center"/>
              <w:rPr>
                <w:rFonts w:ascii="Arial Narrow" w:hAnsi="Arial Narrow"/>
                <w:sz w:val="20"/>
                <w:szCs w:val="20"/>
              </w:rPr>
            </w:pPr>
          </w:p>
        </w:tc>
        <w:tc>
          <w:tcPr>
            <w:tcW w:w="8086" w:type="dxa"/>
            <w:gridSpan w:val="6"/>
            <w:vAlign w:val="center"/>
          </w:tcPr>
          <w:p w14:paraId="3CCA7935" w14:textId="77777777" w:rsidR="00436DFB" w:rsidRPr="002C3702" w:rsidRDefault="00436DFB" w:rsidP="00436DFB">
            <w:pPr>
              <w:rPr>
                <w:rFonts w:ascii="Arial Narrow" w:hAnsi="Arial Narrow"/>
                <w:sz w:val="20"/>
                <w:szCs w:val="20"/>
              </w:rPr>
            </w:pPr>
            <w:r w:rsidRPr="002C3702">
              <w:rPr>
                <w:rFonts w:ascii="Arial Narrow" w:hAnsi="Arial Narrow"/>
                <w:sz w:val="20"/>
                <w:szCs w:val="20"/>
              </w:rPr>
              <w:t>Patient must be undergoing concurrent treatment with endocrine therapy where this drug is being prescribed as a PBS-benefit</w:t>
            </w:r>
          </w:p>
        </w:tc>
      </w:tr>
      <w:tr w:rsidR="00436DFB" w:rsidRPr="002C3702" w14:paraId="3B8022E9" w14:textId="77777777" w:rsidTr="0001204A">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C6A4A6" w14:textId="77777777" w:rsidR="00436DFB" w:rsidRPr="002C3702" w:rsidRDefault="00436DFB" w:rsidP="00436DFB">
            <w:pPr>
              <w:jc w:val="center"/>
              <w:rPr>
                <w:rFonts w:ascii="Arial Narrow" w:hAnsi="Arial Narrow"/>
                <w:sz w:val="20"/>
                <w:szCs w:val="20"/>
                <w:highlight w:val="lightGray"/>
              </w:rPr>
            </w:pPr>
          </w:p>
        </w:tc>
        <w:tc>
          <w:tcPr>
            <w:tcW w:w="8086" w:type="dxa"/>
            <w:gridSpan w:val="6"/>
            <w:vAlign w:val="center"/>
          </w:tcPr>
          <w:p w14:paraId="19A71FEA" w14:textId="77777777" w:rsidR="00436DFB" w:rsidRPr="002C3702" w:rsidRDefault="00436DFB" w:rsidP="00436DFB">
            <w:pPr>
              <w:rPr>
                <w:rFonts w:ascii="Arial Narrow" w:hAnsi="Arial Narrow"/>
                <w:sz w:val="20"/>
                <w:szCs w:val="20"/>
                <w:highlight w:val="lightGray"/>
              </w:rPr>
            </w:pPr>
          </w:p>
        </w:tc>
      </w:tr>
      <w:tr w:rsidR="00436DFB" w:rsidRPr="002C3702" w14:paraId="72D5663B"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DC81964" w14:textId="3E5FA1EC" w:rsidR="00436DFB" w:rsidRPr="002C3702" w:rsidRDefault="00436DFB" w:rsidP="00436DFB">
            <w:pPr>
              <w:jc w:val="center"/>
              <w:rPr>
                <w:rFonts w:ascii="Arial Narrow" w:hAnsi="Arial Narrow"/>
                <w:sz w:val="20"/>
                <w:szCs w:val="20"/>
                <w:highlight w:val="lightGray"/>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4082D583"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 xml:space="preserve">Prescribing Instructions: </w:t>
            </w:r>
          </w:p>
          <w:p w14:paraId="7645E7AA" w14:textId="77777777" w:rsidR="00436DFB" w:rsidRPr="002C3702" w:rsidRDefault="00436DFB" w:rsidP="00436DFB">
            <w:pPr>
              <w:rPr>
                <w:rFonts w:ascii="Arial Narrow" w:hAnsi="Arial Narrow"/>
                <w:sz w:val="20"/>
                <w:szCs w:val="20"/>
                <w:highlight w:val="lightGray"/>
              </w:rPr>
            </w:pPr>
            <w:r w:rsidRPr="002C3702">
              <w:rPr>
                <w:rFonts w:ascii="Arial Narrow" w:hAnsi="Arial Narrow"/>
                <w:sz w:val="20"/>
                <w:szCs w:val="20"/>
              </w:rPr>
              <w:t xml:space="preserve">Retain all pathology imaging and investigative test results in the patient’s medical records. </w:t>
            </w:r>
          </w:p>
        </w:tc>
      </w:tr>
      <w:tr w:rsidR="00115AB1" w:rsidRPr="002C3702" w14:paraId="581364FC"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DE15CE3" w14:textId="75D3A7FC" w:rsidR="00115AB1" w:rsidRPr="002C3702" w:rsidRDefault="00115AB1" w:rsidP="00115AB1">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30071D28" w14:textId="77777777" w:rsidR="00115AB1" w:rsidRPr="002C3702" w:rsidRDefault="00115AB1" w:rsidP="00115AB1">
            <w:pPr>
              <w:rPr>
                <w:rFonts w:ascii="Arial Narrow" w:hAnsi="Arial Narrow"/>
                <w:b/>
                <w:bCs/>
                <w:sz w:val="20"/>
                <w:szCs w:val="20"/>
              </w:rPr>
            </w:pPr>
            <w:r w:rsidRPr="002C3702">
              <w:rPr>
                <w:rFonts w:ascii="Arial Narrow" w:hAnsi="Arial Narrow"/>
                <w:b/>
                <w:bCs/>
                <w:sz w:val="20"/>
                <w:szCs w:val="20"/>
              </w:rPr>
              <w:t>Prescribing instructions:</w:t>
            </w:r>
          </w:p>
          <w:p w14:paraId="19B53733" w14:textId="1BF6638C" w:rsidR="00115AB1" w:rsidRPr="002C3702" w:rsidRDefault="00115AB1" w:rsidP="00115AB1">
            <w:pPr>
              <w:rPr>
                <w:rFonts w:ascii="Arial Narrow" w:hAnsi="Arial Narrow"/>
                <w:b/>
                <w:bCs/>
                <w:sz w:val="20"/>
                <w:szCs w:val="20"/>
              </w:rPr>
            </w:pPr>
            <w:r w:rsidRPr="002C3702">
              <w:rPr>
                <w:rFonts w:ascii="Arial Narrow" w:hAnsi="Arial Narrow"/>
                <w:sz w:val="20"/>
                <w:szCs w:val="20"/>
              </w:rPr>
              <w:t>PBS subsidised treatment with CDK 4/6 inhibitors is restricted to one line of therapy at any disease staging for breast cancer (i.e. if therapy has been prescribed for early disease, subsidy under locally advance or metastatic disease is no longer available).</w:t>
            </w:r>
          </w:p>
        </w:tc>
      </w:tr>
      <w:tr w:rsidR="00436DFB" w:rsidRPr="002C3702" w14:paraId="420E97CC"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FBFE0D6" w14:textId="77777777"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14:paraId="7F21783C" w14:textId="77777777" w:rsidR="00436DFB" w:rsidRPr="002C3702" w:rsidRDefault="00436DFB" w:rsidP="00436DFB">
            <w:pPr>
              <w:rPr>
                <w:rFonts w:ascii="Arial Narrow" w:hAnsi="Arial Narrow"/>
                <w:b/>
                <w:bCs/>
                <w:sz w:val="20"/>
                <w:szCs w:val="20"/>
              </w:rPr>
            </w:pPr>
          </w:p>
        </w:tc>
      </w:tr>
      <w:tr w:rsidR="00436DFB" w:rsidRPr="002C3702" w14:paraId="6514185B" w14:textId="77777777" w:rsidTr="004C162F">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4E24CA5" w14:textId="53E052CD"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38A3201F"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Special Pricing Arrangements apply.</w:t>
            </w:r>
          </w:p>
        </w:tc>
      </w:tr>
      <w:tr w:rsidR="00436DFB" w:rsidRPr="002C3702" w14:paraId="3977F4DC"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EF745C2" w14:textId="5FD55DCF"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7F3BF020"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No increase in the maximum quantity or number of units may be authorised.</w:t>
            </w:r>
          </w:p>
        </w:tc>
      </w:tr>
      <w:tr w:rsidR="00436DFB" w:rsidRPr="002C3702" w14:paraId="5BD277AA"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9F971DD" w14:textId="177CB827"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0192123E"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No increase in the maximum number of repeats may be authorised.</w:t>
            </w:r>
          </w:p>
        </w:tc>
      </w:tr>
      <w:tr w:rsidR="00436DFB" w:rsidRPr="002C3702" w14:paraId="6645639C"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44595DE" w14:textId="26B15D80"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6C93342C" w14:textId="77777777" w:rsidR="00436DFB" w:rsidRPr="002C3702" w:rsidRDefault="00436DFB" w:rsidP="00436DFB">
            <w:pPr>
              <w:rPr>
                <w:rFonts w:ascii="Arial Narrow" w:hAnsi="Arial Narrow"/>
                <w:b/>
                <w:bCs/>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436DFB" w:rsidRPr="002C3702" w14:paraId="373E610F" w14:textId="77777777" w:rsidTr="0001204A">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0F0B399B" w14:textId="7D5CCD37" w:rsidR="00436DFB" w:rsidRPr="002C3702" w:rsidRDefault="00436DFB" w:rsidP="00436DFB">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3CADB24C" w14:textId="77777777" w:rsidR="00436DFB" w:rsidRPr="002C3702" w:rsidRDefault="00436DFB" w:rsidP="00436DFB">
            <w:pPr>
              <w:rPr>
                <w:rFonts w:ascii="Arial Narrow" w:hAnsi="Arial Narrow"/>
                <w:sz w:val="20"/>
                <w:szCs w:val="20"/>
              </w:rPr>
            </w:pPr>
            <w:r w:rsidRPr="002C3702">
              <w:rPr>
                <w:rFonts w:ascii="Arial Narrow" w:hAnsi="Arial Narrow"/>
                <w:b/>
                <w:bCs/>
                <w:sz w:val="20"/>
                <w:szCs w:val="20"/>
              </w:rPr>
              <w:t xml:space="preserve">Administrative advice: </w:t>
            </w:r>
            <w:r w:rsidRPr="002C3702">
              <w:rPr>
                <w:rFonts w:ascii="Arial Narrow" w:hAnsi="Arial Narrow"/>
                <w:sz w:val="20"/>
                <w:szCs w:val="20"/>
              </w:rPr>
              <w:t xml:space="preserve">The Nottingham grading system is the histologic grading system developed by Elston and Ellis as a modification of the </w:t>
            </w:r>
            <w:proofErr w:type="spellStart"/>
            <w:r w:rsidRPr="002C3702">
              <w:rPr>
                <w:rFonts w:ascii="Arial Narrow" w:hAnsi="Arial Narrow"/>
                <w:sz w:val="20"/>
                <w:szCs w:val="20"/>
              </w:rPr>
              <w:t>Scarff</w:t>
            </w:r>
            <w:proofErr w:type="spellEnd"/>
            <w:r w:rsidRPr="002C3702">
              <w:rPr>
                <w:rFonts w:ascii="Arial Narrow" w:hAnsi="Arial Narrow"/>
                <w:sz w:val="20"/>
                <w:szCs w:val="20"/>
              </w:rPr>
              <w:t>-Bloom-Richardson grading system. See the following literature publication for details:</w:t>
            </w:r>
          </w:p>
          <w:p w14:paraId="6E9DCFEB" w14:textId="77777777" w:rsidR="00436DFB" w:rsidRPr="002C3702" w:rsidRDefault="00436DFB" w:rsidP="00436DFB">
            <w:pPr>
              <w:rPr>
                <w:rFonts w:ascii="Arial Narrow" w:hAnsi="Arial Narrow"/>
                <w:b/>
                <w:bCs/>
                <w:sz w:val="20"/>
                <w:szCs w:val="20"/>
              </w:rPr>
            </w:pPr>
            <w:r w:rsidRPr="002C3702">
              <w:rPr>
                <w:rFonts w:ascii="Arial Narrow" w:hAnsi="Arial Narrow"/>
                <w:sz w:val="20"/>
                <w:szCs w:val="20"/>
              </w:rPr>
              <w:t>Elston, CW, Ellis, IO. Pathological prognostic factors in breast cancer. The value of histological grade in breast cancer: experience from a large study with long-term follow-up. Histopathology. 1991 Nov;19(5):403-10.</w:t>
            </w:r>
          </w:p>
        </w:tc>
      </w:tr>
    </w:tbl>
    <w:p w14:paraId="6A03E49F" w14:textId="77777777" w:rsidR="00274BD3" w:rsidRPr="002C3702" w:rsidRDefault="00274BD3" w:rsidP="009D66E4"/>
    <w:p w14:paraId="69E5177A" w14:textId="184041B1" w:rsidR="009D66E4" w:rsidRPr="002C3702" w:rsidRDefault="009D66E4" w:rsidP="009D66E4">
      <w:r w:rsidRPr="002C3702">
        <w:t>Flow on changes to limit subsidy of CDK4/6i therapy to once per lifetime, irrespective if prescribed for early disease or late stage disease</w:t>
      </w:r>
      <w:r w:rsidR="004A3C50" w:rsidRPr="002C3702">
        <w:t>. These include</w:t>
      </w:r>
      <w:r w:rsidRPr="002C3702">
        <w:t>:</w:t>
      </w:r>
    </w:p>
    <w:p w14:paraId="6F26B824" w14:textId="46F9603E" w:rsidR="00E0116F" w:rsidRPr="002C3702" w:rsidRDefault="00E0116F" w:rsidP="002D7B8E">
      <w:pPr>
        <w:pStyle w:val="ListParagraph"/>
        <w:numPr>
          <w:ilvl w:val="0"/>
          <w:numId w:val="15"/>
        </w:numPr>
        <w:spacing w:after="0"/>
        <w:ind w:left="771" w:hanging="357"/>
      </w:pPr>
      <w:r w:rsidRPr="002C3702">
        <w:t>Abemaciclib (11868P, 11871T, 11876C)</w:t>
      </w:r>
    </w:p>
    <w:p w14:paraId="67EDFB98" w14:textId="6AFD5F32" w:rsidR="00E0116F" w:rsidRPr="002C3702" w:rsidRDefault="00E0116F" w:rsidP="00E0116F">
      <w:pPr>
        <w:pStyle w:val="ListBullet"/>
        <w:tabs>
          <w:tab w:val="clear" w:pos="360"/>
          <w:tab w:val="num" w:pos="774"/>
        </w:tabs>
        <w:ind w:left="774"/>
      </w:pPr>
      <w:r w:rsidRPr="002C3702">
        <w:t>Palbociclib (12822W, 12819Q, 12818P)</w:t>
      </w:r>
    </w:p>
    <w:p w14:paraId="1539FB13" w14:textId="68C11656" w:rsidR="00E0116F" w:rsidRPr="002C3702" w:rsidRDefault="004A3C50" w:rsidP="00E0116F">
      <w:pPr>
        <w:pStyle w:val="ListBullet"/>
        <w:tabs>
          <w:tab w:val="clear" w:pos="360"/>
          <w:tab w:val="num" w:pos="774"/>
        </w:tabs>
        <w:ind w:left="774"/>
      </w:pPr>
      <w:r w:rsidRPr="002C3702">
        <w:t>Ribociclib (11385F, 11386G, 11397W)</w:t>
      </w:r>
    </w:p>
    <w:p w14:paraId="5282D60E" w14:textId="21AE21FA" w:rsidR="004A3C50" w:rsidRPr="002C3702" w:rsidRDefault="004A3C50" w:rsidP="004A3C50">
      <w:pPr>
        <w:pStyle w:val="ListBullet"/>
        <w:numPr>
          <w:ilvl w:val="0"/>
          <w:numId w:val="0"/>
        </w:numPr>
        <w:ind w:left="360" w:hanging="360"/>
      </w:pPr>
    </w:p>
    <w:p w14:paraId="305A47F7" w14:textId="497A0E45" w:rsidR="004A3C50" w:rsidRPr="002C3702" w:rsidRDefault="004A3C50" w:rsidP="004A3C50">
      <w:pPr>
        <w:pStyle w:val="ListBullet"/>
        <w:numPr>
          <w:ilvl w:val="0"/>
          <w:numId w:val="0"/>
        </w:numPr>
        <w:ind w:left="360" w:hanging="360"/>
      </w:pPr>
      <w:r w:rsidRPr="002C3702">
        <w:t>The following prescriber instruction will be added to these listings:</w:t>
      </w:r>
    </w:p>
    <w:p w14:paraId="105E9EC2" w14:textId="20BE037E" w:rsidR="004A3C50" w:rsidRPr="002C3702" w:rsidRDefault="004A3C50" w:rsidP="004A3C50">
      <w:pPr>
        <w:pStyle w:val="ListBullet"/>
        <w:numPr>
          <w:ilvl w:val="0"/>
          <w:numId w:val="0"/>
        </w:numPr>
        <w:ind w:left="360" w:hanging="36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1"/>
        <w:gridCol w:w="8086"/>
      </w:tblGrid>
      <w:tr w:rsidR="004A3C50" w:rsidRPr="002C3702" w14:paraId="2268F34A" w14:textId="77777777" w:rsidTr="00C007BD">
        <w:tc>
          <w:tcPr>
            <w:tcW w:w="981" w:type="dxa"/>
            <w:tcBorders>
              <w:top w:val="single" w:sz="4" w:space="0" w:color="auto"/>
              <w:left w:val="single" w:sz="4" w:space="0" w:color="auto"/>
              <w:bottom w:val="single" w:sz="4" w:space="0" w:color="auto"/>
              <w:right w:val="single" w:sz="4" w:space="0" w:color="auto"/>
            </w:tcBorders>
            <w:vAlign w:val="center"/>
          </w:tcPr>
          <w:p w14:paraId="430D2C71" w14:textId="6C39AF63" w:rsidR="004A3C50" w:rsidRPr="002C3702" w:rsidRDefault="004A3C50" w:rsidP="00C007BD">
            <w:pPr>
              <w:jc w:val="center"/>
              <w:rPr>
                <w:rFonts w:ascii="Arial Narrow" w:hAnsi="Arial Narrow"/>
                <w:sz w:val="20"/>
                <w:szCs w:val="20"/>
              </w:rPr>
            </w:pPr>
          </w:p>
        </w:tc>
        <w:tc>
          <w:tcPr>
            <w:tcW w:w="8086" w:type="dxa"/>
            <w:tcBorders>
              <w:top w:val="single" w:sz="4" w:space="0" w:color="auto"/>
              <w:left w:val="single" w:sz="4" w:space="0" w:color="auto"/>
              <w:bottom w:val="single" w:sz="4" w:space="0" w:color="auto"/>
              <w:right w:val="single" w:sz="4" w:space="0" w:color="auto"/>
            </w:tcBorders>
            <w:vAlign w:val="center"/>
          </w:tcPr>
          <w:p w14:paraId="6B6EB4DA" w14:textId="77777777" w:rsidR="004A3C50" w:rsidRPr="002C3702" w:rsidRDefault="004A3C50" w:rsidP="00C007BD">
            <w:pPr>
              <w:rPr>
                <w:rFonts w:ascii="Arial Narrow" w:hAnsi="Arial Narrow"/>
                <w:b/>
                <w:bCs/>
                <w:sz w:val="20"/>
                <w:szCs w:val="20"/>
              </w:rPr>
            </w:pPr>
            <w:r w:rsidRPr="002C3702">
              <w:rPr>
                <w:rFonts w:ascii="Arial Narrow" w:hAnsi="Arial Narrow"/>
                <w:b/>
                <w:bCs/>
                <w:sz w:val="20"/>
                <w:szCs w:val="20"/>
              </w:rPr>
              <w:t>Prescribing instructions:</w:t>
            </w:r>
          </w:p>
          <w:p w14:paraId="111D0C2E" w14:textId="77777777" w:rsidR="004A3C50" w:rsidRPr="002C3702" w:rsidRDefault="004A3C50" w:rsidP="00C007BD">
            <w:pPr>
              <w:rPr>
                <w:rFonts w:ascii="Arial Narrow" w:hAnsi="Arial Narrow"/>
                <w:b/>
                <w:bCs/>
                <w:sz w:val="20"/>
                <w:szCs w:val="20"/>
              </w:rPr>
            </w:pPr>
            <w:r w:rsidRPr="002C3702">
              <w:rPr>
                <w:rFonts w:ascii="Arial Narrow" w:hAnsi="Arial Narrow"/>
                <w:sz w:val="20"/>
                <w:szCs w:val="20"/>
              </w:rPr>
              <w:t>PBS subsidised treatment with CDK 4/6 inhibitors is restricted to one line of therapy at any disease staging for breast cancer (i.e. if therapy has been prescribed for early disease, subsidy under locally advance or metastatic disease is no longer available).</w:t>
            </w:r>
          </w:p>
        </w:tc>
      </w:tr>
    </w:tbl>
    <w:p w14:paraId="4304D775" w14:textId="304FD777" w:rsidR="009D66E4" w:rsidRPr="002C3702" w:rsidRDefault="009D66E4" w:rsidP="009D66E4">
      <w:pPr>
        <w:rPr>
          <w:rFonts w:asciiTheme="minorHAnsi" w:hAnsiTheme="minorHAnsi"/>
          <w:bCs/>
          <w:snapToGrid w:val="0"/>
        </w:rPr>
      </w:pPr>
    </w:p>
    <w:p w14:paraId="29C2D534" w14:textId="3B9A791D" w:rsidR="00E05474" w:rsidRPr="004C162F" w:rsidRDefault="009D66E4" w:rsidP="004C162F">
      <w:pPr>
        <w:rPr>
          <w:b/>
          <w:bCs/>
          <w:i/>
          <w:iCs/>
        </w:rPr>
      </w:pPr>
      <w:r w:rsidRPr="002C3702">
        <w:rPr>
          <w:b/>
          <w:bCs/>
          <w:i/>
          <w:iCs/>
        </w:rPr>
        <w:t>These restrictions may be subject to further review. Should there be any changes made to the restriction the sponsor will be informed.</w:t>
      </w:r>
      <w:bookmarkEnd w:id="94"/>
      <w:bookmarkEnd w:id="95"/>
    </w:p>
    <w:bookmarkEnd w:id="96"/>
    <w:bookmarkEnd w:id="97"/>
    <w:bookmarkEnd w:id="98"/>
    <w:p w14:paraId="3FAE3667" w14:textId="35557F5A" w:rsidR="004C162F" w:rsidRPr="004C162F" w:rsidRDefault="004C162F" w:rsidP="004C162F">
      <w:pPr>
        <w:pStyle w:val="2-SectionHeading"/>
      </w:pPr>
      <w:r w:rsidRPr="00C07617">
        <w:t>Context for Decision</w:t>
      </w:r>
    </w:p>
    <w:p w14:paraId="1969D234" w14:textId="77777777" w:rsidR="004C162F" w:rsidRPr="00311EEF" w:rsidRDefault="004C162F" w:rsidP="004C162F">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BB1E4FE" w14:textId="4301147D" w:rsidR="004C162F" w:rsidRPr="00311EEF" w:rsidRDefault="004C162F" w:rsidP="004C162F">
      <w:pPr>
        <w:pStyle w:val="2-SectionHeading"/>
      </w:pPr>
      <w:r w:rsidRPr="00311EEF">
        <w:t>Sponsor’s Comment</w:t>
      </w:r>
    </w:p>
    <w:p w14:paraId="268C46EA" w14:textId="77777777" w:rsidR="004C162F" w:rsidRPr="001179AC" w:rsidRDefault="004C162F" w:rsidP="004C162F">
      <w:pPr>
        <w:spacing w:after="120"/>
        <w:ind w:left="720"/>
        <w:rPr>
          <w:rFonts w:asciiTheme="minorHAnsi" w:hAnsiTheme="minorHAnsi"/>
          <w:bCs/>
        </w:rPr>
      </w:pPr>
      <w:r w:rsidRPr="00C07617">
        <w:rPr>
          <w:rFonts w:asciiTheme="minorHAnsi" w:hAnsiTheme="minorHAnsi"/>
          <w:bCs/>
        </w:rPr>
        <w:t>The sponsor had no comment.</w:t>
      </w:r>
    </w:p>
    <w:p w14:paraId="4CA6327A" w14:textId="77777777" w:rsidR="00270E09" w:rsidRPr="002C3702" w:rsidRDefault="00270E09" w:rsidP="00270E09">
      <w:pPr>
        <w:spacing w:after="120"/>
        <w:rPr>
          <w:rFonts w:cstheme="minorHAnsi"/>
        </w:rPr>
      </w:pPr>
    </w:p>
    <w:sectPr w:rsidR="00270E09" w:rsidRPr="002C3702" w:rsidSect="000E5B7B">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7F3E" w14:textId="77777777" w:rsidR="00865B35" w:rsidRDefault="00865B35" w:rsidP="00124A51">
      <w:r>
        <w:separator/>
      </w:r>
    </w:p>
    <w:p w14:paraId="5E2C1CA7" w14:textId="77777777" w:rsidR="00865B35" w:rsidRDefault="00865B35"/>
  </w:endnote>
  <w:endnote w:type="continuationSeparator" w:id="0">
    <w:p w14:paraId="7DE37836" w14:textId="77777777" w:rsidR="00865B35" w:rsidRDefault="00865B35" w:rsidP="00124A51">
      <w:r>
        <w:continuationSeparator/>
      </w:r>
    </w:p>
    <w:p w14:paraId="1A87B4D8" w14:textId="77777777" w:rsidR="00865B35" w:rsidRDefault="00865B35"/>
  </w:endnote>
  <w:endnote w:type="continuationNotice" w:id="1">
    <w:p w14:paraId="7B4D192B" w14:textId="77777777" w:rsidR="00865B35" w:rsidRDefault="0086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Bahnschrift Light Condensed">
    <w:panose1 w:val="020B0502040204020203"/>
    <w:charset w:val="00"/>
    <w:family w:val="swiss"/>
    <w:pitch w:val="variable"/>
    <w:sig w:usb0="A00002C7" w:usb1="00000002" w:usb2="00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3B9F" w14:textId="77777777" w:rsidR="004A015A" w:rsidRDefault="004A015A">
    <w:pPr>
      <w:pStyle w:val="Footer"/>
    </w:pPr>
  </w:p>
  <w:p w14:paraId="5C144B31" w14:textId="77777777" w:rsidR="00E27506" w:rsidRDefault="00E27506"/>
  <w:p w14:paraId="4341DB68" w14:textId="77777777" w:rsidR="00E27506" w:rsidRDefault="00E27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77CA4F64" w14:textId="605CBADE" w:rsidR="00E27506" w:rsidRDefault="004A015A" w:rsidP="00E31C08">
    <w:pPr>
      <w:pStyle w:val="Footer"/>
      <w:jc w:val="cente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722D" w14:textId="77777777" w:rsidR="00CF6630" w:rsidRDefault="00CF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31E2" w14:textId="77777777" w:rsidR="00865B35" w:rsidRDefault="00865B35" w:rsidP="00124A51">
      <w:r>
        <w:separator/>
      </w:r>
    </w:p>
    <w:p w14:paraId="7846956C" w14:textId="77777777" w:rsidR="00865B35" w:rsidRDefault="00865B35"/>
  </w:footnote>
  <w:footnote w:type="continuationSeparator" w:id="0">
    <w:p w14:paraId="7EAADB30" w14:textId="77777777" w:rsidR="00865B35" w:rsidRDefault="00865B35" w:rsidP="00124A51">
      <w:r>
        <w:continuationSeparator/>
      </w:r>
    </w:p>
    <w:p w14:paraId="7BA7C8A7" w14:textId="77777777" w:rsidR="00865B35" w:rsidRDefault="00865B35"/>
  </w:footnote>
  <w:footnote w:type="continuationNotice" w:id="1">
    <w:p w14:paraId="4B93E3C2" w14:textId="77777777" w:rsidR="00865B35" w:rsidRDefault="00865B35"/>
  </w:footnote>
  <w:footnote w:id="2">
    <w:p w14:paraId="02CE2696" w14:textId="77777777" w:rsidR="00620B6F" w:rsidRPr="00860EBC" w:rsidRDefault="00620B6F" w:rsidP="00620B6F">
      <w:pPr>
        <w:pStyle w:val="FootnoteText"/>
        <w:rPr>
          <w:rFonts w:cs="Calibri"/>
        </w:rPr>
      </w:pPr>
      <w:r w:rsidRPr="00860EBC">
        <w:rPr>
          <w:rStyle w:val="FootnoteReference"/>
          <w:rFonts w:cs="Calibri"/>
        </w:rPr>
        <w:footnoteRef/>
      </w:r>
      <w:r w:rsidRPr="00860EBC">
        <w:rPr>
          <w:rFonts w:cs="Calibri"/>
        </w:rPr>
        <w:t xml:space="preserve"> Cancer Australia, (2021), ‘Stages of breast cancer’, https://www.canceraustralia.gov.au/cancer-types/breast-cancer/symptoms-and-diagnosis/stages-breast-cancer#:~:text=Stages%20of%20breast%20cancer%20are%20numbered%20from%200,%28locally%20advanced%20breast%20cancer%20or%20metastatic%20breast%20cancer%29</w:t>
      </w:r>
    </w:p>
  </w:footnote>
  <w:footnote w:id="3">
    <w:p w14:paraId="38F79340" w14:textId="0C059A3B" w:rsidR="000E20F7" w:rsidRPr="00860EBC" w:rsidRDefault="000E20F7" w:rsidP="009E139B">
      <w:pPr>
        <w:pStyle w:val="FootnoteText"/>
        <w:jc w:val="left"/>
        <w:rPr>
          <w:rFonts w:cs="Calibri"/>
        </w:rPr>
      </w:pPr>
      <w:r w:rsidRPr="00860EBC">
        <w:rPr>
          <w:rStyle w:val="FootnoteReference"/>
          <w:rFonts w:cs="Calibri"/>
        </w:rPr>
        <w:footnoteRef/>
      </w:r>
      <w:r w:rsidR="009E139B" w:rsidRPr="00860EBC">
        <w:rPr>
          <w:rFonts w:cs="Calibri"/>
        </w:rPr>
        <w:t xml:space="preserve"> </w:t>
      </w:r>
      <w:r w:rsidRPr="00860EBC">
        <w:rPr>
          <w:rFonts w:cs="Calibri"/>
        </w:rPr>
        <w:t xml:space="preserve">American Cancer Society, (2019), ‘Breast Cancer </w:t>
      </w:r>
      <w:r w:rsidR="009E139B" w:rsidRPr="00860EBC">
        <w:rPr>
          <w:rFonts w:cs="Calibri"/>
        </w:rPr>
        <w:t>Facts</w:t>
      </w:r>
      <w:r w:rsidRPr="00860EBC">
        <w:rPr>
          <w:rFonts w:cs="Calibri"/>
        </w:rPr>
        <w:t xml:space="preserve"> &amp; Figures 2019-2020’, </w:t>
      </w:r>
      <w:r w:rsidR="009E139B" w:rsidRPr="00860EBC">
        <w:rPr>
          <w:rFonts w:cs="Calibri"/>
        </w:rPr>
        <w:t>https://www.cancer.org/research/cancer-facts-statistics/breast-cancer-facts-figures.html</w:t>
      </w:r>
    </w:p>
  </w:footnote>
  <w:footnote w:id="4">
    <w:p w14:paraId="23582439" w14:textId="3213F5F7" w:rsidR="00C53E47" w:rsidRPr="00860EBC" w:rsidRDefault="00C53E47" w:rsidP="00860EBC">
      <w:pPr>
        <w:rPr>
          <w:rFonts w:cs="Calibri"/>
          <w:sz w:val="20"/>
          <w:szCs w:val="20"/>
        </w:rPr>
      </w:pPr>
      <w:r w:rsidRPr="00860EBC">
        <w:rPr>
          <w:rStyle w:val="FootnoteReference"/>
          <w:rFonts w:cs="Calibri"/>
          <w:sz w:val="20"/>
          <w:szCs w:val="20"/>
        </w:rPr>
        <w:footnoteRef/>
      </w:r>
      <w:r w:rsidRPr="00860EBC">
        <w:rPr>
          <w:rFonts w:cs="Calibri"/>
          <w:sz w:val="20"/>
          <w:szCs w:val="20"/>
        </w:rPr>
        <w:t xml:space="preserve"> O’Shau</w:t>
      </w:r>
      <w:r w:rsidR="00927E4B" w:rsidRPr="00860EBC">
        <w:rPr>
          <w:rFonts w:cs="Calibri"/>
          <w:sz w:val="20"/>
          <w:szCs w:val="20"/>
        </w:rPr>
        <w:t>ghnessy, J. (2005). Extending survival with chemotherapy in metastatic breast cancer</w:t>
      </w:r>
      <w:r w:rsidR="000A0975" w:rsidRPr="00860EBC">
        <w:rPr>
          <w:rFonts w:cs="Calibri"/>
          <w:sz w:val="20"/>
          <w:szCs w:val="20"/>
        </w:rPr>
        <w:t>. Oncologist, 10(Suppl 3), 20-29.</w:t>
      </w:r>
      <w:r w:rsidR="00860EBC" w:rsidRPr="00860EBC">
        <w:rPr>
          <w:rFonts w:cs="Calibri"/>
          <w:color w:val="5B616B"/>
          <w:sz w:val="20"/>
          <w:szCs w:val="20"/>
          <w:shd w:val="clear" w:color="auto" w:fill="FFFFFF"/>
        </w:rPr>
        <w:t xml:space="preserve"> https://doi: 10.1634/theoncologist.10-90003-20.</w:t>
      </w:r>
    </w:p>
  </w:footnote>
  <w:footnote w:id="5">
    <w:p w14:paraId="3F31E526" w14:textId="5CFDCB91" w:rsidR="00936202" w:rsidRDefault="00936202">
      <w:pPr>
        <w:pStyle w:val="FootnoteText"/>
      </w:pPr>
      <w:r>
        <w:rPr>
          <w:rStyle w:val="FootnoteReference"/>
        </w:rPr>
        <w:footnoteRef/>
      </w:r>
      <w:r>
        <w:t xml:space="preserve"> Rastogi et al. Adjuvant abemaciclib plus endocrine therapy for HR+, HER2-, high-risk breast cancer: results from a monarchE overall survival interim analysis, including 5-year efficacy outcomes. ESMO and JCO October 2023.</w:t>
      </w:r>
    </w:p>
  </w:footnote>
  <w:footnote w:id="6">
    <w:p w14:paraId="4428E220" w14:textId="732F62B2" w:rsidR="00A212C8" w:rsidRDefault="00A212C8">
      <w:pPr>
        <w:pStyle w:val="FootnoteText"/>
      </w:pPr>
      <w:r>
        <w:rPr>
          <w:rStyle w:val="FootnoteReference"/>
        </w:rPr>
        <w:footnoteRef/>
      </w:r>
      <w:r>
        <w:t xml:space="preserve"> </w:t>
      </w:r>
      <w:r w:rsidRPr="007812BD">
        <w:rPr>
          <w:iCs/>
        </w:rPr>
        <w:t>Wong, V., de Boer, R., Baron-Hay, S., Blum, R., Boyle, F., Chua, S</w:t>
      </w:r>
      <w:r>
        <w:rPr>
          <w:iCs/>
        </w:rPr>
        <w:t>. et al</w:t>
      </w:r>
      <w:r w:rsidRPr="007812BD">
        <w:rPr>
          <w:iCs/>
        </w:rPr>
        <w:t xml:space="preserve"> (2022). Real-World Outcomes of Ribociclib and Aromatase Inhibitor Use in First Line Hormone Receptor Positive, HER2-Negative Metastatic Breast Cancer. Clin Breast Cancer, 22(8), 792-800.</w:t>
      </w:r>
    </w:p>
  </w:footnote>
  <w:footnote w:id="7">
    <w:p w14:paraId="6546DE11" w14:textId="77777777" w:rsidR="00C60567" w:rsidRPr="008D4391" w:rsidRDefault="00C60567" w:rsidP="00C60567">
      <w:pPr>
        <w:pStyle w:val="FootnoteText"/>
        <w:rPr>
          <w:i/>
          <w:iCs/>
        </w:rPr>
      </w:pPr>
      <w:r w:rsidRPr="008D4391">
        <w:rPr>
          <w:rStyle w:val="FootnoteReference"/>
          <w:rFonts w:eastAsiaTheme="majorEastAsia"/>
          <w:iCs/>
        </w:rPr>
        <w:footnoteRef/>
      </w:r>
      <w:r w:rsidRPr="008D4391">
        <w:rPr>
          <w:iCs/>
        </w:rPr>
        <w:t xml:space="preserve"> Cherny NI, Dafni U, Bogaerts J, et al: ESMO-Magnitude of Clinical Benefit Scale version 1.1. Annals of Oncology 28:2340-2366, 2017.</w:t>
      </w:r>
    </w:p>
  </w:footnote>
  <w:footnote w:id="8">
    <w:p w14:paraId="215F91CF" w14:textId="77777777" w:rsidR="001009D1" w:rsidRDefault="001009D1" w:rsidP="001009D1">
      <w:pPr>
        <w:pStyle w:val="FootnoteText"/>
      </w:pPr>
      <w:r>
        <w:rPr>
          <w:rStyle w:val="FootnoteReference"/>
        </w:rPr>
        <w:footnoteRef/>
      </w:r>
      <w:r>
        <w:t xml:space="preserve"> </w:t>
      </w:r>
      <w:r w:rsidRPr="00244C9B">
        <w:t>Meirson, T., Goldstein, D. A., Gyawali, B., &amp; Tannock, I. F. (2023). Review of the monarchE trial suggests no evidence to support use of adjuvant abemaciclib in women with breast cancer. The Lancet. Oncology, 24(6), 589–593. https://doi.org/10.1016/S1470-2045(23)00165-1</w:t>
      </w:r>
    </w:p>
  </w:footnote>
  <w:footnote w:id="9">
    <w:p w14:paraId="6A4F2C49" w14:textId="77777777" w:rsidR="003449B3" w:rsidRDefault="003449B3" w:rsidP="003449B3">
      <w:pPr>
        <w:pStyle w:val="FootnoteText"/>
      </w:pPr>
      <w:r>
        <w:rPr>
          <w:rStyle w:val="FootnoteReference"/>
        </w:rPr>
        <w:footnoteRef/>
      </w:r>
      <w:r>
        <w:t xml:space="preserve"> </w:t>
      </w:r>
      <w:r w:rsidRPr="00244C9B">
        <w:t>Meirson, T., Goldstein, D. A., Gyawali, B., &amp; Tannock, I. F. (2023). Review of the monarchE trial suggests no evidence to support use of adjuvant abemaciclib in women with breast cancer. The Lancet. Oncology, 24(6), 589–593. https://doi.org/10.1016/S1470-2045(23)00165-1</w:t>
      </w:r>
    </w:p>
  </w:footnote>
  <w:footnote w:id="10">
    <w:p w14:paraId="415DA675" w14:textId="0160EBC4" w:rsidR="00434FCF" w:rsidRPr="00434FCF" w:rsidRDefault="00434FCF" w:rsidP="004228FD">
      <w:pPr>
        <w:pStyle w:val="EndNoteBibliography"/>
        <w:rPr>
          <w:sz w:val="20"/>
          <w:szCs w:val="20"/>
        </w:rPr>
      </w:pPr>
      <w:r w:rsidRPr="00434FCF">
        <w:rPr>
          <w:rStyle w:val="FootnoteReference"/>
          <w:sz w:val="20"/>
          <w:szCs w:val="20"/>
        </w:rPr>
        <w:footnoteRef/>
      </w:r>
      <w:r w:rsidRPr="00434FCF">
        <w:rPr>
          <w:sz w:val="20"/>
          <w:szCs w:val="20"/>
        </w:rPr>
        <w:t xml:space="preserve"> Johnston, S. R. D., Tolaney, S. M., O'Shaughnessy, J., Rastogi, P., Harbeck, N., &amp; Martin, M. (2023). Review of the monarchE trial suggests no evidence to support use of adjuvant abemaciclib in women with breast cancer - Authors' reply. </w:t>
      </w:r>
      <w:r w:rsidRPr="00434FCF">
        <w:rPr>
          <w:i/>
          <w:sz w:val="20"/>
          <w:szCs w:val="20"/>
        </w:rPr>
        <w:t>Lancet Oncol, 24</w:t>
      </w:r>
      <w:r w:rsidRPr="00434FCF">
        <w:rPr>
          <w:sz w:val="20"/>
          <w:szCs w:val="20"/>
        </w:rPr>
        <w:t xml:space="preserve">(6), e238. </w:t>
      </w:r>
    </w:p>
  </w:footnote>
  <w:footnote w:id="11">
    <w:p w14:paraId="4D888EA2" w14:textId="42CEFA4E" w:rsidR="007812BD" w:rsidRPr="00081D86" w:rsidRDefault="007812BD">
      <w:pPr>
        <w:pStyle w:val="FootnoteText"/>
        <w:rPr>
          <w:iCs/>
        </w:rPr>
      </w:pPr>
      <w:r w:rsidRPr="007812BD">
        <w:rPr>
          <w:iCs/>
          <w:vertAlign w:val="superscript"/>
        </w:rPr>
        <w:footnoteRef/>
      </w:r>
      <w:r w:rsidRPr="007812BD">
        <w:rPr>
          <w:iCs/>
          <w:vertAlign w:val="superscript"/>
        </w:rPr>
        <w:t xml:space="preserve"> </w:t>
      </w:r>
      <w:r w:rsidRPr="007812BD">
        <w:rPr>
          <w:iCs/>
        </w:rPr>
        <w:t>Wong, V., de Boer, R., Baron-Hay, S., Blum, R., Boyle, F., Chua, S</w:t>
      </w:r>
      <w:r>
        <w:rPr>
          <w:iCs/>
        </w:rPr>
        <w:t>. et al</w:t>
      </w:r>
      <w:r w:rsidRPr="007812BD">
        <w:rPr>
          <w:iCs/>
        </w:rPr>
        <w:t xml:space="preserve"> (2022). Real-World Outcomes of Ribociclib and Aromatase Inhibitor Use in First Line Hormone Receptor Positive, HER2-Negative Metastatic Breast Cancer. Clin Breast Cancer, 22(8), 792-800. </w:t>
      </w:r>
    </w:p>
  </w:footnote>
  <w:footnote w:id="12">
    <w:p w14:paraId="25B9CBBD" w14:textId="7D771B85" w:rsidR="00E005BA" w:rsidRDefault="00E005BA">
      <w:pPr>
        <w:pStyle w:val="FootnoteText"/>
      </w:pPr>
      <w:r>
        <w:rPr>
          <w:rStyle w:val="FootnoteReference"/>
        </w:rPr>
        <w:footnoteRef/>
      </w:r>
      <w:r>
        <w:t xml:space="preserve"> </w:t>
      </w:r>
      <w:r w:rsidRPr="00E005BA">
        <w:rPr>
          <w:iCs/>
        </w:rPr>
        <w:t>Nelson DR, Brown J, Morikawa A, Method M. Breast cancer-specific mortality in early breast cancer as defined by high-risk clinical and pathologic characteristics. PLoS One. 2022 Feb 25;17(2):e0264637.</w:t>
      </w:r>
    </w:p>
  </w:footnote>
  <w:footnote w:id="13">
    <w:p w14:paraId="19FCC45B" w14:textId="77777777" w:rsidR="009F45BE" w:rsidRDefault="009F45BE" w:rsidP="009F45BE">
      <w:pPr>
        <w:pStyle w:val="FootnoteText"/>
      </w:pPr>
      <w:r>
        <w:rPr>
          <w:rStyle w:val="FootnoteReference"/>
        </w:rPr>
        <w:footnoteRef/>
      </w:r>
      <w:r>
        <w:t xml:space="preserve"> </w:t>
      </w:r>
      <w:r w:rsidRPr="009F45BE">
        <w:rPr>
          <w:iCs/>
        </w:rPr>
        <w:t xml:space="preserve">Chan A, O'Neil N, Lomma C, Chih H, Willsher P. BreastSurgANZ members recommendations for adjuvant systemic treatment and patient compliance in Australian breast cancer patients. ANZ J Surg. 2021 Nov;91(11):2418-2424. </w:t>
      </w:r>
    </w:p>
  </w:footnote>
  <w:footnote w:id="14">
    <w:p w14:paraId="5F2A71D6" w14:textId="55F4B116" w:rsidR="00A643FC" w:rsidRDefault="00A643FC">
      <w:pPr>
        <w:pStyle w:val="FootnoteText"/>
      </w:pPr>
      <w:r>
        <w:rPr>
          <w:rStyle w:val="FootnoteReference"/>
        </w:rPr>
        <w:footnoteRef/>
      </w:r>
      <w:r>
        <w:t xml:space="preserve"> Calculated as </w:t>
      </w:r>
      <w:r>
        <w:rPr>
          <w:iCs/>
        </w:rPr>
        <w:t>(365.25/12 x 21 months x 83% compliance)/28 days x $</w:t>
      </w:r>
      <w:r w:rsidR="008129BD">
        <w:rPr>
          <w:iCs/>
        </w:rPr>
        <w:t xml:space="preserve"> </w:t>
      </w:r>
      <w:r w:rsidR="008129BD" w:rsidRPr="008129BD">
        <w:rPr>
          <w:iCs/>
          <w:color w:val="000000"/>
          <w:w w:val="85"/>
          <w:shd w:val="solid" w:color="000000" w:fill="000000"/>
          <w:fitText w:val="390" w:id="-1032093180"/>
          <w14:textFill>
            <w14:solidFill>
              <w14:srgbClr w14:val="000000">
                <w14:alpha w14:val="100000"/>
              </w14:srgbClr>
            </w14:solidFill>
          </w14:textFill>
        </w:rPr>
        <w:t>||  ||</w:t>
      </w:r>
    </w:p>
  </w:footnote>
  <w:footnote w:id="15">
    <w:p w14:paraId="2D542C9C" w14:textId="77777777" w:rsidR="00A638E9" w:rsidRPr="007812BD" w:rsidRDefault="00A638E9" w:rsidP="00A638E9">
      <w:pPr>
        <w:pStyle w:val="FootnoteText"/>
        <w:rPr>
          <w:iCs/>
        </w:rPr>
      </w:pPr>
      <w:r>
        <w:rPr>
          <w:rStyle w:val="FootnoteReference"/>
        </w:rPr>
        <w:footnoteRef/>
      </w:r>
      <w:r w:rsidRPr="007812BD">
        <w:rPr>
          <w:iCs/>
          <w:vertAlign w:val="superscript"/>
        </w:rPr>
        <w:t xml:space="preserve"> </w:t>
      </w:r>
      <w:r w:rsidRPr="007812BD">
        <w:rPr>
          <w:iCs/>
        </w:rPr>
        <w:t>Wong, V., de Boer, R., Baron-Hay, S., Blum, R., Boyle, F., Chua, S</w:t>
      </w:r>
      <w:r>
        <w:rPr>
          <w:iCs/>
        </w:rPr>
        <w:t>. et al</w:t>
      </w:r>
      <w:r w:rsidRPr="007812BD">
        <w:rPr>
          <w:iCs/>
        </w:rPr>
        <w:t xml:space="preserve"> (2022). Real-World Outcomes of Ribociclib and Aromatase Inhibitor Use in First Line Hormone Receptor Positive, HER2-Negative Metastatic Breast Cancer. Clin Breast Cancer, 22(8), 792-800. </w:t>
      </w:r>
    </w:p>
    <w:p w14:paraId="11401E76" w14:textId="77777777" w:rsidR="00A638E9" w:rsidRDefault="00A638E9" w:rsidP="00A638E9">
      <w:pPr>
        <w:pStyle w:val="FootnoteText"/>
      </w:pPr>
    </w:p>
  </w:footnote>
  <w:footnote w:id="16">
    <w:p w14:paraId="4D578377" w14:textId="05553D7A" w:rsidR="006C238A" w:rsidRDefault="006C238A">
      <w:pPr>
        <w:pStyle w:val="FootnoteText"/>
      </w:pPr>
      <w:r>
        <w:rPr>
          <w:rStyle w:val="FootnoteReference"/>
        </w:rPr>
        <w:footnoteRef/>
      </w:r>
      <w:r>
        <w:t xml:space="preserve"> </w:t>
      </w:r>
      <w:r w:rsidRPr="006C238A">
        <w:t xml:space="preserve">Chan A, O'Neil N, Lomma C, Chih H, Willsher P. BreastSurgANZ members recommendations for adjuvant systemic treatment and patient compliance in Australian breast cancer patients. ANZ J Surg. 2021 Nov;91(11):2418-2424.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FC0C" w14:textId="77777777" w:rsidR="004A015A" w:rsidRDefault="004A015A">
    <w:pPr>
      <w:pStyle w:val="Header"/>
    </w:pPr>
  </w:p>
  <w:p w14:paraId="5C7A6F46" w14:textId="77777777" w:rsidR="00E27506" w:rsidRDefault="00E27506"/>
  <w:p w14:paraId="600BB3EF" w14:textId="77777777" w:rsidR="004A015A" w:rsidRPr="00056684" w:rsidRDefault="004A015A" w:rsidP="004A015A">
    <w:pPr>
      <w:pStyle w:val="Header"/>
      <w:ind w:left="360"/>
      <w:rPr>
        <w:rFonts w:asciiTheme="minorHAnsi" w:hAnsiTheme="minorHAnsi"/>
        <w:i/>
        <w:color w:val="808080"/>
      </w:rPr>
    </w:pPr>
    <w:r w:rsidRPr="00056684">
      <w:rPr>
        <w:rFonts w:asciiTheme="minorHAnsi" w:hAnsiTheme="minorHAnsi"/>
        <w:i/>
        <w:color w:val="808080"/>
      </w:rPr>
      <w:t xml:space="preserve">Draft Minutes Template – </w:t>
    </w:r>
    <w:r>
      <w:rPr>
        <w:rFonts w:asciiTheme="minorHAnsi" w:hAnsiTheme="minorHAnsi"/>
        <w:i/>
        <w:color w:val="808080"/>
      </w:rPr>
      <w:t>November 2023</w:t>
    </w:r>
    <w:r w:rsidRPr="00056684">
      <w:rPr>
        <w:rFonts w:asciiTheme="minorHAnsi" w:hAnsiTheme="minorHAnsi"/>
        <w:i/>
        <w:color w:val="808080"/>
      </w:rPr>
      <w:t xml:space="preserve"> PBAC Meeting</w:t>
    </w:r>
  </w:p>
  <w:p w14:paraId="3C02BA0E" w14:textId="77777777" w:rsidR="004A015A" w:rsidRDefault="004A015A" w:rsidP="004A015A">
    <w:pPr>
      <w:pStyle w:val="Header"/>
      <w:ind w:left="360"/>
      <w:rPr>
        <w:rFonts w:asciiTheme="minorHAnsi" w:hAnsiTheme="minorHAnsi"/>
        <w:i/>
        <w:color w:val="808080"/>
      </w:rPr>
    </w:pPr>
    <w:r w:rsidRPr="00056684">
      <w:rPr>
        <w:rFonts w:asciiTheme="minorHAnsi" w:hAnsiTheme="minorHAnsi"/>
        <w:i/>
        <w:color w:val="808080"/>
      </w:rPr>
      <w:t>Commercial-</w:t>
    </w:r>
    <w:r>
      <w:rPr>
        <w:rFonts w:asciiTheme="minorHAnsi" w:hAnsiTheme="minorHAnsi"/>
        <w:i/>
        <w:color w:val="808080"/>
      </w:rPr>
      <w:t>I</w:t>
    </w:r>
    <w:r w:rsidRPr="00056684">
      <w:rPr>
        <w:rFonts w:asciiTheme="minorHAnsi" w:hAnsiTheme="minorHAnsi"/>
        <w:i/>
        <w:color w:val="808080"/>
      </w:rPr>
      <w:t>n-Confidence</w:t>
    </w:r>
  </w:p>
  <w:p w14:paraId="6C01F431" w14:textId="77777777" w:rsidR="00E27506" w:rsidRDefault="00E27506"/>
  <w:p w14:paraId="2201E7D9" w14:textId="77777777" w:rsidR="004A015A" w:rsidRPr="00056684" w:rsidRDefault="004A015A" w:rsidP="004A015A">
    <w:pPr>
      <w:pStyle w:val="Header"/>
      <w:ind w:left="360"/>
      <w:rPr>
        <w:rFonts w:asciiTheme="minorHAnsi" w:hAnsiTheme="minorHAnsi"/>
        <w:i/>
        <w:color w:val="808080"/>
      </w:rPr>
    </w:pPr>
    <w:r w:rsidRPr="00056684">
      <w:rPr>
        <w:rFonts w:asciiTheme="minorHAnsi" w:hAnsiTheme="minorHAnsi"/>
        <w:i/>
        <w:color w:val="808080"/>
      </w:rPr>
      <w:t xml:space="preserve">Draft Minutes Template – </w:t>
    </w:r>
    <w:r>
      <w:rPr>
        <w:rFonts w:asciiTheme="minorHAnsi" w:hAnsiTheme="minorHAnsi"/>
        <w:i/>
        <w:color w:val="808080"/>
      </w:rPr>
      <w:t>November 2023</w:t>
    </w:r>
    <w:r w:rsidRPr="00056684">
      <w:rPr>
        <w:rFonts w:asciiTheme="minorHAnsi" w:hAnsiTheme="minorHAnsi"/>
        <w:i/>
        <w:color w:val="808080"/>
      </w:rPr>
      <w:t xml:space="preserve"> PBAC Meeting</w:t>
    </w:r>
  </w:p>
  <w:p w14:paraId="3E2846F9" w14:textId="77777777" w:rsidR="004A015A" w:rsidRDefault="004A015A" w:rsidP="004A015A">
    <w:pPr>
      <w:pStyle w:val="Header"/>
      <w:ind w:left="360"/>
      <w:rPr>
        <w:rFonts w:asciiTheme="minorHAnsi" w:hAnsiTheme="minorHAnsi"/>
        <w:i/>
        <w:color w:val="808080"/>
      </w:rPr>
    </w:pPr>
    <w:r w:rsidRPr="00056684">
      <w:rPr>
        <w:rFonts w:asciiTheme="minorHAnsi" w:hAnsiTheme="minorHAnsi"/>
        <w:i/>
        <w:color w:val="808080"/>
      </w:rPr>
      <w:t>Commercial-</w:t>
    </w:r>
    <w:r>
      <w:rPr>
        <w:rFonts w:asciiTheme="minorHAnsi" w:hAnsiTheme="minorHAnsi"/>
        <w:i/>
        <w:color w:val="808080"/>
      </w:rPr>
      <w:t>I</w:t>
    </w:r>
    <w:r w:rsidRPr="00056684">
      <w:rPr>
        <w:rFonts w:asciiTheme="minorHAnsi" w:hAnsiTheme="minorHAnsi"/>
        <w:i/>
        <w:color w:val="808080"/>
      </w:rPr>
      <w:t>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3E7B" w14:textId="374CADE0" w:rsidR="004A015A" w:rsidRPr="00056684" w:rsidRDefault="004C162F" w:rsidP="004A015A">
    <w:pPr>
      <w:pStyle w:val="Header"/>
      <w:ind w:left="360"/>
      <w:rPr>
        <w:rFonts w:asciiTheme="minorHAnsi" w:hAnsiTheme="minorHAnsi"/>
        <w:i/>
        <w:color w:val="808080"/>
      </w:rPr>
    </w:pPr>
    <w:bookmarkStart w:id="103" w:name="_Hlk76375146"/>
    <w:r>
      <w:rPr>
        <w:rFonts w:asciiTheme="minorHAnsi" w:hAnsiTheme="minorHAnsi"/>
        <w:i/>
        <w:color w:val="808080"/>
      </w:rPr>
      <w:t>Public Summary Document</w:t>
    </w:r>
    <w:r w:rsidR="00BB24C5">
      <w:rPr>
        <w:rFonts w:asciiTheme="minorHAnsi" w:hAnsiTheme="minorHAnsi"/>
        <w:i/>
        <w:color w:val="808080"/>
      </w:rPr>
      <w:t xml:space="preserve"> </w:t>
    </w:r>
    <w:r w:rsidR="004A015A" w:rsidRPr="00056684">
      <w:rPr>
        <w:rFonts w:asciiTheme="minorHAnsi" w:hAnsiTheme="minorHAnsi"/>
        <w:i/>
        <w:color w:val="808080"/>
      </w:rPr>
      <w:t xml:space="preserve">– </w:t>
    </w:r>
    <w:r w:rsidR="004A015A">
      <w:rPr>
        <w:rFonts w:asciiTheme="minorHAnsi" w:hAnsiTheme="minorHAnsi"/>
        <w:i/>
        <w:color w:val="808080"/>
      </w:rPr>
      <w:t>November 2023</w:t>
    </w:r>
    <w:r w:rsidR="004A015A" w:rsidRPr="00056684">
      <w:rPr>
        <w:rFonts w:asciiTheme="minorHAnsi" w:hAnsiTheme="minorHAnsi"/>
        <w:i/>
        <w:color w:val="808080"/>
      </w:rPr>
      <w:t xml:space="preserve"> PBAC Meeting</w:t>
    </w:r>
  </w:p>
  <w:bookmarkEnd w:id="103"/>
  <w:p w14:paraId="04D6FF62" w14:textId="77777777" w:rsidR="00E27506" w:rsidRDefault="00E275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8774" w14:textId="77777777" w:rsidR="00CF6630" w:rsidRDefault="00CF6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E63DE"/>
    <w:multiLevelType w:val="hybridMultilevel"/>
    <w:tmpl w:val="2124E2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448399A"/>
    <w:multiLevelType w:val="hybridMultilevel"/>
    <w:tmpl w:val="1E4489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EFF08BF"/>
    <w:multiLevelType w:val="multilevel"/>
    <w:tmpl w:val="ED427C3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74633"/>
    <w:multiLevelType w:val="hybridMultilevel"/>
    <w:tmpl w:val="9EB89E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A872B15"/>
    <w:multiLevelType w:val="hybridMultilevel"/>
    <w:tmpl w:val="F678F0C2"/>
    <w:lvl w:ilvl="0" w:tplc="7F1E10C6">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63B40BD"/>
    <w:multiLevelType w:val="hybridMultilevel"/>
    <w:tmpl w:val="AC84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830002"/>
    <w:multiLevelType w:val="hybridMultilevel"/>
    <w:tmpl w:val="E74858B2"/>
    <w:lvl w:ilvl="0" w:tplc="DC0AEA28">
      <w:start w:val="1"/>
      <w:numFmt w:val="decimal"/>
      <w:pStyle w:val="Table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15121B"/>
    <w:multiLevelType w:val="hybridMultilevel"/>
    <w:tmpl w:val="80AA64F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8409295">
    <w:abstractNumId w:val="15"/>
  </w:num>
  <w:num w:numId="2" w16cid:durableId="661280317">
    <w:abstractNumId w:val="6"/>
  </w:num>
  <w:num w:numId="3" w16cid:durableId="406071395">
    <w:abstractNumId w:val="7"/>
  </w:num>
  <w:num w:numId="4" w16cid:durableId="1285885154">
    <w:abstractNumId w:val="0"/>
  </w:num>
  <w:num w:numId="5" w16cid:durableId="93745321">
    <w:abstractNumId w:val="10"/>
  </w:num>
  <w:num w:numId="6" w16cid:durableId="1619410076">
    <w:abstractNumId w:val="4"/>
  </w:num>
  <w:num w:numId="7" w16cid:durableId="1878590759">
    <w:abstractNumId w:val="9"/>
  </w:num>
  <w:num w:numId="8" w16cid:durableId="911696643">
    <w:abstractNumId w:val="11"/>
  </w:num>
  <w:num w:numId="9" w16cid:durableId="387917361">
    <w:abstractNumId w:val="13"/>
  </w:num>
  <w:num w:numId="10" w16cid:durableId="1761177194">
    <w:abstractNumId w:val="5"/>
  </w:num>
  <w:num w:numId="11" w16cid:durableId="1424958102">
    <w:abstractNumId w:val="1"/>
  </w:num>
  <w:num w:numId="12" w16cid:durableId="2060006571">
    <w:abstractNumId w:val="3"/>
  </w:num>
  <w:num w:numId="13" w16cid:durableId="328289558">
    <w:abstractNumId w:val="12"/>
  </w:num>
  <w:num w:numId="14" w16cid:durableId="1405639447">
    <w:abstractNumId w:val="8"/>
  </w:num>
  <w:num w:numId="15" w16cid:durableId="278876875">
    <w:abstractNumId w:val="14"/>
  </w:num>
  <w:num w:numId="16" w16cid:durableId="1021712086">
    <w:abstractNumId w:val="2"/>
  </w:num>
  <w:num w:numId="17" w16cid:durableId="703676990">
    <w:abstractNumId w:val="15"/>
  </w:num>
  <w:num w:numId="18" w16cid:durableId="210459213">
    <w:abstractNumId w:val="15"/>
  </w:num>
  <w:num w:numId="19" w16cid:durableId="40252797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C1"/>
    <w:rsid w:val="00000669"/>
    <w:rsid w:val="00000790"/>
    <w:rsid w:val="00000907"/>
    <w:rsid w:val="00000DC2"/>
    <w:rsid w:val="0000110B"/>
    <w:rsid w:val="00001E82"/>
    <w:rsid w:val="00001F1F"/>
    <w:rsid w:val="000027E1"/>
    <w:rsid w:val="00002A30"/>
    <w:rsid w:val="00002B45"/>
    <w:rsid w:val="00003499"/>
    <w:rsid w:val="000035C7"/>
    <w:rsid w:val="000039B7"/>
    <w:rsid w:val="00003B9E"/>
    <w:rsid w:val="000056B9"/>
    <w:rsid w:val="0000639A"/>
    <w:rsid w:val="00007017"/>
    <w:rsid w:val="000070BD"/>
    <w:rsid w:val="000073DE"/>
    <w:rsid w:val="00007863"/>
    <w:rsid w:val="00007AC1"/>
    <w:rsid w:val="00010531"/>
    <w:rsid w:val="000106D3"/>
    <w:rsid w:val="00010AAE"/>
    <w:rsid w:val="00010ABB"/>
    <w:rsid w:val="0001132E"/>
    <w:rsid w:val="000130DB"/>
    <w:rsid w:val="00013247"/>
    <w:rsid w:val="000132F6"/>
    <w:rsid w:val="000148FB"/>
    <w:rsid w:val="00015181"/>
    <w:rsid w:val="000157B8"/>
    <w:rsid w:val="00015886"/>
    <w:rsid w:val="000162EF"/>
    <w:rsid w:val="00016AD6"/>
    <w:rsid w:val="00016E11"/>
    <w:rsid w:val="00016E26"/>
    <w:rsid w:val="0001736C"/>
    <w:rsid w:val="000204D3"/>
    <w:rsid w:val="000207C9"/>
    <w:rsid w:val="000212D1"/>
    <w:rsid w:val="000215AB"/>
    <w:rsid w:val="00021984"/>
    <w:rsid w:val="0002225F"/>
    <w:rsid w:val="0002236A"/>
    <w:rsid w:val="00022A7C"/>
    <w:rsid w:val="00022C2A"/>
    <w:rsid w:val="000230D4"/>
    <w:rsid w:val="00023763"/>
    <w:rsid w:val="000237E8"/>
    <w:rsid w:val="00023B91"/>
    <w:rsid w:val="00023EA0"/>
    <w:rsid w:val="00023FD4"/>
    <w:rsid w:val="00024073"/>
    <w:rsid w:val="00024279"/>
    <w:rsid w:val="00024EB5"/>
    <w:rsid w:val="000252B0"/>
    <w:rsid w:val="000258C2"/>
    <w:rsid w:val="000267BC"/>
    <w:rsid w:val="00026DAD"/>
    <w:rsid w:val="00027219"/>
    <w:rsid w:val="000274B8"/>
    <w:rsid w:val="0003014C"/>
    <w:rsid w:val="00030318"/>
    <w:rsid w:val="000304CE"/>
    <w:rsid w:val="000309D1"/>
    <w:rsid w:val="00030CC5"/>
    <w:rsid w:val="000311B5"/>
    <w:rsid w:val="0003288F"/>
    <w:rsid w:val="00032B74"/>
    <w:rsid w:val="00032C9D"/>
    <w:rsid w:val="00032FA0"/>
    <w:rsid w:val="00033863"/>
    <w:rsid w:val="00035027"/>
    <w:rsid w:val="00035505"/>
    <w:rsid w:val="00035DC0"/>
    <w:rsid w:val="00035DE0"/>
    <w:rsid w:val="00036829"/>
    <w:rsid w:val="0003704D"/>
    <w:rsid w:val="000375A8"/>
    <w:rsid w:val="00037E01"/>
    <w:rsid w:val="000406DF"/>
    <w:rsid w:val="00040895"/>
    <w:rsid w:val="000410A0"/>
    <w:rsid w:val="000416F1"/>
    <w:rsid w:val="00042119"/>
    <w:rsid w:val="0004301D"/>
    <w:rsid w:val="000435EE"/>
    <w:rsid w:val="00043984"/>
    <w:rsid w:val="00043C37"/>
    <w:rsid w:val="0004419C"/>
    <w:rsid w:val="000444CB"/>
    <w:rsid w:val="00044DE7"/>
    <w:rsid w:val="00045017"/>
    <w:rsid w:val="00045895"/>
    <w:rsid w:val="00045A2B"/>
    <w:rsid w:val="00045C39"/>
    <w:rsid w:val="000461B3"/>
    <w:rsid w:val="0004629A"/>
    <w:rsid w:val="00046534"/>
    <w:rsid w:val="0004698F"/>
    <w:rsid w:val="00046997"/>
    <w:rsid w:val="00046AE1"/>
    <w:rsid w:val="00046D64"/>
    <w:rsid w:val="00046D68"/>
    <w:rsid w:val="000508C2"/>
    <w:rsid w:val="0005124F"/>
    <w:rsid w:val="000512DE"/>
    <w:rsid w:val="00052CE2"/>
    <w:rsid w:val="000533D9"/>
    <w:rsid w:val="000539D0"/>
    <w:rsid w:val="00053A03"/>
    <w:rsid w:val="00053ED7"/>
    <w:rsid w:val="00054491"/>
    <w:rsid w:val="00054621"/>
    <w:rsid w:val="00054653"/>
    <w:rsid w:val="000546D7"/>
    <w:rsid w:val="00054A8D"/>
    <w:rsid w:val="00055F9C"/>
    <w:rsid w:val="000562CB"/>
    <w:rsid w:val="000562DD"/>
    <w:rsid w:val="00056717"/>
    <w:rsid w:val="00056C43"/>
    <w:rsid w:val="00056C7B"/>
    <w:rsid w:val="00056ECF"/>
    <w:rsid w:val="0005786A"/>
    <w:rsid w:val="00057B56"/>
    <w:rsid w:val="00057C07"/>
    <w:rsid w:val="000604DF"/>
    <w:rsid w:val="00060D3D"/>
    <w:rsid w:val="00061312"/>
    <w:rsid w:val="0006201A"/>
    <w:rsid w:val="0006211A"/>
    <w:rsid w:val="00062324"/>
    <w:rsid w:val="00062439"/>
    <w:rsid w:val="00062976"/>
    <w:rsid w:val="000653B5"/>
    <w:rsid w:val="00065883"/>
    <w:rsid w:val="00065AF7"/>
    <w:rsid w:val="00066360"/>
    <w:rsid w:val="000663AB"/>
    <w:rsid w:val="00066AF8"/>
    <w:rsid w:val="00067E62"/>
    <w:rsid w:val="0007026C"/>
    <w:rsid w:val="00070EE5"/>
    <w:rsid w:val="00071248"/>
    <w:rsid w:val="00071612"/>
    <w:rsid w:val="00071C9D"/>
    <w:rsid w:val="000720B9"/>
    <w:rsid w:val="000721E2"/>
    <w:rsid w:val="00072A6D"/>
    <w:rsid w:val="00073587"/>
    <w:rsid w:val="000737F7"/>
    <w:rsid w:val="0007382A"/>
    <w:rsid w:val="00074E21"/>
    <w:rsid w:val="000752BB"/>
    <w:rsid w:val="0007559F"/>
    <w:rsid w:val="0007672F"/>
    <w:rsid w:val="0007695F"/>
    <w:rsid w:val="00076B11"/>
    <w:rsid w:val="00076B54"/>
    <w:rsid w:val="0007709F"/>
    <w:rsid w:val="000774F0"/>
    <w:rsid w:val="00077532"/>
    <w:rsid w:val="00077571"/>
    <w:rsid w:val="00077F17"/>
    <w:rsid w:val="00080067"/>
    <w:rsid w:val="00080909"/>
    <w:rsid w:val="00080A64"/>
    <w:rsid w:val="000812CA"/>
    <w:rsid w:val="000817ED"/>
    <w:rsid w:val="00081D86"/>
    <w:rsid w:val="00081E63"/>
    <w:rsid w:val="000821FD"/>
    <w:rsid w:val="0008258D"/>
    <w:rsid w:val="000826AB"/>
    <w:rsid w:val="00082912"/>
    <w:rsid w:val="00082C68"/>
    <w:rsid w:val="000832C3"/>
    <w:rsid w:val="00083E99"/>
    <w:rsid w:val="000841A3"/>
    <w:rsid w:val="000841DE"/>
    <w:rsid w:val="00084401"/>
    <w:rsid w:val="00084FA8"/>
    <w:rsid w:val="000854ED"/>
    <w:rsid w:val="000856C5"/>
    <w:rsid w:val="00085A36"/>
    <w:rsid w:val="00085C31"/>
    <w:rsid w:val="0008600D"/>
    <w:rsid w:val="00086AE7"/>
    <w:rsid w:val="0008701A"/>
    <w:rsid w:val="00087F86"/>
    <w:rsid w:val="000902D9"/>
    <w:rsid w:val="00090C7E"/>
    <w:rsid w:val="000911AC"/>
    <w:rsid w:val="00091C4C"/>
    <w:rsid w:val="00091EEF"/>
    <w:rsid w:val="00092600"/>
    <w:rsid w:val="0009262B"/>
    <w:rsid w:val="00092A73"/>
    <w:rsid w:val="0009330C"/>
    <w:rsid w:val="00093310"/>
    <w:rsid w:val="000940B6"/>
    <w:rsid w:val="0009445C"/>
    <w:rsid w:val="00094C44"/>
    <w:rsid w:val="00094CA7"/>
    <w:rsid w:val="00094FE1"/>
    <w:rsid w:val="00095200"/>
    <w:rsid w:val="0009577D"/>
    <w:rsid w:val="00095FE5"/>
    <w:rsid w:val="00096284"/>
    <w:rsid w:val="0009754F"/>
    <w:rsid w:val="000977CF"/>
    <w:rsid w:val="00097A52"/>
    <w:rsid w:val="00097ABC"/>
    <w:rsid w:val="000A06C0"/>
    <w:rsid w:val="000A072B"/>
    <w:rsid w:val="000A0975"/>
    <w:rsid w:val="000A1A01"/>
    <w:rsid w:val="000A1BC0"/>
    <w:rsid w:val="000A1CC7"/>
    <w:rsid w:val="000A1D2C"/>
    <w:rsid w:val="000A1E57"/>
    <w:rsid w:val="000A2F9E"/>
    <w:rsid w:val="000A3E47"/>
    <w:rsid w:val="000A41F6"/>
    <w:rsid w:val="000A522B"/>
    <w:rsid w:val="000A529D"/>
    <w:rsid w:val="000A6039"/>
    <w:rsid w:val="000A648C"/>
    <w:rsid w:val="000A70AA"/>
    <w:rsid w:val="000A7453"/>
    <w:rsid w:val="000A7D08"/>
    <w:rsid w:val="000B0121"/>
    <w:rsid w:val="000B02E2"/>
    <w:rsid w:val="000B0437"/>
    <w:rsid w:val="000B0670"/>
    <w:rsid w:val="000B0A02"/>
    <w:rsid w:val="000B0B7E"/>
    <w:rsid w:val="000B0E75"/>
    <w:rsid w:val="000B2279"/>
    <w:rsid w:val="000B2DCB"/>
    <w:rsid w:val="000B4299"/>
    <w:rsid w:val="000B469C"/>
    <w:rsid w:val="000B522D"/>
    <w:rsid w:val="000B5CE0"/>
    <w:rsid w:val="000B6303"/>
    <w:rsid w:val="000B6B40"/>
    <w:rsid w:val="000B6CAC"/>
    <w:rsid w:val="000B6F24"/>
    <w:rsid w:val="000B7612"/>
    <w:rsid w:val="000B7693"/>
    <w:rsid w:val="000B78AE"/>
    <w:rsid w:val="000B7ACD"/>
    <w:rsid w:val="000C02A0"/>
    <w:rsid w:val="000C0348"/>
    <w:rsid w:val="000C15D8"/>
    <w:rsid w:val="000C1E52"/>
    <w:rsid w:val="000C2B52"/>
    <w:rsid w:val="000C352E"/>
    <w:rsid w:val="000C3ACD"/>
    <w:rsid w:val="000C3DF9"/>
    <w:rsid w:val="000C4A9D"/>
    <w:rsid w:val="000C4CF2"/>
    <w:rsid w:val="000C4D90"/>
    <w:rsid w:val="000C5540"/>
    <w:rsid w:val="000C5D54"/>
    <w:rsid w:val="000C5E60"/>
    <w:rsid w:val="000C6713"/>
    <w:rsid w:val="000C6EB2"/>
    <w:rsid w:val="000C7C49"/>
    <w:rsid w:val="000D1BFC"/>
    <w:rsid w:val="000D1D5D"/>
    <w:rsid w:val="000D1FC8"/>
    <w:rsid w:val="000D2381"/>
    <w:rsid w:val="000D281A"/>
    <w:rsid w:val="000D2848"/>
    <w:rsid w:val="000D326A"/>
    <w:rsid w:val="000D3674"/>
    <w:rsid w:val="000D3F6C"/>
    <w:rsid w:val="000D4122"/>
    <w:rsid w:val="000D48E0"/>
    <w:rsid w:val="000D4AC0"/>
    <w:rsid w:val="000D4BC1"/>
    <w:rsid w:val="000D51FB"/>
    <w:rsid w:val="000D5CD0"/>
    <w:rsid w:val="000D5D3E"/>
    <w:rsid w:val="000D6F7F"/>
    <w:rsid w:val="000D7702"/>
    <w:rsid w:val="000D7AE8"/>
    <w:rsid w:val="000E0640"/>
    <w:rsid w:val="000E0679"/>
    <w:rsid w:val="000E116A"/>
    <w:rsid w:val="000E135D"/>
    <w:rsid w:val="000E15D6"/>
    <w:rsid w:val="000E20F7"/>
    <w:rsid w:val="000E2764"/>
    <w:rsid w:val="000E447F"/>
    <w:rsid w:val="000E4662"/>
    <w:rsid w:val="000E4F24"/>
    <w:rsid w:val="000E5306"/>
    <w:rsid w:val="000E53E1"/>
    <w:rsid w:val="000E595A"/>
    <w:rsid w:val="000E5B7B"/>
    <w:rsid w:val="000E5C94"/>
    <w:rsid w:val="000E6709"/>
    <w:rsid w:val="000E6A75"/>
    <w:rsid w:val="000E7A62"/>
    <w:rsid w:val="000F00BA"/>
    <w:rsid w:val="000F0B61"/>
    <w:rsid w:val="000F174C"/>
    <w:rsid w:val="000F2223"/>
    <w:rsid w:val="000F2629"/>
    <w:rsid w:val="000F2D79"/>
    <w:rsid w:val="000F316A"/>
    <w:rsid w:val="000F3C74"/>
    <w:rsid w:val="000F3D0F"/>
    <w:rsid w:val="000F4BB8"/>
    <w:rsid w:val="000F4FA9"/>
    <w:rsid w:val="000F503C"/>
    <w:rsid w:val="000F50EB"/>
    <w:rsid w:val="000F53FB"/>
    <w:rsid w:val="000F679A"/>
    <w:rsid w:val="000F68F0"/>
    <w:rsid w:val="000F69A2"/>
    <w:rsid w:val="000F7127"/>
    <w:rsid w:val="000F7B54"/>
    <w:rsid w:val="000F7BA0"/>
    <w:rsid w:val="001000B3"/>
    <w:rsid w:val="001009D1"/>
    <w:rsid w:val="00100F8A"/>
    <w:rsid w:val="001010F3"/>
    <w:rsid w:val="001012AA"/>
    <w:rsid w:val="00101934"/>
    <w:rsid w:val="001033EF"/>
    <w:rsid w:val="00103662"/>
    <w:rsid w:val="00104211"/>
    <w:rsid w:val="0010452E"/>
    <w:rsid w:val="00105199"/>
    <w:rsid w:val="00105AE2"/>
    <w:rsid w:val="001060C6"/>
    <w:rsid w:val="0010663F"/>
    <w:rsid w:val="001069EA"/>
    <w:rsid w:val="00106B80"/>
    <w:rsid w:val="00106B9C"/>
    <w:rsid w:val="00110147"/>
    <w:rsid w:val="0011032E"/>
    <w:rsid w:val="00111078"/>
    <w:rsid w:val="001111F9"/>
    <w:rsid w:val="0011232F"/>
    <w:rsid w:val="00112A2E"/>
    <w:rsid w:val="001130E8"/>
    <w:rsid w:val="0011348B"/>
    <w:rsid w:val="00113704"/>
    <w:rsid w:val="001140A0"/>
    <w:rsid w:val="00114542"/>
    <w:rsid w:val="0011455A"/>
    <w:rsid w:val="001146FA"/>
    <w:rsid w:val="00115982"/>
    <w:rsid w:val="00115AB1"/>
    <w:rsid w:val="00116791"/>
    <w:rsid w:val="00116C53"/>
    <w:rsid w:val="001176B2"/>
    <w:rsid w:val="00117A1B"/>
    <w:rsid w:val="001203E9"/>
    <w:rsid w:val="00120DF6"/>
    <w:rsid w:val="00120E8D"/>
    <w:rsid w:val="00121180"/>
    <w:rsid w:val="00121799"/>
    <w:rsid w:val="00121C99"/>
    <w:rsid w:val="00121D25"/>
    <w:rsid w:val="001222FC"/>
    <w:rsid w:val="001232FB"/>
    <w:rsid w:val="00123839"/>
    <w:rsid w:val="00123902"/>
    <w:rsid w:val="00124A51"/>
    <w:rsid w:val="00124AC2"/>
    <w:rsid w:val="001255D5"/>
    <w:rsid w:val="00125826"/>
    <w:rsid w:val="00125F32"/>
    <w:rsid w:val="00126522"/>
    <w:rsid w:val="00126621"/>
    <w:rsid w:val="00126B1D"/>
    <w:rsid w:val="00126BD9"/>
    <w:rsid w:val="00126EB3"/>
    <w:rsid w:val="001273B8"/>
    <w:rsid w:val="001278A8"/>
    <w:rsid w:val="00127B94"/>
    <w:rsid w:val="001301E9"/>
    <w:rsid w:val="0013023B"/>
    <w:rsid w:val="00131155"/>
    <w:rsid w:val="001316FA"/>
    <w:rsid w:val="001317BD"/>
    <w:rsid w:val="00131D82"/>
    <w:rsid w:val="00132B22"/>
    <w:rsid w:val="00133D36"/>
    <w:rsid w:val="001346BC"/>
    <w:rsid w:val="001346C0"/>
    <w:rsid w:val="001346C2"/>
    <w:rsid w:val="0013575F"/>
    <w:rsid w:val="001366BB"/>
    <w:rsid w:val="00137296"/>
    <w:rsid w:val="00137645"/>
    <w:rsid w:val="00137C47"/>
    <w:rsid w:val="00137EAB"/>
    <w:rsid w:val="0014015A"/>
    <w:rsid w:val="0014053F"/>
    <w:rsid w:val="00140E99"/>
    <w:rsid w:val="00140EBF"/>
    <w:rsid w:val="00141085"/>
    <w:rsid w:val="00142B95"/>
    <w:rsid w:val="00142DBD"/>
    <w:rsid w:val="001436CD"/>
    <w:rsid w:val="0014397D"/>
    <w:rsid w:val="00143F67"/>
    <w:rsid w:val="00145234"/>
    <w:rsid w:val="00145540"/>
    <w:rsid w:val="001456B0"/>
    <w:rsid w:val="00145A23"/>
    <w:rsid w:val="00145CAE"/>
    <w:rsid w:val="00146261"/>
    <w:rsid w:val="001473CF"/>
    <w:rsid w:val="001478E3"/>
    <w:rsid w:val="00147D4B"/>
    <w:rsid w:val="001502FD"/>
    <w:rsid w:val="00152327"/>
    <w:rsid w:val="00152871"/>
    <w:rsid w:val="001547AB"/>
    <w:rsid w:val="00154E44"/>
    <w:rsid w:val="00155C34"/>
    <w:rsid w:val="0015651A"/>
    <w:rsid w:val="00156F8F"/>
    <w:rsid w:val="00157130"/>
    <w:rsid w:val="001576B1"/>
    <w:rsid w:val="00157B7D"/>
    <w:rsid w:val="0016047B"/>
    <w:rsid w:val="00160854"/>
    <w:rsid w:val="00160855"/>
    <w:rsid w:val="00160A4C"/>
    <w:rsid w:val="00160D56"/>
    <w:rsid w:val="00161239"/>
    <w:rsid w:val="00161508"/>
    <w:rsid w:val="00161575"/>
    <w:rsid w:val="00162913"/>
    <w:rsid w:val="00162B27"/>
    <w:rsid w:val="00163716"/>
    <w:rsid w:val="00163EFF"/>
    <w:rsid w:val="00163F66"/>
    <w:rsid w:val="001642C8"/>
    <w:rsid w:val="001645F8"/>
    <w:rsid w:val="0016478E"/>
    <w:rsid w:val="001651DF"/>
    <w:rsid w:val="00165427"/>
    <w:rsid w:val="0016581B"/>
    <w:rsid w:val="00165B08"/>
    <w:rsid w:val="00165E27"/>
    <w:rsid w:val="00165EC4"/>
    <w:rsid w:val="001661FB"/>
    <w:rsid w:val="00166455"/>
    <w:rsid w:val="00166C63"/>
    <w:rsid w:val="001671A0"/>
    <w:rsid w:val="0016767F"/>
    <w:rsid w:val="00170100"/>
    <w:rsid w:val="00170322"/>
    <w:rsid w:val="0017071B"/>
    <w:rsid w:val="00173565"/>
    <w:rsid w:val="00173B07"/>
    <w:rsid w:val="0017501A"/>
    <w:rsid w:val="001751FA"/>
    <w:rsid w:val="00175729"/>
    <w:rsid w:val="0017589B"/>
    <w:rsid w:val="00175C21"/>
    <w:rsid w:val="00176EE6"/>
    <w:rsid w:val="001776F3"/>
    <w:rsid w:val="00177BC5"/>
    <w:rsid w:val="00177C35"/>
    <w:rsid w:val="00180369"/>
    <w:rsid w:val="0018061A"/>
    <w:rsid w:val="00180D32"/>
    <w:rsid w:val="001813C6"/>
    <w:rsid w:val="0018193E"/>
    <w:rsid w:val="001819C6"/>
    <w:rsid w:val="00181C10"/>
    <w:rsid w:val="00181D9C"/>
    <w:rsid w:val="00182F01"/>
    <w:rsid w:val="001837FF"/>
    <w:rsid w:val="00183FC5"/>
    <w:rsid w:val="001848AE"/>
    <w:rsid w:val="00184B0E"/>
    <w:rsid w:val="00184BE0"/>
    <w:rsid w:val="00185465"/>
    <w:rsid w:val="00186084"/>
    <w:rsid w:val="001861BF"/>
    <w:rsid w:val="001863A9"/>
    <w:rsid w:val="001863B6"/>
    <w:rsid w:val="0018752F"/>
    <w:rsid w:val="00187739"/>
    <w:rsid w:val="00187E82"/>
    <w:rsid w:val="00190D46"/>
    <w:rsid w:val="00190D59"/>
    <w:rsid w:val="00190D68"/>
    <w:rsid w:val="00191124"/>
    <w:rsid w:val="001911B1"/>
    <w:rsid w:val="001911EC"/>
    <w:rsid w:val="00191286"/>
    <w:rsid w:val="00192EEC"/>
    <w:rsid w:val="0019369A"/>
    <w:rsid w:val="00193838"/>
    <w:rsid w:val="0019388D"/>
    <w:rsid w:val="00193A83"/>
    <w:rsid w:val="001943F8"/>
    <w:rsid w:val="00194AD8"/>
    <w:rsid w:val="00195222"/>
    <w:rsid w:val="00195452"/>
    <w:rsid w:val="00195A05"/>
    <w:rsid w:val="00197071"/>
    <w:rsid w:val="001973EA"/>
    <w:rsid w:val="001975D8"/>
    <w:rsid w:val="00197A8A"/>
    <w:rsid w:val="001A0675"/>
    <w:rsid w:val="001A1383"/>
    <w:rsid w:val="001A178E"/>
    <w:rsid w:val="001A1B88"/>
    <w:rsid w:val="001A1FC5"/>
    <w:rsid w:val="001A2295"/>
    <w:rsid w:val="001A2545"/>
    <w:rsid w:val="001A263B"/>
    <w:rsid w:val="001A36CA"/>
    <w:rsid w:val="001A43FA"/>
    <w:rsid w:val="001A47C5"/>
    <w:rsid w:val="001A4F56"/>
    <w:rsid w:val="001A59FB"/>
    <w:rsid w:val="001A5A4C"/>
    <w:rsid w:val="001A5E1A"/>
    <w:rsid w:val="001A5E9E"/>
    <w:rsid w:val="001A608B"/>
    <w:rsid w:val="001A62B8"/>
    <w:rsid w:val="001A6354"/>
    <w:rsid w:val="001A6366"/>
    <w:rsid w:val="001A70FE"/>
    <w:rsid w:val="001A7AE8"/>
    <w:rsid w:val="001B0BF7"/>
    <w:rsid w:val="001B1313"/>
    <w:rsid w:val="001B1F81"/>
    <w:rsid w:val="001B204E"/>
    <w:rsid w:val="001B2372"/>
    <w:rsid w:val="001B293C"/>
    <w:rsid w:val="001B30D6"/>
    <w:rsid w:val="001B3443"/>
    <w:rsid w:val="001B43BE"/>
    <w:rsid w:val="001B4D20"/>
    <w:rsid w:val="001B4D5A"/>
    <w:rsid w:val="001B5783"/>
    <w:rsid w:val="001B6874"/>
    <w:rsid w:val="001B729E"/>
    <w:rsid w:val="001B7F84"/>
    <w:rsid w:val="001C07A0"/>
    <w:rsid w:val="001C1297"/>
    <w:rsid w:val="001C2A9B"/>
    <w:rsid w:val="001C2F87"/>
    <w:rsid w:val="001C380F"/>
    <w:rsid w:val="001C3DD6"/>
    <w:rsid w:val="001C4128"/>
    <w:rsid w:val="001C4299"/>
    <w:rsid w:val="001C4874"/>
    <w:rsid w:val="001C5249"/>
    <w:rsid w:val="001C5644"/>
    <w:rsid w:val="001C5F94"/>
    <w:rsid w:val="001C6E66"/>
    <w:rsid w:val="001C6F0D"/>
    <w:rsid w:val="001C72DB"/>
    <w:rsid w:val="001C7444"/>
    <w:rsid w:val="001D1100"/>
    <w:rsid w:val="001D1391"/>
    <w:rsid w:val="001D25D7"/>
    <w:rsid w:val="001D332F"/>
    <w:rsid w:val="001D46EE"/>
    <w:rsid w:val="001D4D9B"/>
    <w:rsid w:val="001D50B2"/>
    <w:rsid w:val="001D52B0"/>
    <w:rsid w:val="001D590B"/>
    <w:rsid w:val="001D6221"/>
    <w:rsid w:val="001D68CF"/>
    <w:rsid w:val="001D71F4"/>
    <w:rsid w:val="001D7645"/>
    <w:rsid w:val="001E0293"/>
    <w:rsid w:val="001E08AA"/>
    <w:rsid w:val="001E0F67"/>
    <w:rsid w:val="001E10C2"/>
    <w:rsid w:val="001E1C29"/>
    <w:rsid w:val="001E1E03"/>
    <w:rsid w:val="001E1E2E"/>
    <w:rsid w:val="001E1E86"/>
    <w:rsid w:val="001E22A3"/>
    <w:rsid w:val="001E234C"/>
    <w:rsid w:val="001E238E"/>
    <w:rsid w:val="001E2483"/>
    <w:rsid w:val="001E2AD8"/>
    <w:rsid w:val="001E2B1E"/>
    <w:rsid w:val="001E2B82"/>
    <w:rsid w:val="001E2CFF"/>
    <w:rsid w:val="001E2F24"/>
    <w:rsid w:val="001E2F88"/>
    <w:rsid w:val="001E30D4"/>
    <w:rsid w:val="001E31EB"/>
    <w:rsid w:val="001E34DF"/>
    <w:rsid w:val="001E3DF6"/>
    <w:rsid w:val="001E4596"/>
    <w:rsid w:val="001E495F"/>
    <w:rsid w:val="001E52EB"/>
    <w:rsid w:val="001E5360"/>
    <w:rsid w:val="001E5A15"/>
    <w:rsid w:val="001E5FCE"/>
    <w:rsid w:val="001E61D2"/>
    <w:rsid w:val="001E7199"/>
    <w:rsid w:val="001E740C"/>
    <w:rsid w:val="001E7EF6"/>
    <w:rsid w:val="001F0DFC"/>
    <w:rsid w:val="001F1235"/>
    <w:rsid w:val="001F1360"/>
    <w:rsid w:val="001F1492"/>
    <w:rsid w:val="001F1CB3"/>
    <w:rsid w:val="001F1EDE"/>
    <w:rsid w:val="001F24F3"/>
    <w:rsid w:val="001F2625"/>
    <w:rsid w:val="001F2F39"/>
    <w:rsid w:val="001F30F6"/>
    <w:rsid w:val="001F38B5"/>
    <w:rsid w:val="001F4081"/>
    <w:rsid w:val="001F4CF7"/>
    <w:rsid w:val="001F4EBC"/>
    <w:rsid w:val="001F5E97"/>
    <w:rsid w:val="001F6FAD"/>
    <w:rsid w:val="001F7361"/>
    <w:rsid w:val="0020014C"/>
    <w:rsid w:val="00200A4B"/>
    <w:rsid w:val="002011B0"/>
    <w:rsid w:val="002013D1"/>
    <w:rsid w:val="00201B30"/>
    <w:rsid w:val="00203181"/>
    <w:rsid w:val="00203783"/>
    <w:rsid w:val="0020385F"/>
    <w:rsid w:val="00205494"/>
    <w:rsid w:val="00205569"/>
    <w:rsid w:val="00205581"/>
    <w:rsid w:val="002068A0"/>
    <w:rsid w:val="00206E91"/>
    <w:rsid w:val="00207021"/>
    <w:rsid w:val="0020732F"/>
    <w:rsid w:val="00207BB9"/>
    <w:rsid w:val="00207D00"/>
    <w:rsid w:val="00210155"/>
    <w:rsid w:val="002104B0"/>
    <w:rsid w:val="002105C1"/>
    <w:rsid w:val="0021093C"/>
    <w:rsid w:val="0021097F"/>
    <w:rsid w:val="00210C79"/>
    <w:rsid w:val="00210CCB"/>
    <w:rsid w:val="00210D30"/>
    <w:rsid w:val="00210EF2"/>
    <w:rsid w:val="002116FD"/>
    <w:rsid w:val="002126D3"/>
    <w:rsid w:val="00212A44"/>
    <w:rsid w:val="00213D98"/>
    <w:rsid w:val="00213EF5"/>
    <w:rsid w:val="0021474E"/>
    <w:rsid w:val="00214771"/>
    <w:rsid w:val="00214BA7"/>
    <w:rsid w:val="00214CFD"/>
    <w:rsid w:val="0021500C"/>
    <w:rsid w:val="00215120"/>
    <w:rsid w:val="0021516D"/>
    <w:rsid w:val="002152CA"/>
    <w:rsid w:val="002164FF"/>
    <w:rsid w:val="0021655D"/>
    <w:rsid w:val="00216BF5"/>
    <w:rsid w:val="00216CF1"/>
    <w:rsid w:val="00217F91"/>
    <w:rsid w:val="00220292"/>
    <w:rsid w:val="002203E6"/>
    <w:rsid w:val="00220506"/>
    <w:rsid w:val="002211C7"/>
    <w:rsid w:val="00221B0F"/>
    <w:rsid w:val="00221E40"/>
    <w:rsid w:val="002227C3"/>
    <w:rsid w:val="002229DA"/>
    <w:rsid w:val="00222A66"/>
    <w:rsid w:val="00223B49"/>
    <w:rsid w:val="00223D5A"/>
    <w:rsid w:val="00224DD4"/>
    <w:rsid w:val="00225A5D"/>
    <w:rsid w:val="00225C06"/>
    <w:rsid w:val="0022695B"/>
    <w:rsid w:val="00227304"/>
    <w:rsid w:val="002278A0"/>
    <w:rsid w:val="00227C12"/>
    <w:rsid w:val="002304BD"/>
    <w:rsid w:val="002304CD"/>
    <w:rsid w:val="002309CC"/>
    <w:rsid w:val="00231BA9"/>
    <w:rsid w:val="00231FB4"/>
    <w:rsid w:val="0023209F"/>
    <w:rsid w:val="0023284D"/>
    <w:rsid w:val="00232DC4"/>
    <w:rsid w:val="0023310C"/>
    <w:rsid w:val="00233A60"/>
    <w:rsid w:val="00233C01"/>
    <w:rsid w:val="0023413C"/>
    <w:rsid w:val="002346F0"/>
    <w:rsid w:val="00234A5D"/>
    <w:rsid w:val="00234D89"/>
    <w:rsid w:val="00235A23"/>
    <w:rsid w:val="00235B7B"/>
    <w:rsid w:val="00235D71"/>
    <w:rsid w:val="0023629D"/>
    <w:rsid w:val="002367F0"/>
    <w:rsid w:val="00237255"/>
    <w:rsid w:val="00237329"/>
    <w:rsid w:val="002376B1"/>
    <w:rsid w:val="0024033D"/>
    <w:rsid w:val="00241649"/>
    <w:rsid w:val="00241C90"/>
    <w:rsid w:val="002424AF"/>
    <w:rsid w:val="00242B70"/>
    <w:rsid w:val="00242D32"/>
    <w:rsid w:val="0024304D"/>
    <w:rsid w:val="00243548"/>
    <w:rsid w:val="002439DC"/>
    <w:rsid w:val="00243C19"/>
    <w:rsid w:val="002441D2"/>
    <w:rsid w:val="00244AE6"/>
    <w:rsid w:val="00244C1A"/>
    <w:rsid w:val="00244DC8"/>
    <w:rsid w:val="00244EF3"/>
    <w:rsid w:val="00244FD3"/>
    <w:rsid w:val="002458BA"/>
    <w:rsid w:val="00245CE9"/>
    <w:rsid w:val="0024636C"/>
    <w:rsid w:val="00247008"/>
    <w:rsid w:val="00247856"/>
    <w:rsid w:val="00247925"/>
    <w:rsid w:val="00247E4C"/>
    <w:rsid w:val="00250251"/>
    <w:rsid w:val="00251006"/>
    <w:rsid w:val="00251844"/>
    <w:rsid w:val="00252192"/>
    <w:rsid w:val="0025237F"/>
    <w:rsid w:val="002524D5"/>
    <w:rsid w:val="0025287D"/>
    <w:rsid w:val="00252D88"/>
    <w:rsid w:val="00253B1D"/>
    <w:rsid w:val="00253E33"/>
    <w:rsid w:val="002542B1"/>
    <w:rsid w:val="002542D9"/>
    <w:rsid w:val="00254DCF"/>
    <w:rsid w:val="0025534B"/>
    <w:rsid w:val="00255A02"/>
    <w:rsid w:val="00255BB7"/>
    <w:rsid w:val="00255D7F"/>
    <w:rsid w:val="002568FB"/>
    <w:rsid w:val="00257541"/>
    <w:rsid w:val="00257600"/>
    <w:rsid w:val="00257A39"/>
    <w:rsid w:val="00257AC4"/>
    <w:rsid w:val="00257BBE"/>
    <w:rsid w:val="00260010"/>
    <w:rsid w:val="002602BF"/>
    <w:rsid w:val="00260614"/>
    <w:rsid w:val="00260FAA"/>
    <w:rsid w:val="00261EEF"/>
    <w:rsid w:val="00262511"/>
    <w:rsid w:val="00262A1A"/>
    <w:rsid w:val="00262A87"/>
    <w:rsid w:val="00263145"/>
    <w:rsid w:val="00264BCD"/>
    <w:rsid w:val="00264D26"/>
    <w:rsid w:val="00265192"/>
    <w:rsid w:val="00266D61"/>
    <w:rsid w:val="00267642"/>
    <w:rsid w:val="00267AEA"/>
    <w:rsid w:val="002700E6"/>
    <w:rsid w:val="002701A3"/>
    <w:rsid w:val="00270464"/>
    <w:rsid w:val="00270A3F"/>
    <w:rsid w:val="00270E09"/>
    <w:rsid w:val="00271119"/>
    <w:rsid w:val="002712C2"/>
    <w:rsid w:val="002716FC"/>
    <w:rsid w:val="00272327"/>
    <w:rsid w:val="0027267F"/>
    <w:rsid w:val="0027294B"/>
    <w:rsid w:val="00272FC8"/>
    <w:rsid w:val="00273EB4"/>
    <w:rsid w:val="00273FFD"/>
    <w:rsid w:val="002744F1"/>
    <w:rsid w:val="00274650"/>
    <w:rsid w:val="00274682"/>
    <w:rsid w:val="00274BD3"/>
    <w:rsid w:val="00274C9A"/>
    <w:rsid w:val="00274E3C"/>
    <w:rsid w:val="00275158"/>
    <w:rsid w:val="00275C5A"/>
    <w:rsid w:val="00275E37"/>
    <w:rsid w:val="00276BA1"/>
    <w:rsid w:val="002771F6"/>
    <w:rsid w:val="00277CEE"/>
    <w:rsid w:val="00280EA4"/>
    <w:rsid w:val="00281014"/>
    <w:rsid w:val="00281549"/>
    <w:rsid w:val="00283E3D"/>
    <w:rsid w:val="002841BA"/>
    <w:rsid w:val="00285611"/>
    <w:rsid w:val="00285BCE"/>
    <w:rsid w:val="0028665D"/>
    <w:rsid w:val="0028678F"/>
    <w:rsid w:val="00287655"/>
    <w:rsid w:val="0028789B"/>
    <w:rsid w:val="00287913"/>
    <w:rsid w:val="00290173"/>
    <w:rsid w:val="0029019A"/>
    <w:rsid w:val="0029097A"/>
    <w:rsid w:val="00291518"/>
    <w:rsid w:val="00291FB6"/>
    <w:rsid w:val="0029209C"/>
    <w:rsid w:val="00292B36"/>
    <w:rsid w:val="00293028"/>
    <w:rsid w:val="002948E1"/>
    <w:rsid w:val="00294FB7"/>
    <w:rsid w:val="00295658"/>
    <w:rsid w:val="002958DD"/>
    <w:rsid w:val="0029703F"/>
    <w:rsid w:val="002972F8"/>
    <w:rsid w:val="002A027A"/>
    <w:rsid w:val="002A14AB"/>
    <w:rsid w:val="002A14B2"/>
    <w:rsid w:val="002A2780"/>
    <w:rsid w:val="002A2ADE"/>
    <w:rsid w:val="002A2F50"/>
    <w:rsid w:val="002A4154"/>
    <w:rsid w:val="002A508B"/>
    <w:rsid w:val="002A5719"/>
    <w:rsid w:val="002A741D"/>
    <w:rsid w:val="002A7943"/>
    <w:rsid w:val="002A7EDF"/>
    <w:rsid w:val="002B01E6"/>
    <w:rsid w:val="002B05A1"/>
    <w:rsid w:val="002B09A4"/>
    <w:rsid w:val="002B12E7"/>
    <w:rsid w:val="002B169C"/>
    <w:rsid w:val="002B1C1F"/>
    <w:rsid w:val="002B2798"/>
    <w:rsid w:val="002B2C4E"/>
    <w:rsid w:val="002B2EBB"/>
    <w:rsid w:val="002B3989"/>
    <w:rsid w:val="002B3E23"/>
    <w:rsid w:val="002B3FB9"/>
    <w:rsid w:val="002B432F"/>
    <w:rsid w:val="002B4B61"/>
    <w:rsid w:val="002B4F23"/>
    <w:rsid w:val="002B5B69"/>
    <w:rsid w:val="002B5C2A"/>
    <w:rsid w:val="002B62B3"/>
    <w:rsid w:val="002B64C2"/>
    <w:rsid w:val="002B6754"/>
    <w:rsid w:val="002B6CCE"/>
    <w:rsid w:val="002B79E6"/>
    <w:rsid w:val="002C05D4"/>
    <w:rsid w:val="002C067E"/>
    <w:rsid w:val="002C10D4"/>
    <w:rsid w:val="002C1C69"/>
    <w:rsid w:val="002C1FA8"/>
    <w:rsid w:val="002C21AB"/>
    <w:rsid w:val="002C2510"/>
    <w:rsid w:val="002C2775"/>
    <w:rsid w:val="002C27C1"/>
    <w:rsid w:val="002C36E3"/>
    <w:rsid w:val="002C3702"/>
    <w:rsid w:val="002C461E"/>
    <w:rsid w:val="002C4C4D"/>
    <w:rsid w:val="002C5099"/>
    <w:rsid w:val="002C5889"/>
    <w:rsid w:val="002C6082"/>
    <w:rsid w:val="002C6C1F"/>
    <w:rsid w:val="002C71CE"/>
    <w:rsid w:val="002C75C1"/>
    <w:rsid w:val="002C7783"/>
    <w:rsid w:val="002C7C96"/>
    <w:rsid w:val="002D0767"/>
    <w:rsid w:val="002D08F8"/>
    <w:rsid w:val="002D10AF"/>
    <w:rsid w:val="002D1211"/>
    <w:rsid w:val="002D13AF"/>
    <w:rsid w:val="002D1764"/>
    <w:rsid w:val="002D1EE0"/>
    <w:rsid w:val="002D2C1E"/>
    <w:rsid w:val="002D3424"/>
    <w:rsid w:val="002D3790"/>
    <w:rsid w:val="002D4F1F"/>
    <w:rsid w:val="002D5471"/>
    <w:rsid w:val="002D54C2"/>
    <w:rsid w:val="002D577C"/>
    <w:rsid w:val="002D5C55"/>
    <w:rsid w:val="002D5D52"/>
    <w:rsid w:val="002D604F"/>
    <w:rsid w:val="002D646E"/>
    <w:rsid w:val="002D7832"/>
    <w:rsid w:val="002D7B8E"/>
    <w:rsid w:val="002D7DE9"/>
    <w:rsid w:val="002E03DF"/>
    <w:rsid w:val="002E0EAD"/>
    <w:rsid w:val="002E1071"/>
    <w:rsid w:val="002E15B9"/>
    <w:rsid w:val="002E2158"/>
    <w:rsid w:val="002E2F98"/>
    <w:rsid w:val="002E3A23"/>
    <w:rsid w:val="002E3B83"/>
    <w:rsid w:val="002E3D4F"/>
    <w:rsid w:val="002E3E05"/>
    <w:rsid w:val="002E4F02"/>
    <w:rsid w:val="002E541F"/>
    <w:rsid w:val="002E5704"/>
    <w:rsid w:val="002E5C63"/>
    <w:rsid w:val="002E60A7"/>
    <w:rsid w:val="002E6440"/>
    <w:rsid w:val="002E7332"/>
    <w:rsid w:val="002E7722"/>
    <w:rsid w:val="002F07BA"/>
    <w:rsid w:val="002F0DA9"/>
    <w:rsid w:val="002F1014"/>
    <w:rsid w:val="002F197C"/>
    <w:rsid w:val="002F1B7F"/>
    <w:rsid w:val="002F1E3B"/>
    <w:rsid w:val="002F27EE"/>
    <w:rsid w:val="002F4F99"/>
    <w:rsid w:val="002F5619"/>
    <w:rsid w:val="002F5660"/>
    <w:rsid w:val="002F5AC6"/>
    <w:rsid w:val="002F5ACC"/>
    <w:rsid w:val="002F5B6D"/>
    <w:rsid w:val="002F62C1"/>
    <w:rsid w:val="002F643C"/>
    <w:rsid w:val="002F7177"/>
    <w:rsid w:val="002F71C0"/>
    <w:rsid w:val="002F74F1"/>
    <w:rsid w:val="002F7758"/>
    <w:rsid w:val="002F7C50"/>
    <w:rsid w:val="00301017"/>
    <w:rsid w:val="0030155F"/>
    <w:rsid w:val="0030166B"/>
    <w:rsid w:val="003016F6"/>
    <w:rsid w:val="00302856"/>
    <w:rsid w:val="00302E9A"/>
    <w:rsid w:val="00303221"/>
    <w:rsid w:val="00303C56"/>
    <w:rsid w:val="00304021"/>
    <w:rsid w:val="00304A2E"/>
    <w:rsid w:val="0030587B"/>
    <w:rsid w:val="00306D98"/>
    <w:rsid w:val="003075E8"/>
    <w:rsid w:val="003076D8"/>
    <w:rsid w:val="0030786C"/>
    <w:rsid w:val="00307F3D"/>
    <w:rsid w:val="0031031A"/>
    <w:rsid w:val="00310981"/>
    <w:rsid w:val="00310A81"/>
    <w:rsid w:val="00310D49"/>
    <w:rsid w:val="00311629"/>
    <w:rsid w:val="00311D9B"/>
    <w:rsid w:val="00311E55"/>
    <w:rsid w:val="00311EAB"/>
    <w:rsid w:val="003124D9"/>
    <w:rsid w:val="00312594"/>
    <w:rsid w:val="00312F15"/>
    <w:rsid w:val="00314812"/>
    <w:rsid w:val="003149E6"/>
    <w:rsid w:val="00315498"/>
    <w:rsid w:val="00315A68"/>
    <w:rsid w:val="00315C7F"/>
    <w:rsid w:val="00315E5E"/>
    <w:rsid w:val="00316474"/>
    <w:rsid w:val="00316514"/>
    <w:rsid w:val="00316C77"/>
    <w:rsid w:val="00316E77"/>
    <w:rsid w:val="003172C1"/>
    <w:rsid w:val="00320346"/>
    <w:rsid w:val="00320546"/>
    <w:rsid w:val="003205B5"/>
    <w:rsid w:val="00322107"/>
    <w:rsid w:val="00322355"/>
    <w:rsid w:val="00322409"/>
    <w:rsid w:val="00322846"/>
    <w:rsid w:val="003234E0"/>
    <w:rsid w:val="00323BF2"/>
    <w:rsid w:val="00323CE2"/>
    <w:rsid w:val="00324430"/>
    <w:rsid w:val="00324DC1"/>
    <w:rsid w:val="0032569C"/>
    <w:rsid w:val="003258E3"/>
    <w:rsid w:val="003264D3"/>
    <w:rsid w:val="00326C28"/>
    <w:rsid w:val="00326DA7"/>
    <w:rsid w:val="00326ECB"/>
    <w:rsid w:val="003270E4"/>
    <w:rsid w:val="003273CE"/>
    <w:rsid w:val="00327AAA"/>
    <w:rsid w:val="00327C0F"/>
    <w:rsid w:val="00330CBC"/>
    <w:rsid w:val="00330DAA"/>
    <w:rsid w:val="00330F5C"/>
    <w:rsid w:val="00331039"/>
    <w:rsid w:val="00331624"/>
    <w:rsid w:val="0033186F"/>
    <w:rsid w:val="00331B88"/>
    <w:rsid w:val="00331BD1"/>
    <w:rsid w:val="00332F56"/>
    <w:rsid w:val="00332F83"/>
    <w:rsid w:val="00333B37"/>
    <w:rsid w:val="00334BE0"/>
    <w:rsid w:val="003351B2"/>
    <w:rsid w:val="00336076"/>
    <w:rsid w:val="003366C9"/>
    <w:rsid w:val="00336CE6"/>
    <w:rsid w:val="00336CF4"/>
    <w:rsid w:val="003371B0"/>
    <w:rsid w:val="00337E25"/>
    <w:rsid w:val="00337F51"/>
    <w:rsid w:val="00340481"/>
    <w:rsid w:val="00340938"/>
    <w:rsid w:val="00340CF0"/>
    <w:rsid w:val="00340DF1"/>
    <w:rsid w:val="00341606"/>
    <w:rsid w:val="00341B2F"/>
    <w:rsid w:val="00342DDD"/>
    <w:rsid w:val="00342FCA"/>
    <w:rsid w:val="003449B3"/>
    <w:rsid w:val="0034510F"/>
    <w:rsid w:val="003458F7"/>
    <w:rsid w:val="00345AE5"/>
    <w:rsid w:val="00346FAD"/>
    <w:rsid w:val="003517F9"/>
    <w:rsid w:val="00351914"/>
    <w:rsid w:val="00351BA9"/>
    <w:rsid w:val="003535E6"/>
    <w:rsid w:val="00353C8F"/>
    <w:rsid w:val="00354313"/>
    <w:rsid w:val="00354617"/>
    <w:rsid w:val="00354D84"/>
    <w:rsid w:val="00354F64"/>
    <w:rsid w:val="00355830"/>
    <w:rsid w:val="003559A8"/>
    <w:rsid w:val="00355A0E"/>
    <w:rsid w:val="0035610E"/>
    <w:rsid w:val="0035620E"/>
    <w:rsid w:val="00356252"/>
    <w:rsid w:val="00356919"/>
    <w:rsid w:val="00357002"/>
    <w:rsid w:val="003575BE"/>
    <w:rsid w:val="00357653"/>
    <w:rsid w:val="00357704"/>
    <w:rsid w:val="00360345"/>
    <w:rsid w:val="003604BB"/>
    <w:rsid w:val="0036110C"/>
    <w:rsid w:val="0036154D"/>
    <w:rsid w:val="00361A05"/>
    <w:rsid w:val="003624C4"/>
    <w:rsid w:val="00363B00"/>
    <w:rsid w:val="00364A22"/>
    <w:rsid w:val="00365297"/>
    <w:rsid w:val="003654AC"/>
    <w:rsid w:val="0036592B"/>
    <w:rsid w:val="00366053"/>
    <w:rsid w:val="003665AB"/>
    <w:rsid w:val="003668C3"/>
    <w:rsid w:val="00366AC7"/>
    <w:rsid w:val="00367677"/>
    <w:rsid w:val="003678EE"/>
    <w:rsid w:val="003700CF"/>
    <w:rsid w:val="003710CF"/>
    <w:rsid w:val="00371AEA"/>
    <w:rsid w:val="00371ED6"/>
    <w:rsid w:val="003724D9"/>
    <w:rsid w:val="003728AF"/>
    <w:rsid w:val="0037358A"/>
    <w:rsid w:val="003750DE"/>
    <w:rsid w:val="003750F6"/>
    <w:rsid w:val="00375F86"/>
    <w:rsid w:val="003760FC"/>
    <w:rsid w:val="00376AFA"/>
    <w:rsid w:val="003770A7"/>
    <w:rsid w:val="00377C88"/>
    <w:rsid w:val="003815C1"/>
    <w:rsid w:val="00381DDA"/>
    <w:rsid w:val="00382F2F"/>
    <w:rsid w:val="0038330F"/>
    <w:rsid w:val="00383581"/>
    <w:rsid w:val="0038365C"/>
    <w:rsid w:val="0038369B"/>
    <w:rsid w:val="00383B78"/>
    <w:rsid w:val="00384193"/>
    <w:rsid w:val="0038421E"/>
    <w:rsid w:val="00385A9D"/>
    <w:rsid w:val="0038624D"/>
    <w:rsid w:val="00386D24"/>
    <w:rsid w:val="00387121"/>
    <w:rsid w:val="003902B1"/>
    <w:rsid w:val="0039034C"/>
    <w:rsid w:val="00390362"/>
    <w:rsid w:val="00390500"/>
    <w:rsid w:val="003908B5"/>
    <w:rsid w:val="00390D08"/>
    <w:rsid w:val="00390EBC"/>
    <w:rsid w:val="00391245"/>
    <w:rsid w:val="00391693"/>
    <w:rsid w:val="0039179C"/>
    <w:rsid w:val="00393484"/>
    <w:rsid w:val="00393735"/>
    <w:rsid w:val="0039488E"/>
    <w:rsid w:val="003948D3"/>
    <w:rsid w:val="00395ADB"/>
    <w:rsid w:val="00395D9B"/>
    <w:rsid w:val="00395F33"/>
    <w:rsid w:val="00396896"/>
    <w:rsid w:val="003968DB"/>
    <w:rsid w:val="00396FD0"/>
    <w:rsid w:val="00397102"/>
    <w:rsid w:val="0039752C"/>
    <w:rsid w:val="00397ECC"/>
    <w:rsid w:val="003A045F"/>
    <w:rsid w:val="003A0F64"/>
    <w:rsid w:val="003A1169"/>
    <w:rsid w:val="003A1627"/>
    <w:rsid w:val="003A195A"/>
    <w:rsid w:val="003A1983"/>
    <w:rsid w:val="003A1A7A"/>
    <w:rsid w:val="003A1C5E"/>
    <w:rsid w:val="003A1D77"/>
    <w:rsid w:val="003A1F6A"/>
    <w:rsid w:val="003A1FFA"/>
    <w:rsid w:val="003A2392"/>
    <w:rsid w:val="003A2831"/>
    <w:rsid w:val="003A29C0"/>
    <w:rsid w:val="003A31EA"/>
    <w:rsid w:val="003A3CB6"/>
    <w:rsid w:val="003A3ED1"/>
    <w:rsid w:val="003A44DB"/>
    <w:rsid w:val="003A4C14"/>
    <w:rsid w:val="003A6140"/>
    <w:rsid w:val="003A6428"/>
    <w:rsid w:val="003A6796"/>
    <w:rsid w:val="003A69DE"/>
    <w:rsid w:val="003A6F84"/>
    <w:rsid w:val="003A7763"/>
    <w:rsid w:val="003AD68D"/>
    <w:rsid w:val="003B00FE"/>
    <w:rsid w:val="003B0990"/>
    <w:rsid w:val="003B125A"/>
    <w:rsid w:val="003B1BB6"/>
    <w:rsid w:val="003B1C05"/>
    <w:rsid w:val="003B1DDB"/>
    <w:rsid w:val="003B2778"/>
    <w:rsid w:val="003B382E"/>
    <w:rsid w:val="003B3971"/>
    <w:rsid w:val="003B46F5"/>
    <w:rsid w:val="003B55D1"/>
    <w:rsid w:val="003B5710"/>
    <w:rsid w:val="003B5A5F"/>
    <w:rsid w:val="003B5B61"/>
    <w:rsid w:val="003B717C"/>
    <w:rsid w:val="003B7656"/>
    <w:rsid w:val="003C00B4"/>
    <w:rsid w:val="003C03B6"/>
    <w:rsid w:val="003C0D45"/>
    <w:rsid w:val="003C1654"/>
    <w:rsid w:val="003C262C"/>
    <w:rsid w:val="003C4D22"/>
    <w:rsid w:val="003C5542"/>
    <w:rsid w:val="003C57CE"/>
    <w:rsid w:val="003C68F1"/>
    <w:rsid w:val="003C7C15"/>
    <w:rsid w:val="003C7D19"/>
    <w:rsid w:val="003C7D2F"/>
    <w:rsid w:val="003C7E53"/>
    <w:rsid w:val="003D0468"/>
    <w:rsid w:val="003D0C5A"/>
    <w:rsid w:val="003D12F6"/>
    <w:rsid w:val="003D1828"/>
    <w:rsid w:val="003D1DE4"/>
    <w:rsid w:val="003D1E9A"/>
    <w:rsid w:val="003D2422"/>
    <w:rsid w:val="003D252D"/>
    <w:rsid w:val="003D393A"/>
    <w:rsid w:val="003D39A1"/>
    <w:rsid w:val="003D3FBF"/>
    <w:rsid w:val="003D44FD"/>
    <w:rsid w:val="003D4554"/>
    <w:rsid w:val="003D4A30"/>
    <w:rsid w:val="003D4AD1"/>
    <w:rsid w:val="003D584A"/>
    <w:rsid w:val="003D6438"/>
    <w:rsid w:val="003D6DC8"/>
    <w:rsid w:val="003D7452"/>
    <w:rsid w:val="003D79BB"/>
    <w:rsid w:val="003D7C33"/>
    <w:rsid w:val="003D7C98"/>
    <w:rsid w:val="003D7D9D"/>
    <w:rsid w:val="003D7E19"/>
    <w:rsid w:val="003D7E66"/>
    <w:rsid w:val="003E0518"/>
    <w:rsid w:val="003E0543"/>
    <w:rsid w:val="003E0CE7"/>
    <w:rsid w:val="003E121F"/>
    <w:rsid w:val="003E1377"/>
    <w:rsid w:val="003E24FD"/>
    <w:rsid w:val="003E3E5F"/>
    <w:rsid w:val="003E5603"/>
    <w:rsid w:val="003E6849"/>
    <w:rsid w:val="003E749E"/>
    <w:rsid w:val="003E7615"/>
    <w:rsid w:val="003E7879"/>
    <w:rsid w:val="003E7F62"/>
    <w:rsid w:val="003F06AD"/>
    <w:rsid w:val="003F1F73"/>
    <w:rsid w:val="003F20BC"/>
    <w:rsid w:val="003F2511"/>
    <w:rsid w:val="003F37A9"/>
    <w:rsid w:val="003F4156"/>
    <w:rsid w:val="003F4F55"/>
    <w:rsid w:val="003F501A"/>
    <w:rsid w:val="003F5632"/>
    <w:rsid w:val="003F5951"/>
    <w:rsid w:val="003F5AC5"/>
    <w:rsid w:val="003F5ADF"/>
    <w:rsid w:val="003F6847"/>
    <w:rsid w:val="003F73D9"/>
    <w:rsid w:val="0040017D"/>
    <w:rsid w:val="00400B29"/>
    <w:rsid w:val="00401998"/>
    <w:rsid w:val="00402812"/>
    <w:rsid w:val="00403549"/>
    <w:rsid w:val="00403F43"/>
    <w:rsid w:val="0040402C"/>
    <w:rsid w:val="004041BF"/>
    <w:rsid w:val="00404759"/>
    <w:rsid w:val="00404C52"/>
    <w:rsid w:val="0040504B"/>
    <w:rsid w:val="004050D1"/>
    <w:rsid w:val="0040540F"/>
    <w:rsid w:val="004059F4"/>
    <w:rsid w:val="00406126"/>
    <w:rsid w:val="00406165"/>
    <w:rsid w:val="00406A47"/>
    <w:rsid w:val="00407FE5"/>
    <w:rsid w:val="004101B0"/>
    <w:rsid w:val="00410326"/>
    <w:rsid w:val="00410708"/>
    <w:rsid w:val="00410EC7"/>
    <w:rsid w:val="0041190F"/>
    <w:rsid w:val="00411B39"/>
    <w:rsid w:val="00412142"/>
    <w:rsid w:val="004127A7"/>
    <w:rsid w:val="0041294F"/>
    <w:rsid w:val="004129AD"/>
    <w:rsid w:val="0041318F"/>
    <w:rsid w:val="00413A1E"/>
    <w:rsid w:val="00414058"/>
    <w:rsid w:val="004143F0"/>
    <w:rsid w:val="00414476"/>
    <w:rsid w:val="004145A7"/>
    <w:rsid w:val="00414C2E"/>
    <w:rsid w:val="00414F68"/>
    <w:rsid w:val="004151CF"/>
    <w:rsid w:val="004155D4"/>
    <w:rsid w:val="00415CC6"/>
    <w:rsid w:val="0041609D"/>
    <w:rsid w:val="00416364"/>
    <w:rsid w:val="00417644"/>
    <w:rsid w:val="0042047F"/>
    <w:rsid w:val="00420AA6"/>
    <w:rsid w:val="00420B9F"/>
    <w:rsid w:val="0042192C"/>
    <w:rsid w:val="00421C8A"/>
    <w:rsid w:val="00422260"/>
    <w:rsid w:val="004228FD"/>
    <w:rsid w:val="00422AE4"/>
    <w:rsid w:val="00423321"/>
    <w:rsid w:val="00423604"/>
    <w:rsid w:val="0042413F"/>
    <w:rsid w:val="00424DDD"/>
    <w:rsid w:val="00425564"/>
    <w:rsid w:val="00425709"/>
    <w:rsid w:val="00426C58"/>
    <w:rsid w:val="00427352"/>
    <w:rsid w:val="00427561"/>
    <w:rsid w:val="004278B9"/>
    <w:rsid w:val="004278C2"/>
    <w:rsid w:val="00427D23"/>
    <w:rsid w:val="00427DEF"/>
    <w:rsid w:val="004302ED"/>
    <w:rsid w:val="0043146A"/>
    <w:rsid w:val="004319F8"/>
    <w:rsid w:val="00431B18"/>
    <w:rsid w:val="00431E55"/>
    <w:rsid w:val="004321F6"/>
    <w:rsid w:val="00432384"/>
    <w:rsid w:val="00433044"/>
    <w:rsid w:val="004333FA"/>
    <w:rsid w:val="00433FCC"/>
    <w:rsid w:val="0043401E"/>
    <w:rsid w:val="00434088"/>
    <w:rsid w:val="00434515"/>
    <w:rsid w:val="0043464F"/>
    <w:rsid w:val="004346F8"/>
    <w:rsid w:val="00434D74"/>
    <w:rsid w:val="00434FCF"/>
    <w:rsid w:val="00435BAA"/>
    <w:rsid w:val="00435FAB"/>
    <w:rsid w:val="00436DFB"/>
    <w:rsid w:val="00436E39"/>
    <w:rsid w:val="0043720C"/>
    <w:rsid w:val="004375B9"/>
    <w:rsid w:val="00437A85"/>
    <w:rsid w:val="00441FED"/>
    <w:rsid w:val="0044200B"/>
    <w:rsid w:val="004426B7"/>
    <w:rsid w:val="004428D0"/>
    <w:rsid w:val="00443004"/>
    <w:rsid w:val="00444185"/>
    <w:rsid w:val="004443A7"/>
    <w:rsid w:val="0044442C"/>
    <w:rsid w:val="00444601"/>
    <w:rsid w:val="00445941"/>
    <w:rsid w:val="00445DAC"/>
    <w:rsid w:val="00445F05"/>
    <w:rsid w:val="00445FE3"/>
    <w:rsid w:val="004464EB"/>
    <w:rsid w:val="00446710"/>
    <w:rsid w:val="00447D26"/>
    <w:rsid w:val="00447DFC"/>
    <w:rsid w:val="00450023"/>
    <w:rsid w:val="004500AB"/>
    <w:rsid w:val="004503D8"/>
    <w:rsid w:val="004503DA"/>
    <w:rsid w:val="004511C6"/>
    <w:rsid w:val="00451A65"/>
    <w:rsid w:val="0045209B"/>
    <w:rsid w:val="00453254"/>
    <w:rsid w:val="00453451"/>
    <w:rsid w:val="00453C48"/>
    <w:rsid w:val="00453F03"/>
    <w:rsid w:val="00454F3A"/>
    <w:rsid w:val="0045557C"/>
    <w:rsid w:val="00455D45"/>
    <w:rsid w:val="00455D57"/>
    <w:rsid w:val="00455DA4"/>
    <w:rsid w:val="00456BBB"/>
    <w:rsid w:val="00457AAE"/>
    <w:rsid w:val="004617AE"/>
    <w:rsid w:val="00462303"/>
    <w:rsid w:val="00462712"/>
    <w:rsid w:val="00462748"/>
    <w:rsid w:val="0046295F"/>
    <w:rsid w:val="00462EF5"/>
    <w:rsid w:val="004630AA"/>
    <w:rsid w:val="00464595"/>
    <w:rsid w:val="004645FC"/>
    <w:rsid w:val="00464AAF"/>
    <w:rsid w:val="00465631"/>
    <w:rsid w:val="004658B5"/>
    <w:rsid w:val="00465A16"/>
    <w:rsid w:val="00465C47"/>
    <w:rsid w:val="0046667D"/>
    <w:rsid w:val="004675B8"/>
    <w:rsid w:val="00467A4A"/>
    <w:rsid w:val="00467A58"/>
    <w:rsid w:val="00470167"/>
    <w:rsid w:val="004707E3"/>
    <w:rsid w:val="00470BE8"/>
    <w:rsid w:val="004716D8"/>
    <w:rsid w:val="00471EA5"/>
    <w:rsid w:val="0047275B"/>
    <w:rsid w:val="00472A79"/>
    <w:rsid w:val="004730AC"/>
    <w:rsid w:val="00473F19"/>
    <w:rsid w:val="0047552C"/>
    <w:rsid w:val="00475E22"/>
    <w:rsid w:val="00476825"/>
    <w:rsid w:val="00476FBC"/>
    <w:rsid w:val="00477440"/>
    <w:rsid w:val="004774A3"/>
    <w:rsid w:val="00477AC4"/>
    <w:rsid w:val="0048088E"/>
    <w:rsid w:val="00480A94"/>
    <w:rsid w:val="00480F2B"/>
    <w:rsid w:val="004810D4"/>
    <w:rsid w:val="00482720"/>
    <w:rsid w:val="0048295B"/>
    <w:rsid w:val="004835E7"/>
    <w:rsid w:val="004839B8"/>
    <w:rsid w:val="00483C29"/>
    <w:rsid w:val="0048433F"/>
    <w:rsid w:val="00484456"/>
    <w:rsid w:val="00484D59"/>
    <w:rsid w:val="00484EEE"/>
    <w:rsid w:val="00485279"/>
    <w:rsid w:val="004859E1"/>
    <w:rsid w:val="004867E2"/>
    <w:rsid w:val="00487A2A"/>
    <w:rsid w:val="0049073D"/>
    <w:rsid w:val="00490A79"/>
    <w:rsid w:val="00490B17"/>
    <w:rsid w:val="0049110A"/>
    <w:rsid w:val="00491B3A"/>
    <w:rsid w:val="00492CFD"/>
    <w:rsid w:val="004935F3"/>
    <w:rsid w:val="00493FEA"/>
    <w:rsid w:val="00494207"/>
    <w:rsid w:val="004942B9"/>
    <w:rsid w:val="00494491"/>
    <w:rsid w:val="004948DE"/>
    <w:rsid w:val="00494B16"/>
    <w:rsid w:val="00494DD5"/>
    <w:rsid w:val="004952C2"/>
    <w:rsid w:val="004962D2"/>
    <w:rsid w:val="00496904"/>
    <w:rsid w:val="00496E63"/>
    <w:rsid w:val="004A015A"/>
    <w:rsid w:val="004A0DA1"/>
    <w:rsid w:val="004A1341"/>
    <w:rsid w:val="004A13D6"/>
    <w:rsid w:val="004A1E10"/>
    <w:rsid w:val="004A1F22"/>
    <w:rsid w:val="004A26E7"/>
    <w:rsid w:val="004A3C50"/>
    <w:rsid w:val="004A4C5A"/>
    <w:rsid w:val="004A52E9"/>
    <w:rsid w:val="004A5341"/>
    <w:rsid w:val="004A6040"/>
    <w:rsid w:val="004A62B4"/>
    <w:rsid w:val="004A6597"/>
    <w:rsid w:val="004A7848"/>
    <w:rsid w:val="004A793B"/>
    <w:rsid w:val="004A7AB2"/>
    <w:rsid w:val="004A7E27"/>
    <w:rsid w:val="004A7F48"/>
    <w:rsid w:val="004A7FF1"/>
    <w:rsid w:val="004B17E1"/>
    <w:rsid w:val="004B1955"/>
    <w:rsid w:val="004B1CB4"/>
    <w:rsid w:val="004B214F"/>
    <w:rsid w:val="004B2F18"/>
    <w:rsid w:val="004B3007"/>
    <w:rsid w:val="004B3DDB"/>
    <w:rsid w:val="004B43FC"/>
    <w:rsid w:val="004B44FD"/>
    <w:rsid w:val="004B4E98"/>
    <w:rsid w:val="004B5181"/>
    <w:rsid w:val="004B5CFC"/>
    <w:rsid w:val="004B5F68"/>
    <w:rsid w:val="004B6547"/>
    <w:rsid w:val="004B6EA9"/>
    <w:rsid w:val="004B6F79"/>
    <w:rsid w:val="004B7081"/>
    <w:rsid w:val="004B774D"/>
    <w:rsid w:val="004B7EAD"/>
    <w:rsid w:val="004C0A74"/>
    <w:rsid w:val="004C162F"/>
    <w:rsid w:val="004C1C53"/>
    <w:rsid w:val="004C25A9"/>
    <w:rsid w:val="004C2AC2"/>
    <w:rsid w:val="004C2BF4"/>
    <w:rsid w:val="004C2DE8"/>
    <w:rsid w:val="004C2E8E"/>
    <w:rsid w:val="004C34E8"/>
    <w:rsid w:val="004C354B"/>
    <w:rsid w:val="004C4272"/>
    <w:rsid w:val="004C44AA"/>
    <w:rsid w:val="004C4748"/>
    <w:rsid w:val="004C4AED"/>
    <w:rsid w:val="004C4D65"/>
    <w:rsid w:val="004C5FCD"/>
    <w:rsid w:val="004C6456"/>
    <w:rsid w:val="004C648E"/>
    <w:rsid w:val="004C68D2"/>
    <w:rsid w:val="004D105D"/>
    <w:rsid w:val="004D125C"/>
    <w:rsid w:val="004D195B"/>
    <w:rsid w:val="004D1F62"/>
    <w:rsid w:val="004D223F"/>
    <w:rsid w:val="004D251B"/>
    <w:rsid w:val="004D2C2D"/>
    <w:rsid w:val="004D2FB3"/>
    <w:rsid w:val="004D31D3"/>
    <w:rsid w:val="004D3C45"/>
    <w:rsid w:val="004D4615"/>
    <w:rsid w:val="004D49A6"/>
    <w:rsid w:val="004D569F"/>
    <w:rsid w:val="004D5AB9"/>
    <w:rsid w:val="004D68E0"/>
    <w:rsid w:val="004D69B5"/>
    <w:rsid w:val="004D7227"/>
    <w:rsid w:val="004D7B5E"/>
    <w:rsid w:val="004E0390"/>
    <w:rsid w:val="004E0758"/>
    <w:rsid w:val="004E0E7F"/>
    <w:rsid w:val="004E0EB8"/>
    <w:rsid w:val="004E177A"/>
    <w:rsid w:val="004E18E9"/>
    <w:rsid w:val="004E2553"/>
    <w:rsid w:val="004E2ADC"/>
    <w:rsid w:val="004E31EC"/>
    <w:rsid w:val="004E3FF5"/>
    <w:rsid w:val="004E43B2"/>
    <w:rsid w:val="004E5A67"/>
    <w:rsid w:val="004E5E8A"/>
    <w:rsid w:val="004E60E4"/>
    <w:rsid w:val="004E6249"/>
    <w:rsid w:val="004E647C"/>
    <w:rsid w:val="004E6604"/>
    <w:rsid w:val="004E6E39"/>
    <w:rsid w:val="004E6EDA"/>
    <w:rsid w:val="004E75D2"/>
    <w:rsid w:val="004E7A11"/>
    <w:rsid w:val="004F04B0"/>
    <w:rsid w:val="004F1024"/>
    <w:rsid w:val="004F14A2"/>
    <w:rsid w:val="004F1514"/>
    <w:rsid w:val="004F1630"/>
    <w:rsid w:val="004F1A3A"/>
    <w:rsid w:val="004F1D02"/>
    <w:rsid w:val="004F2679"/>
    <w:rsid w:val="004F2B3C"/>
    <w:rsid w:val="004F2B46"/>
    <w:rsid w:val="004F2F21"/>
    <w:rsid w:val="004F3DE5"/>
    <w:rsid w:val="004F3E58"/>
    <w:rsid w:val="004F520B"/>
    <w:rsid w:val="004F574B"/>
    <w:rsid w:val="004F6913"/>
    <w:rsid w:val="004F6CF9"/>
    <w:rsid w:val="004F7532"/>
    <w:rsid w:val="004F7858"/>
    <w:rsid w:val="004F7865"/>
    <w:rsid w:val="004F7C86"/>
    <w:rsid w:val="005001A0"/>
    <w:rsid w:val="0050174E"/>
    <w:rsid w:val="00501854"/>
    <w:rsid w:val="005018D7"/>
    <w:rsid w:val="00501A9E"/>
    <w:rsid w:val="0050219B"/>
    <w:rsid w:val="0050318A"/>
    <w:rsid w:val="00503F17"/>
    <w:rsid w:val="00503F3A"/>
    <w:rsid w:val="0050413E"/>
    <w:rsid w:val="00504866"/>
    <w:rsid w:val="00504B94"/>
    <w:rsid w:val="005057F3"/>
    <w:rsid w:val="005064A3"/>
    <w:rsid w:val="00506928"/>
    <w:rsid w:val="0050700C"/>
    <w:rsid w:val="005074BD"/>
    <w:rsid w:val="005076F1"/>
    <w:rsid w:val="005077EF"/>
    <w:rsid w:val="00510054"/>
    <w:rsid w:val="00510AF7"/>
    <w:rsid w:val="00511AD5"/>
    <w:rsid w:val="00511DC7"/>
    <w:rsid w:val="00512234"/>
    <w:rsid w:val="00512B69"/>
    <w:rsid w:val="00512E01"/>
    <w:rsid w:val="00513869"/>
    <w:rsid w:val="005142C5"/>
    <w:rsid w:val="0051501B"/>
    <w:rsid w:val="005152B5"/>
    <w:rsid w:val="005157B2"/>
    <w:rsid w:val="00515886"/>
    <w:rsid w:val="005160F5"/>
    <w:rsid w:val="00516CBA"/>
    <w:rsid w:val="00516FBB"/>
    <w:rsid w:val="0051722D"/>
    <w:rsid w:val="00517441"/>
    <w:rsid w:val="0051770A"/>
    <w:rsid w:val="00517ADF"/>
    <w:rsid w:val="00517C7F"/>
    <w:rsid w:val="00520B10"/>
    <w:rsid w:val="00521143"/>
    <w:rsid w:val="0052123C"/>
    <w:rsid w:val="00521319"/>
    <w:rsid w:val="005213EE"/>
    <w:rsid w:val="00521DB3"/>
    <w:rsid w:val="00522AFD"/>
    <w:rsid w:val="00522BC8"/>
    <w:rsid w:val="00523C28"/>
    <w:rsid w:val="0052414A"/>
    <w:rsid w:val="0052474F"/>
    <w:rsid w:val="00524CF3"/>
    <w:rsid w:val="00525A2A"/>
    <w:rsid w:val="0052628C"/>
    <w:rsid w:val="0052692E"/>
    <w:rsid w:val="005269F1"/>
    <w:rsid w:val="00526C8C"/>
    <w:rsid w:val="005275B1"/>
    <w:rsid w:val="00527D34"/>
    <w:rsid w:val="00530EF0"/>
    <w:rsid w:val="005315E9"/>
    <w:rsid w:val="0053176B"/>
    <w:rsid w:val="00531C2D"/>
    <w:rsid w:val="005324B7"/>
    <w:rsid w:val="00532753"/>
    <w:rsid w:val="00532B49"/>
    <w:rsid w:val="00533BE8"/>
    <w:rsid w:val="005341B3"/>
    <w:rsid w:val="00534AB8"/>
    <w:rsid w:val="0053587A"/>
    <w:rsid w:val="005362E7"/>
    <w:rsid w:val="00536C56"/>
    <w:rsid w:val="00536F42"/>
    <w:rsid w:val="00537182"/>
    <w:rsid w:val="00537C5B"/>
    <w:rsid w:val="005408D1"/>
    <w:rsid w:val="00540F0D"/>
    <w:rsid w:val="0054161D"/>
    <w:rsid w:val="00541E6A"/>
    <w:rsid w:val="00541EDD"/>
    <w:rsid w:val="0054273B"/>
    <w:rsid w:val="00542743"/>
    <w:rsid w:val="00542C2D"/>
    <w:rsid w:val="00542EB5"/>
    <w:rsid w:val="005438B9"/>
    <w:rsid w:val="00544236"/>
    <w:rsid w:val="005442F1"/>
    <w:rsid w:val="00544A85"/>
    <w:rsid w:val="00544F54"/>
    <w:rsid w:val="005478BD"/>
    <w:rsid w:val="005479E3"/>
    <w:rsid w:val="00551399"/>
    <w:rsid w:val="00551985"/>
    <w:rsid w:val="00552373"/>
    <w:rsid w:val="00552A09"/>
    <w:rsid w:val="00552BD3"/>
    <w:rsid w:val="005532A0"/>
    <w:rsid w:val="00553C8A"/>
    <w:rsid w:val="005542D7"/>
    <w:rsid w:val="0055483D"/>
    <w:rsid w:val="00555109"/>
    <w:rsid w:val="005551FA"/>
    <w:rsid w:val="0055529F"/>
    <w:rsid w:val="005559C3"/>
    <w:rsid w:val="005562E5"/>
    <w:rsid w:val="005564EF"/>
    <w:rsid w:val="00556B35"/>
    <w:rsid w:val="00556EA6"/>
    <w:rsid w:val="0055741A"/>
    <w:rsid w:val="005578A8"/>
    <w:rsid w:val="00557E6B"/>
    <w:rsid w:val="00560928"/>
    <w:rsid w:val="00560EDF"/>
    <w:rsid w:val="005611B7"/>
    <w:rsid w:val="005614CB"/>
    <w:rsid w:val="005618D4"/>
    <w:rsid w:val="00562708"/>
    <w:rsid w:val="00562B98"/>
    <w:rsid w:val="00562D3A"/>
    <w:rsid w:val="00562DA7"/>
    <w:rsid w:val="00563B28"/>
    <w:rsid w:val="005640E6"/>
    <w:rsid w:val="005643A6"/>
    <w:rsid w:val="00564867"/>
    <w:rsid w:val="00564F5D"/>
    <w:rsid w:val="00565129"/>
    <w:rsid w:val="0056578D"/>
    <w:rsid w:val="00565C79"/>
    <w:rsid w:val="00565DF0"/>
    <w:rsid w:val="0056696F"/>
    <w:rsid w:val="00567141"/>
    <w:rsid w:val="00567339"/>
    <w:rsid w:val="00567522"/>
    <w:rsid w:val="0056776E"/>
    <w:rsid w:val="00567AFF"/>
    <w:rsid w:val="00567C4C"/>
    <w:rsid w:val="00571260"/>
    <w:rsid w:val="0057149C"/>
    <w:rsid w:val="00571712"/>
    <w:rsid w:val="0057191A"/>
    <w:rsid w:val="00571E81"/>
    <w:rsid w:val="00572028"/>
    <w:rsid w:val="0057222C"/>
    <w:rsid w:val="00572269"/>
    <w:rsid w:val="005722DD"/>
    <w:rsid w:val="00572431"/>
    <w:rsid w:val="0057244A"/>
    <w:rsid w:val="00572628"/>
    <w:rsid w:val="00572F26"/>
    <w:rsid w:val="00573532"/>
    <w:rsid w:val="005739DF"/>
    <w:rsid w:val="005743FC"/>
    <w:rsid w:val="00574A1C"/>
    <w:rsid w:val="005750C5"/>
    <w:rsid w:val="005752DE"/>
    <w:rsid w:val="00575D60"/>
    <w:rsid w:val="00575D8D"/>
    <w:rsid w:val="00576372"/>
    <w:rsid w:val="00576681"/>
    <w:rsid w:val="00576972"/>
    <w:rsid w:val="00577248"/>
    <w:rsid w:val="00577926"/>
    <w:rsid w:val="00577ED0"/>
    <w:rsid w:val="005805DB"/>
    <w:rsid w:val="00580B0B"/>
    <w:rsid w:val="005815C8"/>
    <w:rsid w:val="00581E24"/>
    <w:rsid w:val="005820AD"/>
    <w:rsid w:val="00582D68"/>
    <w:rsid w:val="00583676"/>
    <w:rsid w:val="00583699"/>
    <w:rsid w:val="00583A7B"/>
    <w:rsid w:val="00584725"/>
    <w:rsid w:val="00584A2B"/>
    <w:rsid w:val="00585CDD"/>
    <w:rsid w:val="0058623C"/>
    <w:rsid w:val="0058653F"/>
    <w:rsid w:val="00587058"/>
    <w:rsid w:val="00590EFC"/>
    <w:rsid w:val="00591957"/>
    <w:rsid w:val="005927CD"/>
    <w:rsid w:val="0059356B"/>
    <w:rsid w:val="005946A1"/>
    <w:rsid w:val="00594B27"/>
    <w:rsid w:val="00594C44"/>
    <w:rsid w:val="00595B11"/>
    <w:rsid w:val="00596907"/>
    <w:rsid w:val="005975D8"/>
    <w:rsid w:val="00597651"/>
    <w:rsid w:val="00597BF9"/>
    <w:rsid w:val="005A0C11"/>
    <w:rsid w:val="005A119D"/>
    <w:rsid w:val="005A1465"/>
    <w:rsid w:val="005A1630"/>
    <w:rsid w:val="005A1D53"/>
    <w:rsid w:val="005A257A"/>
    <w:rsid w:val="005A2B47"/>
    <w:rsid w:val="005A309A"/>
    <w:rsid w:val="005A373D"/>
    <w:rsid w:val="005A5070"/>
    <w:rsid w:val="005A7305"/>
    <w:rsid w:val="005B0A0F"/>
    <w:rsid w:val="005B0B58"/>
    <w:rsid w:val="005B1081"/>
    <w:rsid w:val="005B131D"/>
    <w:rsid w:val="005B2947"/>
    <w:rsid w:val="005B3348"/>
    <w:rsid w:val="005B3A5B"/>
    <w:rsid w:val="005B4E53"/>
    <w:rsid w:val="005B54C1"/>
    <w:rsid w:val="005B576B"/>
    <w:rsid w:val="005B5857"/>
    <w:rsid w:val="005B6AE4"/>
    <w:rsid w:val="005C03A3"/>
    <w:rsid w:val="005C0473"/>
    <w:rsid w:val="005C1392"/>
    <w:rsid w:val="005C1919"/>
    <w:rsid w:val="005C19C4"/>
    <w:rsid w:val="005C1B83"/>
    <w:rsid w:val="005C1C83"/>
    <w:rsid w:val="005C25FF"/>
    <w:rsid w:val="005C28FB"/>
    <w:rsid w:val="005C2975"/>
    <w:rsid w:val="005C2D55"/>
    <w:rsid w:val="005C3263"/>
    <w:rsid w:val="005C346B"/>
    <w:rsid w:val="005C3688"/>
    <w:rsid w:val="005C4856"/>
    <w:rsid w:val="005C4E3D"/>
    <w:rsid w:val="005C58FE"/>
    <w:rsid w:val="005C5ABC"/>
    <w:rsid w:val="005C68F1"/>
    <w:rsid w:val="005C7B77"/>
    <w:rsid w:val="005D02D1"/>
    <w:rsid w:val="005D044D"/>
    <w:rsid w:val="005D05F1"/>
    <w:rsid w:val="005D099B"/>
    <w:rsid w:val="005D0ABD"/>
    <w:rsid w:val="005D0CA6"/>
    <w:rsid w:val="005D18AD"/>
    <w:rsid w:val="005D1CF4"/>
    <w:rsid w:val="005D267F"/>
    <w:rsid w:val="005D26B4"/>
    <w:rsid w:val="005D311D"/>
    <w:rsid w:val="005D4D29"/>
    <w:rsid w:val="005D5186"/>
    <w:rsid w:val="005D543D"/>
    <w:rsid w:val="005D5B01"/>
    <w:rsid w:val="005D601F"/>
    <w:rsid w:val="005D6AD5"/>
    <w:rsid w:val="005D70B1"/>
    <w:rsid w:val="005D77A9"/>
    <w:rsid w:val="005E0484"/>
    <w:rsid w:val="005E060F"/>
    <w:rsid w:val="005E0E43"/>
    <w:rsid w:val="005E1511"/>
    <w:rsid w:val="005E1670"/>
    <w:rsid w:val="005E1995"/>
    <w:rsid w:val="005E19C2"/>
    <w:rsid w:val="005E2482"/>
    <w:rsid w:val="005E2BE4"/>
    <w:rsid w:val="005E48E9"/>
    <w:rsid w:val="005E4B49"/>
    <w:rsid w:val="005E4E15"/>
    <w:rsid w:val="005E51BB"/>
    <w:rsid w:val="005E624E"/>
    <w:rsid w:val="005E6C44"/>
    <w:rsid w:val="005E6CBC"/>
    <w:rsid w:val="005E72FF"/>
    <w:rsid w:val="005E7325"/>
    <w:rsid w:val="005E73C0"/>
    <w:rsid w:val="005F0570"/>
    <w:rsid w:val="005F07ED"/>
    <w:rsid w:val="005F085F"/>
    <w:rsid w:val="005F2706"/>
    <w:rsid w:val="005F3670"/>
    <w:rsid w:val="005F3F52"/>
    <w:rsid w:val="005F574C"/>
    <w:rsid w:val="005F6A8F"/>
    <w:rsid w:val="005F6BB7"/>
    <w:rsid w:val="005F6BD3"/>
    <w:rsid w:val="005F71C6"/>
    <w:rsid w:val="005F7588"/>
    <w:rsid w:val="005F76AB"/>
    <w:rsid w:val="005F7C44"/>
    <w:rsid w:val="00600334"/>
    <w:rsid w:val="0060111E"/>
    <w:rsid w:val="006014BF"/>
    <w:rsid w:val="006027AC"/>
    <w:rsid w:val="0060287D"/>
    <w:rsid w:val="00602D69"/>
    <w:rsid w:val="006031EC"/>
    <w:rsid w:val="006032F4"/>
    <w:rsid w:val="00603DB9"/>
    <w:rsid w:val="00603F34"/>
    <w:rsid w:val="00604BCC"/>
    <w:rsid w:val="006055E1"/>
    <w:rsid w:val="00606264"/>
    <w:rsid w:val="00606B4F"/>
    <w:rsid w:val="00606FBA"/>
    <w:rsid w:val="00607669"/>
    <w:rsid w:val="006076F4"/>
    <w:rsid w:val="00607AFD"/>
    <w:rsid w:val="00610404"/>
    <w:rsid w:val="0061040D"/>
    <w:rsid w:val="006104AE"/>
    <w:rsid w:val="006104CF"/>
    <w:rsid w:val="00610712"/>
    <w:rsid w:val="00611B12"/>
    <w:rsid w:val="00611E39"/>
    <w:rsid w:val="0061289C"/>
    <w:rsid w:val="00612BEF"/>
    <w:rsid w:val="00612E3C"/>
    <w:rsid w:val="00612F92"/>
    <w:rsid w:val="00612F97"/>
    <w:rsid w:val="00612FF5"/>
    <w:rsid w:val="0061345D"/>
    <w:rsid w:val="006145A7"/>
    <w:rsid w:val="006146EC"/>
    <w:rsid w:val="00614914"/>
    <w:rsid w:val="00615064"/>
    <w:rsid w:val="0061549B"/>
    <w:rsid w:val="00616802"/>
    <w:rsid w:val="00617E12"/>
    <w:rsid w:val="00620B6F"/>
    <w:rsid w:val="00620BA4"/>
    <w:rsid w:val="00620C25"/>
    <w:rsid w:val="00620FB1"/>
    <w:rsid w:val="00621102"/>
    <w:rsid w:val="00621477"/>
    <w:rsid w:val="00621979"/>
    <w:rsid w:val="00621ADA"/>
    <w:rsid w:val="00621CD8"/>
    <w:rsid w:val="00622DD0"/>
    <w:rsid w:val="00622DD5"/>
    <w:rsid w:val="006237C4"/>
    <w:rsid w:val="006238FA"/>
    <w:rsid w:val="00623A88"/>
    <w:rsid w:val="00623F7B"/>
    <w:rsid w:val="00624877"/>
    <w:rsid w:val="006249B3"/>
    <w:rsid w:val="00624BD4"/>
    <w:rsid w:val="00624E16"/>
    <w:rsid w:val="0062501E"/>
    <w:rsid w:val="00625800"/>
    <w:rsid w:val="006266E1"/>
    <w:rsid w:val="006304B2"/>
    <w:rsid w:val="0063135D"/>
    <w:rsid w:val="00631444"/>
    <w:rsid w:val="0063158F"/>
    <w:rsid w:val="00631593"/>
    <w:rsid w:val="00631B2D"/>
    <w:rsid w:val="00631BE2"/>
    <w:rsid w:val="00631D6B"/>
    <w:rsid w:val="00632183"/>
    <w:rsid w:val="00632F24"/>
    <w:rsid w:val="006330A1"/>
    <w:rsid w:val="0063419A"/>
    <w:rsid w:val="00634409"/>
    <w:rsid w:val="0063479F"/>
    <w:rsid w:val="006353F0"/>
    <w:rsid w:val="006357B5"/>
    <w:rsid w:val="00635CF4"/>
    <w:rsid w:val="00635DFD"/>
    <w:rsid w:val="006364A1"/>
    <w:rsid w:val="0063665F"/>
    <w:rsid w:val="0063678E"/>
    <w:rsid w:val="00636E2A"/>
    <w:rsid w:val="00637B4E"/>
    <w:rsid w:val="00637B85"/>
    <w:rsid w:val="00637BFD"/>
    <w:rsid w:val="00637C5C"/>
    <w:rsid w:val="00640BA4"/>
    <w:rsid w:val="0064159D"/>
    <w:rsid w:val="00641C4E"/>
    <w:rsid w:val="00641FB3"/>
    <w:rsid w:val="00642EAC"/>
    <w:rsid w:val="006434D3"/>
    <w:rsid w:val="00643F2B"/>
    <w:rsid w:val="00644119"/>
    <w:rsid w:val="0064434C"/>
    <w:rsid w:val="00644678"/>
    <w:rsid w:val="00644D1B"/>
    <w:rsid w:val="00644F27"/>
    <w:rsid w:val="006451B5"/>
    <w:rsid w:val="006452DC"/>
    <w:rsid w:val="00645387"/>
    <w:rsid w:val="006453A3"/>
    <w:rsid w:val="0064545F"/>
    <w:rsid w:val="00645AC4"/>
    <w:rsid w:val="006467AF"/>
    <w:rsid w:val="00646C21"/>
    <w:rsid w:val="00646EC7"/>
    <w:rsid w:val="006471CC"/>
    <w:rsid w:val="006472FE"/>
    <w:rsid w:val="00647A29"/>
    <w:rsid w:val="00647D70"/>
    <w:rsid w:val="006506B8"/>
    <w:rsid w:val="0065079F"/>
    <w:rsid w:val="0065191C"/>
    <w:rsid w:val="00651D3D"/>
    <w:rsid w:val="00651ED9"/>
    <w:rsid w:val="0065240A"/>
    <w:rsid w:val="00652672"/>
    <w:rsid w:val="006527B9"/>
    <w:rsid w:val="006528D8"/>
    <w:rsid w:val="00652A28"/>
    <w:rsid w:val="00652AB7"/>
    <w:rsid w:val="00653315"/>
    <w:rsid w:val="0065379F"/>
    <w:rsid w:val="00655EEC"/>
    <w:rsid w:val="00656188"/>
    <w:rsid w:val="00656607"/>
    <w:rsid w:val="0065715A"/>
    <w:rsid w:val="00657409"/>
    <w:rsid w:val="00660C97"/>
    <w:rsid w:val="006610F1"/>
    <w:rsid w:val="0066170F"/>
    <w:rsid w:val="00661883"/>
    <w:rsid w:val="00661920"/>
    <w:rsid w:val="00661C6B"/>
    <w:rsid w:val="0066267B"/>
    <w:rsid w:val="006627AC"/>
    <w:rsid w:val="00662D3E"/>
    <w:rsid w:val="00664E51"/>
    <w:rsid w:val="00664E72"/>
    <w:rsid w:val="00665318"/>
    <w:rsid w:val="00665B88"/>
    <w:rsid w:val="00665F01"/>
    <w:rsid w:val="00665F7F"/>
    <w:rsid w:val="00667BE3"/>
    <w:rsid w:val="006700DC"/>
    <w:rsid w:val="00670960"/>
    <w:rsid w:val="00671004"/>
    <w:rsid w:val="0067185B"/>
    <w:rsid w:val="00671E69"/>
    <w:rsid w:val="00671F34"/>
    <w:rsid w:val="00672616"/>
    <w:rsid w:val="00672646"/>
    <w:rsid w:val="00673890"/>
    <w:rsid w:val="00674B0F"/>
    <w:rsid w:val="00674E42"/>
    <w:rsid w:val="00675A75"/>
    <w:rsid w:val="00675BF9"/>
    <w:rsid w:val="00675DB5"/>
    <w:rsid w:val="00675FB0"/>
    <w:rsid w:val="0067647F"/>
    <w:rsid w:val="00676505"/>
    <w:rsid w:val="00676563"/>
    <w:rsid w:val="00677FD3"/>
    <w:rsid w:val="006801F3"/>
    <w:rsid w:val="00680519"/>
    <w:rsid w:val="00681317"/>
    <w:rsid w:val="006813F8"/>
    <w:rsid w:val="006818A1"/>
    <w:rsid w:val="00682112"/>
    <w:rsid w:val="00682BA6"/>
    <w:rsid w:val="00682BE7"/>
    <w:rsid w:val="006842DE"/>
    <w:rsid w:val="00684646"/>
    <w:rsid w:val="00685731"/>
    <w:rsid w:val="0068673F"/>
    <w:rsid w:val="00686957"/>
    <w:rsid w:val="006872BA"/>
    <w:rsid w:val="00687339"/>
    <w:rsid w:val="006873B7"/>
    <w:rsid w:val="006878D4"/>
    <w:rsid w:val="00690370"/>
    <w:rsid w:val="00690586"/>
    <w:rsid w:val="00690682"/>
    <w:rsid w:val="00690795"/>
    <w:rsid w:val="006908EE"/>
    <w:rsid w:val="0069128C"/>
    <w:rsid w:val="00691648"/>
    <w:rsid w:val="006917D7"/>
    <w:rsid w:val="006927CB"/>
    <w:rsid w:val="006935BA"/>
    <w:rsid w:val="0069417D"/>
    <w:rsid w:val="0069434C"/>
    <w:rsid w:val="00694A6C"/>
    <w:rsid w:val="00694F44"/>
    <w:rsid w:val="00695441"/>
    <w:rsid w:val="00696EF9"/>
    <w:rsid w:val="00696F51"/>
    <w:rsid w:val="006979A5"/>
    <w:rsid w:val="006A0122"/>
    <w:rsid w:val="006A016F"/>
    <w:rsid w:val="006A0DF7"/>
    <w:rsid w:val="006A1444"/>
    <w:rsid w:val="006A1B62"/>
    <w:rsid w:val="006A1D3F"/>
    <w:rsid w:val="006A2208"/>
    <w:rsid w:val="006A2951"/>
    <w:rsid w:val="006A40F1"/>
    <w:rsid w:val="006A4321"/>
    <w:rsid w:val="006A43D9"/>
    <w:rsid w:val="006A4B7C"/>
    <w:rsid w:val="006A5056"/>
    <w:rsid w:val="006A564C"/>
    <w:rsid w:val="006A57B1"/>
    <w:rsid w:val="006A6073"/>
    <w:rsid w:val="006A61B6"/>
    <w:rsid w:val="006A6B99"/>
    <w:rsid w:val="006A7E5F"/>
    <w:rsid w:val="006B05CB"/>
    <w:rsid w:val="006B075D"/>
    <w:rsid w:val="006B0F0A"/>
    <w:rsid w:val="006B1AD9"/>
    <w:rsid w:val="006B1D3F"/>
    <w:rsid w:val="006B1DE4"/>
    <w:rsid w:val="006B2540"/>
    <w:rsid w:val="006B261B"/>
    <w:rsid w:val="006B2C90"/>
    <w:rsid w:val="006B35E6"/>
    <w:rsid w:val="006B36D4"/>
    <w:rsid w:val="006B3DA7"/>
    <w:rsid w:val="006B421B"/>
    <w:rsid w:val="006B44C8"/>
    <w:rsid w:val="006B465A"/>
    <w:rsid w:val="006B4F5E"/>
    <w:rsid w:val="006B581E"/>
    <w:rsid w:val="006B6215"/>
    <w:rsid w:val="006B6826"/>
    <w:rsid w:val="006B6DB8"/>
    <w:rsid w:val="006B6DD0"/>
    <w:rsid w:val="006B79F1"/>
    <w:rsid w:val="006B7D23"/>
    <w:rsid w:val="006C0399"/>
    <w:rsid w:val="006C1654"/>
    <w:rsid w:val="006C1847"/>
    <w:rsid w:val="006C238A"/>
    <w:rsid w:val="006C2A8E"/>
    <w:rsid w:val="006C3255"/>
    <w:rsid w:val="006C37D5"/>
    <w:rsid w:val="006C3F26"/>
    <w:rsid w:val="006C4089"/>
    <w:rsid w:val="006C61BF"/>
    <w:rsid w:val="006C669A"/>
    <w:rsid w:val="006C670F"/>
    <w:rsid w:val="006C712B"/>
    <w:rsid w:val="006C78E3"/>
    <w:rsid w:val="006D0D17"/>
    <w:rsid w:val="006D11CA"/>
    <w:rsid w:val="006D150C"/>
    <w:rsid w:val="006D1BBC"/>
    <w:rsid w:val="006D1DA0"/>
    <w:rsid w:val="006D1E61"/>
    <w:rsid w:val="006D2313"/>
    <w:rsid w:val="006D23D4"/>
    <w:rsid w:val="006D24B7"/>
    <w:rsid w:val="006D2E7C"/>
    <w:rsid w:val="006D328A"/>
    <w:rsid w:val="006D357E"/>
    <w:rsid w:val="006D3A3B"/>
    <w:rsid w:val="006D3C7D"/>
    <w:rsid w:val="006D44B9"/>
    <w:rsid w:val="006D455D"/>
    <w:rsid w:val="006D4659"/>
    <w:rsid w:val="006D4E15"/>
    <w:rsid w:val="006D504C"/>
    <w:rsid w:val="006D568B"/>
    <w:rsid w:val="006D5D5F"/>
    <w:rsid w:val="006D6063"/>
    <w:rsid w:val="006D629B"/>
    <w:rsid w:val="006D635D"/>
    <w:rsid w:val="006D64A3"/>
    <w:rsid w:val="006D68FB"/>
    <w:rsid w:val="006D750F"/>
    <w:rsid w:val="006D761D"/>
    <w:rsid w:val="006E030F"/>
    <w:rsid w:val="006E0744"/>
    <w:rsid w:val="006E100A"/>
    <w:rsid w:val="006E1DCC"/>
    <w:rsid w:val="006E2868"/>
    <w:rsid w:val="006E2B35"/>
    <w:rsid w:val="006E2DF5"/>
    <w:rsid w:val="006E2FBB"/>
    <w:rsid w:val="006E2FFF"/>
    <w:rsid w:val="006E3FD0"/>
    <w:rsid w:val="006E5327"/>
    <w:rsid w:val="006E700E"/>
    <w:rsid w:val="006E7C89"/>
    <w:rsid w:val="006E7D62"/>
    <w:rsid w:val="006F13CE"/>
    <w:rsid w:val="006F15F5"/>
    <w:rsid w:val="006F2CD7"/>
    <w:rsid w:val="006F306C"/>
    <w:rsid w:val="006F478C"/>
    <w:rsid w:val="006F4B4E"/>
    <w:rsid w:val="006F4C54"/>
    <w:rsid w:val="006F4C99"/>
    <w:rsid w:val="006F4CE9"/>
    <w:rsid w:val="006F50A1"/>
    <w:rsid w:val="006F53D8"/>
    <w:rsid w:val="006F58A7"/>
    <w:rsid w:val="006F5B47"/>
    <w:rsid w:val="006F5BC7"/>
    <w:rsid w:val="006F5C21"/>
    <w:rsid w:val="006F5C58"/>
    <w:rsid w:val="006F63A5"/>
    <w:rsid w:val="00700220"/>
    <w:rsid w:val="00700562"/>
    <w:rsid w:val="0070142B"/>
    <w:rsid w:val="0070276E"/>
    <w:rsid w:val="00702F8F"/>
    <w:rsid w:val="007039C5"/>
    <w:rsid w:val="007041FB"/>
    <w:rsid w:val="0070543A"/>
    <w:rsid w:val="00705647"/>
    <w:rsid w:val="007061C7"/>
    <w:rsid w:val="007065C2"/>
    <w:rsid w:val="0070720A"/>
    <w:rsid w:val="007079FC"/>
    <w:rsid w:val="0071003D"/>
    <w:rsid w:val="00710AE6"/>
    <w:rsid w:val="00710FB2"/>
    <w:rsid w:val="007115A9"/>
    <w:rsid w:val="00711A36"/>
    <w:rsid w:val="00711EB0"/>
    <w:rsid w:val="007120AE"/>
    <w:rsid w:val="00712350"/>
    <w:rsid w:val="007125D3"/>
    <w:rsid w:val="00712603"/>
    <w:rsid w:val="007129EF"/>
    <w:rsid w:val="00713593"/>
    <w:rsid w:val="00713952"/>
    <w:rsid w:val="00714A32"/>
    <w:rsid w:val="00714C26"/>
    <w:rsid w:val="00714EDF"/>
    <w:rsid w:val="0071529C"/>
    <w:rsid w:val="00715A1B"/>
    <w:rsid w:val="007165FA"/>
    <w:rsid w:val="007170DA"/>
    <w:rsid w:val="007172AD"/>
    <w:rsid w:val="0071738D"/>
    <w:rsid w:val="00717546"/>
    <w:rsid w:val="00717EDB"/>
    <w:rsid w:val="0072063B"/>
    <w:rsid w:val="00720801"/>
    <w:rsid w:val="007208F8"/>
    <w:rsid w:val="00721413"/>
    <w:rsid w:val="0072230A"/>
    <w:rsid w:val="00722B1B"/>
    <w:rsid w:val="00722DD2"/>
    <w:rsid w:val="00722E88"/>
    <w:rsid w:val="00722EE8"/>
    <w:rsid w:val="00723208"/>
    <w:rsid w:val="0072416F"/>
    <w:rsid w:val="007243E7"/>
    <w:rsid w:val="007252E3"/>
    <w:rsid w:val="00725C75"/>
    <w:rsid w:val="00725E50"/>
    <w:rsid w:val="007264AC"/>
    <w:rsid w:val="00726EAB"/>
    <w:rsid w:val="0072730F"/>
    <w:rsid w:val="00727AAA"/>
    <w:rsid w:val="00727C94"/>
    <w:rsid w:val="00727DDC"/>
    <w:rsid w:val="00727E0E"/>
    <w:rsid w:val="00730A17"/>
    <w:rsid w:val="00730EA5"/>
    <w:rsid w:val="0073108B"/>
    <w:rsid w:val="007316C4"/>
    <w:rsid w:val="00731B0A"/>
    <w:rsid w:val="00731EAE"/>
    <w:rsid w:val="007320E6"/>
    <w:rsid w:val="00732D3B"/>
    <w:rsid w:val="00733073"/>
    <w:rsid w:val="00734476"/>
    <w:rsid w:val="0073448B"/>
    <w:rsid w:val="00734C77"/>
    <w:rsid w:val="00735033"/>
    <w:rsid w:val="00735328"/>
    <w:rsid w:val="0073584D"/>
    <w:rsid w:val="0073685B"/>
    <w:rsid w:val="0073724D"/>
    <w:rsid w:val="00737877"/>
    <w:rsid w:val="007379E3"/>
    <w:rsid w:val="00737A51"/>
    <w:rsid w:val="00737B65"/>
    <w:rsid w:val="007407EC"/>
    <w:rsid w:val="00740F63"/>
    <w:rsid w:val="0074114C"/>
    <w:rsid w:val="00741D92"/>
    <w:rsid w:val="00741F88"/>
    <w:rsid w:val="00741FD6"/>
    <w:rsid w:val="00742B11"/>
    <w:rsid w:val="0074307D"/>
    <w:rsid w:val="00743352"/>
    <w:rsid w:val="00743AE3"/>
    <w:rsid w:val="007449BF"/>
    <w:rsid w:val="00745809"/>
    <w:rsid w:val="007463FE"/>
    <w:rsid w:val="00746551"/>
    <w:rsid w:val="00746AFD"/>
    <w:rsid w:val="00746BC0"/>
    <w:rsid w:val="00746BC9"/>
    <w:rsid w:val="007510B4"/>
    <w:rsid w:val="0075136B"/>
    <w:rsid w:val="00752142"/>
    <w:rsid w:val="007523F9"/>
    <w:rsid w:val="00752935"/>
    <w:rsid w:val="00753527"/>
    <w:rsid w:val="0075357E"/>
    <w:rsid w:val="00753906"/>
    <w:rsid w:val="0075399A"/>
    <w:rsid w:val="00753B29"/>
    <w:rsid w:val="007541A9"/>
    <w:rsid w:val="007542EE"/>
    <w:rsid w:val="00754E3B"/>
    <w:rsid w:val="00755764"/>
    <w:rsid w:val="007573E8"/>
    <w:rsid w:val="00757787"/>
    <w:rsid w:val="00757F93"/>
    <w:rsid w:val="00760C4E"/>
    <w:rsid w:val="00760F9E"/>
    <w:rsid w:val="007616E6"/>
    <w:rsid w:val="00761A15"/>
    <w:rsid w:val="00762220"/>
    <w:rsid w:val="007627BE"/>
    <w:rsid w:val="00762E9B"/>
    <w:rsid w:val="00763AC5"/>
    <w:rsid w:val="0076494F"/>
    <w:rsid w:val="00764A23"/>
    <w:rsid w:val="00764F03"/>
    <w:rsid w:val="00764F10"/>
    <w:rsid w:val="00765814"/>
    <w:rsid w:val="00765832"/>
    <w:rsid w:val="00765B1A"/>
    <w:rsid w:val="00765DC1"/>
    <w:rsid w:val="00766B2A"/>
    <w:rsid w:val="00766EA9"/>
    <w:rsid w:val="00767C66"/>
    <w:rsid w:val="00770B13"/>
    <w:rsid w:val="0077144A"/>
    <w:rsid w:val="00771B5A"/>
    <w:rsid w:val="00772298"/>
    <w:rsid w:val="007729AD"/>
    <w:rsid w:val="00772C08"/>
    <w:rsid w:val="00773B5A"/>
    <w:rsid w:val="00773E7D"/>
    <w:rsid w:val="00774414"/>
    <w:rsid w:val="00774B15"/>
    <w:rsid w:val="00774DB1"/>
    <w:rsid w:val="00775171"/>
    <w:rsid w:val="00776B12"/>
    <w:rsid w:val="00777335"/>
    <w:rsid w:val="007777B4"/>
    <w:rsid w:val="00777AB2"/>
    <w:rsid w:val="0078084A"/>
    <w:rsid w:val="0078099C"/>
    <w:rsid w:val="007812BD"/>
    <w:rsid w:val="00781BEA"/>
    <w:rsid w:val="00782145"/>
    <w:rsid w:val="007823BE"/>
    <w:rsid w:val="00782BC6"/>
    <w:rsid w:val="00782EE6"/>
    <w:rsid w:val="00783028"/>
    <w:rsid w:val="00783ACC"/>
    <w:rsid w:val="007843F2"/>
    <w:rsid w:val="007846FA"/>
    <w:rsid w:val="00784E0C"/>
    <w:rsid w:val="00785030"/>
    <w:rsid w:val="00785586"/>
    <w:rsid w:val="00785A9F"/>
    <w:rsid w:val="00787321"/>
    <w:rsid w:val="00790987"/>
    <w:rsid w:val="007911BB"/>
    <w:rsid w:val="007911C4"/>
    <w:rsid w:val="00791740"/>
    <w:rsid w:val="00791FC3"/>
    <w:rsid w:val="00792142"/>
    <w:rsid w:val="007925DF"/>
    <w:rsid w:val="00792B97"/>
    <w:rsid w:val="00793D3A"/>
    <w:rsid w:val="00794195"/>
    <w:rsid w:val="00795232"/>
    <w:rsid w:val="00795BFD"/>
    <w:rsid w:val="00795ED6"/>
    <w:rsid w:val="00795F1C"/>
    <w:rsid w:val="0079693D"/>
    <w:rsid w:val="00796AEE"/>
    <w:rsid w:val="00796B12"/>
    <w:rsid w:val="00796FF6"/>
    <w:rsid w:val="007977C2"/>
    <w:rsid w:val="007A010C"/>
    <w:rsid w:val="007A08AA"/>
    <w:rsid w:val="007A0A12"/>
    <w:rsid w:val="007A0CB3"/>
    <w:rsid w:val="007A0CBE"/>
    <w:rsid w:val="007A132D"/>
    <w:rsid w:val="007A1345"/>
    <w:rsid w:val="007A16D2"/>
    <w:rsid w:val="007A1D29"/>
    <w:rsid w:val="007A2DDB"/>
    <w:rsid w:val="007A3AF7"/>
    <w:rsid w:val="007A496E"/>
    <w:rsid w:val="007A4A53"/>
    <w:rsid w:val="007A4B76"/>
    <w:rsid w:val="007A4FF6"/>
    <w:rsid w:val="007A5716"/>
    <w:rsid w:val="007A67BF"/>
    <w:rsid w:val="007A70BA"/>
    <w:rsid w:val="007A7543"/>
    <w:rsid w:val="007A78D8"/>
    <w:rsid w:val="007A7EEE"/>
    <w:rsid w:val="007B004D"/>
    <w:rsid w:val="007B09FD"/>
    <w:rsid w:val="007B0D68"/>
    <w:rsid w:val="007B14ED"/>
    <w:rsid w:val="007B1C1B"/>
    <w:rsid w:val="007B251D"/>
    <w:rsid w:val="007B2F77"/>
    <w:rsid w:val="007B3533"/>
    <w:rsid w:val="007B4ED4"/>
    <w:rsid w:val="007B4F58"/>
    <w:rsid w:val="007B528D"/>
    <w:rsid w:val="007B59F1"/>
    <w:rsid w:val="007B605A"/>
    <w:rsid w:val="007B63CA"/>
    <w:rsid w:val="007B6850"/>
    <w:rsid w:val="007B6B32"/>
    <w:rsid w:val="007B773F"/>
    <w:rsid w:val="007B77D1"/>
    <w:rsid w:val="007C07C7"/>
    <w:rsid w:val="007C08C3"/>
    <w:rsid w:val="007C197A"/>
    <w:rsid w:val="007C1CD9"/>
    <w:rsid w:val="007C1E10"/>
    <w:rsid w:val="007C20BE"/>
    <w:rsid w:val="007C2997"/>
    <w:rsid w:val="007C2D4A"/>
    <w:rsid w:val="007C32EF"/>
    <w:rsid w:val="007C361D"/>
    <w:rsid w:val="007C4B84"/>
    <w:rsid w:val="007C5541"/>
    <w:rsid w:val="007C5C03"/>
    <w:rsid w:val="007C70FF"/>
    <w:rsid w:val="007C7C25"/>
    <w:rsid w:val="007C7F1A"/>
    <w:rsid w:val="007D004F"/>
    <w:rsid w:val="007D035F"/>
    <w:rsid w:val="007D03CD"/>
    <w:rsid w:val="007D06B2"/>
    <w:rsid w:val="007D0B38"/>
    <w:rsid w:val="007D1161"/>
    <w:rsid w:val="007D2053"/>
    <w:rsid w:val="007D2597"/>
    <w:rsid w:val="007D2851"/>
    <w:rsid w:val="007D28FC"/>
    <w:rsid w:val="007D297C"/>
    <w:rsid w:val="007D3C69"/>
    <w:rsid w:val="007D4069"/>
    <w:rsid w:val="007D431D"/>
    <w:rsid w:val="007D472E"/>
    <w:rsid w:val="007D52EF"/>
    <w:rsid w:val="007D5440"/>
    <w:rsid w:val="007D6811"/>
    <w:rsid w:val="007D69EB"/>
    <w:rsid w:val="007D6D45"/>
    <w:rsid w:val="007D72F2"/>
    <w:rsid w:val="007D79EF"/>
    <w:rsid w:val="007E06C2"/>
    <w:rsid w:val="007E0778"/>
    <w:rsid w:val="007E08EC"/>
    <w:rsid w:val="007E09E8"/>
    <w:rsid w:val="007E0E54"/>
    <w:rsid w:val="007E128F"/>
    <w:rsid w:val="007E13B6"/>
    <w:rsid w:val="007E2C59"/>
    <w:rsid w:val="007E4696"/>
    <w:rsid w:val="007E4D20"/>
    <w:rsid w:val="007E4FB5"/>
    <w:rsid w:val="007E5AF0"/>
    <w:rsid w:val="007E5E42"/>
    <w:rsid w:val="007E64D5"/>
    <w:rsid w:val="007E6CCD"/>
    <w:rsid w:val="007E7420"/>
    <w:rsid w:val="007E7D81"/>
    <w:rsid w:val="007F083D"/>
    <w:rsid w:val="007F1017"/>
    <w:rsid w:val="007F124B"/>
    <w:rsid w:val="007F1DFE"/>
    <w:rsid w:val="007F2211"/>
    <w:rsid w:val="007F2EE6"/>
    <w:rsid w:val="007F3330"/>
    <w:rsid w:val="007F39C3"/>
    <w:rsid w:val="007F3F8C"/>
    <w:rsid w:val="007F498C"/>
    <w:rsid w:val="007F4A3F"/>
    <w:rsid w:val="007F4A61"/>
    <w:rsid w:val="007F4CF2"/>
    <w:rsid w:val="007F5255"/>
    <w:rsid w:val="007F56CC"/>
    <w:rsid w:val="007F61C2"/>
    <w:rsid w:val="007F6FC1"/>
    <w:rsid w:val="007F7DC9"/>
    <w:rsid w:val="008001E9"/>
    <w:rsid w:val="008005A9"/>
    <w:rsid w:val="00802235"/>
    <w:rsid w:val="0080242A"/>
    <w:rsid w:val="0080258A"/>
    <w:rsid w:val="008025F1"/>
    <w:rsid w:val="00802A9E"/>
    <w:rsid w:val="00803B22"/>
    <w:rsid w:val="00805142"/>
    <w:rsid w:val="008059A6"/>
    <w:rsid w:val="00805FCE"/>
    <w:rsid w:val="00807A8B"/>
    <w:rsid w:val="00810691"/>
    <w:rsid w:val="00810FCF"/>
    <w:rsid w:val="00811383"/>
    <w:rsid w:val="0081191B"/>
    <w:rsid w:val="00812149"/>
    <w:rsid w:val="008129BD"/>
    <w:rsid w:val="00812A75"/>
    <w:rsid w:val="00812AFA"/>
    <w:rsid w:val="00812B69"/>
    <w:rsid w:val="00812CAC"/>
    <w:rsid w:val="00813A70"/>
    <w:rsid w:val="008142AD"/>
    <w:rsid w:val="00815313"/>
    <w:rsid w:val="00815D34"/>
    <w:rsid w:val="00816361"/>
    <w:rsid w:val="00816442"/>
    <w:rsid w:val="00816593"/>
    <w:rsid w:val="008166EF"/>
    <w:rsid w:val="00816807"/>
    <w:rsid w:val="0081689F"/>
    <w:rsid w:val="00816DD1"/>
    <w:rsid w:val="00816FEF"/>
    <w:rsid w:val="00817277"/>
    <w:rsid w:val="00817FB4"/>
    <w:rsid w:val="00817FCC"/>
    <w:rsid w:val="00820632"/>
    <w:rsid w:val="00820A8C"/>
    <w:rsid w:val="00820A92"/>
    <w:rsid w:val="008215FB"/>
    <w:rsid w:val="00821B48"/>
    <w:rsid w:val="00821FA2"/>
    <w:rsid w:val="008220CC"/>
    <w:rsid w:val="00822CEA"/>
    <w:rsid w:val="00822F5F"/>
    <w:rsid w:val="00823174"/>
    <w:rsid w:val="00823EB9"/>
    <w:rsid w:val="00824BBF"/>
    <w:rsid w:val="008251F4"/>
    <w:rsid w:val="00825751"/>
    <w:rsid w:val="00825CC9"/>
    <w:rsid w:val="008264B8"/>
    <w:rsid w:val="008264EB"/>
    <w:rsid w:val="008268CE"/>
    <w:rsid w:val="00827C23"/>
    <w:rsid w:val="0083246C"/>
    <w:rsid w:val="008325A2"/>
    <w:rsid w:val="00833B05"/>
    <w:rsid w:val="00834637"/>
    <w:rsid w:val="008349B0"/>
    <w:rsid w:val="00835A5D"/>
    <w:rsid w:val="008361A1"/>
    <w:rsid w:val="008362B4"/>
    <w:rsid w:val="00836C6D"/>
    <w:rsid w:val="00836F09"/>
    <w:rsid w:val="00840367"/>
    <w:rsid w:val="0084060A"/>
    <w:rsid w:val="0084092A"/>
    <w:rsid w:val="00840C1F"/>
    <w:rsid w:val="00840C6F"/>
    <w:rsid w:val="00840CA2"/>
    <w:rsid w:val="00841396"/>
    <w:rsid w:val="00841FA1"/>
    <w:rsid w:val="00842480"/>
    <w:rsid w:val="00842919"/>
    <w:rsid w:val="008429D4"/>
    <w:rsid w:val="00842A8D"/>
    <w:rsid w:val="00842AF6"/>
    <w:rsid w:val="008436D9"/>
    <w:rsid w:val="0084374F"/>
    <w:rsid w:val="00844175"/>
    <w:rsid w:val="00844A22"/>
    <w:rsid w:val="00844CDB"/>
    <w:rsid w:val="00845399"/>
    <w:rsid w:val="00845B16"/>
    <w:rsid w:val="00846D2B"/>
    <w:rsid w:val="00847703"/>
    <w:rsid w:val="008478DC"/>
    <w:rsid w:val="00847BF8"/>
    <w:rsid w:val="00847DF5"/>
    <w:rsid w:val="0084A5AA"/>
    <w:rsid w:val="0085244D"/>
    <w:rsid w:val="00852548"/>
    <w:rsid w:val="0085309D"/>
    <w:rsid w:val="008537E0"/>
    <w:rsid w:val="00854E5E"/>
    <w:rsid w:val="008551BE"/>
    <w:rsid w:val="008556AB"/>
    <w:rsid w:val="008557EA"/>
    <w:rsid w:val="00855C08"/>
    <w:rsid w:val="008563BF"/>
    <w:rsid w:val="00856897"/>
    <w:rsid w:val="00856E65"/>
    <w:rsid w:val="00856E9A"/>
    <w:rsid w:val="008574B6"/>
    <w:rsid w:val="00857671"/>
    <w:rsid w:val="00857B70"/>
    <w:rsid w:val="00860046"/>
    <w:rsid w:val="0086075D"/>
    <w:rsid w:val="00860AA3"/>
    <w:rsid w:val="00860EBC"/>
    <w:rsid w:val="00861B40"/>
    <w:rsid w:val="00862502"/>
    <w:rsid w:val="00862CC1"/>
    <w:rsid w:val="00862F38"/>
    <w:rsid w:val="0086349F"/>
    <w:rsid w:val="00863E31"/>
    <w:rsid w:val="008642A7"/>
    <w:rsid w:val="00864870"/>
    <w:rsid w:val="00864AD7"/>
    <w:rsid w:val="00865768"/>
    <w:rsid w:val="00865B35"/>
    <w:rsid w:val="00865E1C"/>
    <w:rsid w:val="008660D4"/>
    <w:rsid w:val="008669F3"/>
    <w:rsid w:val="008711B5"/>
    <w:rsid w:val="00871FA9"/>
    <w:rsid w:val="00872412"/>
    <w:rsid w:val="008728E9"/>
    <w:rsid w:val="00872A1D"/>
    <w:rsid w:val="0087310C"/>
    <w:rsid w:val="0087353A"/>
    <w:rsid w:val="00873D32"/>
    <w:rsid w:val="008740A7"/>
    <w:rsid w:val="00874934"/>
    <w:rsid w:val="00874EEA"/>
    <w:rsid w:val="0087501C"/>
    <w:rsid w:val="008753FA"/>
    <w:rsid w:val="0087661A"/>
    <w:rsid w:val="00876BBD"/>
    <w:rsid w:val="00876FB0"/>
    <w:rsid w:val="00877E39"/>
    <w:rsid w:val="00880ADC"/>
    <w:rsid w:val="00881121"/>
    <w:rsid w:val="00881D8A"/>
    <w:rsid w:val="008821BA"/>
    <w:rsid w:val="00882874"/>
    <w:rsid w:val="00882E3C"/>
    <w:rsid w:val="00882E6E"/>
    <w:rsid w:val="0088300E"/>
    <w:rsid w:val="0088308A"/>
    <w:rsid w:val="00883787"/>
    <w:rsid w:val="00883997"/>
    <w:rsid w:val="00883E48"/>
    <w:rsid w:val="008840A7"/>
    <w:rsid w:val="00884F01"/>
    <w:rsid w:val="0088505B"/>
    <w:rsid w:val="008855E4"/>
    <w:rsid w:val="008857AA"/>
    <w:rsid w:val="0088602F"/>
    <w:rsid w:val="008861A9"/>
    <w:rsid w:val="00886B09"/>
    <w:rsid w:val="00886CD2"/>
    <w:rsid w:val="00887AE5"/>
    <w:rsid w:val="00887EC1"/>
    <w:rsid w:val="008901BC"/>
    <w:rsid w:val="0089067B"/>
    <w:rsid w:val="008906A8"/>
    <w:rsid w:val="00891E6F"/>
    <w:rsid w:val="0089275D"/>
    <w:rsid w:val="008929C2"/>
    <w:rsid w:val="00892A36"/>
    <w:rsid w:val="008930D7"/>
    <w:rsid w:val="00893201"/>
    <w:rsid w:val="00893239"/>
    <w:rsid w:val="0089329F"/>
    <w:rsid w:val="008933AB"/>
    <w:rsid w:val="00894489"/>
    <w:rsid w:val="00894CD6"/>
    <w:rsid w:val="00894E32"/>
    <w:rsid w:val="00895420"/>
    <w:rsid w:val="00895B9D"/>
    <w:rsid w:val="008963A5"/>
    <w:rsid w:val="00896A5F"/>
    <w:rsid w:val="00896D5D"/>
    <w:rsid w:val="00896EB8"/>
    <w:rsid w:val="008977E1"/>
    <w:rsid w:val="00897B8D"/>
    <w:rsid w:val="00897E26"/>
    <w:rsid w:val="008A01BE"/>
    <w:rsid w:val="008A0638"/>
    <w:rsid w:val="008A08B8"/>
    <w:rsid w:val="008A0E0D"/>
    <w:rsid w:val="008A1C02"/>
    <w:rsid w:val="008A214B"/>
    <w:rsid w:val="008A22BC"/>
    <w:rsid w:val="008A3158"/>
    <w:rsid w:val="008A3363"/>
    <w:rsid w:val="008A3371"/>
    <w:rsid w:val="008A34C4"/>
    <w:rsid w:val="008A3C3E"/>
    <w:rsid w:val="008A4194"/>
    <w:rsid w:val="008A572C"/>
    <w:rsid w:val="008A5C62"/>
    <w:rsid w:val="008A6229"/>
    <w:rsid w:val="008A6610"/>
    <w:rsid w:val="008A667A"/>
    <w:rsid w:val="008A6D8B"/>
    <w:rsid w:val="008A6EF1"/>
    <w:rsid w:val="008A79DE"/>
    <w:rsid w:val="008B0628"/>
    <w:rsid w:val="008B1757"/>
    <w:rsid w:val="008B1C33"/>
    <w:rsid w:val="008B212A"/>
    <w:rsid w:val="008B2191"/>
    <w:rsid w:val="008B23CA"/>
    <w:rsid w:val="008B2516"/>
    <w:rsid w:val="008B2DD5"/>
    <w:rsid w:val="008B2F80"/>
    <w:rsid w:val="008B3A4C"/>
    <w:rsid w:val="008B3AC4"/>
    <w:rsid w:val="008B3E74"/>
    <w:rsid w:val="008B445B"/>
    <w:rsid w:val="008B4B6F"/>
    <w:rsid w:val="008B4DEF"/>
    <w:rsid w:val="008B5341"/>
    <w:rsid w:val="008B534E"/>
    <w:rsid w:val="008B53E3"/>
    <w:rsid w:val="008B59E8"/>
    <w:rsid w:val="008B6198"/>
    <w:rsid w:val="008B765A"/>
    <w:rsid w:val="008B7992"/>
    <w:rsid w:val="008B7D7E"/>
    <w:rsid w:val="008C0F1A"/>
    <w:rsid w:val="008C1000"/>
    <w:rsid w:val="008C188A"/>
    <w:rsid w:val="008C20AB"/>
    <w:rsid w:val="008C3B08"/>
    <w:rsid w:val="008C4377"/>
    <w:rsid w:val="008C491C"/>
    <w:rsid w:val="008C5610"/>
    <w:rsid w:val="008C5705"/>
    <w:rsid w:val="008C5739"/>
    <w:rsid w:val="008C6028"/>
    <w:rsid w:val="008C61C2"/>
    <w:rsid w:val="008C6B26"/>
    <w:rsid w:val="008C6F82"/>
    <w:rsid w:val="008C6F9C"/>
    <w:rsid w:val="008C7282"/>
    <w:rsid w:val="008C7ECB"/>
    <w:rsid w:val="008D050C"/>
    <w:rsid w:val="008D0A09"/>
    <w:rsid w:val="008D0C7B"/>
    <w:rsid w:val="008D1001"/>
    <w:rsid w:val="008D18A3"/>
    <w:rsid w:val="008D1965"/>
    <w:rsid w:val="008D19CA"/>
    <w:rsid w:val="008D22D0"/>
    <w:rsid w:val="008D25D6"/>
    <w:rsid w:val="008D2FED"/>
    <w:rsid w:val="008D35CC"/>
    <w:rsid w:val="008D3793"/>
    <w:rsid w:val="008D393A"/>
    <w:rsid w:val="008D3B86"/>
    <w:rsid w:val="008D43FD"/>
    <w:rsid w:val="008D4755"/>
    <w:rsid w:val="008D4C3D"/>
    <w:rsid w:val="008D4E59"/>
    <w:rsid w:val="008D5367"/>
    <w:rsid w:val="008D57A8"/>
    <w:rsid w:val="008D5859"/>
    <w:rsid w:val="008D61BC"/>
    <w:rsid w:val="008D68AF"/>
    <w:rsid w:val="008D69C9"/>
    <w:rsid w:val="008D6FD8"/>
    <w:rsid w:val="008D743C"/>
    <w:rsid w:val="008D7878"/>
    <w:rsid w:val="008E011C"/>
    <w:rsid w:val="008E0D3C"/>
    <w:rsid w:val="008E1389"/>
    <w:rsid w:val="008E1761"/>
    <w:rsid w:val="008E1B9E"/>
    <w:rsid w:val="008E2046"/>
    <w:rsid w:val="008E2971"/>
    <w:rsid w:val="008E2B59"/>
    <w:rsid w:val="008E472C"/>
    <w:rsid w:val="008E517E"/>
    <w:rsid w:val="008E5543"/>
    <w:rsid w:val="008E55AB"/>
    <w:rsid w:val="008E568C"/>
    <w:rsid w:val="008E6050"/>
    <w:rsid w:val="008E62A2"/>
    <w:rsid w:val="008E72BF"/>
    <w:rsid w:val="008E7433"/>
    <w:rsid w:val="008E7C16"/>
    <w:rsid w:val="008F016C"/>
    <w:rsid w:val="008F0260"/>
    <w:rsid w:val="008F0BA9"/>
    <w:rsid w:val="008F120A"/>
    <w:rsid w:val="008F1647"/>
    <w:rsid w:val="008F17B8"/>
    <w:rsid w:val="008F1A45"/>
    <w:rsid w:val="008F1B85"/>
    <w:rsid w:val="008F275A"/>
    <w:rsid w:val="008F27E0"/>
    <w:rsid w:val="008F2B7D"/>
    <w:rsid w:val="008F2E5A"/>
    <w:rsid w:val="008F3026"/>
    <w:rsid w:val="008F36C0"/>
    <w:rsid w:val="008F3858"/>
    <w:rsid w:val="008F48EB"/>
    <w:rsid w:val="008F4A5E"/>
    <w:rsid w:val="008F4C53"/>
    <w:rsid w:val="008F4DF0"/>
    <w:rsid w:val="008F4F0B"/>
    <w:rsid w:val="008F514E"/>
    <w:rsid w:val="008F5358"/>
    <w:rsid w:val="008F569B"/>
    <w:rsid w:val="008F5835"/>
    <w:rsid w:val="008F5941"/>
    <w:rsid w:val="008F5D27"/>
    <w:rsid w:val="008F606F"/>
    <w:rsid w:val="008F68BA"/>
    <w:rsid w:val="008F7164"/>
    <w:rsid w:val="008F7ADE"/>
    <w:rsid w:val="0090006E"/>
    <w:rsid w:val="0090015D"/>
    <w:rsid w:val="009009C0"/>
    <w:rsid w:val="009016CE"/>
    <w:rsid w:val="00901B06"/>
    <w:rsid w:val="0090234A"/>
    <w:rsid w:val="009026E4"/>
    <w:rsid w:val="009046C4"/>
    <w:rsid w:val="0090612D"/>
    <w:rsid w:val="009062A5"/>
    <w:rsid w:val="009065E6"/>
    <w:rsid w:val="009068E4"/>
    <w:rsid w:val="00907699"/>
    <w:rsid w:val="00907990"/>
    <w:rsid w:val="00907A74"/>
    <w:rsid w:val="00910FA7"/>
    <w:rsid w:val="009111BC"/>
    <w:rsid w:val="00911272"/>
    <w:rsid w:val="00911339"/>
    <w:rsid w:val="00911473"/>
    <w:rsid w:val="00911F34"/>
    <w:rsid w:val="00912051"/>
    <w:rsid w:val="009135D6"/>
    <w:rsid w:val="00914C77"/>
    <w:rsid w:val="00916C57"/>
    <w:rsid w:val="00917603"/>
    <w:rsid w:val="00917D9D"/>
    <w:rsid w:val="00920D1C"/>
    <w:rsid w:val="00920E4C"/>
    <w:rsid w:val="00921ACB"/>
    <w:rsid w:val="009223E9"/>
    <w:rsid w:val="00922D2F"/>
    <w:rsid w:val="00923358"/>
    <w:rsid w:val="0092369B"/>
    <w:rsid w:val="009239FB"/>
    <w:rsid w:val="00924DF2"/>
    <w:rsid w:val="00925BB8"/>
    <w:rsid w:val="00926CA8"/>
    <w:rsid w:val="00927650"/>
    <w:rsid w:val="00927C17"/>
    <w:rsid w:val="00927E4B"/>
    <w:rsid w:val="00930970"/>
    <w:rsid w:val="00931A2D"/>
    <w:rsid w:val="00933042"/>
    <w:rsid w:val="009333AE"/>
    <w:rsid w:val="00933439"/>
    <w:rsid w:val="009337DA"/>
    <w:rsid w:val="00934140"/>
    <w:rsid w:val="00934365"/>
    <w:rsid w:val="00934988"/>
    <w:rsid w:val="00934B13"/>
    <w:rsid w:val="00934D1A"/>
    <w:rsid w:val="0093556A"/>
    <w:rsid w:val="0093616B"/>
    <w:rsid w:val="00936202"/>
    <w:rsid w:val="009369EE"/>
    <w:rsid w:val="009369F1"/>
    <w:rsid w:val="00936A00"/>
    <w:rsid w:val="00937089"/>
    <w:rsid w:val="00937C68"/>
    <w:rsid w:val="009405BA"/>
    <w:rsid w:val="00940E12"/>
    <w:rsid w:val="00940E2C"/>
    <w:rsid w:val="00940EE5"/>
    <w:rsid w:val="00943852"/>
    <w:rsid w:val="009439D1"/>
    <w:rsid w:val="00944CAF"/>
    <w:rsid w:val="00944F8A"/>
    <w:rsid w:val="00945873"/>
    <w:rsid w:val="00945892"/>
    <w:rsid w:val="00945E68"/>
    <w:rsid w:val="0094624E"/>
    <w:rsid w:val="009464F1"/>
    <w:rsid w:val="00946B18"/>
    <w:rsid w:val="00947B1F"/>
    <w:rsid w:val="00947FBB"/>
    <w:rsid w:val="00950479"/>
    <w:rsid w:val="00950492"/>
    <w:rsid w:val="00950CA9"/>
    <w:rsid w:val="009510A2"/>
    <w:rsid w:val="0095114D"/>
    <w:rsid w:val="00951461"/>
    <w:rsid w:val="00951B89"/>
    <w:rsid w:val="00951BFD"/>
    <w:rsid w:val="00953257"/>
    <w:rsid w:val="00953452"/>
    <w:rsid w:val="009534EE"/>
    <w:rsid w:val="00953ED6"/>
    <w:rsid w:val="0095474C"/>
    <w:rsid w:val="009548CB"/>
    <w:rsid w:val="0095512F"/>
    <w:rsid w:val="009552C1"/>
    <w:rsid w:val="00955460"/>
    <w:rsid w:val="0095560D"/>
    <w:rsid w:val="00957707"/>
    <w:rsid w:val="00957901"/>
    <w:rsid w:val="00957D92"/>
    <w:rsid w:val="00960416"/>
    <w:rsid w:val="00961CA9"/>
    <w:rsid w:val="009620A6"/>
    <w:rsid w:val="00962570"/>
    <w:rsid w:val="00962969"/>
    <w:rsid w:val="00962A06"/>
    <w:rsid w:val="00962AA6"/>
    <w:rsid w:val="00962C6A"/>
    <w:rsid w:val="00962CB9"/>
    <w:rsid w:val="009635E0"/>
    <w:rsid w:val="00963A4E"/>
    <w:rsid w:val="00964126"/>
    <w:rsid w:val="00964312"/>
    <w:rsid w:val="00965B8A"/>
    <w:rsid w:val="00965F12"/>
    <w:rsid w:val="009661E1"/>
    <w:rsid w:val="00966622"/>
    <w:rsid w:val="009672F6"/>
    <w:rsid w:val="00967ADB"/>
    <w:rsid w:val="009705E3"/>
    <w:rsid w:val="0097071F"/>
    <w:rsid w:val="0097134B"/>
    <w:rsid w:val="009717AC"/>
    <w:rsid w:val="0097214C"/>
    <w:rsid w:val="00973632"/>
    <w:rsid w:val="00974AEB"/>
    <w:rsid w:val="009751C1"/>
    <w:rsid w:val="0097557C"/>
    <w:rsid w:val="00977005"/>
    <w:rsid w:val="009777B8"/>
    <w:rsid w:val="0098073E"/>
    <w:rsid w:val="009811F1"/>
    <w:rsid w:val="0098242B"/>
    <w:rsid w:val="00982A29"/>
    <w:rsid w:val="00982F07"/>
    <w:rsid w:val="00983E57"/>
    <w:rsid w:val="009844F2"/>
    <w:rsid w:val="00985206"/>
    <w:rsid w:val="00985762"/>
    <w:rsid w:val="00985DE2"/>
    <w:rsid w:val="00986274"/>
    <w:rsid w:val="0098675D"/>
    <w:rsid w:val="009867F6"/>
    <w:rsid w:val="00986C29"/>
    <w:rsid w:val="00986C94"/>
    <w:rsid w:val="009879C3"/>
    <w:rsid w:val="00987BA4"/>
    <w:rsid w:val="00990241"/>
    <w:rsid w:val="00990FE1"/>
    <w:rsid w:val="00990FEE"/>
    <w:rsid w:val="00991481"/>
    <w:rsid w:val="00991D7F"/>
    <w:rsid w:val="0099266D"/>
    <w:rsid w:val="009926E0"/>
    <w:rsid w:val="00992A47"/>
    <w:rsid w:val="009937ED"/>
    <w:rsid w:val="00993C4A"/>
    <w:rsid w:val="009942D2"/>
    <w:rsid w:val="0099451E"/>
    <w:rsid w:val="009945F2"/>
    <w:rsid w:val="009949E0"/>
    <w:rsid w:val="00994FA8"/>
    <w:rsid w:val="00995F87"/>
    <w:rsid w:val="00995FA6"/>
    <w:rsid w:val="00996B1A"/>
    <w:rsid w:val="00997528"/>
    <w:rsid w:val="0099780C"/>
    <w:rsid w:val="009A0241"/>
    <w:rsid w:val="009A04FB"/>
    <w:rsid w:val="009A17D6"/>
    <w:rsid w:val="009A18F6"/>
    <w:rsid w:val="009A2465"/>
    <w:rsid w:val="009A2DCC"/>
    <w:rsid w:val="009A30AB"/>
    <w:rsid w:val="009A45DA"/>
    <w:rsid w:val="009A5074"/>
    <w:rsid w:val="009A5ABC"/>
    <w:rsid w:val="009A603C"/>
    <w:rsid w:val="009A66F7"/>
    <w:rsid w:val="009A6B9B"/>
    <w:rsid w:val="009A75F3"/>
    <w:rsid w:val="009A7BFB"/>
    <w:rsid w:val="009A7F10"/>
    <w:rsid w:val="009B03FC"/>
    <w:rsid w:val="009B1928"/>
    <w:rsid w:val="009B1AEC"/>
    <w:rsid w:val="009B1C7B"/>
    <w:rsid w:val="009B22E1"/>
    <w:rsid w:val="009B3143"/>
    <w:rsid w:val="009B329F"/>
    <w:rsid w:val="009B33C0"/>
    <w:rsid w:val="009B3E26"/>
    <w:rsid w:val="009B40E9"/>
    <w:rsid w:val="009B5D85"/>
    <w:rsid w:val="009B62B9"/>
    <w:rsid w:val="009B63CE"/>
    <w:rsid w:val="009B6B24"/>
    <w:rsid w:val="009B6CB7"/>
    <w:rsid w:val="009C122B"/>
    <w:rsid w:val="009C1271"/>
    <w:rsid w:val="009C18FF"/>
    <w:rsid w:val="009C199A"/>
    <w:rsid w:val="009C20B3"/>
    <w:rsid w:val="009C21AB"/>
    <w:rsid w:val="009C2E4B"/>
    <w:rsid w:val="009C3706"/>
    <w:rsid w:val="009C3A3A"/>
    <w:rsid w:val="009C3B47"/>
    <w:rsid w:val="009C437F"/>
    <w:rsid w:val="009C4DC4"/>
    <w:rsid w:val="009C514B"/>
    <w:rsid w:val="009C5379"/>
    <w:rsid w:val="009C5A32"/>
    <w:rsid w:val="009C6CEA"/>
    <w:rsid w:val="009C7B85"/>
    <w:rsid w:val="009D0254"/>
    <w:rsid w:val="009D0490"/>
    <w:rsid w:val="009D0738"/>
    <w:rsid w:val="009D1A64"/>
    <w:rsid w:val="009D207C"/>
    <w:rsid w:val="009D26B3"/>
    <w:rsid w:val="009D2BEF"/>
    <w:rsid w:val="009D2D56"/>
    <w:rsid w:val="009D2F84"/>
    <w:rsid w:val="009D3528"/>
    <w:rsid w:val="009D4035"/>
    <w:rsid w:val="009D48E8"/>
    <w:rsid w:val="009D5292"/>
    <w:rsid w:val="009D5B91"/>
    <w:rsid w:val="009D66E4"/>
    <w:rsid w:val="009D7180"/>
    <w:rsid w:val="009D7375"/>
    <w:rsid w:val="009D792E"/>
    <w:rsid w:val="009D7D17"/>
    <w:rsid w:val="009E045D"/>
    <w:rsid w:val="009E06BA"/>
    <w:rsid w:val="009E0898"/>
    <w:rsid w:val="009E09A3"/>
    <w:rsid w:val="009E0DFE"/>
    <w:rsid w:val="009E1140"/>
    <w:rsid w:val="009E139B"/>
    <w:rsid w:val="009E18FA"/>
    <w:rsid w:val="009E1A73"/>
    <w:rsid w:val="009E2988"/>
    <w:rsid w:val="009E314C"/>
    <w:rsid w:val="009E31F6"/>
    <w:rsid w:val="009E3386"/>
    <w:rsid w:val="009E488E"/>
    <w:rsid w:val="009E4C07"/>
    <w:rsid w:val="009E4D1A"/>
    <w:rsid w:val="009E4D9B"/>
    <w:rsid w:val="009E53CC"/>
    <w:rsid w:val="009E5944"/>
    <w:rsid w:val="009E5AD9"/>
    <w:rsid w:val="009E75A7"/>
    <w:rsid w:val="009E777F"/>
    <w:rsid w:val="009F0456"/>
    <w:rsid w:val="009F2332"/>
    <w:rsid w:val="009F2B9E"/>
    <w:rsid w:val="009F3981"/>
    <w:rsid w:val="009F3CBF"/>
    <w:rsid w:val="009F43D8"/>
    <w:rsid w:val="009F45BE"/>
    <w:rsid w:val="009F5AA8"/>
    <w:rsid w:val="009F5AE0"/>
    <w:rsid w:val="009F6120"/>
    <w:rsid w:val="009F65E4"/>
    <w:rsid w:val="009F66B8"/>
    <w:rsid w:val="009F6871"/>
    <w:rsid w:val="009F6C97"/>
    <w:rsid w:val="009F7D32"/>
    <w:rsid w:val="009F7F46"/>
    <w:rsid w:val="00A00A41"/>
    <w:rsid w:val="00A00D76"/>
    <w:rsid w:val="00A010AE"/>
    <w:rsid w:val="00A01184"/>
    <w:rsid w:val="00A01449"/>
    <w:rsid w:val="00A01485"/>
    <w:rsid w:val="00A018AB"/>
    <w:rsid w:val="00A0194F"/>
    <w:rsid w:val="00A01E1B"/>
    <w:rsid w:val="00A01FFC"/>
    <w:rsid w:val="00A037C2"/>
    <w:rsid w:val="00A03A17"/>
    <w:rsid w:val="00A03CEC"/>
    <w:rsid w:val="00A03D43"/>
    <w:rsid w:val="00A03FC2"/>
    <w:rsid w:val="00A04380"/>
    <w:rsid w:val="00A04602"/>
    <w:rsid w:val="00A0460A"/>
    <w:rsid w:val="00A04786"/>
    <w:rsid w:val="00A05472"/>
    <w:rsid w:val="00A05C32"/>
    <w:rsid w:val="00A06320"/>
    <w:rsid w:val="00A0653F"/>
    <w:rsid w:val="00A0655D"/>
    <w:rsid w:val="00A106FC"/>
    <w:rsid w:val="00A1099A"/>
    <w:rsid w:val="00A10E9F"/>
    <w:rsid w:val="00A1144D"/>
    <w:rsid w:val="00A115AE"/>
    <w:rsid w:val="00A117B5"/>
    <w:rsid w:val="00A11CD0"/>
    <w:rsid w:val="00A13948"/>
    <w:rsid w:val="00A14148"/>
    <w:rsid w:val="00A1555B"/>
    <w:rsid w:val="00A155C5"/>
    <w:rsid w:val="00A15914"/>
    <w:rsid w:val="00A15F12"/>
    <w:rsid w:val="00A16481"/>
    <w:rsid w:val="00A1696E"/>
    <w:rsid w:val="00A16AD8"/>
    <w:rsid w:val="00A16CD8"/>
    <w:rsid w:val="00A17282"/>
    <w:rsid w:val="00A17E5B"/>
    <w:rsid w:val="00A2021E"/>
    <w:rsid w:val="00A20967"/>
    <w:rsid w:val="00A20DC2"/>
    <w:rsid w:val="00A21204"/>
    <w:rsid w:val="00A212C8"/>
    <w:rsid w:val="00A21C95"/>
    <w:rsid w:val="00A21CF3"/>
    <w:rsid w:val="00A21F70"/>
    <w:rsid w:val="00A2273A"/>
    <w:rsid w:val="00A22C34"/>
    <w:rsid w:val="00A23FEB"/>
    <w:rsid w:val="00A24813"/>
    <w:rsid w:val="00A24E24"/>
    <w:rsid w:val="00A259EC"/>
    <w:rsid w:val="00A25AEB"/>
    <w:rsid w:val="00A26057"/>
    <w:rsid w:val="00A2681A"/>
    <w:rsid w:val="00A27AEC"/>
    <w:rsid w:val="00A27C00"/>
    <w:rsid w:val="00A27E72"/>
    <w:rsid w:val="00A311F1"/>
    <w:rsid w:val="00A31335"/>
    <w:rsid w:val="00A320DB"/>
    <w:rsid w:val="00A3270E"/>
    <w:rsid w:val="00A32CA2"/>
    <w:rsid w:val="00A32D09"/>
    <w:rsid w:val="00A35841"/>
    <w:rsid w:val="00A35930"/>
    <w:rsid w:val="00A359E8"/>
    <w:rsid w:val="00A35D16"/>
    <w:rsid w:val="00A36189"/>
    <w:rsid w:val="00A3634C"/>
    <w:rsid w:val="00A369D6"/>
    <w:rsid w:val="00A37BCD"/>
    <w:rsid w:val="00A37DC0"/>
    <w:rsid w:val="00A37EDF"/>
    <w:rsid w:val="00A4003F"/>
    <w:rsid w:val="00A40EE1"/>
    <w:rsid w:val="00A40FAA"/>
    <w:rsid w:val="00A41689"/>
    <w:rsid w:val="00A42592"/>
    <w:rsid w:val="00A435F4"/>
    <w:rsid w:val="00A43C59"/>
    <w:rsid w:val="00A43D4D"/>
    <w:rsid w:val="00A44581"/>
    <w:rsid w:val="00A45322"/>
    <w:rsid w:val="00A459D2"/>
    <w:rsid w:val="00A45F10"/>
    <w:rsid w:val="00A45F14"/>
    <w:rsid w:val="00A46A63"/>
    <w:rsid w:val="00A46D87"/>
    <w:rsid w:val="00A47346"/>
    <w:rsid w:val="00A5093A"/>
    <w:rsid w:val="00A50D70"/>
    <w:rsid w:val="00A50ECD"/>
    <w:rsid w:val="00A518F3"/>
    <w:rsid w:val="00A51B89"/>
    <w:rsid w:val="00A52729"/>
    <w:rsid w:val="00A52C15"/>
    <w:rsid w:val="00A53071"/>
    <w:rsid w:val="00A531F6"/>
    <w:rsid w:val="00A53675"/>
    <w:rsid w:val="00A53A8D"/>
    <w:rsid w:val="00A53B0C"/>
    <w:rsid w:val="00A53BC5"/>
    <w:rsid w:val="00A53FC1"/>
    <w:rsid w:val="00A540E3"/>
    <w:rsid w:val="00A541F8"/>
    <w:rsid w:val="00A54457"/>
    <w:rsid w:val="00A546D6"/>
    <w:rsid w:val="00A54FB8"/>
    <w:rsid w:val="00A551BF"/>
    <w:rsid w:val="00A55DA4"/>
    <w:rsid w:val="00A564D7"/>
    <w:rsid w:val="00A56AF1"/>
    <w:rsid w:val="00A56B6A"/>
    <w:rsid w:val="00A56C1C"/>
    <w:rsid w:val="00A574EE"/>
    <w:rsid w:val="00A578DC"/>
    <w:rsid w:val="00A57A97"/>
    <w:rsid w:val="00A57B8D"/>
    <w:rsid w:val="00A57EF3"/>
    <w:rsid w:val="00A6067F"/>
    <w:rsid w:val="00A60ADD"/>
    <w:rsid w:val="00A61E00"/>
    <w:rsid w:val="00A61E42"/>
    <w:rsid w:val="00A61FAB"/>
    <w:rsid w:val="00A621E3"/>
    <w:rsid w:val="00A62F24"/>
    <w:rsid w:val="00A638E9"/>
    <w:rsid w:val="00A640D5"/>
    <w:rsid w:val="00A640E2"/>
    <w:rsid w:val="00A643FC"/>
    <w:rsid w:val="00A64644"/>
    <w:rsid w:val="00A64B14"/>
    <w:rsid w:val="00A64B20"/>
    <w:rsid w:val="00A64D65"/>
    <w:rsid w:val="00A653E2"/>
    <w:rsid w:val="00A65F6C"/>
    <w:rsid w:val="00A6725B"/>
    <w:rsid w:val="00A67905"/>
    <w:rsid w:val="00A70605"/>
    <w:rsid w:val="00A70C06"/>
    <w:rsid w:val="00A71685"/>
    <w:rsid w:val="00A71FD1"/>
    <w:rsid w:val="00A73134"/>
    <w:rsid w:val="00A7365A"/>
    <w:rsid w:val="00A73A11"/>
    <w:rsid w:val="00A7420D"/>
    <w:rsid w:val="00A743D0"/>
    <w:rsid w:val="00A749BE"/>
    <w:rsid w:val="00A750E5"/>
    <w:rsid w:val="00A75909"/>
    <w:rsid w:val="00A75C48"/>
    <w:rsid w:val="00A75F51"/>
    <w:rsid w:val="00A76001"/>
    <w:rsid w:val="00A762F9"/>
    <w:rsid w:val="00A76D19"/>
    <w:rsid w:val="00A771EF"/>
    <w:rsid w:val="00A777B2"/>
    <w:rsid w:val="00A7782E"/>
    <w:rsid w:val="00A77A5F"/>
    <w:rsid w:val="00A77AAF"/>
    <w:rsid w:val="00A809E4"/>
    <w:rsid w:val="00A80B4B"/>
    <w:rsid w:val="00A80BDA"/>
    <w:rsid w:val="00A8155C"/>
    <w:rsid w:val="00A8184B"/>
    <w:rsid w:val="00A825D4"/>
    <w:rsid w:val="00A828F6"/>
    <w:rsid w:val="00A82B73"/>
    <w:rsid w:val="00A82E1A"/>
    <w:rsid w:val="00A830C8"/>
    <w:rsid w:val="00A83592"/>
    <w:rsid w:val="00A84D23"/>
    <w:rsid w:val="00A857E3"/>
    <w:rsid w:val="00A86E8B"/>
    <w:rsid w:val="00A87164"/>
    <w:rsid w:val="00A871A9"/>
    <w:rsid w:val="00A871E5"/>
    <w:rsid w:val="00A9207F"/>
    <w:rsid w:val="00A927BC"/>
    <w:rsid w:val="00A93072"/>
    <w:rsid w:val="00A930CA"/>
    <w:rsid w:val="00A938BD"/>
    <w:rsid w:val="00A93953"/>
    <w:rsid w:val="00A94113"/>
    <w:rsid w:val="00A94A7C"/>
    <w:rsid w:val="00A95933"/>
    <w:rsid w:val="00A959D8"/>
    <w:rsid w:val="00A968B9"/>
    <w:rsid w:val="00A96BB2"/>
    <w:rsid w:val="00A97647"/>
    <w:rsid w:val="00AA0232"/>
    <w:rsid w:val="00AA042E"/>
    <w:rsid w:val="00AA0466"/>
    <w:rsid w:val="00AA0946"/>
    <w:rsid w:val="00AA0D02"/>
    <w:rsid w:val="00AA0D35"/>
    <w:rsid w:val="00AA113D"/>
    <w:rsid w:val="00AA22BB"/>
    <w:rsid w:val="00AA28D7"/>
    <w:rsid w:val="00AA30E7"/>
    <w:rsid w:val="00AA335A"/>
    <w:rsid w:val="00AA3F46"/>
    <w:rsid w:val="00AA40DD"/>
    <w:rsid w:val="00AA479A"/>
    <w:rsid w:val="00AA554E"/>
    <w:rsid w:val="00AA5A9D"/>
    <w:rsid w:val="00AA5AD8"/>
    <w:rsid w:val="00AA6BD5"/>
    <w:rsid w:val="00AA6BD8"/>
    <w:rsid w:val="00AA6C7D"/>
    <w:rsid w:val="00AA7136"/>
    <w:rsid w:val="00AA79C1"/>
    <w:rsid w:val="00AA7FD6"/>
    <w:rsid w:val="00AB042A"/>
    <w:rsid w:val="00AB04AB"/>
    <w:rsid w:val="00AB091B"/>
    <w:rsid w:val="00AB1048"/>
    <w:rsid w:val="00AB11AD"/>
    <w:rsid w:val="00AB12CB"/>
    <w:rsid w:val="00AB19EF"/>
    <w:rsid w:val="00AB1A65"/>
    <w:rsid w:val="00AB220D"/>
    <w:rsid w:val="00AB2495"/>
    <w:rsid w:val="00AB2544"/>
    <w:rsid w:val="00AB2D34"/>
    <w:rsid w:val="00AB3230"/>
    <w:rsid w:val="00AB3430"/>
    <w:rsid w:val="00AB3685"/>
    <w:rsid w:val="00AB37B9"/>
    <w:rsid w:val="00AB3A5C"/>
    <w:rsid w:val="00AB3D0A"/>
    <w:rsid w:val="00AB45AF"/>
    <w:rsid w:val="00AB47CE"/>
    <w:rsid w:val="00AB4AD1"/>
    <w:rsid w:val="00AB4ADA"/>
    <w:rsid w:val="00AB51F9"/>
    <w:rsid w:val="00AB5BBF"/>
    <w:rsid w:val="00AB5E07"/>
    <w:rsid w:val="00AB5E9A"/>
    <w:rsid w:val="00AB6399"/>
    <w:rsid w:val="00AB6FA3"/>
    <w:rsid w:val="00AB70B9"/>
    <w:rsid w:val="00AB74B5"/>
    <w:rsid w:val="00AB77FD"/>
    <w:rsid w:val="00AB7CFA"/>
    <w:rsid w:val="00AC030C"/>
    <w:rsid w:val="00AC1565"/>
    <w:rsid w:val="00AC1BE0"/>
    <w:rsid w:val="00AC28C7"/>
    <w:rsid w:val="00AC2A8E"/>
    <w:rsid w:val="00AC2B19"/>
    <w:rsid w:val="00AC2E1B"/>
    <w:rsid w:val="00AC3785"/>
    <w:rsid w:val="00AC3E37"/>
    <w:rsid w:val="00AC3F5F"/>
    <w:rsid w:val="00AC5992"/>
    <w:rsid w:val="00AC5B42"/>
    <w:rsid w:val="00AC5B48"/>
    <w:rsid w:val="00AC7866"/>
    <w:rsid w:val="00AC79D2"/>
    <w:rsid w:val="00AD0F55"/>
    <w:rsid w:val="00AD0F66"/>
    <w:rsid w:val="00AD1124"/>
    <w:rsid w:val="00AD1450"/>
    <w:rsid w:val="00AD15E8"/>
    <w:rsid w:val="00AD30BE"/>
    <w:rsid w:val="00AD356D"/>
    <w:rsid w:val="00AD357A"/>
    <w:rsid w:val="00AD3715"/>
    <w:rsid w:val="00AD3E61"/>
    <w:rsid w:val="00AD3F14"/>
    <w:rsid w:val="00AD4537"/>
    <w:rsid w:val="00AD4ECF"/>
    <w:rsid w:val="00AD59B2"/>
    <w:rsid w:val="00AD6502"/>
    <w:rsid w:val="00AD6730"/>
    <w:rsid w:val="00AD69AB"/>
    <w:rsid w:val="00AD73B3"/>
    <w:rsid w:val="00AD7400"/>
    <w:rsid w:val="00AD7EFB"/>
    <w:rsid w:val="00AE05D4"/>
    <w:rsid w:val="00AE0695"/>
    <w:rsid w:val="00AE0FCD"/>
    <w:rsid w:val="00AE1CDF"/>
    <w:rsid w:val="00AE3946"/>
    <w:rsid w:val="00AE3E7E"/>
    <w:rsid w:val="00AE3FC6"/>
    <w:rsid w:val="00AE5A79"/>
    <w:rsid w:val="00AE73EC"/>
    <w:rsid w:val="00AE7A4E"/>
    <w:rsid w:val="00AE7D24"/>
    <w:rsid w:val="00AE7E53"/>
    <w:rsid w:val="00AF040E"/>
    <w:rsid w:val="00AF09EE"/>
    <w:rsid w:val="00AF0AAF"/>
    <w:rsid w:val="00AF1315"/>
    <w:rsid w:val="00AF19BF"/>
    <w:rsid w:val="00AF2DC3"/>
    <w:rsid w:val="00AF3413"/>
    <w:rsid w:val="00AF3AD8"/>
    <w:rsid w:val="00AF4795"/>
    <w:rsid w:val="00AF4B9D"/>
    <w:rsid w:val="00AF5770"/>
    <w:rsid w:val="00AF5FAD"/>
    <w:rsid w:val="00AF664F"/>
    <w:rsid w:val="00AF67B4"/>
    <w:rsid w:val="00AF6D8D"/>
    <w:rsid w:val="00AF6E99"/>
    <w:rsid w:val="00B00194"/>
    <w:rsid w:val="00B02050"/>
    <w:rsid w:val="00B021CF"/>
    <w:rsid w:val="00B0248E"/>
    <w:rsid w:val="00B02E16"/>
    <w:rsid w:val="00B033E5"/>
    <w:rsid w:val="00B036AD"/>
    <w:rsid w:val="00B03A63"/>
    <w:rsid w:val="00B05231"/>
    <w:rsid w:val="00B0796D"/>
    <w:rsid w:val="00B07F9A"/>
    <w:rsid w:val="00B07FAC"/>
    <w:rsid w:val="00B108AD"/>
    <w:rsid w:val="00B10F5A"/>
    <w:rsid w:val="00B117FC"/>
    <w:rsid w:val="00B121C5"/>
    <w:rsid w:val="00B12721"/>
    <w:rsid w:val="00B129A4"/>
    <w:rsid w:val="00B12D22"/>
    <w:rsid w:val="00B13856"/>
    <w:rsid w:val="00B13EDF"/>
    <w:rsid w:val="00B1470A"/>
    <w:rsid w:val="00B14AEC"/>
    <w:rsid w:val="00B14F39"/>
    <w:rsid w:val="00B14FE4"/>
    <w:rsid w:val="00B153B0"/>
    <w:rsid w:val="00B158FE"/>
    <w:rsid w:val="00B15DAE"/>
    <w:rsid w:val="00B16447"/>
    <w:rsid w:val="00B201A4"/>
    <w:rsid w:val="00B201D1"/>
    <w:rsid w:val="00B20FF4"/>
    <w:rsid w:val="00B213A6"/>
    <w:rsid w:val="00B21FA3"/>
    <w:rsid w:val="00B2316A"/>
    <w:rsid w:val="00B235B0"/>
    <w:rsid w:val="00B24885"/>
    <w:rsid w:val="00B24DF6"/>
    <w:rsid w:val="00B2566B"/>
    <w:rsid w:val="00B26CCE"/>
    <w:rsid w:val="00B277C5"/>
    <w:rsid w:val="00B27A61"/>
    <w:rsid w:val="00B27B20"/>
    <w:rsid w:val="00B30C3D"/>
    <w:rsid w:val="00B31A9F"/>
    <w:rsid w:val="00B31E22"/>
    <w:rsid w:val="00B3218C"/>
    <w:rsid w:val="00B32570"/>
    <w:rsid w:val="00B32ACD"/>
    <w:rsid w:val="00B32D37"/>
    <w:rsid w:val="00B33402"/>
    <w:rsid w:val="00B33626"/>
    <w:rsid w:val="00B340AA"/>
    <w:rsid w:val="00B34595"/>
    <w:rsid w:val="00B34FE2"/>
    <w:rsid w:val="00B35166"/>
    <w:rsid w:val="00B35512"/>
    <w:rsid w:val="00B357D8"/>
    <w:rsid w:val="00B35DAD"/>
    <w:rsid w:val="00B360F4"/>
    <w:rsid w:val="00B365EE"/>
    <w:rsid w:val="00B369AB"/>
    <w:rsid w:val="00B36A00"/>
    <w:rsid w:val="00B37073"/>
    <w:rsid w:val="00B3792B"/>
    <w:rsid w:val="00B37BFC"/>
    <w:rsid w:val="00B40358"/>
    <w:rsid w:val="00B404D1"/>
    <w:rsid w:val="00B41614"/>
    <w:rsid w:val="00B4243C"/>
    <w:rsid w:val="00B42851"/>
    <w:rsid w:val="00B42F80"/>
    <w:rsid w:val="00B435CB"/>
    <w:rsid w:val="00B43979"/>
    <w:rsid w:val="00B44BC2"/>
    <w:rsid w:val="00B45FA8"/>
    <w:rsid w:val="00B465C9"/>
    <w:rsid w:val="00B465EC"/>
    <w:rsid w:val="00B47350"/>
    <w:rsid w:val="00B479A9"/>
    <w:rsid w:val="00B47A44"/>
    <w:rsid w:val="00B50437"/>
    <w:rsid w:val="00B505C8"/>
    <w:rsid w:val="00B50DB8"/>
    <w:rsid w:val="00B51139"/>
    <w:rsid w:val="00B51A29"/>
    <w:rsid w:val="00B522F9"/>
    <w:rsid w:val="00B52D73"/>
    <w:rsid w:val="00B535D4"/>
    <w:rsid w:val="00B53654"/>
    <w:rsid w:val="00B53905"/>
    <w:rsid w:val="00B53B5F"/>
    <w:rsid w:val="00B5456D"/>
    <w:rsid w:val="00B546DB"/>
    <w:rsid w:val="00B54B5B"/>
    <w:rsid w:val="00B5512D"/>
    <w:rsid w:val="00B55279"/>
    <w:rsid w:val="00B5562E"/>
    <w:rsid w:val="00B5577A"/>
    <w:rsid w:val="00B55862"/>
    <w:rsid w:val="00B55AAA"/>
    <w:rsid w:val="00B55D4A"/>
    <w:rsid w:val="00B55D65"/>
    <w:rsid w:val="00B56305"/>
    <w:rsid w:val="00B568F1"/>
    <w:rsid w:val="00B56FBC"/>
    <w:rsid w:val="00B57000"/>
    <w:rsid w:val="00B576B8"/>
    <w:rsid w:val="00B57D6C"/>
    <w:rsid w:val="00B6079C"/>
    <w:rsid w:val="00B60939"/>
    <w:rsid w:val="00B60AFD"/>
    <w:rsid w:val="00B61379"/>
    <w:rsid w:val="00B61534"/>
    <w:rsid w:val="00B61936"/>
    <w:rsid w:val="00B61997"/>
    <w:rsid w:val="00B62012"/>
    <w:rsid w:val="00B62715"/>
    <w:rsid w:val="00B63FE5"/>
    <w:rsid w:val="00B64298"/>
    <w:rsid w:val="00B64A68"/>
    <w:rsid w:val="00B65611"/>
    <w:rsid w:val="00B67628"/>
    <w:rsid w:val="00B678E5"/>
    <w:rsid w:val="00B70E8E"/>
    <w:rsid w:val="00B70ECF"/>
    <w:rsid w:val="00B71269"/>
    <w:rsid w:val="00B72199"/>
    <w:rsid w:val="00B72BE0"/>
    <w:rsid w:val="00B73CAE"/>
    <w:rsid w:val="00B740F5"/>
    <w:rsid w:val="00B746B9"/>
    <w:rsid w:val="00B74994"/>
    <w:rsid w:val="00B74A58"/>
    <w:rsid w:val="00B74D9A"/>
    <w:rsid w:val="00B75583"/>
    <w:rsid w:val="00B75C6A"/>
    <w:rsid w:val="00B76B32"/>
    <w:rsid w:val="00B76C92"/>
    <w:rsid w:val="00B7794C"/>
    <w:rsid w:val="00B807B5"/>
    <w:rsid w:val="00B80B63"/>
    <w:rsid w:val="00B80EFD"/>
    <w:rsid w:val="00B81689"/>
    <w:rsid w:val="00B818A4"/>
    <w:rsid w:val="00B82658"/>
    <w:rsid w:val="00B826DD"/>
    <w:rsid w:val="00B82B1C"/>
    <w:rsid w:val="00B82D04"/>
    <w:rsid w:val="00B83739"/>
    <w:rsid w:val="00B84117"/>
    <w:rsid w:val="00B858F0"/>
    <w:rsid w:val="00B8592D"/>
    <w:rsid w:val="00B85AA2"/>
    <w:rsid w:val="00B8649C"/>
    <w:rsid w:val="00B86586"/>
    <w:rsid w:val="00B8667F"/>
    <w:rsid w:val="00B8695D"/>
    <w:rsid w:val="00B879D4"/>
    <w:rsid w:val="00B87F0A"/>
    <w:rsid w:val="00B91F21"/>
    <w:rsid w:val="00B92625"/>
    <w:rsid w:val="00B92ABE"/>
    <w:rsid w:val="00B92CC6"/>
    <w:rsid w:val="00B92D0B"/>
    <w:rsid w:val="00B92F1D"/>
    <w:rsid w:val="00B93A85"/>
    <w:rsid w:val="00B9441C"/>
    <w:rsid w:val="00B94945"/>
    <w:rsid w:val="00B949BB"/>
    <w:rsid w:val="00B94CD6"/>
    <w:rsid w:val="00B94DD6"/>
    <w:rsid w:val="00B96425"/>
    <w:rsid w:val="00B97788"/>
    <w:rsid w:val="00BA101C"/>
    <w:rsid w:val="00BA1AE3"/>
    <w:rsid w:val="00BA2B88"/>
    <w:rsid w:val="00BA322D"/>
    <w:rsid w:val="00BA3C80"/>
    <w:rsid w:val="00BA3CED"/>
    <w:rsid w:val="00BA4971"/>
    <w:rsid w:val="00BA4E35"/>
    <w:rsid w:val="00BA5F5D"/>
    <w:rsid w:val="00BA5F83"/>
    <w:rsid w:val="00BA6383"/>
    <w:rsid w:val="00BA63FA"/>
    <w:rsid w:val="00BA641C"/>
    <w:rsid w:val="00BA6681"/>
    <w:rsid w:val="00BA68FF"/>
    <w:rsid w:val="00BA7CF6"/>
    <w:rsid w:val="00BB00B3"/>
    <w:rsid w:val="00BB0243"/>
    <w:rsid w:val="00BB09C1"/>
    <w:rsid w:val="00BB0BDD"/>
    <w:rsid w:val="00BB0D18"/>
    <w:rsid w:val="00BB176C"/>
    <w:rsid w:val="00BB1E84"/>
    <w:rsid w:val="00BB24C5"/>
    <w:rsid w:val="00BB2A73"/>
    <w:rsid w:val="00BB328D"/>
    <w:rsid w:val="00BB3A45"/>
    <w:rsid w:val="00BB4406"/>
    <w:rsid w:val="00BB4ACC"/>
    <w:rsid w:val="00BB4C36"/>
    <w:rsid w:val="00BB6BE3"/>
    <w:rsid w:val="00BB703E"/>
    <w:rsid w:val="00BB732D"/>
    <w:rsid w:val="00BB7405"/>
    <w:rsid w:val="00BB78DE"/>
    <w:rsid w:val="00BC0BBD"/>
    <w:rsid w:val="00BC0F29"/>
    <w:rsid w:val="00BC1EDA"/>
    <w:rsid w:val="00BC2800"/>
    <w:rsid w:val="00BC2C33"/>
    <w:rsid w:val="00BC2D34"/>
    <w:rsid w:val="00BC2EFC"/>
    <w:rsid w:val="00BC3631"/>
    <w:rsid w:val="00BC36ED"/>
    <w:rsid w:val="00BC3931"/>
    <w:rsid w:val="00BC44D2"/>
    <w:rsid w:val="00BC591F"/>
    <w:rsid w:val="00BC5B92"/>
    <w:rsid w:val="00BC5C20"/>
    <w:rsid w:val="00BC60FB"/>
    <w:rsid w:val="00BC621D"/>
    <w:rsid w:val="00BC63C1"/>
    <w:rsid w:val="00BC6CC6"/>
    <w:rsid w:val="00BC7603"/>
    <w:rsid w:val="00BC795C"/>
    <w:rsid w:val="00BC7D6D"/>
    <w:rsid w:val="00BD18B0"/>
    <w:rsid w:val="00BD1DDF"/>
    <w:rsid w:val="00BD2108"/>
    <w:rsid w:val="00BD27D5"/>
    <w:rsid w:val="00BD2891"/>
    <w:rsid w:val="00BD3284"/>
    <w:rsid w:val="00BD4A63"/>
    <w:rsid w:val="00BD55F7"/>
    <w:rsid w:val="00BD5A39"/>
    <w:rsid w:val="00BD5B95"/>
    <w:rsid w:val="00BD63D2"/>
    <w:rsid w:val="00BD6485"/>
    <w:rsid w:val="00BD68A3"/>
    <w:rsid w:val="00BD6938"/>
    <w:rsid w:val="00BD6CF3"/>
    <w:rsid w:val="00BD7CC4"/>
    <w:rsid w:val="00BD7F69"/>
    <w:rsid w:val="00BD7F72"/>
    <w:rsid w:val="00BE015E"/>
    <w:rsid w:val="00BE0871"/>
    <w:rsid w:val="00BE0ECA"/>
    <w:rsid w:val="00BE1916"/>
    <w:rsid w:val="00BE2180"/>
    <w:rsid w:val="00BE21F2"/>
    <w:rsid w:val="00BE2FDD"/>
    <w:rsid w:val="00BE4132"/>
    <w:rsid w:val="00BE4275"/>
    <w:rsid w:val="00BE43B1"/>
    <w:rsid w:val="00BE4437"/>
    <w:rsid w:val="00BE4DDD"/>
    <w:rsid w:val="00BE5033"/>
    <w:rsid w:val="00BE514E"/>
    <w:rsid w:val="00BE5203"/>
    <w:rsid w:val="00BE6A74"/>
    <w:rsid w:val="00BE7368"/>
    <w:rsid w:val="00BE7814"/>
    <w:rsid w:val="00BF06AE"/>
    <w:rsid w:val="00BF0F95"/>
    <w:rsid w:val="00BF19D9"/>
    <w:rsid w:val="00BF2433"/>
    <w:rsid w:val="00BF25EF"/>
    <w:rsid w:val="00BF2E6E"/>
    <w:rsid w:val="00BF3FE6"/>
    <w:rsid w:val="00BF4617"/>
    <w:rsid w:val="00BF48DF"/>
    <w:rsid w:val="00BF519E"/>
    <w:rsid w:val="00BF538A"/>
    <w:rsid w:val="00BF561E"/>
    <w:rsid w:val="00BF5A60"/>
    <w:rsid w:val="00BF6045"/>
    <w:rsid w:val="00BF61C9"/>
    <w:rsid w:val="00BF62E1"/>
    <w:rsid w:val="00BF6C94"/>
    <w:rsid w:val="00BF7096"/>
    <w:rsid w:val="00BF7547"/>
    <w:rsid w:val="00BF7B1F"/>
    <w:rsid w:val="00BF7D06"/>
    <w:rsid w:val="00C00424"/>
    <w:rsid w:val="00C00BB0"/>
    <w:rsid w:val="00C01159"/>
    <w:rsid w:val="00C01997"/>
    <w:rsid w:val="00C01EC7"/>
    <w:rsid w:val="00C01F0B"/>
    <w:rsid w:val="00C02536"/>
    <w:rsid w:val="00C026F1"/>
    <w:rsid w:val="00C027E0"/>
    <w:rsid w:val="00C02EA0"/>
    <w:rsid w:val="00C03C6D"/>
    <w:rsid w:val="00C03FCA"/>
    <w:rsid w:val="00C04C4C"/>
    <w:rsid w:val="00C05522"/>
    <w:rsid w:val="00C055F1"/>
    <w:rsid w:val="00C05FB3"/>
    <w:rsid w:val="00C06161"/>
    <w:rsid w:val="00C063A3"/>
    <w:rsid w:val="00C07001"/>
    <w:rsid w:val="00C07618"/>
    <w:rsid w:val="00C10362"/>
    <w:rsid w:val="00C1179F"/>
    <w:rsid w:val="00C11B26"/>
    <w:rsid w:val="00C127B9"/>
    <w:rsid w:val="00C128FA"/>
    <w:rsid w:val="00C12C14"/>
    <w:rsid w:val="00C12D35"/>
    <w:rsid w:val="00C12F97"/>
    <w:rsid w:val="00C13121"/>
    <w:rsid w:val="00C131D4"/>
    <w:rsid w:val="00C13F87"/>
    <w:rsid w:val="00C145C1"/>
    <w:rsid w:val="00C14677"/>
    <w:rsid w:val="00C14772"/>
    <w:rsid w:val="00C14823"/>
    <w:rsid w:val="00C15996"/>
    <w:rsid w:val="00C15F04"/>
    <w:rsid w:val="00C16590"/>
    <w:rsid w:val="00C17563"/>
    <w:rsid w:val="00C17920"/>
    <w:rsid w:val="00C179B3"/>
    <w:rsid w:val="00C17E3F"/>
    <w:rsid w:val="00C200AA"/>
    <w:rsid w:val="00C203B5"/>
    <w:rsid w:val="00C20B68"/>
    <w:rsid w:val="00C20C38"/>
    <w:rsid w:val="00C218D0"/>
    <w:rsid w:val="00C21F95"/>
    <w:rsid w:val="00C230B8"/>
    <w:rsid w:val="00C232F4"/>
    <w:rsid w:val="00C23500"/>
    <w:rsid w:val="00C237ED"/>
    <w:rsid w:val="00C2386F"/>
    <w:rsid w:val="00C23FC8"/>
    <w:rsid w:val="00C24632"/>
    <w:rsid w:val="00C2465C"/>
    <w:rsid w:val="00C25418"/>
    <w:rsid w:val="00C25D9C"/>
    <w:rsid w:val="00C2778B"/>
    <w:rsid w:val="00C27B3F"/>
    <w:rsid w:val="00C27F06"/>
    <w:rsid w:val="00C30505"/>
    <w:rsid w:val="00C30BA2"/>
    <w:rsid w:val="00C30E94"/>
    <w:rsid w:val="00C310A7"/>
    <w:rsid w:val="00C31649"/>
    <w:rsid w:val="00C31BB0"/>
    <w:rsid w:val="00C33BBB"/>
    <w:rsid w:val="00C33C2C"/>
    <w:rsid w:val="00C3423E"/>
    <w:rsid w:val="00C3434C"/>
    <w:rsid w:val="00C34C07"/>
    <w:rsid w:val="00C369DB"/>
    <w:rsid w:val="00C37692"/>
    <w:rsid w:val="00C40017"/>
    <w:rsid w:val="00C40385"/>
    <w:rsid w:val="00C414ED"/>
    <w:rsid w:val="00C41768"/>
    <w:rsid w:val="00C42A9D"/>
    <w:rsid w:val="00C433AB"/>
    <w:rsid w:val="00C45498"/>
    <w:rsid w:val="00C456C6"/>
    <w:rsid w:val="00C45D0D"/>
    <w:rsid w:val="00C473DD"/>
    <w:rsid w:val="00C475AA"/>
    <w:rsid w:val="00C479DC"/>
    <w:rsid w:val="00C47B19"/>
    <w:rsid w:val="00C5027A"/>
    <w:rsid w:val="00C50DAB"/>
    <w:rsid w:val="00C51481"/>
    <w:rsid w:val="00C51AAC"/>
    <w:rsid w:val="00C524D5"/>
    <w:rsid w:val="00C527C7"/>
    <w:rsid w:val="00C5365F"/>
    <w:rsid w:val="00C53976"/>
    <w:rsid w:val="00C53B7F"/>
    <w:rsid w:val="00C53C98"/>
    <w:rsid w:val="00C53D0E"/>
    <w:rsid w:val="00C53E47"/>
    <w:rsid w:val="00C54147"/>
    <w:rsid w:val="00C556CC"/>
    <w:rsid w:val="00C55C52"/>
    <w:rsid w:val="00C56FCF"/>
    <w:rsid w:val="00C56FD8"/>
    <w:rsid w:val="00C57B6C"/>
    <w:rsid w:val="00C60567"/>
    <w:rsid w:val="00C6098D"/>
    <w:rsid w:val="00C61A59"/>
    <w:rsid w:val="00C61BBF"/>
    <w:rsid w:val="00C61CF6"/>
    <w:rsid w:val="00C62221"/>
    <w:rsid w:val="00C628A6"/>
    <w:rsid w:val="00C63136"/>
    <w:rsid w:val="00C63212"/>
    <w:rsid w:val="00C634F5"/>
    <w:rsid w:val="00C64344"/>
    <w:rsid w:val="00C643F3"/>
    <w:rsid w:val="00C64ADC"/>
    <w:rsid w:val="00C65108"/>
    <w:rsid w:val="00C652BB"/>
    <w:rsid w:val="00C65576"/>
    <w:rsid w:val="00C65908"/>
    <w:rsid w:val="00C66165"/>
    <w:rsid w:val="00C66755"/>
    <w:rsid w:val="00C67D56"/>
    <w:rsid w:val="00C7060A"/>
    <w:rsid w:val="00C70805"/>
    <w:rsid w:val="00C7089D"/>
    <w:rsid w:val="00C7151A"/>
    <w:rsid w:val="00C717E3"/>
    <w:rsid w:val="00C71CF6"/>
    <w:rsid w:val="00C71F60"/>
    <w:rsid w:val="00C72241"/>
    <w:rsid w:val="00C727BB"/>
    <w:rsid w:val="00C72B30"/>
    <w:rsid w:val="00C72F8B"/>
    <w:rsid w:val="00C73297"/>
    <w:rsid w:val="00C73D58"/>
    <w:rsid w:val="00C750C8"/>
    <w:rsid w:val="00C755F3"/>
    <w:rsid w:val="00C7560F"/>
    <w:rsid w:val="00C75B15"/>
    <w:rsid w:val="00C76706"/>
    <w:rsid w:val="00C76942"/>
    <w:rsid w:val="00C76AFD"/>
    <w:rsid w:val="00C76D18"/>
    <w:rsid w:val="00C76E27"/>
    <w:rsid w:val="00C77BBE"/>
    <w:rsid w:val="00C77EEB"/>
    <w:rsid w:val="00C77FA0"/>
    <w:rsid w:val="00C80A0E"/>
    <w:rsid w:val="00C81135"/>
    <w:rsid w:val="00C8153C"/>
    <w:rsid w:val="00C819C3"/>
    <w:rsid w:val="00C8213F"/>
    <w:rsid w:val="00C826AE"/>
    <w:rsid w:val="00C8290E"/>
    <w:rsid w:val="00C82DE6"/>
    <w:rsid w:val="00C8303F"/>
    <w:rsid w:val="00C833B2"/>
    <w:rsid w:val="00C85004"/>
    <w:rsid w:val="00C85154"/>
    <w:rsid w:val="00C85A70"/>
    <w:rsid w:val="00C8678A"/>
    <w:rsid w:val="00C86AFB"/>
    <w:rsid w:val="00C86C64"/>
    <w:rsid w:val="00C8797A"/>
    <w:rsid w:val="00C900B8"/>
    <w:rsid w:val="00C90197"/>
    <w:rsid w:val="00C90C71"/>
    <w:rsid w:val="00C919CC"/>
    <w:rsid w:val="00C91CA7"/>
    <w:rsid w:val="00C91D53"/>
    <w:rsid w:val="00C91FD1"/>
    <w:rsid w:val="00C92B24"/>
    <w:rsid w:val="00C92BC9"/>
    <w:rsid w:val="00C931CF"/>
    <w:rsid w:val="00C938CF"/>
    <w:rsid w:val="00C94053"/>
    <w:rsid w:val="00C945EB"/>
    <w:rsid w:val="00C9476D"/>
    <w:rsid w:val="00C95224"/>
    <w:rsid w:val="00C956DB"/>
    <w:rsid w:val="00C9624D"/>
    <w:rsid w:val="00C962B8"/>
    <w:rsid w:val="00C969DA"/>
    <w:rsid w:val="00C96AD8"/>
    <w:rsid w:val="00C96EF3"/>
    <w:rsid w:val="00C97729"/>
    <w:rsid w:val="00C97D56"/>
    <w:rsid w:val="00CA0CD8"/>
    <w:rsid w:val="00CA1321"/>
    <w:rsid w:val="00CA2833"/>
    <w:rsid w:val="00CA2C77"/>
    <w:rsid w:val="00CA38BF"/>
    <w:rsid w:val="00CA3DBF"/>
    <w:rsid w:val="00CA3EC4"/>
    <w:rsid w:val="00CA4366"/>
    <w:rsid w:val="00CA444F"/>
    <w:rsid w:val="00CA46FC"/>
    <w:rsid w:val="00CA5245"/>
    <w:rsid w:val="00CA532E"/>
    <w:rsid w:val="00CA5DD3"/>
    <w:rsid w:val="00CA71F4"/>
    <w:rsid w:val="00CA780A"/>
    <w:rsid w:val="00CA7B09"/>
    <w:rsid w:val="00CA7EB2"/>
    <w:rsid w:val="00CB12A5"/>
    <w:rsid w:val="00CB1CAC"/>
    <w:rsid w:val="00CB1DDD"/>
    <w:rsid w:val="00CB23B4"/>
    <w:rsid w:val="00CB2518"/>
    <w:rsid w:val="00CB27BF"/>
    <w:rsid w:val="00CB2DF3"/>
    <w:rsid w:val="00CB2F2A"/>
    <w:rsid w:val="00CB31ED"/>
    <w:rsid w:val="00CB3D7D"/>
    <w:rsid w:val="00CB420E"/>
    <w:rsid w:val="00CB469B"/>
    <w:rsid w:val="00CB5B1A"/>
    <w:rsid w:val="00CB60CD"/>
    <w:rsid w:val="00CB6352"/>
    <w:rsid w:val="00CB6B22"/>
    <w:rsid w:val="00CB79A0"/>
    <w:rsid w:val="00CB7F5F"/>
    <w:rsid w:val="00CC087D"/>
    <w:rsid w:val="00CC1B39"/>
    <w:rsid w:val="00CC1BFA"/>
    <w:rsid w:val="00CC1C52"/>
    <w:rsid w:val="00CC205A"/>
    <w:rsid w:val="00CC2E9F"/>
    <w:rsid w:val="00CC35EA"/>
    <w:rsid w:val="00CC3848"/>
    <w:rsid w:val="00CC44E5"/>
    <w:rsid w:val="00CC4602"/>
    <w:rsid w:val="00CC4660"/>
    <w:rsid w:val="00CC59FB"/>
    <w:rsid w:val="00CC66C8"/>
    <w:rsid w:val="00CC6D5E"/>
    <w:rsid w:val="00CC715A"/>
    <w:rsid w:val="00CC7808"/>
    <w:rsid w:val="00CD0200"/>
    <w:rsid w:val="00CD1354"/>
    <w:rsid w:val="00CD18BE"/>
    <w:rsid w:val="00CD1D5F"/>
    <w:rsid w:val="00CD2EF4"/>
    <w:rsid w:val="00CD314E"/>
    <w:rsid w:val="00CD3F77"/>
    <w:rsid w:val="00CD3FEB"/>
    <w:rsid w:val="00CD4849"/>
    <w:rsid w:val="00CD4ACD"/>
    <w:rsid w:val="00CD5FC8"/>
    <w:rsid w:val="00CD61D0"/>
    <w:rsid w:val="00CD65E0"/>
    <w:rsid w:val="00CD682C"/>
    <w:rsid w:val="00CD6841"/>
    <w:rsid w:val="00CD6ADC"/>
    <w:rsid w:val="00CD708C"/>
    <w:rsid w:val="00CD714B"/>
    <w:rsid w:val="00CD7193"/>
    <w:rsid w:val="00CD7342"/>
    <w:rsid w:val="00CD78C1"/>
    <w:rsid w:val="00CE0191"/>
    <w:rsid w:val="00CE1400"/>
    <w:rsid w:val="00CE1A15"/>
    <w:rsid w:val="00CE1AE4"/>
    <w:rsid w:val="00CE1F20"/>
    <w:rsid w:val="00CE226D"/>
    <w:rsid w:val="00CE2F19"/>
    <w:rsid w:val="00CE38C8"/>
    <w:rsid w:val="00CE417E"/>
    <w:rsid w:val="00CE44C5"/>
    <w:rsid w:val="00CE483D"/>
    <w:rsid w:val="00CE4DD6"/>
    <w:rsid w:val="00CE524F"/>
    <w:rsid w:val="00CE58CC"/>
    <w:rsid w:val="00CE6274"/>
    <w:rsid w:val="00CE77B6"/>
    <w:rsid w:val="00CE78FC"/>
    <w:rsid w:val="00CF0A38"/>
    <w:rsid w:val="00CF107D"/>
    <w:rsid w:val="00CF11AA"/>
    <w:rsid w:val="00CF1229"/>
    <w:rsid w:val="00CF16AE"/>
    <w:rsid w:val="00CF1828"/>
    <w:rsid w:val="00CF25E9"/>
    <w:rsid w:val="00CF2B8D"/>
    <w:rsid w:val="00CF2CB1"/>
    <w:rsid w:val="00CF2D4A"/>
    <w:rsid w:val="00CF2DBD"/>
    <w:rsid w:val="00CF3631"/>
    <w:rsid w:val="00CF3A1B"/>
    <w:rsid w:val="00CF3C10"/>
    <w:rsid w:val="00CF3DE4"/>
    <w:rsid w:val="00CF456B"/>
    <w:rsid w:val="00CF511A"/>
    <w:rsid w:val="00CF5A22"/>
    <w:rsid w:val="00CF5FDD"/>
    <w:rsid w:val="00CF6630"/>
    <w:rsid w:val="00CF7036"/>
    <w:rsid w:val="00CF7223"/>
    <w:rsid w:val="00CF79F8"/>
    <w:rsid w:val="00CF7D1C"/>
    <w:rsid w:val="00CF7DC6"/>
    <w:rsid w:val="00D00A11"/>
    <w:rsid w:val="00D00BC2"/>
    <w:rsid w:val="00D013A9"/>
    <w:rsid w:val="00D0178B"/>
    <w:rsid w:val="00D02443"/>
    <w:rsid w:val="00D0262E"/>
    <w:rsid w:val="00D029F8"/>
    <w:rsid w:val="00D03059"/>
    <w:rsid w:val="00D03679"/>
    <w:rsid w:val="00D046EF"/>
    <w:rsid w:val="00D047BF"/>
    <w:rsid w:val="00D0555E"/>
    <w:rsid w:val="00D05E3D"/>
    <w:rsid w:val="00D06139"/>
    <w:rsid w:val="00D06856"/>
    <w:rsid w:val="00D06899"/>
    <w:rsid w:val="00D068C1"/>
    <w:rsid w:val="00D07229"/>
    <w:rsid w:val="00D10641"/>
    <w:rsid w:val="00D110BD"/>
    <w:rsid w:val="00D11596"/>
    <w:rsid w:val="00D12452"/>
    <w:rsid w:val="00D12DF1"/>
    <w:rsid w:val="00D12E87"/>
    <w:rsid w:val="00D132B2"/>
    <w:rsid w:val="00D13675"/>
    <w:rsid w:val="00D141E1"/>
    <w:rsid w:val="00D14C3E"/>
    <w:rsid w:val="00D15314"/>
    <w:rsid w:val="00D153C0"/>
    <w:rsid w:val="00D157FF"/>
    <w:rsid w:val="00D1595E"/>
    <w:rsid w:val="00D15B48"/>
    <w:rsid w:val="00D15B73"/>
    <w:rsid w:val="00D16450"/>
    <w:rsid w:val="00D16FB2"/>
    <w:rsid w:val="00D17191"/>
    <w:rsid w:val="00D17BDB"/>
    <w:rsid w:val="00D17D48"/>
    <w:rsid w:val="00D17D6C"/>
    <w:rsid w:val="00D206E9"/>
    <w:rsid w:val="00D207F7"/>
    <w:rsid w:val="00D2155B"/>
    <w:rsid w:val="00D2181F"/>
    <w:rsid w:val="00D219CD"/>
    <w:rsid w:val="00D22043"/>
    <w:rsid w:val="00D22058"/>
    <w:rsid w:val="00D23744"/>
    <w:rsid w:val="00D237B3"/>
    <w:rsid w:val="00D23D11"/>
    <w:rsid w:val="00D24428"/>
    <w:rsid w:val="00D244B6"/>
    <w:rsid w:val="00D266AA"/>
    <w:rsid w:val="00D2754D"/>
    <w:rsid w:val="00D27B27"/>
    <w:rsid w:val="00D30D5B"/>
    <w:rsid w:val="00D326D2"/>
    <w:rsid w:val="00D33BE9"/>
    <w:rsid w:val="00D33F93"/>
    <w:rsid w:val="00D3444E"/>
    <w:rsid w:val="00D34EBE"/>
    <w:rsid w:val="00D352ED"/>
    <w:rsid w:val="00D35439"/>
    <w:rsid w:val="00D357FF"/>
    <w:rsid w:val="00D36976"/>
    <w:rsid w:val="00D4084D"/>
    <w:rsid w:val="00D414EE"/>
    <w:rsid w:val="00D41A9C"/>
    <w:rsid w:val="00D424C7"/>
    <w:rsid w:val="00D42561"/>
    <w:rsid w:val="00D426EB"/>
    <w:rsid w:val="00D42AC6"/>
    <w:rsid w:val="00D42D51"/>
    <w:rsid w:val="00D43B2A"/>
    <w:rsid w:val="00D43C5B"/>
    <w:rsid w:val="00D43CF1"/>
    <w:rsid w:val="00D43D83"/>
    <w:rsid w:val="00D44A80"/>
    <w:rsid w:val="00D45CBF"/>
    <w:rsid w:val="00D45FA8"/>
    <w:rsid w:val="00D47575"/>
    <w:rsid w:val="00D47699"/>
    <w:rsid w:val="00D477D4"/>
    <w:rsid w:val="00D50D40"/>
    <w:rsid w:val="00D50FF0"/>
    <w:rsid w:val="00D51731"/>
    <w:rsid w:val="00D51822"/>
    <w:rsid w:val="00D5221B"/>
    <w:rsid w:val="00D5243B"/>
    <w:rsid w:val="00D527C5"/>
    <w:rsid w:val="00D52904"/>
    <w:rsid w:val="00D52B17"/>
    <w:rsid w:val="00D533EC"/>
    <w:rsid w:val="00D53409"/>
    <w:rsid w:val="00D5458F"/>
    <w:rsid w:val="00D54857"/>
    <w:rsid w:val="00D54862"/>
    <w:rsid w:val="00D54918"/>
    <w:rsid w:val="00D54C08"/>
    <w:rsid w:val="00D54FF6"/>
    <w:rsid w:val="00D5506C"/>
    <w:rsid w:val="00D55B35"/>
    <w:rsid w:val="00D55F83"/>
    <w:rsid w:val="00D56A95"/>
    <w:rsid w:val="00D56B71"/>
    <w:rsid w:val="00D5760F"/>
    <w:rsid w:val="00D60074"/>
    <w:rsid w:val="00D6049E"/>
    <w:rsid w:val="00D6076E"/>
    <w:rsid w:val="00D62051"/>
    <w:rsid w:val="00D623CB"/>
    <w:rsid w:val="00D62B10"/>
    <w:rsid w:val="00D637D3"/>
    <w:rsid w:val="00D63A59"/>
    <w:rsid w:val="00D640D2"/>
    <w:rsid w:val="00D6437F"/>
    <w:rsid w:val="00D65302"/>
    <w:rsid w:val="00D6540D"/>
    <w:rsid w:val="00D65447"/>
    <w:rsid w:val="00D6697F"/>
    <w:rsid w:val="00D7036C"/>
    <w:rsid w:val="00D70BA7"/>
    <w:rsid w:val="00D70F16"/>
    <w:rsid w:val="00D718AE"/>
    <w:rsid w:val="00D72617"/>
    <w:rsid w:val="00D72F57"/>
    <w:rsid w:val="00D7328B"/>
    <w:rsid w:val="00D73B3A"/>
    <w:rsid w:val="00D75308"/>
    <w:rsid w:val="00D76A44"/>
    <w:rsid w:val="00D76B87"/>
    <w:rsid w:val="00D802D3"/>
    <w:rsid w:val="00D8041A"/>
    <w:rsid w:val="00D815EF"/>
    <w:rsid w:val="00D8193F"/>
    <w:rsid w:val="00D81949"/>
    <w:rsid w:val="00D81985"/>
    <w:rsid w:val="00D81F26"/>
    <w:rsid w:val="00D822E2"/>
    <w:rsid w:val="00D82B7E"/>
    <w:rsid w:val="00D82F37"/>
    <w:rsid w:val="00D830D2"/>
    <w:rsid w:val="00D83F27"/>
    <w:rsid w:val="00D83F5C"/>
    <w:rsid w:val="00D843F2"/>
    <w:rsid w:val="00D84551"/>
    <w:rsid w:val="00D84E1B"/>
    <w:rsid w:val="00D8616E"/>
    <w:rsid w:val="00D86202"/>
    <w:rsid w:val="00D86231"/>
    <w:rsid w:val="00D875EB"/>
    <w:rsid w:val="00D87F92"/>
    <w:rsid w:val="00D9004F"/>
    <w:rsid w:val="00D90965"/>
    <w:rsid w:val="00D90E8B"/>
    <w:rsid w:val="00D912AB"/>
    <w:rsid w:val="00D912F9"/>
    <w:rsid w:val="00D916BF"/>
    <w:rsid w:val="00D91923"/>
    <w:rsid w:val="00D92700"/>
    <w:rsid w:val="00D93753"/>
    <w:rsid w:val="00D93B36"/>
    <w:rsid w:val="00D941FB"/>
    <w:rsid w:val="00D95887"/>
    <w:rsid w:val="00D95BCA"/>
    <w:rsid w:val="00D95C6B"/>
    <w:rsid w:val="00D96D05"/>
    <w:rsid w:val="00D96DF2"/>
    <w:rsid w:val="00D9715B"/>
    <w:rsid w:val="00DA0248"/>
    <w:rsid w:val="00DA03F7"/>
    <w:rsid w:val="00DA1087"/>
    <w:rsid w:val="00DA1C30"/>
    <w:rsid w:val="00DA2B36"/>
    <w:rsid w:val="00DA3167"/>
    <w:rsid w:val="00DA3A5A"/>
    <w:rsid w:val="00DA41B3"/>
    <w:rsid w:val="00DA4205"/>
    <w:rsid w:val="00DA4DC3"/>
    <w:rsid w:val="00DA4DCF"/>
    <w:rsid w:val="00DA4EC7"/>
    <w:rsid w:val="00DA5151"/>
    <w:rsid w:val="00DA51A1"/>
    <w:rsid w:val="00DA5E54"/>
    <w:rsid w:val="00DA6D99"/>
    <w:rsid w:val="00DA77A5"/>
    <w:rsid w:val="00DA78F7"/>
    <w:rsid w:val="00DB0780"/>
    <w:rsid w:val="00DB0E36"/>
    <w:rsid w:val="00DB14D2"/>
    <w:rsid w:val="00DB21F1"/>
    <w:rsid w:val="00DB3DBF"/>
    <w:rsid w:val="00DB4564"/>
    <w:rsid w:val="00DB484F"/>
    <w:rsid w:val="00DB49AF"/>
    <w:rsid w:val="00DB4C7D"/>
    <w:rsid w:val="00DB4E38"/>
    <w:rsid w:val="00DB73B3"/>
    <w:rsid w:val="00DB7FF8"/>
    <w:rsid w:val="00DC04F6"/>
    <w:rsid w:val="00DC0690"/>
    <w:rsid w:val="00DC1587"/>
    <w:rsid w:val="00DC1D65"/>
    <w:rsid w:val="00DC23C0"/>
    <w:rsid w:val="00DC250E"/>
    <w:rsid w:val="00DC3C57"/>
    <w:rsid w:val="00DC3FEA"/>
    <w:rsid w:val="00DC5501"/>
    <w:rsid w:val="00DC5DE4"/>
    <w:rsid w:val="00DC631E"/>
    <w:rsid w:val="00DC66C1"/>
    <w:rsid w:val="00DC6C2C"/>
    <w:rsid w:val="00DC7154"/>
    <w:rsid w:val="00DC7E8A"/>
    <w:rsid w:val="00DD0F6F"/>
    <w:rsid w:val="00DD0F78"/>
    <w:rsid w:val="00DD0FDA"/>
    <w:rsid w:val="00DD1B8D"/>
    <w:rsid w:val="00DD20CD"/>
    <w:rsid w:val="00DD26C3"/>
    <w:rsid w:val="00DD273C"/>
    <w:rsid w:val="00DD2B2E"/>
    <w:rsid w:val="00DD3F28"/>
    <w:rsid w:val="00DD4446"/>
    <w:rsid w:val="00DD4537"/>
    <w:rsid w:val="00DD4E15"/>
    <w:rsid w:val="00DD6687"/>
    <w:rsid w:val="00DD66B6"/>
    <w:rsid w:val="00DD6B66"/>
    <w:rsid w:val="00DD7461"/>
    <w:rsid w:val="00DD75AC"/>
    <w:rsid w:val="00DE0359"/>
    <w:rsid w:val="00DE0B32"/>
    <w:rsid w:val="00DE0FE7"/>
    <w:rsid w:val="00DE186E"/>
    <w:rsid w:val="00DE2304"/>
    <w:rsid w:val="00DE29D5"/>
    <w:rsid w:val="00DE2DB1"/>
    <w:rsid w:val="00DE304C"/>
    <w:rsid w:val="00DE3138"/>
    <w:rsid w:val="00DE352D"/>
    <w:rsid w:val="00DE37F8"/>
    <w:rsid w:val="00DE3E2D"/>
    <w:rsid w:val="00DE4273"/>
    <w:rsid w:val="00DE4FCB"/>
    <w:rsid w:val="00DE5D07"/>
    <w:rsid w:val="00DE5D4B"/>
    <w:rsid w:val="00DE611F"/>
    <w:rsid w:val="00DE6FE2"/>
    <w:rsid w:val="00DE72A7"/>
    <w:rsid w:val="00DE7832"/>
    <w:rsid w:val="00DE7A04"/>
    <w:rsid w:val="00DF18FC"/>
    <w:rsid w:val="00DF1CF1"/>
    <w:rsid w:val="00DF395B"/>
    <w:rsid w:val="00DF4444"/>
    <w:rsid w:val="00DF4960"/>
    <w:rsid w:val="00DF555C"/>
    <w:rsid w:val="00DF5A79"/>
    <w:rsid w:val="00DF5D2B"/>
    <w:rsid w:val="00DF6341"/>
    <w:rsid w:val="00DF7117"/>
    <w:rsid w:val="00DF7400"/>
    <w:rsid w:val="00E00070"/>
    <w:rsid w:val="00E0014A"/>
    <w:rsid w:val="00E005BA"/>
    <w:rsid w:val="00E00E8E"/>
    <w:rsid w:val="00E0116F"/>
    <w:rsid w:val="00E01717"/>
    <w:rsid w:val="00E025C0"/>
    <w:rsid w:val="00E02988"/>
    <w:rsid w:val="00E02D8F"/>
    <w:rsid w:val="00E02E7B"/>
    <w:rsid w:val="00E03BFA"/>
    <w:rsid w:val="00E048D7"/>
    <w:rsid w:val="00E05103"/>
    <w:rsid w:val="00E051DB"/>
    <w:rsid w:val="00E05401"/>
    <w:rsid w:val="00E05474"/>
    <w:rsid w:val="00E05630"/>
    <w:rsid w:val="00E05885"/>
    <w:rsid w:val="00E06324"/>
    <w:rsid w:val="00E06DBB"/>
    <w:rsid w:val="00E07D2B"/>
    <w:rsid w:val="00E10149"/>
    <w:rsid w:val="00E101D4"/>
    <w:rsid w:val="00E103F6"/>
    <w:rsid w:val="00E10E6F"/>
    <w:rsid w:val="00E11340"/>
    <w:rsid w:val="00E119A6"/>
    <w:rsid w:val="00E11DA6"/>
    <w:rsid w:val="00E122A1"/>
    <w:rsid w:val="00E1279A"/>
    <w:rsid w:val="00E12AC2"/>
    <w:rsid w:val="00E13F9A"/>
    <w:rsid w:val="00E14810"/>
    <w:rsid w:val="00E15635"/>
    <w:rsid w:val="00E157E7"/>
    <w:rsid w:val="00E16372"/>
    <w:rsid w:val="00E163DF"/>
    <w:rsid w:val="00E16AD8"/>
    <w:rsid w:val="00E16B43"/>
    <w:rsid w:val="00E170AB"/>
    <w:rsid w:val="00E175A7"/>
    <w:rsid w:val="00E1774C"/>
    <w:rsid w:val="00E17FFA"/>
    <w:rsid w:val="00E20E4D"/>
    <w:rsid w:val="00E20ED6"/>
    <w:rsid w:val="00E21358"/>
    <w:rsid w:val="00E21B05"/>
    <w:rsid w:val="00E21E37"/>
    <w:rsid w:val="00E2249B"/>
    <w:rsid w:val="00E22A0D"/>
    <w:rsid w:val="00E22FEE"/>
    <w:rsid w:val="00E23D1E"/>
    <w:rsid w:val="00E23D3C"/>
    <w:rsid w:val="00E244F6"/>
    <w:rsid w:val="00E255E8"/>
    <w:rsid w:val="00E258DB"/>
    <w:rsid w:val="00E259EA"/>
    <w:rsid w:val="00E266EA"/>
    <w:rsid w:val="00E27291"/>
    <w:rsid w:val="00E27506"/>
    <w:rsid w:val="00E2771E"/>
    <w:rsid w:val="00E27824"/>
    <w:rsid w:val="00E27EE8"/>
    <w:rsid w:val="00E302FA"/>
    <w:rsid w:val="00E30391"/>
    <w:rsid w:val="00E3063A"/>
    <w:rsid w:val="00E311EF"/>
    <w:rsid w:val="00E312A8"/>
    <w:rsid w:val="00E314D2"/>
    <w:rsid w:val="00E315B8"/>
    <w:rsid w:val="00E3174B"/>
    <w:rsid w:val="00E31C08"/>
    <w:rsid w:val="00E32180"/>
    <w:rsid w:val="00E325E1"/>
    <w:rsid w:val="00E32B13"/>
    <w:rsid w:val="00E34948"/>
    <w:rsid w:val="00E36693"/>
    <w:rsid w:val="00E369FC"/>
    <w:rsid w:val="00E37569"/>
    <w:rsid w:val="00E375BB"/>
    <w:rsid w:val="00E37DFF"/>
    <w:rsid w:val="00E40083"/>
    <w:rsid w:val="00E400E9"/>
    <w:rsid w:val="00E401B2"/>
    <w:rsid w:val="00E403C3"/>
    <w:rsid w:val="00E40B91"/>
    <w:rsid w:val="00E40F47"/>
    <w:rsid w:val="00E41A80"/>
    <w:rsid w:val="00E41AB8"/>
    <w:rsid w:val="00E41B79"/>
    <w:rsid w:val="00E41E30"/>
    <w:rsid w:val="00E42F73"/>
    <w:rsid w:val="00E43B33"/>
    <w:rsid w:val="00E43D42"/>
    <w:rsid w:val="00E43D70"/>
    <w:rsid w:val="00E44ABD"/>
    <w:rsid w:val="00E44F1E"/>
    <w:rsid w:val="00E46275"/>
    <w:rsid w:val="00E466A6"/>
    <w:rsid w:val="00E466F3"/>
    <w:rsid w:val="00E467C1"/>
    <w:rsid w:val="00E46A3A"/>
    <w:rsid w:val="00E46F3E"/>
    <w:rsid w:val="00E471C4"/>
    <w:rsid w:val="00E477EF"/>
    <w:rsid w:val="00E47B2C"/>
    <w:rsid w:val="00E503DA"/>
    <w:rsid w:val="00E50C51"/>
    <w:rsid w:val="00E50D7D"/>
    <w:rsid w:val="00E50E48"/>
    <w:rsid w:val="00E512CA"/>
    <w:rsid w:val="00E51560"/>
    <w:rsid w:val="00E51821"/>
    <w:rsid w:val="00E5331E"/>
    <w:rsid w:val="00E533AC"/>
    <w:rsid w:val="00E53760"/>
    <w:rsid w:val="00E53FC8"/>
    <w:rsid w:val="00E540D5"/>
    <w:rsid w:val="00E54347"/>
    <w:rsid w:val="00E54C7F"/>
    <w:rsid w:val="00E55424"/>
    <w:rsid w:val="00E5571C"/>
    <w:rsid w:val="00E55915"/>
    <w:rsid w:val="00E55AE8"/>
    <w:rsid w:val="00E55BB5"/>
    <w:rsid w:val="00E55E1F"/>
    <w:rsid w:val="00E57E96"/>
    <w:rsid w:val="00E6020F"/>
    <w:rsid w:val="00E6036F"/>
    <w:rsid w:val="00E60E27"/>
    <w:rsid w:val="00E611DF"/>
    <w:rsid w:val="00E619B1"/>
    <w:rsid w:val="00E61A19"/>
    <w:rsid w:val="00E61BE3"/>
    <w:rsid w:val="00E6277F"/>
    <w:rsid w:val="00E633ED"/>
    <w:rsid w:val="00E65808"/>
    <w:rsid w:val="00E65E79"/>
    <w:rsid w:val="00E66BA2"/>
    <w:rsid w:val="00E67416"/>
    <w:rsid w:val="00E7034E"/>
    <w:rsid w:val="00E71077"/>
    <w:rsid w:val="00E718B6"/>
    <w:rsid w:val="00E71B7C"/>
    <w:rsid w:val="00E723BA"/>
    <w:rsid w:val="00E73581"/>
    <w:rsid w:val="00E737BD"/>
    <w:rsid w:val="00E738E2"/>
    <w:rsid w:val="00E749B5"/>
    <w:rsid w:val="00E74A38"/>
    <w:rsid w:val="00E763DD"/>
    <w:rsid w:val="00E765DF"/>
    <w:rsid w:val="00E773C3"/>
    <w:rsid w:val="00E80062"/>
    <w:rsid w:val="00E8020E"/>
    <w:rsid w:val="00E80C4C"/>
    <w:rsid w:val="00E8144E"/>
    <w:rsid w:val="00E81506"/>
    <w:rsid w:val="00E81C00"/>
    <w:rsid w:val="00E82149"/>
    <w:rsid w:val="00E824BC"/>
    <w:rsid w:val="00E82F68"/>
    <w:rsid w:val="00E833F7"/>
    <w:rsid w:val="00E83975"/>
    <w:rsid w:val="00E83986"/>
    <w:rsid w:val="00E83BDF"/>
    <w:rsid w:val="00E844D6"/>
    <w:rsid w:val="00E846F0"/>
    <w:rsid w:val="00E84D0C"/>
    <w:rsid w:val="00E853EA"/>
    <w:rsid w:val="00E858E0"/>
    <w:rsid w:val="00E860F9"/>
    <w:rsid w:val="00E86FCC"/>
    <w:rsid w:val="00E87477"/>
    <w:rsid w:val="00E87A1D"/>
    <w:rsid w:val="00E87B70"/>
    <w:rsid w:val="00E9048D"/>
    <w:rsid w:val="00E9078F"/>
    <w:rsid w:val="00E9094A"/>
    <w:rsid w:val="00E91B8B"/>
    <w:rsid w:val="00E91D35"/>
    <w:rsid w:val="00E923BA"/>
    <w:rsid w:val="00E92532"/>
    <w:rsid w:val="00E926A5"/>
    <w:rsid w:val="00E92BFA"/>
    <w:rsid w:val="00E93317"/>
    <w:rsid w:val="00E93961"/>
    <w:rsid w:val="00E939AE"/>
    <w:rsid w:val="00E9484D"/>
    <w:rsid w:val="00E94F2F"/>
    <w:rsid w:val="00E9505C"/>
    <w:rsid w:val="00E9529C"/>
    <w:rsid w:val="00E95378"/>
    <w:rsid w:val="00E956A0"/>
    <w:rsid w:val="00E958DB"/>
    <w:rsid w:val="00E95D5E"/>
    <w:rsid w:val="00E962CC"/>
    <w:rsid w:val="00E967AB"/>
    <w:rsid w:val="00E97E71"/>
    <w:rsid w:val="00EA038A"/>
    <w:rsid w:val="00EA0E5D"/>
    <w:rsid w:val="00EA15E3"/>
    <w:rsid w:val="00EA17C3"/>
    <w:rsid w:val="00EA1DF0"/>
    <w:rsid w:val="00EA219B"/>
    <w:rsid w:val="00EA2CAA"/>
    <w:rsid w:val="00EA3864"/>
    <w:rsid w:val="00EA44BF"/>
    <w:rsid w:val="00EA4616"/>
    <w:rsid w:val="00EA551F"/>
    <w:rsid w:val="00EA612B"/>
    <w:rsid w:val="00EA6D59"/>
    <w:rsid w:val="00EA6ED0"/>
    <w:rsid w:val="00EA7F0A"/>
    <w:rsid w:val="00EA7F1C"/>
    <w:rsid w:val="00EB0077"/>
    <w:rsid w:val="00EB0B15"/>
    <w:rsid w:val="00EB11CE"/>
    <w:rsid w:val="00EB15B6"/>
    <w:rsid w:val="00EB19AF"/>
    <w:rsid w:val="00EB1A2F"/>
    <w:rsid w:val="00EB246A"/>
    <w:rsid w:val="00EB39CC"/>
    <w:rsid w:val="00EB3A78"/>
    <w:rsid w:val="00EB3D06"/>
    <w:rsid w:val="00EB41D1"/>
    <w:rsid w:val="00EB4916"/>
    <w:rsid w:val="00EB4B06"/>
    <w:rsid w:val="00EB4B29"/>
    <w:rsid w:val="00EB51CB"/>
    <w:rsid w:val="00EB5574"/>
    <w:rsid w:val="00EB5959"/>
    <w:rsid w:val="00EB5BF7"/>
    <w:rsid w:val="00EB6188"/>
    <w:rsid w:val="00EB61B9"/>
    <w:rsid w:val="00EB6CDA"/>
    <w:rsid w:val="00EB7809"/>
    <w:rsid w:val="00EC00C9"/>
    <w:rsid w:val="00EC0649"/>
    <w:rsid w:val="00EC0DD9"/>
    <w:rsid w:val="00EC126C"/>
    <w:rsid w:val="00EC1770"/>
    <w:rsid w:val="00EC1812"/>
    <w:rsid w:val="00EC2109"/>
    <w:rsid w:val="00EC2649"/>
    <w:rsid w:val="00EC31ED"/>
    <w:rsid w:val="00EC3C78"/>
    <w:rsid w:val="00EC5836"/>
    <w:rsid w:val="00EC5C0F"/>
    <w:rsid w:val="00EC688C"/>
    <w:rsid w:val="00EC68D2"/>
    <w:rsid w:val="00EC6D8F"/>
    <w:rsid w:val="00EC7397"/>
    <w:rsid w:val="00EC7F2B"/>
    <w:rsid w:val="00ED0191"/>
    <w:rsid w:val="00ED0285"/>
    <w:rsid w:val="00ED07F9"/>
    <w:rsid w:val="00ED0CA8"/>
    <w:rsid w:val="00ED12E3"/>
    <w:rsid w:val="00ED1AC1"/>
    <w:rsid w:val="00ED25A1"/>
    <w:rsid w:val="00ED2923"/>
    <w:rsid w:val="00ED2D42"/>
    <w:rsid w:val="00ED4B04"/>
    <w:rsid w:val="00ED5493"/>
    <w:rsid w:val="00ED57EA"/>
    <w:rsid w:val="00ED5BD4"/>
    <w:rsid w:val="00ED5C97"/>
    <w:rsid w:val="00ED76A8"/>
    <w:rsid w:val="00ED7EFD"/>
    <w:rsid w:val="00EE07D3"/>
    <w:rsid w:val="00EE1996"/>
    <w:rsid w:val="00EE199D"/>
    <w:rsid w:val="00EE1C01"/>
    <w:rsid w:val="00EE22AF"/>
    <w:rsid w:val="00EE23BD"/>
    <w:rsid w:val="00EE2E0C"/>
    <w:rsid w:val="00EE30E3"/>
    <w:rsid w:val="00EE3AF3"/>
    <w:rsid w:val="00EE3D34"/>
    <w:rsid w:val="00EE498F"/>
    <w:rsid w:val="00EE67B4"/>
    <w:rsid w:val="00EE7226"/>
    <w:rsid w:val="00EE729A"/>
    <w:rsid w:val="00EE7397"/>
    <w:rsid w:val="00EE7763"/>
    <w:rsid w:val="00EF0171"/>
    <w:rsid w:val="00EF087A"/>
    <w:rsid w:val="00EF0A85"/>
    <w:rsid w:val="00EF0D6D"/>
    <w:rsid w:val="00EF1B25"/>
    <w:rsid w:val="00EF1DA0"/>
    <w:rsid w:val="00EF21E8"/>
    <w:rsid w:val="00EF2A36"/>
    <w:rsid w:val="00EF318E"/>
    <w:rsid w:val="00EF376C"/>
    <w:rsid w:val="00EF3DA6"/>
    <w:rsid w:val="00EF4747"/>
    <w:rsid w:val="00EF4BF8"/>
    <w:rsid w:val="00EF5940"/>
    <w:rsid w:val="00EF63B1"/>
    <w:rsid w:val="00EF6F8A"/>
    <w:rsid w:val="00EF713D"/>
    <w:rsid w:val="00EF7380"/>
    <w:rsid w:val="00EF7753"/>
    <w:rsid w:val="00EF7B81"/>
    <w:rsid w:val="00F00407"/>
    <w:rsid w:val="00F00831"/>
    <w:rsid w:val="00F01205"/>
    <w:rsid w:val="00F01444"/>
    <w:rsid w:val="00F01740"/>
    <w:rsid w:val="00F01CED"/>
    <w:rsid w:val="00F02253"/>
    <w:rsid w:val="00F0236F"/>
    <w:rsid w:val="00F0240C"/>
    <w:rsid w:val="00F033C6"/>
    <w:rsid w:val="00F03C2E"/>
    <w:rsid w:val="00F04A66"/>
    <w:rsid w:val="00F04B4B"/>
    <w:rsid w:val="00F0516C"/>
    <w:rsid w:val="00F051F4"/>
    <w:rsid w:val="00F05C57"/>
    <w:rsid w:val="00F05F84"/>
    <w:rsid w:val="00F067A2"/>
    <w:rsid w:val="00F0715F"/>
    <w:rsid w:val="00F07B9E"/>
    <w:rsid w:val="00F10546"/>
    <w:rsid w:val="00F11008"/>
    <w:rsid w:val="00F1116F"/>
    <w:rsid w:val="00F11BDA"/>
    <w:rsid w:val="00F11EDB"/>
    <w:rsid w:val="00F1263A"/>
    <w:rsid w:val="00F12F34"/>
    <w:rsid w:val="00F131E3"/>
    <w:rsid w:val="00F135BE"/>
    <w:rsid w:val="00F139C5"/>
    <w:rsid w:val="00F15B77"/>
    <w:rsid w:val="00F15B8C"/>
    <w:rsid w:val="00F162B3"/>
    <w:rsid w:val="00F165DE"/>
    <w:rsid w:val="00F201F3"/>
    <w:rsid w:val="00F205EA"/>
    <w:rsid w:val="00F207B9"/>
    <w:rsid w:val="00F20DAD"/>
    <w:rsid w:val="00F21107"/>
    <w:rsid w:val="00F21236"/>
    <w:rsid w:val="00F21C5A"/>
    <w:rsid w:val="00F22084"/>
    <w:rsid w:val="00F22456"/>
    <w:rsid w:val="00F23926"/>
    <w:rsid w:val="00F239DF"/>
    <w:rsid w:val="00F239E5"/>
    <w:rsid w:val="00F23F14"/>
    <w:rsid w:val="00F24837"/>
    <w:rsid w:val="00F25494"/>
    <w:rsid w:val="00F2575F"/>
    <w:rsid w:val="00F267B1"/>
    <w:rsid w:val="00F2691A"/>
    <w:rsid w:val="00F26B46"/>
    <w:rsid w:val="00F2704F"/>
    <w:rsid w:val="00F27565"/>
    <w:rsid w:val="00F277C6"/>
    <w:rsid w:val="00F27B89"/>
    <w:rsid w:val="00F27EE2"/>
    <w:rsid w:val="00F3018F"/>
    <w:rsid w:val="00F30A99"/>
    <w:rsid w:val="00F310D4"/>
    <w:rsid w:val="00F3170E"/>
    <w:rsid w:val="00F31D5A"/>
    <w:rsid w:val="00F3296E"/>
    <w:rsid w:val="00F33036"/>
    <w:rsid w:val="00F33387"/>
    <w:rsid w:val="00F3345B"/>
    <w:rsid w:val="00F336A4"/>
    <w:rsid w:val="00F33975"/>
    <w:rsid w:val="00F33DE9"/>
    <w:rsid w:val="00F3419E"/>
    <w:rsid w:val="00F34FC9"/>
    <w:rsid w:val="00F3594D"/>
    <w:rsid w:val="00F35CCF"/>
    <w:rsid w:val="00F35E6D"/>
    <w:rsid w:val="00F3619A"/>
    <w:rsid w:val="00F362A0"/>
    <w:rsid w:val="00F37137"/>
    <w:rsid w:val="00F3777A"/>
    <w:rsid w:val="00F37D0A"/>
    <w:rsid w:val="00F4006D"/>
    <w:rsid w:val="00F40088"/>
    <w:rsid w:val="00F40AAA"/>
    <w:rsid w:val="00F40BA7"/>
    <w:rsid w:val="00F40F9D"/>
    <w:rsid w:val="00F412D1"/>
    <w:rsid w:val="00F416BB"/>
    <w:rsid w:val="00F41ACD"/>
    <w:rsid w:val="00F41E3E"/>
    <w:rsid w:val="00F42C66"/>
    <w:rsid w:val="00F43346"/>
    <w:rsid w:val="00F440BB"/>
    <w:rsid w:val="00F44A2F"/>
    <w:rsid w:val="00F4577E"/>
    <w:rsid w:val="00F457B5"/>
    <w:rsid w:val="00F468A0"/>
    <w:rsid w:val="00F468A4"/>
    <w:rsid w:val="00F46CB6"/>
    <w:rsid w:val="00F46E0C"/>
    <w:rsid w:val="00F4756D"/>
    <w:rsid w:val="00F4764A"/>
    <w:rsid w:val="00F47DE8"/>
    <w:rsid w:val="00F53B55"/>
    <w:rsid w:val="00F53C94"/>
    <w:rsid w:val="00F542C1"/>
    <w:rsid w:val="00F542DD"/>
    <w:rsid w:val="00F54B9A"/>
    <w:rsid w:val="00F54E36"/>
    <w:rsid w:val="00F550E3"/>
    <w:rsid w:val="00F55357"/>
    <w:rsid w:val="00F55E73"/>
    <w:rsid w:val="00F55EDA"/>
    <w:rsid w:val="00F569AE"/>
    <w:rsid w:val="00F56C80"/>
    <w:rsid w:val="00F56D99"/>
    <w:rsid w:val="00F57F3C"/>
    <w:rsid w:val="00F60092"/>
    <w:rsid w:val="00F607AE"/>
    <w:rsid w:val="00F6100D"/>
    <w:rsid w:val="00F61A32"/>
    <w:rsid w:val="00F61C18"/>
    <w:rsid w:val="00F61FEA"/>
    <w:rsid w:val="00F62BBE"/>
    <w:rsid w:val="00F63761"/>
    <w:rsid w:val="00F63CD9"/>
    <w:rsid w:val="00F64190"/>
    <w:rsid w:val="00F64B49"/>
    <w:rsid w:val="00F65F4B"/>
    <w:rsid w:val="00F67A69"/>
    <w:rsid w:val="00F702F9"/>
    <w:rsid w:val="00F704E7"/>
    <w:rsid w:val="00F70BFF"/>
    <w:rsid w:val="00F70C9D"/>
    <w:rsid w:val="00F722CB"/>
    <w:rsid w:val="00F730AE"/>
    <w:rsid w:val="00F73E08"/>
    <w:rsid w:val="00F74990"/>
    <w:rsid w:val="00F74CD9"/>
    <w:rsid w:val="00F77235"/>
    <w:rsid w:val="00F7783F"/>
    <w:rsid w:val="00F8026E"/>
    <w:rsid w:val="00F80A7B"/>
    <w:rsid w:val="00F80E5D"/>
    <w:rsid w:val="00F8146E"/>
    <w:rsid w:val="00F81E78"/>
    <w:rsid w:val="00F8239E"/>
    <w:rsid w:val="00F83916"/>
    <w:rsid w:val="00F83A0B"/>
    <w:rsid w:val="00F848AF"/>
    <w:rsid w:val="00F84968"/>
    <w:rsid w:val="00F84A52"/>
    <w:rsid w:val="00F84A85"/>
    <w:rsid w:val="00F850E5"/>
    <w:rsid w:val="00F851CE"/>
    <w:rsid w:val="00F85637"/>
    <w:rsid w:val="00F85F33"/>
    <w:rsid w:val="00F864AE"/>
    <w:rsid w:val="00F86F9F"/>
    <w:rsid w:val="00F87959"/>
    <w:rsid w:val="00F91219"/>
    <w:rsid w:val="00F91A63"/>
    <w:rsid w:val="00F91A6C"/>
    <w:rsid w:val="00F92444"/>
    <w:rsid w:val="00F92C7E"/>
    <w:rsid w:val="00F93117"/>
    <w:rsid w:val="00F935B1"/>
    <w:rsid w:val="00F9393E"/>
    <w:rsid w:val="00F93AD1"/>
    <w:rsid w:val="00F96FD0"/>
    <w:rsid w:val="00F97486"/>
    <w:rsid w:val="00F9765E"/>
    <w:rsid w:val="00F97A78"/>
    <w:rsid w:val="00FA0B20"/>
    <w:rsid w:val="00FA0BB4"/>
    <w:rsid w:val="00FA24E7"/>
    <w:rsid w:val="00FA2739"/>
    <w:rsid w:val="00FA298B"/>
    <w:rsid w:val="00FA2FFF"/>
    <w:rsid w:val="00FA5C8F"/>
    <w:rsid w:val="00FA5EE6"/>
    <w:rsid w:val="00FA603E"/>
    <w:rsid w:val="00FA7956"/>
    <w:rsid w:val="00FB0039"/>
    <w:rsid w:val="00FB02C6"/>
    <w:rsid w:val="00FB0824"/>
    <w:rsid w:val="00FB0A44"/>
    <w:rsid w:val="00FB1827"/>
    <w:rsid w:val="00FB184A"/>
    <w:rsid w:val="00FB18CE"/>
    <w:rsid w:val="00FB2698"/>
    <w:rsid w:val="00FB2F5B"/>
    <w:rsid w:val="00FB2FCB"/>
    <w:rsid w:val="00FB3CA4"/>
    <w:rsid w:val="00FB40FF"/>
    <w:rsid w:val="00FB4C9C"/>
    <w:rsid w:val="00FB5930"/>
    <w:rsid w:val="00FB6CFF"/>
    <w:rsid w:val="00FB6E7B"/>
    <w:rsid w:val="00FB7C55"/>
    <w:rsid w:val="00FC1074"/>
    <w:rsid w:val="00FC1121"/>
    <w:rsid w:val="00FC1884"/>
    <w:rsid w:val="00FC1BEF"/>
    <w:rsid w:val="00FC2212"/>
    <w:rsid w:val="00FC224C"/>
    <w:rsid w:val="00FC27D9"/>
    <w:rsid w:val="00FC30D4"/>
    <w:rsid w:val="00FC3563"/>
    <w:rsid w:val="00FC36CE"/>
    <w:rsid w:val="00FC371D"/>
    <w:rsid w:val="00FC376C"/>
    <w:rsid w:val="00FC39B2"/>
    <w:rsid w:val="00FC5373"/>
    <w:rsid w:val="00FC5930"/>
    <w:rsid w:val="00FC5C7F"/>
    <w:rsid w:val="00FC5F0B"/>
    <w:rsid w:val="00FC6949"/>
    <w:rsid w:val="00FD00E0"/>
    <w:rsid w:val="00FD0528"/>
    <w:rsid w:val="00FD0723"/>
    <w:rsid w:val="00FD0B19"/>
    <w:rsid w:val="00FD11FB"/>
    <w:rsid w:val="00FD19D5"/>
    <w:rsid w:val="00FD1BA9"/>
    <w:rsid w:val="00FD1FCC"/>
    <w:rsid w:val="00FD2100"/>
    <w:rsid w:val="00FD2D32"/>
    <w:rsid w:val="00FD31BC"/>
    <w:rsid w:val="00FD3C2F"/>
    <w:rsid w:val="00FD3C77"/>
    <w:rsid w:val="00FD436C"/>
    <w:rsid w:val="00FD446D"/>
    <w:rsid w:val="00FD4F2C"/>
    <w:rsid w:val="00FD5468"/>
    <w:rsid w:val="00FD5D2F"/>
    <w:rsid w:val="00FD5E81"/>
    <w:rsid w:val="00FD5F65"/>
    <w:rsid w:val="00FD6394"/>
    <w:rsid w:val="00FD7913"/>
    <w:rsid w:val="00FE0E6C"/>
    <w:rsid w:val="00FE0EDE"/>
    <w:rsid w:val="00FE1151"/>
    <w:rsid w:val="00FE1CDC"/>
    <w:rsid w:val="00FE3170"/>
    <w:rsid w:val="00FE3425"/>
    <w:rsid w:val="00FE372A"/>
    <w:rsid w:val="00FE39E5"/>
    <w:rsid w:val="00FE4339"/>
    <w:rsid w:val="00FE4549"/>
    <w:rsid w:val="00FE4F17"/>
    <w:rsid w:val="00FE6109"/>
    <w:rsid w:val="00FE63CF"/>
    <w:rsid w:val="00FE6A60"/>
    <w:rsid w:val="00FE70C3"/>
    <w:rsid w:val="00FE760C"/>
    <w:rsid w:val="00FE7820"/>
    <w:rsid w:val="00FF0092"/>
    <w:rsid w:val="00FF1230"/>
    <w:rsid w:val="00FF1A8B"/>
    <w:rsid w:val="00FF1DBF"/>
    <w:rsid w:val="00FF1E56"/>
    <w:rsid w:val="00FF200E"/>
    <w:rsid w:val="00FF2AD9"/>
    <w:rsid w:val="00FF3555"/>
    <w:rsid w:val="00FF359F"/>
    <w:rsid w:val="00FF3DCF"/>
    <w:rsid w:val="00FF46F6"/>
    <w:rsid w:val="00FF47C0"/>
    <w:rsid w:val="00FF492C"/>
    <w:rsid w:val="00FF4A21"/>
    <w:rsid w:val="00FF5092"/>
    <w:rsid w:val="00FF5935"/>
    <w:rsid w:val="00FF5AA3"/>
    <w:rsid w:val="00FF5AD8"/>
    <w:rsid w:val="00FF5EF4"/>
    <w:rsid w:val="00FF5F27"/>
    <w:rsid w:val="00FF6158"/>
    <w:rsid w:val="00FF6472"/>
    <w:rsid w:val="00FF6DB8"/>
    <w:rsid w:val="00FF6ED1"/>
    <w:rsid w:val="00FF7197"/>
    <w:rsid w:val="00FF75E7"/>
    <w:rsid w:val="00FF7915"/>
    <w:rsid w:val="01DEEFE4"/>
    <w:rsid w:val="01F46B7A"/>
    <w:rsid w:val="01F621BA"/>
    <w:rsid w:val="0286E241"/>
    <w:rsid w:val="029B0E71"/>
    <w:rsid w:val="033DD684"/>
    <w:rsid w:val="033FD93F"/>
    <w:rsid w:val="035C0FD1"/>
    <w:rsid w:val="040CAD88"/>
    <w:rsid w:val="0593C15B"/>
    <w:rsid w:val="061A6A55"/>
    <w:rsid w:val="063F3F06"/>
    <w:rsid w:val="066D66F8"/>
    <w:rsid w:val="07FDF623"/>
    <w:rsid w:val="08409FD8"/>
    <w:rsid w:val="08A394E1"/>
    <w:rsid w:val="093E2056"/>
    <w:rsid w:val="0985DA71"/>
    <w:rsid w:val="09DCA833"/>
    <w:rsid w:val="0B60B6DE"/>
    <w:rsid w:val="0BE6495C"/>
    <w:rsid w:val="0C195AAF"/>
    <w:rsid w:val="0C2C79D3"/>
    <w:rsid w:val="0C548BD5"/>
    <w:rsid w:val="0CA4DA40"/>
    <w:rsid w:val="0D152F45"/>
    <w:rsid w:val="0DF93989"/>
    <w:rsid w:val="0E139A73"/>
    <w:rsid w:val="0E392E09"/>
    <w:rsid w:val="0E87F42D"/>
    <w:rsid w:val="0F47C0CE"/>
    <w:rsid w:val="0FF7BBC2"/>
    <w:rsid w:val="1051AEA7"/>
    <w:rsid w:val="10D25658"/>
    <w:rsid w:val="129BEDBB"/>
    <w:rsid w:val="12BAFF9E"/>
    <w:rsid w:val="1397068A"/>
    <w:rsid w:val="13C12C16"/>
    <w:rsid w:val="13C35C3F"/>
    <w:rsid w:val="1402DA58"/>
    <w:rsid w:val="14BD747F"/>
    <w:rsid w:val="14EF107E"/>
    <w:rsid w:val="1530CDF1"/>
    <w:rsid w:val="153F54EE"/>
    <w:rsid w:val="157342A0"/>
    <w:rsid w:val="15CF1FEA"/>
    <w:rsid w:val="162C4681"/>
    <w:rsid w:val="162FE08F"/>
    <w:rsid w:val="16606B5D"/>
    <w:rsid w:val="16853301"/>
    <w:rsid w:val="1737F4B5"/>
    <w:rsid w:val="18768CB2"/>
    <w:rsid w:val="199554BA"/>
    <w:rsid w:val="1A50BF35"/>
    <w:rsid w:val="1A651E9A"/>
    <w:rsid w:val="1AF53A11"/>
    <w:rsid w:val="1B765A51"/>
    <w:rsid w:val="1BD2EAC2"/>
    <w:rsid w:val="1C204A65"/>
    <w:rsid w:val="1C4BEC45"/>
    <w:rsid w:val="1C6E2A4E"/>
    <w:rsid w:val="1D5462C8"/>
    <w:rsid w:val="1E4233CE"/>
    <w:rsid w:val="1E6B7D42"/>
    <w:rsid w:val="1E8798AA"/>
    <w:rsid w:val="1ED7F8BE"/>
    <w:rsid w:val="1F2BE399"/>
    <w:rsid w:val="1F2F54D5"/>
    <w:rsid w:val="1F39D3D3"/>
    <w:rsid w:val="1F6A64AA"/>
    <w:rsid w:val="1FE69452"/>
    <w:rsid w:val="2004D941"/>
    <w:rsid w:val="20DD96D0"/>
    <w:rsid w:val="21ED77EC"/>
    <w:rsid w:val="22A2056C"/>
    <w:rsid w:val="22DDC574"/>
    <w:rsid w:val="22E54329"/>
    <w:rsid w:val="235BDF77"/>
    <w:rsid w:val="23A484B6"/>
    <w:rsid w:val="23AAC2D8"/>
    <w:rsid w:val="23B4E4AD"/>
    <w:rsid w:val="23DD3E48"/>
    <w:rsid w:val="23FC0C87"/>
    <w:rsid w:val="258C26C7"/>
    <w:rsid w:val="25D9A62E"/>
    <w:rsid w:val="26640A22"/>
    <w:rsid w:val="26767516"/>
    <w:rsid w:val="2699B96E"/>
    <w:rsid w:val="26A7C0B2"/>
    <w:rsid w:val="26D0B814"/>
    <w:rsid w:val="2808A1FD"/>
    <w:rsid w:val="297F789E"/>
    <w:rsid w:val="2A47A544"/>
    <w:rsid w:val="2B7B31D5"/>
    <w:rsid w:val="2BD6BAC6"/>
    <w:rsid w:val="2C19F1F2"/>
    <w:rsid w:val="2CFBF98D"/>
    <w:rsid w:val="2D1DF992"/>
    <w:rsid w:val="2D3F496E"/>
    <w:rsid w:val="2D7D36C0"/>
    <w:rsid w:val="2DB5C253"/>
    <w:rsid w:val="2DBAD0AC"/>
    <w:rsid w:val="2F166D8D"/>
    <w:rsid w:val="2FB6C386"/>
    <w:rsid w:val="304B1306"/>
    <w:rsid w:val="30B7F036"/>
    <w:rsid w:val="3109C2D3"/>
    <w:rsid w:val="3149A817"/>
    <w:rsid w:val="316EB56D"/>
    <w:rsid w:val="319DD534"/>
    <w:rsid w:val="31E1809B"/>
    <w:rsid w:val="328B438D"/>
    <w:rsid w:val="33000F59"/>
    <w:rsid w:val="34472AF0"/>
    <w:rsid w:val="355E8D89"/>
    <w:rsid w:val="363B7F7D"/>
    <w:rsid w:val="366951C5"/>
    <w:rsid w:val="36A2E317"/>
    <w:rsid w:val="36B762D8"/>
    <w:rsid w:val="36D9D01A"/>
    <w:rsid w:val="36F8977B"/>
    <w:rsid w:val="3751ADAF"/>
    <w:rsid w:val="37705937"/>
    <w:rsid w:val="37880269"/>
    <w:rsid w:val="39162FE3"/>
    <w:rsid w:val="39676884"/>
    <w:rsid w:val="396BDD73"/>
    <w:rsid w:val="39F29BA4"/>
    <w:rsid w:val="3A020550"/>
    <w:rsid w:val="3C0CC5A8"/>
    <w:rsid w:val="3C6B213D"/>
    <w:rsid w:val="3C9B11DC"/>
    <w:rsid w:val="3D0D72D9"/>
    <w:rsid w:val="3D516D4D"/>
    <w:rsid w:val="3DD6EF9B"/>
    <w:rsid w:val="3E49BEFF"/>
    <w:rsid w:val="3E750432"/>
    <w:rsid w:val="3F3FB148"/>
    <w:rsid w:val="3F9F3DC3"/>
    <w:rsid w:val="3FB92962"/>
    <w:rsid w:val="40B92CF7"/>
    <w:rsid w:val="41BA9E66"/>
    <w:rsid w:val="41C4CE19"/>
    <w:rsid w:val="42593756"/>
    <w:rsid w:val="42825B0D"/>
    <w:rsid w:val="42911165"/>
    <w:rsid w:val="4300DA28"/>
    <w:rsid w:val="432BD198"/>
    <w:rsid w:val="439DBBDD"/>
    <w:rsid w:val="43FD8513"/>
    <w:rsid w:val="4444310E"/>
    <w:rsid w:val="4447F0FA"/>
    <w:rsid w:val="4458E28A"/>
    <w:rsid w:val="44725305"/>
    <w:rsid w:val="45D7E365"/>
    <w:rsid w:val="45E0016F"/>
    <w:rsid w:val="45F57814"/>
    <w:rsid w:val="463C990E"/>
    <w:rsid w:val="46E71DB6"/>
    <w:rsid w:val="479123A2"/>
    <w:rsid w:val="479DB35D"/>
    <w:rsid w:val="47BFF3DE"/>
    <w:rsid w:val="496A06E8"/>
    <w:rsid w:val="4A9F7686"/>
    <w:rsid w:val="4ABB39D0"/>
    <w:rsid w:val="4AD91B01"/>
    <w:rsid w:val="4B42271F"/>
    <w:rsid w:val="4C1ECB4E"/>
    <w:rsid w:val="4E2DB916"/>
    <w:rsid w:val="4E44BBBF"/>
    <w:rsid w:val="4E45AD46"/>
    <w:rsid w:val="4F1D3E98"/>
    <w:rsid w:val="508803C3"/>
    <w:rsid w:val="50AD77B4"/>
    <w:rsid w:val="50E8791E"/>
    <w:rsid w:val="51D443F1"/>
    <w:rsid w:val="522B9E9B"/>
    <w:rsid w:val="5238EE09"/>
    <w:rsid w:val="52E7D1FD"/>
    <w:rsid w:val="53087153"/>
    <w:rsid w:val="533E0F14"/>
    <w:rsid w:val="552FF83B"/>
    <w:rsid w:val="555E5E50"/>
    <w:rsid w:val="55F3C990"/>
    <w:rsid w:val="561FA8F4"/>
    <w:rsid w:val="564F68FD"/>
    <w:rsid w:val="56C72D10"/>
    <w:rsid w:val="5932E662"/>
    <w:rsid w:val="5A19D606"/>
    <w:rsid w:val="5BF03BCA"/>
    <w:rsid w:val="5C5D2214"/>
    <w:rsid w:val="5E154B70"/>
    <w:rsid w:val="5E97D931"/>
    <w:rsid w:val="5EE4148D"/>
    <w:rsid w:val="5F2FB8A3"/>
    <w:rsid w:val="5F5EDF24"/>
    <w:rsid w:val="5F942E87"/>
    <w:rsid w:val="5FCAE7D3"/>
    <w:rsid w:val="601F3709"/>
    <w:rsid w:val="60568F7A"/>
    <w:rsid w:val="60C44921"/>
    <w:rsid w:val="60D22BB5"/>
    <w:rsid w:val="60E7AFFA"/>
    <w:rsid w:val="64B7B746"/>
    <w:rsid w:val="64DBD05A"/>
    <w:rsid w:val="659F981A"/>
    <w:rsid w:val="65C24099"/>
    <w:rsid w:val="65CC872E"/>
    <w:rsid w:val="66049B33"/>
    <w:rsid w:val="66A97FC8"/>
    <w:rsid w:val="66F713F8"/>
    <w:rsid w:val="677E9287"/>
    <w:rsid w:val="678EC083"/>
    <w:rsid w:val="67C07778"/>
    <w:rsid w:val="68BD86F8"/>
    <w:rsid w:val="697BB4BF"/>
    <w:rsid w:val="6ABEE3F9"/>
    <w:rsid w:val="6AC96024"/>
    <w:rsid w:val="6AF6F403"/>
    <w:rsid w:val="6B1A8A27"/>
    <w:rsid w:val="6BD34B9A"/>
    <w:rsid w:val="6BED1B30"/>
    <w:rsid w:val="6C09B937"/>
    <w:rsid w:val="6C50962E"/>
    <w:rsid w:val="6C6E6CB9"/>
    <w:rsid w:val="6D1BEA25"/>
    <w:rsid w:val="6D2685E4"/>
    <w:rsid w:val="6D401711"/>
    <w:rsid w:val="6D515194"/>
    <w:rsid w:val="6D55F499"/>
    <w:rsid w:val="6D5E6CB2"/>
    <w:rsid w:val="6D80DC09"/>
    <w:rsid w:val="6F80841F"/>
    <w:rsid w:val="704766E4"/>
    <w:rsid w:val="7055F927"/>
    <w:rsid w:val="7074F3E6"/>
    <w:rsid w:val="70D8DB97"/>
    <w:rsid w:val="711C84CF"/>
    <w:rsid w:val="71327884"/>
    <w:rsid w:val="71C7C06B"/>
    <w:rsid w:val="727D8E9E"/>
    <w:rsid w:val="7310DD43"/>
    <w:rsid w:val="73434C01"/>
    <w:rsid w:val="740B9830"/>
    <w:rsid w:val="7423FDF4"/>
    <w:rsid w:val="7532883B"/>
    <w:rsid w:val="76030405"/>
    <w:rsid w:val="762E503B"/>
    <w:rsid w:val="76A30A81"/>
    <w:rsid w:val="772A9D58"/>
    <w:rsid w:val="7737D764"/>
    <w:rsid w:val="777612C2"/>
    <w:rsid w:val="7936B851"/>
    <w:rsid w:val="7940D5FB"/>
    <w:rsid w:val="794CEB05"/>
    <w:rsid w:val="795B91EB"/>
    <w:rsid w:val="79ADAFB6"/>
    <w:rsid w:val="7A066A23"/>
    <w:rsid w:val="7B1A1645"/>
    <w:rsid w:val="7B83E0C5"/>
    <w:rsid w:val="7B86701C"/>
    <w:rsid w:val="7B8E7CFD"/>
    <w:rsid w:val="7C4F1086"/>
    <w:rsid w:val="7CEF553E"/>
    <w:rsid w:val="7D09B3B5"/>
    <w:rsid w:val="7D5E4F17"/>
    <w:rsid w:val="7D9B1513"/>
    <w:rsid w:val="7E2DD960"/>
    <w:rsid w:val="7EB043E1"/>
    <w:rsid w:val="7ECF7C17"/>
    <w:rsid w:val="7F8A510F"/>
    <w:rsid w:val="7FB26E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9B1"/>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12+,12,! Q"/>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12+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1. Bullet Blank,Bullet1,Bulleted - 2,Bullets Points,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1. Bullet Blank Char,Bullet1 Char,Bulleted - 2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Header Table,NICE instructions,Source table_,MSD Table Grid,HTAtableplain,HealthConsult,Dossier table,Section 3- footnotes,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3018F"/>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Annotationtext, Char,Char2,Comment Text Char1 Char,Comment Text Char Char Char,list paragraph 2,Comment Text ZS,Comment Text Char Char,Comment Text Char2 Char,Comment Text Char Char1 Char, Car17, Car17 C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Annotationtext Char, Char Char,Char2 Char,Comment Text Char1 Char Char,Comment Text Char Char Char Char,list paragraph 2 Char,Comment Text ZS Char,Comment Text Char Char Char1,Comment Text Char2 Char Char, Car17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1"/>
    <w:rsid w:val="00030CC5"/>
    <w:rPr>
      <w:rFonts w:ascii="Calibri" w:hAnsi="Calibri" w:cs="Arial"/>
      <w:b/>
      <w:caps/>
      <w:sz w:val="32"/>
      <w:szCs w:val="24"/>
    </w:rPr>
  </w:style>
  <w:style w:type="character" w:customStyle="1" w:styleId="Heading3Char">
    <w:name w:val="Heading 3 Char"/>
    <w:basedOn w:val="DefaultParagraphFont"/>
    <w:link w:val="Heading3"/>
    <w:rsid w:val="00030CC5"/>
    <w:rPr>
      <w:rFonts w:ascii="Calibri" w:hAnsi="Calibri" w:cs="Arial"/>
      <w:sz w:val="24"/>
      <w:szCs w:val="24"/>
      <w:u w:val="single"/>
    </w:rPr>
  </w:style>
  <w:style w:type="character" w:customStyle="1" w:styleId="Heading4Char">
    <w:name w:val="Heading 4 Char"/>
    <w:basedOn w:val="DefaultParagraphFont"/>
    <w:link w:val="Heading4"/>
    <w:rsid w:val="00030CC5"/>
    <w:rPr>
      <w:rFonts w:ascii="Calibri" w:hAnsi="Calibri" w:cs="Arial"/>
      <w:b/>
      <w:bCs/>
      <w:i/>
      <w:sz w:val="26"/>
      <w:szCs w:val="28"/>
    </w:rPr>
  </w:style>
  <w:style w:type="character" w:customStyle="1" w:styleId="Heading5Char">
    <w:name w:val="Heading 5 Char"/>
    <w:basedOn w:val="DefaultParagraphFont"/>
    <w:link w:val="Heading5"/>
    <w:rsid w:val="00030CC5"/>
    <w:rPr>
      <w:rFonts w:ascii="Calibri" w:hAnsi="Calibri" w:cs="Arial"/>
      <w:b/>
      <w:bCs/>
      <w:iCs/>
      <w:sz w:val="26"/>
      <w:szCs w:val="26"/>
    </w:rPr>
  </w:style>
  <w:style w:type="character" w:customStyle="1" w:styleId="Heading6Char">
    <w:name w:val="Heading 6 Char"/>
    <w:basedOn w:val="DefaultParagraphFont"/>
    <w:link w:val="Heading6"/>
    <w:rsid w:val="00030CC5"/>
    <w:rPr>
      <w:rFonts w:ascii="Calibri" w:hAnsi="Calibri" w:cs="Arial"/>
      <w:b/>
      <w:bCs/>
      <w:i/>
      <w:sz w:val="24"/>
      <w:szCs w:val="24"/>
    </w:rPr>
  </w:style>
  <w:style w:type="paragraph" w:customStyle="1" w:styleId="paragraph">
    <w:name w:val="paragraph"/>
    <w:basedOn w:val="Normal"/>
    <w:rsid w:val="00030CC5"/>
    <w:pPr>
      <w:spacing w:before="100" w:beforeAutospacing="1" w:after="100" w:afterAutospacing="1"/>
      <w:jc w:val="left"/>
    </w:pPr>
    <w:rPr>
      <w:rFonts w:ascii="Times New Roman" w:hAnsi="Times New Roman" w:cs="Times New Roman"/>
      <w14:ligatures w14:val="standardContextual"/>
    </w:rPr>
  </w:style>
  <w:style w:type="character" w:customStyle="1" w:styleId="normaltextrun">
    <w:name w:val="normaltextrun"/>
    <w:basedOn w:val="DefaultParagraphFont"/>
    <w:rsid w:val="00030CC5"/>
  </w:style>
  <w:style w:type="character" w:customStyle="1" w:styleId="eop">
    <w:name w:val="eop"/>
    <w:basedOn w:val="DefaultParagraphFont"/>
    <w:rsid w:val="00030CC5"/>
  </w:style>
  <w:style w:type="character" w:customStyle="1" w:styleId="scxw96136996">
    <w:name w:val="scxw96136996"/>
    <w:basedOn w:val="DefaultParagraphFont"/>
    <w:rsid w:val="00030CC5"/>
  </w:style>
  <w:style w:type="character" w:customStyle="1" w:styleId="findhit">
    <w:name w:val="findhit"/>
    <w:basedOn w:val="DefaultParagraphFont"/>
    <w:rsid w:val="00030CC5"/>
  </w:style>
  <w:style w:type="character" w:styleId="Mention">
    <w:name w:val="Mention"/>
    <w:basedOn w:val="DefaultParagraphFont"/>
    <w:uiPriority w:val="99"/>
    <w:unhideWhenUsed/>
    <w:rsid w:val="00030CC5"/>
    <w:rPr>
      <w:color w:val="2B579A"/>
      <w:shd w:val="clear" w:color="auto" w:fill="E6E6E6"/>
    </w:rPr>
  </w:style>
  <w:style w:type="paragraph" w:customStyle="1" w:styleId="TableFigureFooter">
    <w:name w:val="Table/Figure Footer"/>
    <w:basedOn w:val="Normal"/>
    <w:link w:val="TableFigureFooterChar"/>
    <w:qFormat/>
    <w:rsid w:val="00030CC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30CC5"/>
    <w:rPr>
      <w:rFonts w:ascii="Arial Narrow" w:hAnsi="Arial Narrow" w:cs="Arial"/>
      <w:snapToGrid w:val="0"/>
      <w:sz w:val="18"/>
      <w:szCs w:val="22"/>
    </w:rPr>
  </w:style>
  <w:style w:type="paragraph" w:customStyle="1" w:styleId="Table">
    <w:name w:val="Table"/>
    <w:basedOn w:val="Normal"/>
    <w:link w:val="TableChar"/>
    <w:qFormat/>
    <w:rsid w:val="00030CC5"/>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030CC5"/>
    <w:rPr>
      <w:rFonts w:ascii="Calibri" w:eastAsiaTheme="majorEastAsia" w:hAnsi="Calibri" w:cstheme="majorBidi"/>
      <w:szCs w:val="22"/>
      <w:lang w:eastAsia="en-US" w:bidi="en-US"/>
    </w:rPr>
  </w:style>
  <w:style w:type="paragraph" w:styleId="FootnoteText">
    <w:name w:val="footnote text"/>
    <w:aliases w:val="~FootnoteText"/>
    <w:basedOn w:val="Normal"/>
    <w:link w:val="FootnoteTextChar"/>
    <w:unhideWhenUsed/>
    <w:qFormat/>
    <w:rsid w:val="00030CC5"/>
    <w:rPr>
      <w:sz w:val="20"/>
      <w:szCs w:val="20"/>
      <w14:ligatures w14:val="standardContextual"/>
    </w:rPr>
  </w:style>
  <w:style w:type="character" w:customStyle="1" w:styleId="FootnoteTextChar">
    <w:name w:val="Footnote Text Char"/>
    <w:aliases w:val="~FootnoteText Char"/>
    <w:basedOn w:val="DefaultParagraphFont"/>
    <w:link w:val="FootnoteText"/>
    <w:rsid w:val="00030CC5"/>
    <w:rPr>
      <w:rFonts w:ascii="Calibri" w:hAnsi="Calibri" w:cs="Arial"/>
      <w14:ligatures w14:val="standardContextual"/>
    </w:rPr>
  </w:style>
  <w:style w:type="character" w:styleId="FootnoteReference">
    <w:name w:val="footnote reference"/>
    <w:basedOn w:val="DefaultParagraphFont"/>
    <w:unhideWhenUsed/>
    <w:rsid w:val="00030CC5"/>
    <w:rPr>
      <w:vertAlign w:val="superscript"/>
    </w:rPr>
  </w:style>
  <w:style w:type="character" w:customStyle="1" w:styleId="CaptionFootnoteChar">
    <w:name w:val="Caption Footnote Char"/>
    <w:basedOn w:val="CaptionChar"/>
    <w:link w:val="CaptionFootnote"/>
    <w:rsid w:val="00030CC5"/>
    <w:rPr>
      <w:rFonts w:ascii="Calibri" w:eastAsiaTheme="majorEastAsia" w:hAnsi="Calibri" w:cstheme="majorBidi"/>
      <w:b w:val="0"/>
      <w:bCs/>
      <w:sz w:val="16"/>
      <w:szCs w:val="18"/>
      <w:lang w:bidi="en-US"/>
    </w:rPr>
  </w:style>
  <w:style w:type="paragraph" w:customStyle="1" w:styleId="CaptionFootnote">
    <w:name w:val="Caption Footnote"/>
    <w:basedOn w:val="Caption"/>
    <w:link w:val="CaptionFootnoteChar"/>
    <w:qFormat/>
    <w:rsid w:val="00030CC5"/>
    <w:pPr>
      <w:keepLines w:val="0"/>
      <w:widowControl w:val="0"/>
      <w:jc w:val="left"/>
    </w:pPr>
    <w:rPr>
      <w:rFonts w:ascii="Calibri" w:eastAsiaTheme="majorEastAsia" w:hAnsi="Calibri" w:cstheme="majorBidi"/>
      <w:b w:val="0"/>
      <w:sz w:val="16"/>
      <w:lang w:bidi="en-US"/>
    </w:rPr>
  </w:style>
  <w:style w:type="table" w:customStyle="1" w:styleId="RTIAMCPTable2">
    <w:name w:val="RTI AMCP Table2"/>
    <w:basedOn w:val="TableNormal"/>
    <w:next w:val="TableGrid"/>
    <w:uiPriority w:val="39"/>
    <w:rsid w:val="00030CC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DA4205"/>
  </w:style>
  <w:style w:type="numbering" w:customStyle="1" w:styleId="NoList1">
    <w:name w:val="No List1"/>
    <w:next w:val="NoList"/>
    <w:uiPriority w:val="99"/>
    <w:semiHidden/>
    <w:unhideWhenUsed/>
    <w:rsid w:val="00DA4205"/>
  </w:style>
  <w:style w:type="table" w:customStyle="1" w:styleId="RTIAMCPTable1">
    <w:name w:val="RTI AMCP Table1"/>
    <w:basedOn w:val="TableNormal"/>
    <w:next w:val="TableGrid"/>
    <w:uiPriority w:val="39"/>
    <w:rsid w:val="00DA420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DA4205"/>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
    <w:name w:val="No List2"/>
    <w:next w:val="NoList"/>
    <w:uiPriority w:val="99"/>
    <w:semiHidden/>
    <w:unhideWhenUsed/>
    <w:rsid w:val="00DA4205"/>
  </w:style>
  <w:style w:type="table" w:customStyle="1" w:styleId="PlainTable212">
    <w:name w:val="Plain Table 212"/>
    <w:basedOn w:val="TableNormal"/>
    <w:uiPriority w:val="42"/>
    <w:rsid w:val="00DA4205"/>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mallBold">
    <w:name w:val="Small Bold"/>
    <w:basedOn w:val="DefaultParagraphFont"/>
    <w:uiPriority w:val="4"/>
    <w:qFormat/>
    <w:rsid w:val="00DA4205"/>
    <w:rPr>
      <w:rFonts w:ascii="Calibri" w:hAnsi="Calibri"/>
      <w:b/>
      <w:sz w:val="20"/>
      <w:lang w:val="en-AU"/>
    </w:rPr>
  </w:style>
  <w:style w:type="paragraph" w:customStyle="1" w:styleId="TableCentre">
    <w:name w:val="Table Centre"/>
    <w:basedOn w:val="Table"/>
    <w:qFormat/>
    <w:rsid w:val="00DA4205"/>
    <w:pPr>
      <w:jc w:val="center"/>
    </w:pPr>
    <w:rPr>
      <w:rFonts w:eastAsia="MS Gothic" w:cs="Times New Roman"/>
      <w14:ligatures w14:val="standardContextual"/>
    </w:rPr>
  </w:style>
  <w:style w:type="character" w:customStyle="1" w:styleId="SmallUnderline">
    <w:name w:val="Small Underline"/>
    <w:basedOn w:val="DefaultParagraphFont"/>
    <w:uiPriority w:val="4"/>
    <w:qFormat/>
    <w:rsid w:val="00DA4205"/>
    <w:rPr>
      <w:rFonts w:ascii="Calibri" w:hAnsi="Calibri"/>
      <w:b w:val="0"/>
      <w:sz w:val="20"/>
      <w:u w:val="single"/>
    </w:rPr>
  </w:style>
  <w:style w:type="paragraph" w:customStyle="1" w:styleId="InstructionalText">
    <w:name w:val="Instructional Text"/>
    <w:basedOn w:val="Normal"/>
    <w:link w:val="InstructionalTextChar"/>
    <w:uiPriority w:val="3"/>
    <w:qFormat/>
    <w:rsid w:val="00DA4205"/>
    <w:pPr>
      <w:spacing w:after="240"/>
    </w:pPr>
    <w:rPr>
      <w:rFonts w:eastAsia="Calibri" w:cs="Calibri"/>
      <w:color w:val="3366FF"/>
      <w:szCs w:val="22"/>
      <w:lang w:eastAsia="en-US"/>
      <w14:ligatures w14:val="standardContextual"/>
    </w:rPr>
  </w:style>
  <w:style w:type="character" w:customStyle="1" w:styleId="InstructionalTextChar">
    <w:name w:val="Instructional Text Char"/>
    <w:basedOn w:val="DefaultParagraphFont"/>
    <w:link w:val="InstructionalText"/>
    <w:uiPriority w:val="3"/>
    <w:rsid w:val="00DA4205"/>
    <w:rPr>
      <w:rFonts w:ascii="Calibri" w:eastAsia="Calibri" w:hAnsi="Calibri" w:cs="Calibri"/>
      <w:color w:val="3366FF"/>
      <w:sz w:val="24"/>
      <w:szCs w:val="22"/>
      <w:lang w:eastAsia="en-US"/>
      <w14:ligatures w14:val="standardContextual"/>
    </w:rPr>
  </w:style>
  <w:style w:type="character" w:customStyle="1" w:styleId="Small">
    <w:name w:val="Small"/>
    <w:basedOn w:val="DefaultParagraphFont"/>
    <w:uiPriority w:val="4"/>
    <w:qFormat/>
    <w:rsid w:val="00DA4205"/>
    <w:rPr>
      <w:rFonts w:ascii="Calibri" w:hAnsi="Calibri"/>
      <w:b w:val="0"/>
      <w:sz w:val="20"/>
    </w:rPr>
  </w:style>
  <w:style w:type="paragraph" w:customStyle="1" w:styleId="TableNumbers">
    <w:name w:val="Table Numbers"/>
    <w:basedOn w:val="Normal"/>
    <w:uiPriority w:val="3"/>
    <w:qFormat/>
    <w:rsid w:val="00DA4205"/>
    <w:pPr>
      <w:numPr>
        <w:numId w:val="9"/>
      </w:numPr>
      <w:jc w:val="left"/>
    </w:pPr>
    <w:rPr>
      <w:rFonts w:eastAsia="MS Gothic" w:cs="Times New Roman"/>
      <w:sz w:val="20"/>
      <w:szCs w:val="22"/>
      <w:lang w:eastAsia="en-US" w:bidi="en-US"/>
      <w14:ligatures w14:val="standardContextual"/>
    </w:rPr>
  </w:style>
  <w:style w:type="character" w:customStyle="1" w:styleId="FootnoteTextChar1">
    <w:name w:val="Footnote Text Char1"/>
    <w:basedOn w:val="DefaultParagraphFont"/>
    <w:semiHidden/>
    <w:rsid w:val="00DA4205"/>
    <w:rPr>
      <w:rFonts w:ascii="Calibri" w:hAnsi="Calibri" w:cs="Arial"/>
    </w:rPr>
  </w:style>
  <w:style w:type="character" w:customStyle="1" w:styleId="SmallSuperscript">
    <w:name w:val="Small Superscript"/>
    <w:basedOn w:val="DefaultParagraphFont"/>
    <w:uiPriority w:val="1"/>
    <w:qFormat/>
    <w:rsid w:val="00DA4205"/>
    <w:rPr>
      <w:rFonts w:ascii="Calibri" w:hAnsi="Calibri"/>
      <w:b w:val="0"/>
      <w:sz w:val="20"/>
      <w:vertAlign w:val="superscript"/>
    </w:rPr>
  </w:style>
  <w:style w:type="paragraph" w:customStyle="1" w:styleId="NormalBulletList">
    <w:name w:val="Normal Bullet List"/>
    <w:basedOn w:val="Normal"/>
    <w:uiPriority w:val="3"/>
    <w:qFormat/>
    <w:rsid w:val="00DA4205"/>
    <w:pPr>
      <w:numPr>
        <w:numId w:val="10"/>
      </w:numPr>
      <w:spacing w:after="240" w:line="276" w:lineRule="auto"/>
      <w:contextualSpacing/>
      <w:jc w:val="left"/>
    </w:pPr>
    <w:rPr>
      <w:rFonts w:eastAsia="MS Gothic" w:cs="Times New Roman"/>
      <w:szCs w:val="22"/>
      <w:lang w:eastAsia="en-US" w:bidi="en-US"/>
      <w14:ligatures w14:val="standardContextual"/>
    </w:rPr>
  </w:style>
  <w:style w:type="paragraph" w:customStyle="1" w:styleId="NormalBulletList2">
    <w:name w:val="Normal Bullet List 2"/>
    <w:basedOn w:val="NormalBulletList"/>
    <w:qFormat/>
    <w:rsid w:val="00DA4205"/>
    <w:pPr>
      <w:numPr>
        <w:ilvl w:val="1"/>
      </w:numPr>
      <w:spacing w:after="0"/>
    </w:pPr>
  </w:style>
  <w:style w:type="paragraph" w:customStyle="1" w:styleId="EndNoteBibliographyTitle">
    <w:name w:val="EndNote Bibliography Title"/>
    <w:basedOn w:val="Normal"/>
    <w:link w:val="EndNoteBibliographyTitleChar"/>
    <w:rsid w:val="00DA4205"/>
    <w:pPr>
      <w:jc w:val="center"/>
    </w:pPr>
    <w:rPr>
      <w:rFonts w:cs="Calibri"/>
      <w:noProof/>
      <w14:ligatures w14:val="standardContextual"/>
    </w:rPr>
  </w:style>
  <w:style w:type="character" w:customStyle="1" w:styleId="ListBulletChar">
    <w:name w:val="List Bullet Char"/>
    <w:basedOn w:val="DefaultParagraphFont"/>
    <w:link w:val="ListBullet"/>
    <w:uiPriority w:val="99"/>
    <w:rsid w:val="00DA4205"/>
    <w:rPr>
      <w:rFonts w:ascii="Calibri" w:hAnsi="Calibri" w:cs="Arial"/>
      <w:sz w:val="24"/>
      <w:szCs w:val="24"/>
    </w:rPr>
  </w:style>
  <w:style w:type="character" w:customStyle="1" w:styleId="EndNoteBibliographyTitleChar">
    <w:name w:val="EndNote Bibliography Title Char"/>
    <w:basedOn w:val="ListBulletChar"/>
    <w:link w:val="EndNoteBibliographyTitle"/>
    <w:rsid w:val="00DA4205"/>
    <w:rPr>
      <w:rFonts w:ascii="Calibri" w:hAnsi="Calibri" w:cs="Calibri"/>
      <w:noProof/>
      <w:sz w:val="24"/>
      <w:szCs w:val="24"/>
      <w14:ligatures w14:val="standardContextual"/>
    </w:rPr>
  </w:style>
  <w:style w:type="paragraph" w:customStyle="1" w:styleId="EndNoteBibliography">
    <w:name w:val="EndNote Bibliography"/>
    <w:basedOn w:val="Normal"/>
    <w:link w:val="EndNoteBibliographyChar"/>
    <w:rsid w:val="00DA4205"/>
    <w:rPr>
      <w:rFonts w:cs="Calibri"/>
      <w:noProof/>
      <w14:ligatures w14:val="standardContextual"/>
    </w:rPr>
  </w:style>
  <w:style w:type="character" w:customStyle="1" w:styleId="EndNoteBibliographyChar">
    <w:name w:val="EndNote Bibliography Char"/>
    <w:basedOn w:val="ListBulletChar"/>
    <w:link w:val="EndNoteBibliography"/>
    <w:rsid w:val="00DA4205"/>
    <w:rPr>
      <w:rFonts w:ascii="Calibri" w:hAnsi="Calibri" w:cs="Calibri"/>
      <w:noProof/>
      <w:sz w:val="24"/>
      <w:szCs w:val="24"/>
      <w14:ligatures w14:val="standardContextual"/>
    </w:rPr>
  </w:style>
  <w:style w:type="character" w:styleId="UnresolvedMention">
    <w:name w:val="Unresolved Mention"/>
    <w:basedOn w:val="DefaultParagraphFont"/>
    <w:uiPriority w:val="99"/>
    <w:semiHidden/>
    <w:unhideWhenUsed/>
    <w:rsid w:val="00DA4205"/>
    <w:rPr>
      <w:color w:val="605E5C"/>
      <w:shd w:val="clear" w:color="auto" w:fill="E1DFDD"/>
    </w:rPr>
  </w:style>
  <w:style w:type="table" w:customStyle="1" w:styleId="Summarybox1">
    <w:name w:val="Summary box1"/>
    <w:basedOn w:val="TableNormal"/>
    <w:next w:val="TableGrid"/>
    <w:uiPriority w:val="59"/>
    <w:rsid w:val="00DA4205"/>
    <w:rPr>
      <w:rFonts w:asciiTheme="minorHAnsi" w:eastAsia="MS Mincho" w:hAnsiTheme="minorHAnsi" w:cstheme="minorBidi"/>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basedOn w:val="TableNormal"/>
    <w:uiPriority w:val="99"/>
    <w:qFormat/>
    <w:rsid w:val="00DA4205"/>
    <w:rPr>
      <w:rFonts w:ascii="Arial Narrow" w:eastAsia="MS Gothic" w:hAnsi="Arial Narrow"/>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Bahnschrift Light Condensed" w:hAnsi="Bahnschrift Light Condensed" w:cs="Times New Roman"/>
        <w:b/>
        <w:sz w:val="20"/>
      </w:rPr>
      <w:tblPr/>
      <w:tcPr>
        <w:shd w:val="clear" w:color="auto" w:fill="BFBFBF"/>
      </w:tcPr>
    </w:tblStylePr>
  </w:style>
  <w:style w:type="paragraph" w:customStyle="1" w:styleId="DocumentMap1">
    <w:name w:val="Document Map1"/>
    <w:basedOn w:val="Normal"/>
    <w:next w:val="DocumentMap"/>
    <w:link w:val="DocumentMapChar"/>
    <w:uiPriority w:val="99"/>
    <w:semiHidden/>
    <w:unhideWhenUsed/>
    <w:rsid w:val="00DA4205"/>
    <w:pPr>
      <w:jc w:val="left"/>
    </w:pPr>
    <w:rPr>
      <w:rFonts w:ascii="Tahoma" w:eastAsia="MS Gothic" w:hAnsi="Tahoma" w:cs="Tahoma"/>
      <w:kern w:val="2"/>
      <w:sz w:val="16"/>
      <w:szCs w:val="16"/>
      <w:lang w:eastAsia="en-US" w:bidi="en-US"/>
      <w14:ligatures w14:val="standardContextual"/>
    </w:rPr>
  </w:style>
  <w:style w:type="character" w:customStyle="1" w:styleId="DocumentMapChar">
    <w:name w:val="Document Map Char"/>
    <w:basedOn w:val="DefaultParagraphFont"/>
    <w:link w:val="DocumentMap1"/>
    <w:uiPriority w:val="99"/>
    <w:semiHidden/>
    <w:rsid w:val="00DA4205"/>
    <w:rPr>
      <w:rFonts w:ascii="Tahoma" w:eastAsia="MS Gothic" w:hAnsi="Tahoma" w:cs="Tahoma"/>
      <w:kern w:val="2"/>
      <w:sz w:val="16"/>
      <w:szCs w:val="16"/>
      <w:lang w:eastAsia="en-US" w:bidi="en-US"/>
      <w14:ligatures w14:val="standardContextual"/>
    </w:rPr>
  </w:style>
  <w:style w:type="paragraph" w:customStyle="1" w:styleId="TableLeft">
    <w:name w:val="Table Left"/>
    <w:basedOn w:val="Normal"/>
    <w:link w:val="TableLeftChar"/>
    <w:uiPriority w:val="99"/>
    <w:qFormat/>
    <w:rsid w:val="00DA4205"/>
    <w:pPr>
      <w:jc w:val="left"/>
    </w:pPr>
    <w:rPr>
      <w:rFonts w:ascii="Proxima Nova" w:eastAsia="MS Gothic" w:hAnsi="Proxima Nova" w:cs="Times New Roman"/>
      <w:sz w:val="20"/>
      <w:szCs w:val="22"/>
      <w:lang w:eastAsia="en-US" w:bidi="en-US"/>
      <w14:ligatures w14:val="standardContextual"/>
    </w:rPr>
  </w:style>
  <w:style w:type="character" w:customStyle="1" w:styleId="TableLeftChar">
    <w:name w:val="Table Left Char"/>
    <w:basedOn w:val="DefaultParagraphFont"/>
    <w:link w:val="TableLeft"/>
    <w:uiPriority w:val="99"/>
    <w:locked/>
    <w:rsid w:val="00DA4205"/>
    <w:rPr>
      <w:rFonts w:ascii="Proxima Nova" w:eastAsia="MS Gothic" w:hAnsi="Proxima Nova"/>
      <w:szCs w:val="22"/>
      <w:lang w:eastAsia="en-US" w:bidi="en-US"/>
      <w14:ligatures w14:val="standardContextual"/>
    </w:rPr>
  </w:style>
  <w:style w:type="paragraph" w:styleId="DocumentMap">
    <w:name w:val="Document Map"/>
    <w:basedOn w:val="Normal"/>
    <w:link w:val="DocumentMapChar1"/>
    <w:uiPriority w:val="99"/>
    <w:semiHidden/>
    <w:unhideWhenUsed/>
    <w:rsid w:val="00DA4205"/>
    <w:rPr>
      <w:rFonts w:ascii="Segoe UI" w:hAnsi="Segoe UI" w:cs="Segoe UI"/>
      <w:sz w:val="16"/>
      <w:szCs w:val="16"/>
      <w14:ligatures w14:val="standardContextual"/>
    </w:rPr>
  </w:style>
  <w:style w:type="character" w:customStyle="1" w:styleId="DocumentMapChar1">
    <w:name w:val="Document Map Char1"/>
    <w:basedOn w:val="DefaultParagraphFont"/>
    <w:link w:val="DocumentMap"/>
    <w:uiPriority w:val="99"/>
    <w:semiHidden/>
    <w:rsid w:val="00DA4205"/>
    <w:rPr>
      <w:rFonts w:ascii="Segoe UI" w:hAnsi="Segoe UI" w:cs="Segoe UI"/>
      <w:sz w:val="16"/>
      <w:szCs w:val="16"/>
      <w14:ligatures w14:val="standardContextual"/>
    </w:rPr>
  </w:style>
  <w:style w:type="character" w:customStyle="1" w:styleId="cf01">
    <w:name w:val="cf01"/>
    <w:basedOn w:val="DefaultParagraphFont"/>
    <w:rsid w:val="00A638E9"/>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BE2FD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E2FDD"/>
    <w:rPr>
      <w:rFonts w:asciiTheme="minorHAnsi" w:eastAsiaTheme="majorEastAsia" w:hAnsiTheme="minorHAnsi" w:cstheme="majorBidi"/>
      <w:b/>
      <w:i/>
      <w:snapToGrid/>
      <w:spacing w:val="5"/>
      <w:kern w:val="28"/>
      <w:sz w:val="28"/>
      <w:szCs w:val="36"/>
      <w:lang w:eastAsia="en-US"/>
    </w:rPr>
  </w:style>
  <w:style w:type="paragraph" w:styleId="EndnoteText">
    <w:name w:val="endnote text"/>
    <w:basedOn w:val="Normal"/>
    <w:link w:val="EndnoteTextChar"/>
    <w:semiHidden/>
    <w:unhideWhenUsed/>
    <w:rsid w:val="00E005BA"/>
    <w:rPr>
      <w:sz w:val="20"/>
      <w:szCs w:val="20"/>
    </w:rPr>
  </w:style>
  <w:style w:type="character" w:customStyle="1" w:styleId="EndnoteTextChar">
    <w:name w:val="Endnote Text Char"/>
    <w:basedOn w:val="DefaultParagraphFont"/>
    <w:link w:val="EndnoteText"/>
    <w:semiHidden/>
    <w:rsid w:val="00E005BA"/>
    <w:rPr>
      <w:rFonts w:ascii="Calibri" w:hAnsi="Calibri" w:cs="Arial"/>
    </w:rPr>
  </w:style>
  <w:style w:type="character" w:styleId="EndnoteReference">
    <w:name w:val="endnote reference"/>
    <w:basedOn w:val="DefaultParagraphFont"/>
    <w:semiHidden/>
    <w:unhideWhenUsed/>
    <w:rsid w:val="00E005BA"/>
    <w:rPr>
      <w:vertAlign w:val="superscript"/>
    </w:rPr>
  </w:style>
  <w:style w:type="character" w:styleId="Strong">
    <w:name w:val="Strong"/>
    <w:basedOn w:val="DefaultParagraphFont"/>
    <w:uiPriority w:val="22"/>
    <w:qFormat/>
    <w:rsid w:val="009D66E4"/>
    <w:rPr>
      <w:b/>
      <w:bCs/>
    </w:rPr>
  </w:style>
  <w:style w:type="paragraph" w:customStyle="1" w:styleId="COMH2-non-numbered">
    <w:name w:val="COM H2 - non-numbered"/>
    <w:basedOn w:val="Heading2"/>
    <w:next w:val="Normal"/>
    <w:link w:val="COMH2-non-numberedChar"/>
    <w:qFormat/>
    <w:rsid w:val="009D66E4"/>
    <w:pPr>
      <w:keepNext/>
      <w:spacing w:before="120" w:after="120"/>
      <w:jc w:val="left"/>
    </w:pPr>
    <w:rPr>
      <w:rFonts w:asciiTheme="minorHAnsi" w:eastAsiaTheme="majorEastAsia" w:hAnsiTheme="minorHAnsi" w:cstheme="majorBidi"/>
      <w:spacing w:val="5"/>
      <w:kern w:val="28"/>
      <w:szCs w:val="36"/>
    </w:rPr>
  </w:style>
  <w:style w:type="character" w:customStyle="1" w:styleId="COMH2-non-numberedChar">
    <w:name w:val="COM H2 - non-numbered Char"/>
    <w:basedOn w:val="DefaultParagraphFont"/>
    <w:link w:val="COMH2-non-numbered"/>
    <w:rsid w:val="009D66E4"/>
    <w:rPr>
      <w:rFonts w:asciiTheme="minorHAnsi" w:eastAsiaTheme="majorEastAsia" w:hAnsiTheme="minorHAnsi" w:cstheme="majorBidi"/>
      <w:b/>
      <w:i/>
      <w:spacing w:val="5"/>
      <w:kern w:val="28"/>
      <w:sz w:val="28"/>
      <w:szCs w:val="36"/>
    </w:rPr>
  </w:style>
  <w:style w:type="paragraph" w:customStyle="1" w:styleId="Numberbullet2">
    <w:name w:val="Number bullet 2"/>
    <w:basedOn w:val="ListBullet2"/>
    <w:qFormat/>
    <w:rsid w:val="004C162F"/>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4C162F"/>
    <w:pPr>
      <w:numPr>
        <w:ilvl w:val="2"/>
        <w:numId w:val="16"/>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4C162F"/>
    <w:pPr>
      <w:numPr>
        <w:numId w:val="16"/>
      </w:numPr>
    </w:pPr>
  </w:style>
  <w:style w:type="paragraph" w:customStyle="1" w:styleId="COMH1numbered">
    <w:name w:val="COM H1 numbered"/>
    <w:next w:val="Normal"/>
    <w:link w:val="COMH1numberedChar"/>
    <w:qFormat/>
    <w:rsid w:val="004C162F"/>
    <w:pPr>
      <w:keepNext/>
      <w:numPr>
        <w:numId w:val="16"/>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4C162F"/>
    <w:rPr>
      <w:rFonts w:asciiTheme="minorHAnsi" w:hAnsiTheme="minorHAnsi" w:cs="Arial"/>
      <w:b/>
      <w:snapToGrid w:val="0"/>
      <w:sz w:val="32"/>
      <w:szCs w:val="32"/>
    </w:rPr>
  </w:style>
  <w:style w:type="paragraph" w:styleId="ListBullet2">
    <w:name w:val="List Bullet 2"/>
    <w:basedOn w:val="Normal"/>
    <w:semiHidden/>
    <w:unhideWhenUsed/>
    <w:rsid w:val="004C162F"/>
    <w:pPr>
      <w:ind w:left="425" w:hanging="425"/>
      <w:contextualSpacing/>
    </w:pPr>
  </w:style>
  <w:style w:type="paragraph" w:styleId="ListBullet3">
    <w:name w:val="List Bullet 3"/>
    <w:basedOn w:val="Normal"/>
    <w:semiHidden/>
    <w:unhideWhenUsed/>
    <w:rsid w:val="004C162F"/>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59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1566680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4630825">
      <w:bodyDiv w:val="1"/>
      <w:marLeft w:val="0"/>
      <w:marRight w:val="0"/>
      <w:marTop w:val="0"/>
      <w:marBottom w:val="0"/>
      <w:divBdr>
        <w:top w:val="none" w:sz="0" w:space="0" w:color="auto"/>
        <w:left w:val="none" w:sz="0" w:space="0" w:color="auto"/>
        <w:bottom w:val="none" w:sz="0" w:space="0" w:color="auto"/>
        <w:right w:val="none" w:sz="0" w:space="0" w:color="auto"/>
      </w:divBdr>
    </w:div>
    <w:div w:id="982539412">
      <w:bodyDiv w:val="1"/>
      <w:marLeft w:val="0"/>
      <w:marRight w:val="0"/>
      <w:marTop w:val="0"/>
      <w:marBottom w:val="0"/>
      <w:divBdr>
        <w:top w:val="none" w:sz="0" w:space="0" w:color="auto"/>
        <w:left w:val="none" w:sz="0" w:space="0" w:color="auto"/>
        <w:bottom w:val="none" w:sz="0" w:space="0" w:color="auto"/>
        <w:right w:val="none" w:sz="0" w:space="0" w:color="auto"/>
      </w:divBdr>
    </w:div>
    <w:div w:id="986126355">
      <w:bodyDiv w:val="1"/>
      <w:marLeft w:val="0"/>
      <w:marRight w:val="0"/>
      <w:marTop w:val="0"/>
      <w:marBottom w:val="0"/>
      <w:divBdr>
        <w:top w:val="none" w:sz="0" w:space="0" w:color="auto"/>
        <w:left w:val="none" w:sz="0" w:space="0" w:color="auto"/>
        <w:bottom w:val="none" w:sz="0" w:space="0" w:color="auto"/>
        <w:right w:val="none" w:sz="0" w:space="0" w:color="auto"/>
      </w:divBdr>
    </w:div>
    <w:div w:id="11105137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3148802">
      <w:bodyDiv w:val="1"/>
      <w:marLeft w:val="0"/>
      <w:marRight w:val="0"/>
      <w:marTop w:val="0"/>
      <w:marBottom w:val="0"/>
      <w:divBdr>
        <w:top w:val="none" w:sz="0" w:space="0" w:color="auto"/>
        <w:left w:val="none" w:sz="0" w:space="0" w:color="auto"/>
        <w:bottom w:val="none" w:sz="0" w:space="0" w:color="auto"/>
        <w:right w:val="none" w:sz="0" w:space="0" w:color="auto"/>
      </w:divBdr>
    </w:div>
    <w:div w:id="1332875948">
      <w:bodyDiv w:val="1"/>
      <w:marLeft w:val="0"/>
      <w:marRight w:val="0"/>
      <w:marTop w:val="0"/>
      <w:marBottom w:val="0"/>
      <w:divBdr>
        <w:top w:val="none" w:sz="0" w:space="0" w:color="auto"/>
        <w:left w:val="none" w:sz="0" w:space="0" w:color="auto"/>
        <w:bottom w:val="none" w:sz="0" w:space="0" w:color="auto"/>
        <w:right w:val="none" w:sz="0" w:space="0" w:color="auto"/>
      </w:divBdr>
    </w:div>
    <w:div w:id="1346713126">
      <w:bodyDiv w:val="1"/>
      <w:marLeft w:val="0"/>
      <w:marRight w:val="0"/>
      <w:marTop w:val="0"/>
      <w:marBottom w:val="0"/>
      <w:divBdr>
        <w:top w:val="none" w:sz="0" w:space="0" w:color="auto"/>
        <w:left w:val="none" w:sz="0" w:space="0" w:color="auto"/>
        <w:bottom w:val="none" w:sz="0" w:space="0" w:color="auto"/>
        <w:right w:val="none" w:sz="0" w:space="0" w:color="auto"/>
      </w:divBdr>
    </w:div>
    <w:div w:id="1546259979">
      <w:bodyDiv w:val="1"/>
      <w:marLeft w:val="0"/>
      <w:marRight w:val="0"/>
      <w:marTop w:val="0"/>
      <w:marBottom w:val="0"/>
      <w:divBdr>
        <w:top w:val="none" w:sz="0" w:space="0" w:color="auto"/>
        <w:left w:val="none" w:sz="0" w:space="0" w:color="auto"/>
        <w:bottom w:val="none" w:sz="0" w:space="0" w:color="auto"/>
        <w:right w:val="none" w:sz="0" w:space="0" w:color="auto"/>
      </w:divBdr>
    </w:div>
    <w:div w:id="1647512908">
      <w:bodyDiv w:val="1"/>
      <w:marLeft w:val="0"/>
      <w:marRight w:val="0"/>
      <w:marTop w:val="0"/>
      <w:marBottom w:val="0"/>
      <w:divBdr>
        <w:top w:val="none" w:sz="0" w:space="0" w:color="auto"/>
        <w:left w:val="none" w:sz="0" w:space="0" w:color="auto"/>
        <w:bottom w:val="none" w:sz="0" w:space="0" w:color="auto"/>
        <w:right w:val="none" w:sz="0" w:space="0" w:color="auto"/>
      </w:divBdr>
    </w:div>
    <w:div w:id="1678385653">
      <w:bodyDiv w:val="1"/>
      <w:marLeft w:val="0"/>
      <w:marRight w:val="0"/>
      <w:marTop w:val="0"/>
      <w:marBottom w:val="0"/>
      <w:divBdr>
        <w:top w:val="none" w:sz="0" w:space="0" w:color="auto"/>
        <w:left w:val="none" w:sz="0" w:space="0" w:color="auto"/>
        <w:bottom w:val="none" w:sz="0" w:space="0" w:color="auto"/>
        <w:right w:val="none" w:sz="0" w:space="0" w:color="auto"/>
      </w:divBdr>
    </w:div>
    <w:div w:id="1709255328">
      <w:bodyDiv w:val="1"/>
      <w:marLeft w:val="0"/>
      <w:marRight w:val="0"/>
      <w:marTop w:val="0"/>
      <w:marBottom w:val="0"/>
      <w:divBdr>
        <w:top w:val="none" w:sz="0" w:space="0" w:color="auto"/>
        <w:left w:val="none" w:sz="0" w:space="0" w:color="auto"/>
        <w:bottom w:val="none" w:sz="0" w:space="0" w:color="auto"/>
        <w:right w:val="none" w:sz="0" w:space="0" w:color="auto"/>
      </w:divBdr>
    </w:div>
    <w:div w:id="1766267867">
      <w:bodyDiv w:val="1"/>
      <w:marLeft w:val="0"/>
      <w:marRight w:val="0"/>
      <w:marTop w:val="0"/>
      <w:marBottom w:val="0"/>
      <w:divBdr>
        <w:top w:val="none" w:sz="0" w:space="0" w:color="auto"/>
        <w:left w:val="none" w:sz="0" w:space="0" w:color="auto"/>
        <w:bottom w:val="none" w:sz="0" w:space="0" w:color="auto"/>
        <w:right w:val="none" w:sz="0" w:space="0" w:color="auto"/>
      </w:divBdr>
    </w:div>
    <w:div w:id="1853833807">
      <w:bodyDiv w:val="1"/>
      <w:marLeft w:val="0"/>
      <w:marRight w:val="0"/>
      <w:marTop w:val="0"/>
      <w:marBottom w:val="0"/>
      <w:divBdr>
        <w:top w:val="none" w:sz="0" w:space="0" w:color="auto"/>
        <w:left w:val="none" w:sz="0" w:space="0" w:color="auto"/>
        <w:bottom w:val="none" w:sz="0" w:space="0" w:color="auto"/>
        <w:right w:val="none" w:sz="0" w:space="0" w:color="auto"/>
      </w:divBdr>
    </w:div>
    <w:div w:id="186833154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18656</Words>
  <Characters>100410</Characters>
  <Application>Microsoft Office Word</Application>
  <DocSecurity>0</DocSecurity>
  <Lines>836</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118829</CharactersWithSpaces>
  <SharedDoc>false</SharedDoc>
  <HLinks>
    <vt:vector size="396" baseType="variant">
      <vt:variant>
        <vt:i4>4194315</vt:i4>
      </vt:variant>
      <vt:variant>
        <vt:i4>612</vt:i4>
      </vt:variant>
      <vt:variant>
        <vt:i4>0</vt:i4>
      </vt:variant>
      <vt:variant>
        <vt:i4>5</vt:i4>
      </vt:variant>
      <vt:variant>
        <vt:lpwstr/>
      </vt:variant>
      <vt:variant>
        <vt:lpwstr>_ENREF_13</vt:lpwstr>
      </vt:variant>
      <vt:variant>
        <vt:i4>4194315</vt:i4>
      </vt:variant>
      <vt:variant>
        <vt:i4>604</vt:i4>
      </vt:variant>
      <vt:variant>
        <vt:i4>0</vt:i4>
      </vt:variant>
      <vt:variant>
        <vt:i4>5</vt:i4>
      </vt:variant>
      <vt:variant>
        <vt:lpwstr/>
      </vt:variant>
      <vt:variant>
        <vt:lpwstr>_ENREF_17</vt:lpwstr>
      </vt:variant>
      <vt:variant>
        <vt:i4>4587531</vt:i4>
      </vt:variant>
      <vt:variant>
        <vt:i4>596</vt:i4>
      </vt:variant>
      <vt:variant>
        <vt:i4>0</vt:i4>
      </vt:variant>
      <vt:variant>
        <vt:i4>5</vt:i4>
      </vt:variant>
      <vt:variant>
        <vt:lpwstr/>
      </vt:variant>
      <vt:variant>
        <vt:lpwstr>_ENREF_7</vt:lpwstr>
      </vt:variant>
      <vt:variant>
        <vt:i4>4194315</vt:i4>
      </vt:variant>
      <vt:variant>
        <vt:i4>588</vt:i4>
      </vt:variant>
      <vt:variant>
        <vt:i4>0</vt:i4>
      </vt:variant>
      <vt:variant>
        <vt:i4>5</vt:i4>
      </vt:variant>
      <vt:variant>
        <vt:lpwstr/>
      </vt:variant>
      <vt:variant>
        <vt:lpwstr>_ENREF_19</vt:lpwstr>
      </vt:variant>
      <vt:variant>
        <vt:i4>4194315</vt:i4>
      </vt:variant>
      <vt:variant>
        <vt:i4>435</vt:i4>
      </vt:variant>
      <vt:variant>
        <vt:i4>0</vt:i4>
      </vt:variant>
      <vt:variant>
        <vt:i4>5</vt:i4>
      </vt:variant>
      <vt:variant>
        <vt:lpwstr/>
      </vt:variant>
      <vt:variant>
        <vt:lpwstr>_ENREF_17</vt:lpwstr>
      </vt:variant>
      <vt:variant>
        <vt:i4>4587531</vt:i4>
      </vt:variant>
      <vt:variant>
        <vt:i4>427</vt:i4>
      </vt:variant>
      <vt:variant>
        <vt:i4>0</vt:i4>
      </vt:variant>
      <vt:variant>
        <vt:i4>5</vt:i4>
      </vt:variant>
      <vt:variant>
        <vt:lpwstr/>
      </vt:variant>
      <vt:variant>
        <vt:lpwstr>_ENREF_7</vt:lpwstr>
      </vt:variant>
      <vt:variant>
        <vt:i4>4194315</vt:i4>
      </vt:variant>
      <vt:variant>
        <vt:i4>419</vt:i4>
      </vt:variant>
      <vt:variant>
        <vt:i4>0</vt:i4>
      </vt:variant>
      <vt:variant>
        <vt:i4>5</vt:i4>
      </vt:variant>
      <vt:variant>
        <vt:lpwstr/>
      </vt:variant>
      <vt:variant>
        <vt:lpwstr>_ENREF_19</vt:lpwstr>
      </vt:variant>
      <vt:variant>
        <vt:i4>1245238</vt:i4>
      </vt:variant>
      <vt:variant>
        <vt:i4>308</vt:i4>
      </vt:variant>
      <vt:variant>
        <vt:i4>0</vt:i4>
      </vt:variant>
      <vt:variant>
        <vt:i4>5</vt:i4>
      </vt:variant>
      <vt:variant>
        <vt:lpwstr/>
      </vt:variant>
      <vt:variant>
        <vt:lpwstr>_Toc143607415</vt:lpwstr>
      </vt:variant>
      <vt:variant>
        <vt:i4>1245238</vt:i4>
      </vt:variant>
      <vt:variant>
        <vt:i4>302</vt:i4>
      </vt:variant>
      <vt:variant>
        <vt:i4>0</vt:i4>
      </vt:variant>
      <vt:variant>
        <vt:i4>5</vt:i4>
      </vt:variant>
      <vt:variant>
        <vt:lpwstr/>
      </vt:variant>
      <vt:variant>
        <vt:lpwstr>_Toc143607414</vt:lpwstr>
      </vt:variant>
      <vt:variant>
        <vt:i4>1245238</vt:i4>
      </vt:variant>
      <vt:variant>
        <vt:i4>296</vt:i4>
      </vt:variant>
      <vt:variant>
        <vt:i4>0</vt:i4>
      </vt:variant>
      <vt:variant>
        <vt:i4>5</vt:i4>
      </vt:variant>
      <vt:variant>
        <vt:lpwstr/>
      </vt:variant>
      <vt:variant>
        <vt:lpwstr>_Toc143607413</vt:lpwstr>
      </vt:variant>
      <vt:variant>
        <vt:i4>1245238</vt:i4>
      </vt:variant>
      <vt:variant>
        <vt:i4>290</vt:i4>
      </vt:variant>
      <vt:variant>
        <vt:i4>0</vt:i4>
      </vt:variant>
      <vt:variant>
        <vt:i4>5</vt:i4>
      </vt:variant>
      <vt:variant>
        <vt:lpwstr/>
      </vt:variant>
      <vt:variant>
        <vt:lpwstr>_Toc143607412</vt:lpwstr>
      </vt:variant>
      <vt:variant>
        <vt:i4>1245238</vt:i4>
      </vt:variant>
      <vt:variant>
        <vt:i4>284</vt:i4>
      </vt:variant>
      <vt:variant>
        <vt:i4>0</vt:i4>
      </vt:variant>
      <vt:variant>
        <vt:i4>5</vt:i4>
      </vt:variant>
      <vt:variant>
        <vt:lpwstr/>
      </vt:variant>
      <vt:variant>
        <vt:lpwstr>_Toc143607411</vt:lpwstr>
      </vt:variant>
      <vt:variant>
        <vt:i4>1245238</vt:i4>
      </vt:variant>
      <vt:variant>
        <vt:i4>278</vt:i4>
      </vt:variant>
      <vt:variant>
        <vt:i4>0</vt:i4>
      </vt:variant>
      <vt:variant>
        <vt:i4>5</vt:i4>
      </vt:variant>
      <vt:variant>
        <vt:lpwstr/>
      </vt:variant>
      <vt:variant>
        <vt:lpwstr>_Toc143607410</vt:lpwstr>
      </vt:variant>
      <vt:variant>
        <vt:i4>1179702</vt:i4>
      </vt:variant>
      <vt:variant>
        <vt:i4>272</vt:i4>
      </vt:variant>
      <vt:variant>
        <vt:i4>0</vt:i4>
      </vt:variant>
      <vt:variant>
        <vt:i4>5</vt:i4>
      </vt:variant>
      <vt:variant>
        <vt:lpwstr/>
      </vt:variant>
      <vt:variant>
        <vt:lpwstr>_Toc143607409</vt:lpwstr>
      </vt:variant>
      <vt:variant>
        <vt:i4>1179702</vt:i4>
      </vt:variant>
      <vt:variant>
        <vt:i4>266</vt:i4>
      </vt:variant>
      <vt:variant>
        <vt:i4>0</vt:i4>
      </vt:variant>
      <vt:variant>
        <vt:i4>5</vt:i4>
      </vt:variant>
      <vt:variant>
        <vt:lpwstr/>
      </vt:variant>
      <vt:variant>
        <vt:lpwstr>_Toc143607408</vt:lpwstr>
      </vt:variant>
      <vt:variant>
        <vt:i4>1179702</vt:i4>
      </vt:variant>
      <vt:variant>
        <vt:i4>260</vt:i4>
      </vt:variant>
      <vt:variant>
        <vt:i4>0</vt:i4>
      </vt:variant>
      <vt:variant>
        <vt:i4>5</vt:i4>
      </vt:variant>
      <vt:variant>
        <vt:lpwstr/>
      </vt:variant>
      <vt:variant>
        <vt:lpwstr>_Toc143607407</vt:lpwstr>
      </vt:variant>
      <vt:variant>
        <vt:i4>1179702</vt:i4>
      </vt:variant>
      <vt:variant>
        <vt:i4>254</vt:i4>
      </vt:variant>
      <vt:variant>
        <vt:i4>0</vt:i4>
      </vt:variant>
      <vt:variant>
        <vt:i4>5</vt:i4>
      </vt:variant>
      <vt:variant>
        <vt:lpwstr/>
      </vt:variant>
      <vt:variant>
        <vt:lpwstr>_Toc143607406</vt:lpwstr>
      </vt:variant>
      <vt:variant>
        <vt:i4>1179702</vt:i4>
      </vt:variant>
      <vt:variant>
        <vt:i4>248</vt:i4>
      </vt:variant>
      <vt:variant>
        <vt:i4>0</vt:i4>
      </vt:variant>
      <vt:variant>
        <vt:i4>5</vt:i4>
      </vt:variant>
      <vt:variant>
        <vt:lpwstr/>
      </vt:variant>
      <vt:variant>
        <vt:lpwstr>_Toc143607405</vt:lpwstr>
      </vt:variant>
      <vt:variant>
        <vt:i4>1179702</vt:i4>
      </vt:variant>
      <vt:variant>
        <vt:i4>242</vt:i4>
      </vt:variant>
      <vt:variant>
        <vt:i4>0</vt:i4>
      </vt:variant>
      <vt:variant>
        <vt:i4>5</vt:i4>
      </vt:variant>
      <vt:variant>
        <vt:lpwstr/>
      </vt:variant>
      <vt:variant>
        <vt:lpwstr>_Toc143607404</vt:lpwstr>
      </vt:variant>
      <vt:variant>
        <vt:i4>1179702</vt:i4>
      </vt:variant>
      <vt:variant>
        <vt:i4>236</vt:i4>
      </vt:variant>
      <vt:variant>
        <vt:i4>0</vt:i4>
      </vt:variant>
      <vt:variant>
        <vt:i4>5</vt:i4>
      </vt:variant>
      <vt:variant>
        <vt:lpwstr/>
      </vt:variant>
      <vt:variant>
        <vt:lpwstr>_Toc143607403</vt:lpwstr>
      </vt:variant>
      <vt:variant>
        <vt:i4>1179702</vt:i4>
      </vt:variant>
      <vt:variant>
        <vt:i4>230</vt:i4>
      </vt:variant>
      <vt:variant>
        <vt:i4>0</vt:i4>
      </vt:variant>
      <vt:variant>
        <vt:i4>5</vt:i4>
      </vt:variant>
      <vt:variant>
        <vt:lpwstr/>
      </vt:variant>
      <vt:variant>
        <vt:lpwstr>_Toc143607402</vt:lpwstr>
      </vt:variant>
      <vt:variant>
        <vt:i4>1179702</vt:i4>
      </vt:variant>
      <vt:variant>
        <vt:i4>224</vt:i4>
      </vt:variant>
      <vt:variant>
        <vt:i4>0</vt:i4>
      </vt:variant>
      <vt:variant>
        <vt:i4>5</vt:i4>
      </vt:variant>
      <vt:variant>
        <vt:lpwstr/>
      </vt:variant>
      <vt:variant>
        <vt:lpwstr>_Toc143607401</vt:lpwstr>
      </vt:variant>
      <vt:variant>
        <vt:i4>1179702</vt:i4>
      </vt:variant>
      <vt:variant>
        <vt:i4>218</vt:i4>
      </vt:variant>
      <vt:variant>
        <vt:i4>0</vt:i4>
      </vt:variant>
      <vt:variant>
        <vt:i4>5</vt:i4>
      </vt:variant>
      <vt:variant>
        <vt:lpwstr/>
      </vt:variant>
      <vt:variant>
        <vt:lpwstr>_Toc143607400</vt:lpwstr>
      </vt:variant>
      <vt:variant>
        <vt:i4>1769521</vt:i4>
      </vt:variant>
      <vt:variant>
        <vt:i4>212</vt:i4>
      </vt:variant>
      <vt:variant>
        <vt:i4>0</vt:i4>
      </vt:variant>
      <vt:variant>
        <vt:i4>5</vt:i4>
      </vt:variant>
      <vt:variant>
        <vt:lpwstr/>
      </vt:variant>
      <vt:variant>
        <vt:lpwstr>_Toc143607399</vt:lpwstr>
      </vt:variant>
      <vt:variant>
        <vt:i4>1769521</vt:i4>
      </vt:variant>
      <vt:variant>
        <vt:i4>206</vt:i4>
      </vt:variant>
      <vt:variant>
        <vt:i4>0</vt:i4>
      </vt:variant>
      <vt:variant>
        <vt:i4>5</vt:i4>
      </vt:variant>
      <vt:variant>
        <vt:lpwstr/>
      </vt:variant>
      <vt:variant>
        <vt:lpwstr>_Toc143607398</vt:lpwstr>
      </vt:variant>
      <vt:variant>
        <vt:i4>1769521</vt:i4>
      </vt:variant>
      <vt:variant>
        <vt:i4>200</vt:i4>
      </vt:variant>
      <vt:variant>
        <vt:i4>0</vt:i4>
      </vt:variant>
      <vt:variant>
        <vt:i4>5</vt:i4>
      </vt:variant>
      <vt:variant>
        <vt:lpwstr/>
      </vt:variant>
      <vt:variant>
        <vt:lpwstr>_Toc143607397</vt:lpwstr>
      </vt:variant>
      <vt:variant>
        <vt:i4>1769521</vt:i4>
      </vt:variant>
      <vt:variant>
        <vt:i4>194</vt:i4>
      </vt:variant>
      <vt:variant>
        <vt:i4>0</vt:i4>
      </vt:variant>
      <vt:variant>
        <vt:i4>5</vt:i4>
      </vt:variant>
      <vt:variant>
        <vt:lpwstr/>
      </vt:variant>
      <vt:variant>
        <vt:lpwstr>_Toc143607396</vt:lpwstr>
      </vt:variant>
      <vt:variant>
        <vt:i4>1769521</vt:i4>
      </vt:variant>
      <vt:variant>
        <vt:i4>188</vt:i4>
      </vt:variant>
      <vt:variant>
        <vt:i4>0</vt:i4>
      </vt:variant>
      <vt:variant>
        <vt:i4>5</vt:i4>
      </vt:variant>
      <vt:variant>
        <vt:lpwstr/>
      </vt:variant>
      <vt:variant>
        <vt:lpwstr>_Toc143607395</vt:lpwstr>
      </vt:variant>
      <vt:variant>
        <vt:i4>1769521</vt:i4>
      </vt:variant>
      <vt:variant>
        <vt:i4>182</vt:i4>
      </vt:variant>
      <vt:variant>
        <vt:i4>0</vt:i4>
      </vt:variant>
      <vt:variant>
        <vt:i4>5</vt:i4>
      </vt:variant>
      <vt:variant>
        <vt:lpwstr/>
      </vt:variant>
      <vt:variant>
        <vt:lpwstr>_Toc143607394</vt:lpwstr>
      </vt:variant>
      <vt:variant>
        <vt:i4>1769521</vt:i4>
      </vt:variant>
      <vt:variant>
        <vt:i4>176</vt:i4>
      </vt:variant>
      <vt:variant>
        <vt:i4>0</vt:i4>
      </vt:variant>
      <vt:variant>
        <vt:i4>5</vt:i4>
      </vt:variant>
      <vt:variant>
        <vt:lpwstr/>
      </vt:variant>
      <vt:variant>
        <vt:lpwstr>_Toc143607393</vt:lpwstr>
      </vt:variant>
      <vt:variant>
        <vt:i4>1769521</vt:i4>
      </vt:variant>
      <vt:variant>
        <vt:i4>170</vt:i4>
      </vt:variant>
      <vt:variant>
        <vt:i4>0</vt:i4>
      </vt:variant>
      <vt:variant>
        <vt:i4>5</vt:i4>
      </vt:variant>
      <vt:variant>
        <vt:lpwstr/>
      </vt:variant>
      <vt:variant>
        <vt:lpwstr>_Toc143607392</vt:lpwstr>
      </vt:variant>
      <vt:variant>
        <vt:i4>1769521</vt:i4>
      </vt:variant>
      <vt:variant>
        <vt:i4>164</vt:i4>
      </vt:variant>
      <vt:variant>
        <vt:i4>0</vt:i4>
      </vt:variant>
      <vt:variant>
        <vt:i4>5</vt:i4>
      </vt:variant>
      <vt:variant>
        <vt:lpwstr/>
      </vt:variant>
      <vt:variant>
        <vt:lpwstr>_Toc143607391</vt:lpwstr>
      </vt:variant>
      <vt:variant>
        <vt:i4>1769521</vt:i4>
      </vt:variant>
      <vt:variant>
        <vt:i4>158</vt:i4>
      </vt:variant>
      <vt:variant>
        <vt:i4>0</vt:i4>
      </vt:variant>
      <vt:variant>
        <vt:i4>5</vt:i4>
      </vt:variant>
      <vt:variant>
        <vt:lpwstr/>
      </vt:variant>
      <vt:variant>
        <vt:lpwstr>_Toc143607390</vt:lpwstr>
      </vt:variant>
      <vt:variant>
        <vt:i4>1703985</vt:i4>
      </vt:variant>
      <vt:variant>
        <vt:i4>152</vt:i4>
      </vt:variant>
      <vt:variant>
        <vt:i4>0</vt:i4>
      </vt:variant>
      <vt:variant>
        <vt:i4>5</vt:i4>
      </vt:variant>
      <vt:variant>
        <vt:lpwstr/>
      </vt:variant>
      <vt:variant>
        <vt:lpwstr>_Toc143607389</vt:lpwstr>
      </vt:variant>
      <vt:variant>
        <vt:i4>1703985</vt:i4>
      </vt:variant>
      <vt:variant>
        <vt:i4>146</vt:i4>
      </vt:variant>
      <vt:variant>
        <vt:i4>0</vt:i4>
      </vt:variant>
      <vt:variant>
        <vt:i4>5</vt:i4>
      </vt:variant>
      <vt:variant>
        <vt:lpwstr/>
      </vt:variant>
      <vt:variant>
        <vt:lpwstr>_Toc143607388</vt:lpwstr>
      </vt:variant>
      <vt:variant>
        <vt:i4>1703985</vt:i4>
      </vt:variant>
      <vt:variant>
        <vt:i4>140</vt:i4>
      </vt:variant>
      <vt:variant>
        <vt:i4>0</vt:i4>
      </vt:variant>
      <vt:variant>
        <vt:i4>5</vt:i4>
      </vt:variant>
      <vt:variant>
        <vt:lpwstr/>
      </vt:variant>
      <vt:variant>
        <vt:lpwstr>_Toc143607387</vt:lpwstr>
      </vt:variant>
      <vt:variant>
        <vt:i4>1703985</vt:i4>
      </vt:variant>
      <vt:variant>
        <vt:i4>134</vt:i4>
      </vt:variant>
      <vt:variant>
        <vt:i4>0</vt:i4>
      </vt:variant>
      <vt:variant>
        <vt:i4>5</vt:i4>
      </vt:variant>
      <vt:variant>
        <vt:lpwstr/>
      </vt:variant>
      <vt:variant>
        <vt:lpwstr>_Toc143607386</vt:lpwstr>
      </vt:variant>
      <vt:variant>
        <vt:i4>1703985</vt:i4>
      </vt:variant>
      <vt:variant>
        <vt:i4>128</vt:i4>
      </vt:variant>
      <vt:variant>
        <vt:i4>0</vt:i4>
      </vt:variant>
      <vt:variant>
        <vt:i4>5</vt:i4>
      </vt:variant>
      <vt:variant>
        <vt:lpwstr/>
      </vt:variant>
      <vt:variant>
        <vt:lpwstr>_Toc143607385</vt:lpwstr>
      </vt:variant>
      <vt:variant>
        <vt:i4>1703985</vt:i4>
      </vt:variant>
      <vt:variant>
        <vt:i4>122</vt:i4>
      </vt:variant>
      <vt:variant>
        <vt:i4>0</vt:i4>
      </vt:variant>
      <vt:variant>
        <vt:i4>5</vt:i4>
      </vt:variant>
      <vt:variant>
        <vt:lpwstr/>
      </vt:variant>
      <vt:variant>
        <vt:lpwstr>_Toc143607384</vt:lpwstr>
      </vt:variant>
      <vt:variant>
        <vt:i4>1703985</vt:i4>
      </vt:variant>
      <vt:variant>
        <vt:i4>116</vt:i4>
      </vt:variant>
      <vt:variant>
        <vt:i4>0</vt:i4>
      </vt:variant>
      <vt:variant>
        <vt:i4>5</vt:i4>
      </vt:variant>
      <vt:variant>
        <vt:lpwstr/>
      </vt:variant>
      <vt:variant>
        <vt:lpwstr>_Toc143607383</vt:lpwstr>
      </vt:variant>
      <vt:variant>
        <vt:i4>1703985</vt:i4>
      </vt:variant>
      <vt:variant>
        <vt:i4>110</vt:i4>
      </vt:variant>
      <vt:variant>
        <vt:i4>0</vt:i4>
      </vt:variant>
      <vt:variant>
        <vt:i4>5</vt:i4>
      </vt:variant>
      <vt:variant>
        <vt:lpwstr/>
      </vt:variant>
      <vt:variant>
        <vt:lpwstr>_Toc143607382</vt:lpwstr>
      </vt:variant>
      <vt:variant>
        <vt:i4>1703985</vt:i4>
      </vt:variant>
      <vt:variant>
        <vt:i4>104</vt:i4>
      </vt:variant>
      <vt:variant>
        <vt:i4>0</vt:i4>
      </vt:variant>
      <vt:variant>
        <vt:i4>5</vt:i4>
      </vt:variant>
      <vt:variant>
        <vt:lpwstr/>
      </vt:variant>
      <vt:variant>
        <vt:lpwstr>_Toc143607381</vt:lpwstr>
      </vt:variant>
      <vt:variant>
        <vt:i4>1703985</vt:i4>
      </vt:variant>
      <vt:variant>
        <vt:i4>98</vt:i4>
      </vt:variant>
      <vt:variant>
        <vt:i4>0</vt:i4>
      </vt:variant>
      <vt:variant>
        <vt:i4>5</vt:i4>
      </vt:variant>
      <vt:variant>
        <vt:lpwstr/>
      </vt:variant>
      <vt:variant>
        <vt:lpwstr>_Toc143607380</vt:lpwstr>
      </vt:variant>
      <vt:variant>
        <vt:i4>1376305</vt:i4>
      </vt:variant>
      <vt:variant>
        <vt:i4>92</vt:i4>
      </vt:variant>
      <vt:variant>
        <vt:i4>0</vt:i4>
      </vt:variant>
      <vt:variant>
        <vt:i4>5</vt:i4>
      </vt:variant>
      <vt:variant>
        <vt:lpwstr/>
      </vt:variant>
      <vt:variant>
        <vt:lpwstr>_Toc143607379</vt:lpwstr>
      </vt:variant>
      <vt:variant>
        <vt:i4>1376305</vt:i4>
      </vt:variant>
      <vt:variant>
        <vt:i4>86</vt:i4>
      </vt:variant>
      <vt:variant>
        <vt:i4>0</vt:i4>
      </vt:variant>
      <vt:variant>
        <vt:i4>5</vt:i4>
      </vt:variant>
      <vt:variant>
        <vt:lpwstr/>
      </vt:variant>
      <vt:variant>
        <vt:lpwstr>_Toc143607378</vt:lpwstr>
      </vt:variant>
      <vt:variant>
        <vt:i4>1376305</vt:i4>
      </vt:variant>
      <vt:variant>
        <vt:i4>80</vt:i4>
      </vt:variant>
      <vt:variant>
        <vt:i4>0</vt:i4>
      </vt:variant>
      <vt:variant>
        <vt:i4>5</vt:i4>
      </vt:variant>
      <vt:variant>
        <vt:lpwstr/>
      </vt:variant>
      <vt:variant>
        <vt:lpwstr>_Toc143607377</vt:lpwstr>
      </vt:variant>
      <vt:variant>
        <vt:i4>1376305</vt:i4>
      </vt:variant>
      <vt:variant>
        <vt:i4>74</vt:i4>
      </vt:variant>
      <vt:variant>
        <vt:i4>0</vt:i4>
      </vt:variant>
      <vt:variant>
        <vt:i4>5</vt:i4>
      </vt:variant>
      <vt:variant>
        <vt:lpwstr/>
      </vt:variant>
      <vt:variant>
        <vt:lpwstr>_Toc143607376</vt:lpwstr>
      </vt:variant>
      <vt:variant>
        <vt:i4>1376305</vt:i4>
      </vt:variant>
      <vt:variant>
        <vt:i4>68</vt:i4>
      </vt:variant>
      <vt:variant>
        <vt:i4>0</vt:i4>
      </vt:variant>
      <vt:variant>
        <vt:i4>5</vt:i4>
      </vt:variant>
      <vt:variant>
        <vt:lpwstr/>
      </vt:variant>
      <vt:variant>
        <vt:lpwstr>_Toc143607375</vt:lpwstr>
      </vt:variant>
      <vt:variant>
        <vt:i4>1376305</vt:i4>
      </vt:variant>
      <vt:variant>
        <vt:i4>62</vt:i4>
      </vt:variant>
      <vt:variant>
        <vt:i4>0</vt:i4>
      </vt:variant>
      <vt:variant>
        <vt:i4>5</vt:i4>
      </vt:variant>
      <vt:variant>
        <vt:lpwstr/>
      </vt:variant>
      <vt:variant>
        <vt:lpwstr>_Toc143607374</vt:lpwstr>
      </vt:variant>
      <vt:variant>
        <vt:i4>1376305</vt:i4>
      </vt:variant>
      <vt:variant>
        <vt:i4>56</vt:i4>
      </vt:variant>
      <vt:variant>
        <vt:i4>0</vt:i4>
      </vt:variant>
      <vt:variant>
        <vt:i4>5</vt:i4>
      </vt:variant>
      <vt:variant>
        <vt:lpwstr/>
      </vt:variant>
      <vt:variant>
        <vt:lpwstr>_Toc143607373</vt:lpwstr>
      </vt:variant>
      <vt:variant>
        <vt:i4>1376305</vt:i4>
      </vt:variant>
      <vt:variant>
        <vt:i4>50</vt:i4>
      </vt:variant>
      <vt:variant>
        <vt:i4>0</vt:i4>
      </vt:variant>
      <vt:variant>
        <vt:i4>5</vt:i4>
      </vt:variant>
      <vt:variant>
        <vt:lpwstr/>
      </vt:variant>
      <vt:variant>
        <vt:lpwstr>_Toc143607372</vt:lpwstr>
      </vt:variant>
      <vt:variant>
        <vt:i4>1376305</vt:i4>
      </vt:variant>
      <vt:variant>
        <vt:i4>44</vt:i4>
      </vt:variant>
      <vt:variant>
        <vt:i4>0</vt:i4>
      </vt:variant>
      <vt:variant>
        <vt:i4>5</vt:i4>
      </vt:variant>
      <vt:variant>
        <vt:lpwstr/>
      </vt:variant>
      <vt:variant>
        <vt:lpwstr>_Toc143607371</vt:lpwstr>
      </vt:variant>
      <vt:variant>
        <vt:i4>1376305</vt:i4>
      </vt:variant>
      <vt:variant>
        <vt:i4>38</vt:i4>
      </vt:variant>
      <vt:variant>
        <vt:i4>0</vt:i4>
      </vt:variant>
      <vt:variant>
        <vt:i4>5</vt:i4>
      </vt:variant>
      <vt:variant>
        <vt:lpwstr/>
      </vt:variant>
      <vt:variant>
        <vt:lpwstr>_Toc143607370</vt:lpwstr>
      </vt:variant>
      <vt:variant>
        <vt:i4>1310769</vt:i4>
      </vt:variant>
      <vt:variant>
        <vt:i4>32</vt:i4>
      </vt:variant>
      <vt:variant>
        <vt:i4>0</vt:i4>
      </vt:variant>
      <vt:variant>
        <vt:i4>5</vt:i4>
      </vt:variant>
      <vt:variant>
        <vt:lpwstr/>
      </vt:variant>
      <vt:variant>
        <vt:lpwstr>_Toc143607369</vt:lpwstr>
      </vt:variant>
      <vt:variant>
        <vt:i4>1310769</vt:i4>
      </vt:variant>
      <vt:variant>
        <vt:i4>26</vt:i4>
      </vt:variant>
      <vt:variant>
        <vt:i4>0</vt:i4>
      </vt:variant>
      <vt:variant>
        <vt:i4>5</vt:i4>
      </vt:variant>
      <vt:variant>
        <vt:lpwstr/>
      </vt:variant>
      <vt:variant>
        <vt:lpwstr>_Toc143607368</vt:lpwstr>
      </vt:variant>
      <vt:variant>
        <vt:i4>1310769</vt:i4>
      </vt:variant>
      <vt:variant>
        <vt:i4>20</vt:i4>
      </vt:variant>
      <vt:variant>
        <vt:i4>0</vt:i4>
      </vt:variant>
      <vt:variant>
        <vt:i4>5</vt:i4>
      </vt:variant>
      <vt:variant>
        <vt:lpwstr/>
      </vt:variant>
      <vt:variant>
        <vt:lpwstr>_Toc143607367</vt:lpwstr>
      </vt:variant>
      <vt:variant>
        <vt:i4>1310769</vt:i4>
      </vt:variant>
      <vt:variant>
        <vt:i4>14</vt:i4>
      </vt:variant>
      <vt:variant>
        <vt:i4>0</vt:i4>
      </vt:variant>
      <vt:variant>
        <vt:i4>5</vt:i4>
      </vt:variant>
      <vt:variant>
        <vt:lpwstr/>
      </vt:variant>
      <vt:variant>
        <vt:lpwstr>_Toc143607366</vt:lpwstr>
      </vt:variant>
      <vt:variant>
        <vt:i4>1310769</vt:i4>
      </vt:variant>
      <vt:variant>
        <vt:i4>8</vt:i4>
      </vt:variant>
      <vt:variant>
        <vt:i4>0</vt:i4>
      </vt:variant>
      <vt:variant>
        <vt:i4>5</vt:i4>
      </vt:variant>
      <vt:variant>
        <vt:lpwstr/>
      </vt:variant>
      <vt:variant>
        <vt:lpwstr>_Toc143607365</vt:lpwstr>
      </vt:variant>
      <vt:variant>
        <vt:i4>1310769</vt:i4>
      </vt:variant>
      <vt:variant>
        <vt:i4>2</vt:i4>
      </vt:variant>
      <vt:variant>
        <vt:i4>0</vt:i4>
      </vt:variant>
      <vt:variant>
        <vt:i4>5</vt:i4>
      </vt:variant>
      <vt:variant>
        <vt:lpwstr/>
      </vt:variant>
      <vt:variant>
        <vt:lpwstr>_Toc143607364</vt:lpwstr>
      </vt:variant>
      <vt:variant>
        <vt:i4>131081</vt:i4>
      </vt:variant>
      <vt:variant>
        <vt:i4>15</vt:i4>
      </vt:variant>
      <vt:variant>
        <vt:i4>0</vt:i4>
      </vt:variant>
      <vt:variant>
        <vt:i4>5</vt:i4>
      </vt:variant>
      <vt:variant>
        <vt:lpwstr>https://www.eviq.org.au/medical-oncology/breast/adjuvant-neoadjuvant/4168-breast-adjuvant-abemaciclib</vt:lpwstr>
      </vt:variant>
      <vt:variant>
        <vt:lpwstr>clinical-information</vt:lpwstr>
      </vt:variant>
      <vt:variant>
        <vt:i4>3080249</vt:i4>
      </vt:variant>
      <vt:variant>
        <vt:i4>12</vt:i4>
      </vt:variant>
      <vt:variant>
        <vt:i4>0</vt:i4>
      </vt:variant>
      <vt:variant>
        <vt:i4>5</vt:i4>
      </vt:variant>
      <vt:variant>
        <vt:lpwstr>https://www.eviq.org.au/p/4168</vt:lpwstr>
      </vt:variant>
      <vt:variant>
        <vt:lpwstr/>
      </vt:variant>
      <vt:variant>
        <vt:i4>4784142</vt:i4>
      </vt:variant>
      <vt:variant>
        <vt:i4>9</vt:i4>
      </vt:variant>
      <vt:variant>
        <vt:i4>0</vt:i4>
      </vt:variant>
      <vt:variant>
        <vt:i4>5</vt:i4>
      </vt:variant>
      <vt:variant>
        <vt:lpwstr>https://ncci.canceraustralia.gov.au/diagnosis/distribution-cancer-stage/distribution-cancer-stage</vt:lpwstr>
      </vt:variant>
      <vt:variant>
        <vt:lpwstr/>
      </vt:variant>
      <vt:variant>
        <vt:i4>262208</vt:i4>
      </vt:variant>
      <vt:variant>
        <vt:i4>6</vt:i4>
      </vt:variant>
      <vt:variant>
        <vt:i4>0</vt:i4>
      </vt:variant>
      <vt:variant>
        <vt:i4>5</vt:i4>
      </vt:variant>
      <vt:variant>
        <vt:lpwstr>https://www.cadth.ca/sites/default/files/DRR/2022/PC0282-Verzenio.pdf</vt:lpwstr>
      </vt:variant>
      <vt:variant>
        <vt:lpwstr/>
      </vt:variant>
      <vt:variant>
        <vt:i4>524315</vt:i4>
      </vt:variant>
      <vt:variant>
        <vt:i4>3</vt:i4>
      </vt:variant>
      <vt:variant>
        <vt:i4>0</vt:i4>
      </vt:variant>
      <vt:variant>
        <vt:i4>5</vt:i4>
      </vt:variant>
      <vt:variant>
        <vt:lpwstr>https://www.scottishmedicines.org.uk/media/7296/abemaciclib-verzenios-final-nov-2022-for-website.pdf</vt:lpwstr>
      </vt:variant>
      <vt:variant>
        <vt:lpwstr/>
      </vt:variant>
      <vt:variant>
        <vt:i4>4063356</vt:i4>
      </vt:variant>
      <vt:variant>
        <vt:i4>0</vt:i4>
      </vt:variant>
      <vt:variant>
        <vt:i4>0</vt:i4>
      </vt:variant>
      <vt:variant>
        <vt:i4>5</vt:i4>
      </vt:variant>
      <vt:variant>
        <vt:lpwstr>https://www.nice.org.uk/guidance/ta810/resources/abemaciclib-with-endocrine-therapy-for-adjuvant-treatment-of-hormone-receptorpositive-her2negative-nodepositive-early-breast-cancer-at-high-risk-of-recurrence-pdf-82613303636677</vt:lpwstr>
      </vt:variant>
      <vt:variant>
        <vt:lpwstr/>
      </vt:variant>
      <vt:variant>
        <vt:i4>4390923</vt:i4>
      </vt:variant>
      <vt:variant>
        <vt:i4>0</vt:i4>
      </vt:variant>
      <vt:variant>
        <vt:i4>0</vt:i4>
      </vt:variant>
      <vt:variant>
        <vt:i4>5</vt:i4>
      </vt:variant>
      <vt:variant>
        <vt:lpwstr/>
      </vt:variant>
      <vt:variant>
        <vt:lpwstr>_ENREF_22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2024-02-28T04:18:00Z</dcterms:created>
  <dcterms:modified xsi:type="dcterms:W3CDTF">2024-02-29T23:48:00Z</dcterms:modified>
</cp:coreProperties>
</file>