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5142" w14:textId="51C63C7D" w:rsidR="00826D3B" w:rsidRPr="00C34520" w:rsidRDefault="00280F52" w:rsidP="00826D3B">
      <w:pPr>
        <w:pStyle w:val="1-MainHeading"/>
      </w:pPr>
      <w:bookmarkStart w:id="0" w:name="_Toc145498606"/>
      <w:r w:rsidRPr="00C34520">
        <w:t>5.13</w:t>
      </w:r>
      <w:r w:rsidR="00826D3B" w:rsidRPr="00C34520">
        <w:tab/>
        <w:t>PNEUMOCOCCAL CONJUGATE VACCINE, 20-VALENT,</w:t>
      </w:r>
      <w:r w:rsidR="00826D3B" w:rsidRPr="00C34520">
        <w:br/>
        <w:t>0.5 mL pre-filled syringe,</w:t>
      </w:r>
      <w:r w:rsidR="00826D3B" w:rsidRPr="00C34520">
        <w:br/>
        <w:t>Prevenar 20®,</w:t>
      </w:r>
      <w:r w:rsidR="00826D3B" w:rsidRPr="00C34520">
        <w:br/>
        <w:t>PFIZER AUSTRALIA PTY LTD.</w:t>
      </w:r>
      <w:bookmarkEnd w:id="0"/>
    </w:p>
    <w:p w14:paraId="6A95A68F" w14:textId="4DFD5644" w:rsidR="00826D3B" w:rsidRPr="00C34520" w:rsidRDefault="00826D3B" w:rsidP="00826D3B">
      <w:pPr>
        <w:pStyle w:val="2-SectionHeading"/>
        <w:numPr>
          <w:ilvl w:val="0"/>
          <w:numId w:val="1"/>
        </w:numPr>
      </w:pPr>
      <w:bookmarkStart w:id="1" w:name="_Toc145498608"/>
      <w:r w:rsidRPr="00C34520">
        <w:t>Purpose of submission</w:t>
      </w:r>
      <w:bookmarkEnd w:id="1"/>
    </w:p>
    <w:p w14:paraId="0A23A022" w14:textId="77777777" w:rsidR="00826D3B" w:rsidRPr="00C34520" w:rsidRDefault="00826D3B" w:rsidP="00F625A4">
      <w:pPr>
        <w:pStyle w:val="3-BodyText"/>
      </w:pPr>
      <w:r w:rsidRPr="00C34520">
        <w:t xml:space="preserve">The Category 2 submission requested National Immunisation Program (NIP) listing for </w:t>
      </w:r>
      <w:bookmarkStart w:id="2" w:name="_Hlk150607238"/>
      <w:r w:rsidRPr="00C34520">
        <w:t>20-valent pneumococcal conjugate vaccine (20vPCV) for the prevention of pneumococcal disease in the following paediatric populations:</w:t>
      </w:r>
    </w:p>
    <w:p w14:paraId="13C2E636" w14:textId="76DDF74F" w:rsidR="00826D3B" w:rsidRPr="00C34520" w:rsidRDefault="000D04B3" w:rsidP="00F625A4">
      <w:pPr>
        <w:pStyle w:val="3-BodyText"/>
        <w:numPr>
          <w:ilvl w:val="0"/>
          <w:numId w:val="10"/>
        </w:numPr>
      </w:pPr>
      <w:r w:rsidRPr="00C34520">
        <w:t xml:space="preserve">Children aged 12 months or younger </w:t>
      </w:r>
      <w:r w:rsidR="00826D3B" w:rsidRPr="00C34520">
        <w:t>in NSW, VIC, ACT, and TAS and non</w:t>
      </w:r>
      <w:r w:rsidRPr="00C34520">
        <w:noBreakHyphen/>
      </w:r>
      <w:r w:rsidR="00826D3B" w:rsidRPr="00C34520">
        <w:t xml:space="preserve">Indigenous </w:t>
      </w:r>
      <w:r w:rsidR="00717C91" w:rsidRPr="00C34520">
        <w:t xml:space="preserve">children aged 12 months or younger </w:t>
      </w:r>
      <w:r w:rsidR="00826D3B" w:rsidRPr="00C34520">
        <w:t>in QLD, NT, WA and SA</w:t>
      </w:r>
      <w:r w:rsidRPr="00C34520">
        <w:t xml:space="preserve"> (2+1 schedule)</w:t>
      </w:r>
      <w:r w:rsidR="00826D3B" w:rsidRPr="00C34520">
        <w:t>.</w:t>
      </w:r>
    </w:p>
    <w:p w14:paraId="37065F63" w14:textId="5F987BDE" w:rsidR="00826D3B" w:rsidRPr="00C34520" w:rsidRDefault="00826D3B" w:rsidP="00F625A4">
      <w:pPr>
        <w:pStyle w:val="3-BodyText"/>
        <w:numPr>
          <w:ilvl w:val="0"/>
          <w:numId w:val="10"/>
        </w:numPr>
      </w:pPr>
      <w:r w:rsidRPr="00C34520">
        <w:t xml:space="preserve">Aboriginal and Torres Strait Islander </w:t>
      </w:r>
      <w:r w:rsidR="000D04B3" w:rsidRPr="00C34520">
        <w:t xml:space="preserve">children aged 12 months or younger </w:t>
      </w:r>
      <w:r w:rsidRPr="00C34520">
        <w:t>in QLD, NT, WA and SA</w:t>
      </w:r>
      <w:r w:rsidR="000D04B3" w:rsidRPr="00C34520">
        <w:t xml:space="preserve"> (3+1 schedule)</w:t>
      </w:r>
      <w:r w:rsidRPr="00C34520">
        <w:t>.</w:t>
      </w:r>
    </w:p>
    <w:p w14:paraId="0A863488" w14:textId="58992B52" w:rsidR="00826D3B" w:rsidRPr="00C34520" w:rsidRDefault="008C480A" w:rsidP="00F625A4">
      <w:pPr>
        <w:pStyle w:val="3-BodyText"/>
        <w:numPr>
          <w:ilvl w:val="0"/>
          <w:numId w:val="10"/>
        </w:numPr>
      </w:pPr>
      <w:r w:rsidRPr="00C34520">
        <w:t xml:space="preserve">Children </w:t>
      </w:r>
      <w:r w:rsidR="00826D3B" w:rsidRPr="00C34520">
        <w:t xml:space="preserve">aged 12 months or younger with currently </w:t>
      </w:r>
      <w:bookmarkStart w:id="3" w:name="_Hlk144208582"/>
      <w:r w:rsidR="00826D3B" w:rsidRPr="00C34520">
        <w:t>NIP-funded risk conditions</w:t>
      </w:r>
      <w:bookmarkEnd w:id="3"/>
      <w:r w:rsidR="000D04B3" w:rsidRPr="00C34520">
        <w:t xml:space="preserve"> (3+1 schedule)</w:t>
      </w:r>
      <w:r w:rsidR="00826D3B" w:rsidRPr="00C34520">
        <w:t>.</w:t>
      </w:r>
    </w:p>
    <w:p w14:paraId="5999F788" w14:textId="374B3F27" w:rsidR="00826D3B" w:rsidRPr="00C34520" w:rsidRDefault="00826D3B" w:rsidP="00F625A4">
      <w:pPr>
        <w:pStyle w:val="3-BodyText"/>
        <w:numPr>
          <w:ilvl w:val="0"/>
          <w:numId w:val="10"/>
        </w:numPr>
      </w:pPr>
      <w:r w:rsidRPr="00C34520">
        <w:t>Children aged more than 12 months with currently NIP-funded risk conditions</w:t>
      </w:r>
      <w:r w:rsidR="000D04B3" w:rsidRPr="00C34520">
        <w:t xml:space="preserve"> (single dose)</w:t>
      </w:r>
      <w:r w:rsidRPr="00C34520">
        <w:t>.</w:t>
      </w:r>
    </w:p>
    <w:bookmarkEnd w:id="2"/>
    <w:p w14:paraId="02BA0A1B" w14:textId="77777777" w:rsidR="00826D3B" w:rsidRPr="00C34520" w:rsidRDefault="00826D3B" w:rsidP="00F625A4">
      <w:pPr>
        <w:pStyle w:val="3-BodyText"/>
      </w:pPr>
      <w:r w:rsidRPr="00C34520">
        <w:t xml:space="preserve">Listing was requested on the basis of a cost-minimisation approach versus 13-valent pneumococcal conjugate vaccine (13vPCV) and 15-valent pneumococcal conjugate vaccine (15vPCV). </w:t>
      </w:r>
    </w:p>
    <w:p w14:paraId="36225E4A" w14:textId="2318C8FD" w:rsidR="00826D3B" w:rsidRPr="00C34520" w:rsidRDefault="00826D3B" w:rsidP="00F625A4">
      <w:pPr>
        <w:pStyle w:val="3-BodyText"/>
      </w:pPr>
      <w:r w:rsidRPr="00C34520">
        <w:fldChar w:fldCharType="begin"/>
      </w:r>
      <w:r w:rsidRPr="00C34520">
        <w:instrText xml:space="preserve"> REF _Ref143773595 \h </w:instrText>
      </w:r>
      <w:r w:rsidRPr="00C34520">
        <w:fldChar w:fldCharType="separate"/>
      </w:r>
      <w:r w:rsidR="009523CC" w:rsidRPr="00C34520">
        <w:t xml:space="preserve">Table </w:t>
      </w:r>
      <w:r w:rsidR="009523CC">
        <w:rPr>
          <w:noProof/>
        </w:rPr>
        <w:t>1</w:t>
      </w:r>
      <w:r w:rsidRPr="00C34520">
        <w:fldChar w:fldCharType="end"/>
      </w:r>
      <w:r w:rsidRPr="00C34520">
        <w:t xml:space="preserve"> shows the key components addressed by the submission.</w:t>
      </w:r>
    </w:p>
    <w:p w14:paraId="5F88045D" w14:textId="7BE75606" w:rsidR="00826D3B" w:rsidRPr="00C34520" w:rsidRDefault="00826D3B" w:rsidP="002A250E">
      <w:pPr>
        <w:pStyle w:val="Caption"/>
        <w:rPr>
          <w:rStyle w:val="CommentReference"/>
          <w:b/>
          <w:szCs w:val="24"/>
        </w:rPr>
      </w:pPr>
      <w:bookmarkStart w:id="4" w:name="_Ref143773595"/>
      <w:r w:rsidRPr="00C34520">
        <w:lastRenderedPageBreak/>
        <w:t xml:space="preserve">Table </w:t>
      </w:r>
      <w:fldSimple w:instr=" SEQ Table \* ARABIC ">
        <w:r w:rsidR="009523CC">
          <w:rPr>
            <w:noProof/>
          </w:rPr>
          <w:t>1</w:t>
        </w:r>
      </w:fldSimple>
      <w:bookmarkEnd w:id="4"/>
      <w:r w:rsidRPr="00C34520">
        <w:t>:</w:t>
      </w:r>
      <w:r w:rsidRPr="00C3452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425"/>
      </w:tblGrid>
      <w:tr w:rsidR="00826D3B" w:rsidRPr="00C34520" w14:paraId="02796FFA" w14:textId="77777777" w:rsidTr="00667D81">
        <w:tc>
          <w:tcPr>
            <w:tcW w:w="883" w:type="pct"/>
            <w:vAlign w:val="center"/>
          </w:tcPr>
          <w:p w14:paraId="001C5F92" w14:textId="77777777" w:rsidR="00826D3B" w:rsidRPr="00C34520" w:rsidRDefault="00826D3B" w:rsidP="00DE0052">
            <w:pPr>
              <w:pStyle w:val="In-tableHeading"/>
              <w:jc w:val="center"/>
              <w:rPr>
                <w:lang w:val="en-AU"/>
              </w:rPr>
            </w:pPr>
            <w:r w:rsidRPr="00C34520">
              <w:rPr>
                <w:lang w:val="en-AU"/>
              </w:rPr>
              <w:t>Component</w:t>
            </w:r>
          </w:p>
        </w:tc>
        <w:tc>
          <w:tcPr>
            <w:tcW w:w="4117" w:type="pct"/>
            <w:vAlign w:val="center"/>
          </w:tcPr>
          <w:p w14:paraId="5B8B1A36" w14:textId="77777777" w:rsidR="00826D3B" w:rsidRPr="00C34520" w:rsidRDefault="00826D3B" w:rsidP="00DE0052">
            <w:pPr>
              <w:pStyle w:val="In-tableHeading"/>
              <w:jc w:val="center"/>
              <w:rPr>
                <w:lang w:val="en-AU"/>
              </w:rPr>
            </w:pPr>
            <w:r w:rsidRPr="00C34520">
              <w:rPr>
                <w:lang w:val="en-AU"/>
              </w:rPr>
              <w:t>Description</w:t>
            </w:r>
          </w:p>
        </w:tc>
      </w:tr>
      <w:tr w:rsidR="00826D3B" w:rsidRPr="00C34520" w14:paraId="04419305" w14:textId="77777777" w:rsidTr="00667D81">
        <w:tc>
          <w:tcPr>
            <w:tcW w:w="883" w:type="pct"/>
            <w:vAlign w:val="center"/>
          </w:tcPr>
          <w:p w14:paraId="07C969F8" w14:textId="77777777" w:rsidR="00826D3B" w:rsidRPr="00C34520" w:rsidRDefault="00826D3B" w:rsidP="00DE0052">
            <w:pPr>
              <w:pStyle w:val="TableText0"/>
            </w:pPr>
            <w:r w:rsidRPr="00C34520">
              <w:t>Population</w:t>
            </w:r>
          </w:p>
        </w:tc>
        <w:tc>
          <w:tcPr>
            <w:tcW w:w="4117" w:type="pct"/>
            <w:vAlign w:val="center"/>
          </w:tcPr>
          <w:p w14:paraId="54F2FFA6" w14:textId="38392182" w:rsidR="00826D3B" w:rsidRPr="00C34520" w:rsidRDefault="00826D3B" w:rsidP="00574E84">
            <w:pPr>
              <w:pStyle w:val="TableText0"/>
              <w:numPr>
                <w:ilvl w:val="0"/>
                <w:numId w:val="8"/>
              </w:numPr>
            </w:pPr>
            <w:r w:rsidRPr="00C34520">
              <w:t>Infants in ACT, NSW, TAS and VIC and non-Indigenous infants in QLD, NT, WA and SA</w:t>
            </w:r>
            <w:r w:rsidR="0098123D">
              <w:t> (2+1 schedule)</w:t>
            </w:r>
          </w:p>
          <w:p w14:paraId="094668C0" w14:textId="44F0C544" w:rsidR="00826D3B" w:rsidRPr="00C34520" w:rsidRDefault="00826D3B" w:rsidP="00574E84">
            <w:pPr>
              <w:pStyle w:val="TableText0"/>
              <w:numPr>
                <w:ilvl w:val="0"/>
                <w:numId w:val="8"/>
              </w:numPr>
            </w:pPr>
            <w:r w:rsidRPr="00C34520">
              <w:t>Aboriginal and Torres Strait Islander infants in QLD, NT, WA and SA</w:t>
            </w:r>
            <w:r w:rsidR="0098123D">
              <w:t xml:space="preserve"> (3+1 schedule)</w:t>
            </w:r>
          </w:p>
          <w:p w14:paraId="6D2D560E" w14:textId="17884B64" w:rsidR="00826D3B" w:rsidRPr="00C34520" w:rsidRDefault="00826D3B" w:rsidP="00574E84">
            <w:pPr>
              <w:pStyle w:val="TableText0"/>
              <w:numPr>
                <w:ilvl w:val="0"/>
                <w:numId w:val="8"/>
              </w:numPr>
            </w:pPr>
            <w:r w:rsidRPr="00C34520">
              <w:t>Children ≤12 months with currently NIP-funded risk conditions</w:t>
            </w:r>
            <w:r w:rsidR="0098123D">
              <w:t xml:space="preserve"> (3+1 schedule)</w:t>
            </w:r>
            <w:r w:rsidR="00615C1B">
              <w:t xml:space="preserve"> </w:t>
            </w:r>
            <w:r w:rsidR="00615C1B">
              <w:rPr>
                <w:vertAlign w:val="superscript"/>
              </w:rPr>
              <w:t>a</w:t>
            </w:r>
          </w:p>
          <w:p w14:paraId="7F4B3BC9" w14:textId="4BB8D00C" w:rsidR="00826D3B" w:rsidRPr="00C34520" w:rsidRDefault="00826D3B" w:rsidP="00574E84">
            <w:pPr>
              <w:pStyle w:val="TableText0"/>
              <w:numPr>
                <w:ilvl w:val="0"/>
                <w:numId w:val="8"/>
              </w:numPr>
            </w:pPr>
            <w:r w:rsidRPr="00C34520">
              <w:t>Children &gt;</w:t>
            </w:r>
            <w:r w:rsidR="00827C7B" w:rsidRPr="00C34520">
              <w:t xml:space="preserve"> </w:t>
            </w:r>
            <w:r w:rsidRPr="00C34520">
              <w:t>12 months with currently NIP-funded risk conditions</w:t>
            </w:r>
            <w:r w:rsidR="00761C43" w:rsidRPr="00C34520">
              <w:t xml:space="preserve"> (1 dose at diagnosis)</w:t>
            </w:r>
            <w:r w:rsidR="00615C1B">
              <w:t xml:space="preserve"> </w:t>
            </w:r>
            <w:r w:rsidR="00615C1B">
              <w:rPr>
                <w:vertAlign w:val="superscript"/>
              </w:rPr>
              <w:t>a</w:t>
            </w:r>
          </w:p>
        </w:tc>
      </w:tr>
      <w:tr w:rsidR="00826D3B" w:rsidRPr="00C34520" w14:paraId="48E70195" w14:textId="77777777" w:rsidTr="00667D81">
        <w:tc>
          <w:tcPr>
            <w:tcW w:w="883" w:type="pct"/>
            <w:vAlign w:val="center"/>
          </w:tcPr>
          <w:p w14:paraId="62B1EA2D" w14:textId="77777777" w:rsidR="00826D3B" w:rsidRPr="00C34520" w:rsidRDefault="00826D3B" w:rsidP="00DE0052">
            <w:pPr>
              <w:pStyle w:val="TableText0"/>
            </w:pPr>
            <w:r w:rsidRPr="00C34520">
              <w:t>Intervention</w:t>
            </w:r>
          </w:p>
        </w:tc>
        <w:tc>
          <w:tcPr>
            <w:tcW w:w="4117" w:type="pct"/>
            <w:vAlign w:val="center"/>
          </w:tcPr>
          <w:p w14:paraId="5E71A580" w14:textId="64EAC415" w:rsidR="00826D3B" w:rsidRPr="00C34520" w:rsidRDefault="00826D3B" w:rsidP="00DE0052">
            <w:pPr>
              <w:pStyle w:val="TableText0"/>
            </w:pPr>
            <w:r w:rsidRPr="00C34520">
              <w:t>20vPCV</w:t>
            </w:r>
            <w:r w:rsidR="0098123D">
              <w:t xml:space="preserve"> is a p</w:t>
            </w:r>
            <w:r w:rsidR="0098123D" w:rsidRPr="00D51FB7">
              <w:rPr>
                <w:szCs w:val="18"/>
              </w:rPr>
              <w:t>neumococcal polysaccharide conjugate vaccine</w:t>
            </w:r>
            <w:r w:rsidR="0098123D">
              <w:rPr>
                <w:szCs w:val="18"/>
              </w:rPr>
              <w:t xml:space="preserve"> conjugated to CRM197 carrier protein</w:t>
            </w:r>
            <w:r w:rsidRPr="00C34520">
              <w:t xml:space="preserve"> </w:t>
            </w:r>
            <w:r w:rsidR="0098123D" w:rsidRPr="00C34520">
              <w:t xml:space="preserve">which includes serotype-specific capsular polysaccharides </w:t>
            </w:r>
            <w:r w:rsidRPr="00C34520">
              <w:t>1, 3, 4, 5, 6A, 6B, 7F, 8, 9V, 10A, 11A, 12F, 14, 15B, 18C, 19A, 19F, 22F, 23F and 33F</w:t>
            </w:r>
            <w:r w:rsidR="0098123D">
              <w:t>.</w:t>
            </w:r>
          </w:p>
        </w:tc>
      </w:tr>
      <w:tr w:rsidR="00826D3B" w:rsidRPr="00C34520" w14:paraId="36FB889B" w14:textId="77777777" w:rsidTr="00667D81">
        <w:tc>
          <w:tcPr>
            <w:tcW w:w="883" w:type="pct"/>
            <w:vAlign w:val="center"/>
          </w:tcPr>
          <w:p w14:paraId="6134820D" w14:textId="77777777" w:rsidR="00826D3B" w:rsidRPr="00C34520" w:rsidRDefault="00826D3B" w:rsidP="00DE0052">
            <w:pPr>
              <w:pStyle w:val="TableText0"/>
            </w:pPr>
            <w:r w:rsidRPr="00C34520">
              <w:t>Comparator</w:t>
            </w:r>
          </w:p>
        </w:tc>
        <w:tc>
          <w:tcPr>
            <w:tcW w:w="4117" w:type="pct"/>
            <w:vAlign w:val="center"/>
          </w:tcPr>
          <w:p w14:paraId="366E0D28" w14:textId="77777777" w:rsidR="00826D3B" w:rsidRPr="00C34520" w:rsidRDefault="00826D3B" w:rsidP="00DE0052">
            <w:pPr>
              <w:pStyle w:val="TableText0"/>
            </w:pPr>
            <w:r w:rsidRPr="00C34520">
              <w:t>13vPCV and 15vPCV</w:t>
            </w:r>
          </w:p>
        </w:tc>
      </w:tr>
      <w:tr w:rsidR="00826D3B" w:rsidRPr="00C34520" w14:paraId="59D8B9E6" w14:textId="77777777" w:rsidTr="00667D81">
        <w:tc>
          <w:tcPr>
            <w:tcW w:w="883" w:type="pct"/>
            <w:vAlign w:val="center"/>
          </w:tcPr>
          <w:p w14:paraId="6AB46A50" w14:textId="77777777" w:rsidR="00826D3B" w:rsidRPr="00C34520" w:rsidRDefault="00826D3B" w:rsidP="00DE0052">
            <w:pPr>
              <w:pStyle w:val="TableText0"/>
            </w:pPr>
            <w:r w:rsidRPr="00C34520">
              <w:t>Outcomes</w:t>
            </w:r>
          </w:p>
        </w:tc>
        <w:tc>
          <w:tcPr>
            <w:tcW w:w="4117" w:type="pct"/>
            <w:vAlign w:val="center"/>
          </w:tcPr>
          <w:p w14:paraId="265F6E42" w14:textId="77777777" w:rsidR="00826D3B" w:rsidRPr="00C34520" w:rsidRDefault="00826D3B" w:rsidP="00574E84">
            <w:pPr>
              <w:pStyle w:val="TableText0"/>
              <w:numPr>
                <w:ilvl w:val="0"/>
                <w:numId w:val="9"/>
              </w:numPr>
            </w:pPr>
            <w:r w:rsidRPr="00C34520">
              <w:t>Efficacy: Cases of IPD, pneumonia and acute otitis media caused by Streptococcus pneumoniae serotypes 1, 3, 4, 5, 6A, 6B, 6C, 7F, 8, 9V, 10A, 11A, 12F, 14, 15B, 18C, 19A, 19F, 22F, 23F, and 33F; sequelae of IPD cases; hospitalisations; deaths</w:t>
            </w:r>
          </w:p>
          <w:p w14:paraId="3615A2BC" w14:textId="77777777" w:rsidR="00826D3B" w:rsidRPr="00C34520" w:rsidRDefault="00826D3B" w:rsidP="00574E84">
            <w:pPr>
              <w:pStyle w:val="TableText0"/>
              <w:numPr>
                <w:ilvl w:val="0"/>
                <w:numId w:val="9"/>
              </w:numPr>
            </w:pPr>
            <w:r w:rsidRPr="00C34520">
              <w:t>Immunogenicity including IgG concentrations and OPA titres.</w:t>
            </w:r>
          </w:p>
          <w:p w14:paraId="7710C815" w14:textId="75A42CAD" w:rsidR="00826D3B" w:rsidRPr="00C34520" w:rsidRDefault="00826D3B" w:rsidP="00574E84">
            <w:pPr>
              <w:pStyle w:val="TableText0"/>
              <w:numPr>
                <w:ilvl w:val="0"/>
                <w:numId w:val="9"/>
              </w:numPr>
            </w:pPr>
            <w:r w:rsidRPr="00C34520">
              <w:t xml:space="preserve">Safety: local reactions, systemic reactions; serious adverse events; non-serious reactions; adverse events of special interest </w:t>
            </w:r>
            <w:r w:rsidR="00615C1B">
              <w:rPr>
                <w:vertAlign w:val="superscript"/>
              </w:rPr>
              <w:t>b</w:t>
            </w:r>
          </w:p>
        </w:tc>
      </w:tr>
      <w:tr w:rsidR="00826D3B" w:rsidRPr="00C34520" w14:paraId="1BC1BCB8" w14:textId="77777777" w:rsidTr="00667D81">
        <w:tc>
          <w:tcPr>
            <w:tcW w:w="883" w:type="pct"/>
            <w:vAlign w:val="center"/>
          </w:tcPr>
          <w:p w14:paraId="6A609886" w14:textId="77777777" w:rsidR="00826D3B" w:rsidRPr="00C34520" w:rsidRDefault="00826D3B" w:rsidP="00DE0052">
            <w:pPr>
              <w:pStyle w:val="TableText0"/>
            </w:pPr>
            <w:r w:rsidRPr="00C34520">
              <w:t>Clinical claim</w:t>
            </w:r>
          </w:p>
        </w:tc>
        <w:tc>
          <w:tcPr>
            <w:tcW w:w="4117" w:type="pct"/>
            <w:vAlign w:val="center"/>
          </w:tcPr>
          <w:p w14:paraId="16C84312" w14:textId="3652D8A4" w:rsidR="00826D3B" w:rsidRPr="00C34520" w:rsidRDefault="00826D3B" w:rsidP="00DE0052">
            <w:pPr>
              <w:pStyle w:val="TableText0"/>
              <w:rPr>
                <w:vertAlign w:val="superscript"/>
              </w:rPr>
            </w:pPr>
            <w:r w:rsidRPr="00C34520">
              <w:t xml:space="preserve">In the paediatric populations who are currently eligible for funded 13vPCV under the NIP, 20vPCV has equivalent immunogenicity, and by extrapolation efficacy, against IPD, pneumococcal pneumonia and otitis media, to the shared serotypes with 13vPCV and 15vPCV but is superior for the additional serotypes contained in 20vPCV and not in 13vPCV or 15vPCV. 20vPCV provides clinical and economic benefits compared to 13vPCV and </w:t>
            </w:r>
            <w:r w:rsidR="000D04B3" w:rsidRPr="00C34520">
              <w:t>15</w:t>
            </w:r>
            <w:r w:rsidRPr="00C34520">
              <w:t xml:space="preserve">vPCV </w:t>
            </w:r>
            <w:r w:rsidR="000D04B3" w:rsidRPr="00C34520">
              <w:t>because of</w:t>
            </w:r>
            <w:r w:rsidRPr="00C34520">
              <w:t xml:space="preserve"> the additional serotypes covered</w:t>
            </w:r>
            <w:r w:rsidR="000D04B3" w:rsidRPr="00C34520">
              <w:t xml:space="preserve"> </w:t>
            </w:r>
            <w:r w:rsidR="00615C1B">
              <w:rPr>
                <w:vertAlign w:val="superscript"/>
              </w:rPr>
              <w:t>c</w:t>
            </w:r>
          </w:p>
        </w:tc>
      </w:tr>
    </w:tbl>
    <w:p w14:paraId="727194A4" w14:textId="77777777" w:rsidR="00826D3B" w:rsidRPr="00C34520" w:rsidRDefault="00826D3B" w:rsidP="00826D3B">
      <w:pPr>
        <w:pStyle w:val="FooterTableFigure"/>
      </w:pPr>
      <w:r w:rsidRPr="00C34520">
        <w:t>Source: Table 1.1.1, pp5-7 of the submission.</w:t>
      </w:r>
    </w:p>
    <w:p w14:paraId="0A604175" w14:textId="77777777" w:rsidR="00826D3B" w:rsidRDefault="00826D3B" w:rsidP="00826D3B">
      <w:pPr>
        <w:pStyle w:val="FooterTableFigure"/>
      </w:pPr>
      <w:r w:rsidRPr="00C34520">
        <w:t>13vPCV = 13 valent pneumococcal conjugate vaccine; 15vPCV = 15 valent pneumococcal conjugate vaccine; 20vPCV = 20 valent pneumococcal conjugate vaccine; ACT = Australian Capital Territory; IgG = immunoglobulin G; IPD = invasive pneumococcal disease; NIP = National Immunisation Program; NSW = New South Wales; NT = Northern Territory; OPA = Opsonophagocytic activity; QLD = Queensland; SA = South Australia; TAS = Tasmania; VIC = Victoria; WA = Western Australia.</w:t>
      </w:r>
    </w:p>
    <w:p w14:paraId="41B1999B" w14:textId="3EE29EA4" w:rsidR="00615C1B" w:rsidRPr="00615C1B" w:rsidRDefault="00615C1B" w:rsidP="00826D3B">
      <w:pPr>
        <w:pStyle w:val="FooterTableFigure"/>
        <w:rPr>
          <w:rFonts w:eastAsia="Arial Narrow" w:cs="Arial Narrow"/>
          <w:color w:val="000000" w:themeColor="text1"/>
        </w:rPr>
      </w:pPr>
      <w:r w:rsidRPr="005147BF">
        <w:rPr>
          <w:rFonts w:eastAsia="Arial Narrow" w:cs="Arial Narrow"/>
          <w:color w:val="000000" w:themeColor="text1"/>
          <w:vertAlign w:val="superscript"/>
        </w:rPr>
        <w:t>a</w:t>
      </w:r>
      <w:r w:rsidRPr="00C34520">
        <w:rPr>
          <w:rFonts w:eastAsia="Arial Narrow" w:cs="Arial Narrow"/>
          <w:color w:val="000000" w:themeColor="text1"/>
        </w:rPr>
        <w:t xml:space="preserve"> NIP-funded risk conditions for pneumococcal disease </w:t>
      </w:r>
      <w:r w:rsidR="00CF0F45">
        <w:rPr>
          <w:rFonts w:eastAsia="Arial Narrow" w:cs="Arial Narrow"/>
          <w:color w:val="000000" w:themeColor="text1"/>
        </w:rPr>
        <w:t xml:space="preserve">can be found in </w:t>
      </w:r>
      <w:r>
        <w:rPr>
          <w:rFonts w:eastAsia="Arial Narrow" w:cs="Arial Narrow"/>
          <w:color w:val="000000" w:themeColor="text1"/>
        </w:rPr>
        <w:fldChar w:fldCharType="begin"/>
      </w:r>
      <w:r>
        <w:rPr>
          <w:rFonts w:eastAsia="Arial Narrow" w:cs="Arial Narrow"/>
          <w:color w:val="000000" w:themeColor="text1"/>
        </w:rPr>
        <w:instrText xml:space="preserve"> REF _Ref144211508 \h </w:instrText>
      </w:r>
      <w:r>
        <w:rPr>
          <w:rFonts w:eastAsia="Arial Narrow" w:cs="Arial Narrow"/>
          <w:color w:val="000000" w:themeColor="text1"/>
        </w:rPr>
      </w:r>
      <w:r>
        <w:rPr>
          <w:rFonts w:eastAsia="Arial Narrow" w:cs="Arial Narrow"/>
          <w:color w:val="000000" w:themeColor="text1"/>
        </w:rPr>
        <w:fldChar w:fldCharType="separate"/>
      </w:r>
      <w:r w:rsidR="009523CC" w:rsidRPr="00C34520">
        <w:t xml:space="preserve">Table </w:t>
      </w:r>
      <w:r w:rsidR="009523CC">
        <w:rPr>
          <w:noProof/>
        </w:rPr>
        <w:t>3</w:t>
      </w:r>
      <w:r>
        <w:rPr>
          <w:rFonts w:eastAsia="Arial Narrow" w:cs="Arial Narrow"/>
          <w:color w:val="000000" w:themeColor="text1"/>
        </w:rPr>
        <w:fldChar w:fldCharType="end"/>
      </w:r>
      <w:r w:rsidR="00CF0F45">
        <w:rPr>
          <w:rFonts w:eastAsia="Arial Narrow" w:cs="Arial Narrow"/>
          <w:color w:val="000000" w:themeColor="text1"/>
        </w:rPr>
        <w:t>.</w:t>
      </w:r>
    </w:p>
    <w:p w14:paraId="7FDF08B4" w14:textId="234DE5B8" w:rsidR="000D04B3" w:rsidRPr="00EA65C4" w:rsidRDefault="00615C1B" w:rsidP="00826D3B">
      <w:pPr>
        <w:pStyle w:val="FooterTableFigure"/>
      </w:pPr>
      <w:bookmarkStart w:id="5" w:name="_Hlk144208841"/>
      <w:r w:rsidRPr="00EA65C4">
        <w:rPr>
          <w:vertAlign w:val="superscript"/>
        </w:rPr>
        <w:t>b</w:t>
      </w:r>
      <w:r w:rsidR="00826D3B" w:rsidRPr="00EA65C4">
        <w:t xml:space="preserve"> The submission presented in Section 2 local reactions, systemic events, adverse events, serious adverse events, and newly diagnosed chronic medical conditions.</w:t>
      </w:r>
      <w:bookmarkEnd w:id="5"/>
    </w:p>
    <w:p w14:paraId="4C8E31B2" w14:textId="6A8D6294" w:rsidR="000D04B3" w:rsidRPr="00EA65C4" w:rsidRDefault="00615C1B" w:rsidP="00826D3B">
      <w:pPr>
        <w:pStyle w:val="FooterTableFigure"/>
      </w:pPr>
      <w:r w:rsidRPr="00EA65C4">
        <w:rPr>
          <w:vertAlign w:val="superscript"/>
        </w:rPr>
        <w:t>c</w:t>
      </w:r>
      <w:r w:rsidR="000D04B3" w:rsidRPr="00EA65C4">
        <w:t xml:space="preserve"> The submission stated ‘20vPCV provides clinical and economic benefits compared to 13vPCV and 20vPCV’.</w:t>
      </w:r>
      <w:r w:rsidR="00404ADF" w:rsidRPr="00EA65C4">
        <w:t xml:space="preserve"> </w:t>
      </w:r>
    </w:p>
    <w:p w14:paraId="248BBD5C" w14:textId="77777777" w:rsidR="00826D3B" w:rsidRPr="00C34520" w:rsidRDefault="00826D3B" w:rsidP="00826D3B">
      <w:pPr>
        <w:pStyle w:val="2-SectionHeading"/>
        <w:numPr>
          <w:ilvl w:val="0"/>
          <w:numId w:val="1"/>
        </w:numPr>
      </w:pPr>
      <w:bookmarkStart w:id="6" w:name="_Toc145498609"/>
      <w:r w:rsidRPr="00C34520">
        <w:t>Background</w:t>
      </w:r>
      <w:bookmarkEnd w:id="6"/>
    </w:p>
    <w:p w14:paraId="1FEC3FFA" w14:textId="77777777" w:rsidR="00826D3B" w:rsidRPr="00C34520" w:rsidRDefault="00826D3B" w:rsidP="00826D3B">
      <w:pPr>
        <w:pStyle w:val="4-SubsectionHeading"/>
      </w:pPr>
      <w:bookmarkStart w:id="7" w:name="_Toc22897638"/>
      <w:bookmarkStart w:id="8" w:name="_Toc145498610"/>
      <w:r w:rsidRPr="00C34520">
        <w:t>Registration status</w:t>
      </w:r>
      <w:bookmarkEnd w:id="7"/>
      <w:bookmarkEnd w:id="8"/>
    </w:p>
    <w:p w14:paraId="455F0D39" w14:textId="011070E2" w:rsidR="00826D3B" w:rsidRPr="009D3EAA" w:rsidRDefault="00826D3B" w:rsidP="00F625A4">
      <w:pPr>
        <w:pStyle w:val="3-BodyText"/>
        <w:rPr>
          <w:color w:val="0066FF"/>
        </w:rPr>
      </w:pPr>
      <w:r w:rsidRPr="009D3EAA">
        <w:t xml:space="preserve">The submission was made under the Therapeutic Goods Administration (TGA)/ Pharmaceutical Benefits Advisory Committee (PBAC) Parallel Process. 20vPCV was TGA registered for the prevention of pneumococcal disease caused by Streptococcus pneumoniae serotypes 1, 3, 4, 5, 6A, 6B, 7F, 8, 9V, 10A, 11A, 12F, 14, 15B, 18C, 19A, 19F, 22F, 23F, and 33F in adults aged 18 years and over. A submission to the TGA was lodged on 20 December 2022, which proposed expanding the indication to individuals aged </w:t>
      </w:r>
      <w:r w:rsidR="001631A8" w:rsidRPr="009D3EAA">
        <w:t xml:space="preserve">6 </w:t>
      </w:r>
      <w:r w:rsidRPr="009D3EAA">
        <w:t xml:space="preserve">weeks or older. At the time of </w:t>
      </w:r>
      <w:r w:rsidR="009D3EAA" w:rsidRPr="009D3EAA">
        <w:rPr>
          <w:iCs/>
        </w:rPr>
        <w:t xml:space="preserve">PBAC </w:t>
      </w:r>
      <w:r w:rsidRPr="009D3EAA">
        <w:rPr>
          <w:iCs/>
        </w:rPr>
        <w:t>consideration</w:t>
      </w:r>
      <w:r w:rsidRPr="009D3EAA">
        <w:t xml:space="preserve"> the TGA Delegate’s overview </w:t>
      </w:r>
      <w:r w:rsidR="009D3EAA" w:rsidRPr="009D3EAA">
        <w:t xml:space="preserve">was </w:t>
      </w:r>
      <w:r w:rsidR="00CE0C96">
        <w:t>available</w:t>
      </w:r>
      <w:r w:rsidR="009D3EAA" w:rsidRPr="009D3EAA">
        <w:t>.</w:t>
      </w:r>
    </w:p>
    <w:p w14:paraId="73B4AFA7" w14:textId="6BB2BF67" w:rsidR="00826D3B" w:rsidRDefault="00826D3B" w:rsidP="00F625A4">
      <w:pPr>
        <w:pStyle w:val="3-BodyText"/>
      </w:pPr>
      <w:r w:rsidRPr="00C34520">
        <w:t xml:space="preserve">On 27 April 2023, the United States Food and Drug Administration approved 20vPCV for paediatric use from </w:t>
      </w:r>
      <w:r w:rsidR="001631A8">
        <w:t>6</w:t>
      </w:r>
      <w:r w:rsidR="001631A8" w:rsidRPr="00C34520">
        <w:t xml:space="preserve"> </w:t>
      </w:r>
      <w:r w:rsidRPr="00C34520">
        <w:t>weeks of age and older.</w:t>
      </w:r>
    </w:p>
    <w:p w14:paraId="75C38DE1" w14:textId="77777777" w:rsidR="00826D3B" w:rsidRPr="00C34520" w:rsidRDefault="00826D3B" w:rsidP="00826D3B">
      <w:pPr>
        <w:pStyle w:val="4-SubsectionHeading"/>
      </w:pPr>
      <w:bookmarkStart w:id="9" w:name="_Toc22897639"/>
      <w:bookmarkStart w:id="10" w:name="_Hlk112059474"/>
      <w:bookmarkStart w:id="11" w:name="_Toc145498611"/>
      <w:r w:rsidRPr="00C34520">
        <w:t>Previous PBAC consideration</w:t>
      </w:r>
      <w:bookmarkEnd w:id="9"/>
      <w:bookmarkEnd w:id="10"/>
      <w:bookmarkEnd w:id="11"/>
    </w:p>
    <w:p w14:paraId="6A26E673" w14:textId="2E77B070" w:rsidR="00826D3B" w:rsidRPr="00C34520" w:rsidRDefault="00826D3B" w:rsidP="00F625A4">
      <w:pPr>
        <w:pStyle w:val="3-BodyText"/>
      </w:pPr>
      <w:bookmarkStart w:id="12" w:name="_Toc107902078"/>
      <w:bookmarkEnd w:id="12"/>
      <w:r w:rsidRPr="00C34520">
        <w:t xml:space="preserve">The PBAC recommended in July 2010 that 13vPCV be listed on the NIP under the same circumstances of use as the existing NIP listed 7-valent pneumococcal conjugate </w:t>
      </w:r>
      <w:r w:rsidRPr="00C34520">
        <w:lastRenderedPageBreak/>
        <w:t>vaccine (7vPCV) (</w:t>
      </w:r>
      <w:r w:rsidR="00833C7D">
        <w:t>section</w:t>
      </w:r>
      <w:r w:rsidR="00833C7D" w:rsidRPr="00C34520">
        <w:t xml:space="preserve"> </w:t>
      </w:r>
      <w:r w:rsidRPr="00C34520">
        <w:t>12, pneumococcal polysaccharide conjugate vaccine, 13</w:t>
      </w:r>
      <w:r w:rsidRPr="00C34520">
        <w:noBreakHyphen/>
        <w:t xml:space="preserve">valent adsorbed, public summary document </w:t>
      </w:r>
      <w:r w:rsidR="00AD157E" w:rsidRPr="00C34520">
        <w:t>[</w:t>
      </w:r>
      <w:r w:rsidRPr="00C34520">
        <w:t>PSD</w:t>
      </w:r>
      <w:r w:rsidR="00AD157E" w:rsidRPr="00C34520">
        <w:t>]</w:t>
      </w:r>
      <w:r w:rsidRPr="00C34520">
        <w:t>, July 2010 PBAC meeting).</w:t>
      </w:r>
    </w:p>
    <w:p w14:paraId="7163B167" w14:textId="77777777" w:rsidR="00826D3B" w:rsidRPr="00C34520" w:rsidRDefault="00826D3B" w:rsidP="00F625A4">
      <w:pPr>
        <w:pStyle w:val="3-BodyText"/>
      </w:pPr>
      <w:r w:rsidRPr="00C34520">
        <w:t xml:space="preserve">The PBAC recommended in March 2023 that 15vPCV be a designated vaccine for the purposes of the </w:t>
      </w:r>
      <w:r w:rsidRPr="00A813E1">
        <w:rPr>
          <w:i/>
          <w:iCs/>
        </w:rPr>
        <w:t>National Health Act 1953</w:t>
      </w:r>
      <w:r w:rsidRPr="00C34520">
        <w:t>, for the prevention of pneumococcal disease in the following paediatric populations (paragraph 7.1, pneumococcal conjugate vaccine, 15 valent adsorbed, PSD, March 2023 PBAC meeting):</w:t>
      </w:r>
    </w:p>
    <w:p w14:paraId="18999E47" w14:textId="459A0D91" w:rsidR="00826D3B" w:rsidRPr="00C34520" w:rsidRDefault="00826D3B" w:rsidP="00F625A4">
      <w:pPr>
        <w:pStyle w:val="3-BodyText"/>
        <w:numPr>
          <w:ilvl w:val="0"/>
          <w:numId w:val="11"/>
        </w:numPr>
      </w:pPr>
      <w:r w:rsidRPr="00C34520">
        <w:t xml:space="preserve">Non-indigenous infants and Aboriginal and Torres Strait Islander infants living in </w:t>
      </w:r>
      <w:bookmarkStart w:id="13" w:name="_Hlk144208171"/>
      <w:r w:rsidRPr="00C34520">
        <w:t>NSW, VIC, ACT, and TAS</w:t>
      </w:r>
      <w:bookmarkEnd w:id="13"/>
      <w:r w:rsidRPr="00C34520">
        <w:t xml:space="preserve">: three doses at ages </w:t>
      </w:r>
      <w:r w:rsidR="009556D5">
        <w:t>2</w:t>
      </w:r>
      <w:r w:rsidRPr="00C34520">
        <w:t xml:space="preserve">, </w:t>
      </w:r>
      <w:r w:rsidR="00AD157E" w:rsidRPr="00C34520">
        <w:t xml:space="preserve">4 </w:t>
      </w:r>
      <w:r w:rsidRPr="00C34520">
        <w:t>and 12 months (2+1 doses).</w:t>
      </w:r>
    </w:p>
    <w:p w14:paraId="5859C5F6" w14:textId="50D391D3" w:rsidR="00826D3B" w:rsidRPr="00C34520" w:rsidRDefault="00826D3B" w:rsidP="00F625A4">
      <w:pPr>
        <w:pStyle w:val="3-BodyText"/>
        <w:numPr>
          <w:ilvl w:val="0"/>
          <w:numId w:val="11"/>
        </w:numPr>
      </w:pPr>
      <w:r w:rsidRPr="00C34520">
        <w:t xml:space="preserve">Infants with specified medical risk conditions and Aboriginal and Torres Strait Islander infants living in WA, NT, SA and Qld: four doses at ages </w:t>
      </w:r>
      <w:r w:rsidR="001631A8">
        <w:t>2</w:t>
      </w:r>
      <w:r w:rsidRPr="00C34520">
        <w:t xml:space="preserve">, </w:t>
      </w:r>
      <w:r w:rsidR="001631A8">
        <w:t>4</w:t>
      </w:r>
      <w:r w:rsidRPr="00C34520">
        <w:t xml:space="preserve">, </w:t>
      </w:r>
      <w:r w:rsidR="001631A8">
        <w:t>6</w:t>
      </w:r>
      <w:r w:rsidR="001631A8" w:rsidRPr="00C34520">
        <w:t xml:space="preserve"> </w:t>
      </w:r>
      <w:r w:rsidRPr="00C34520">
        <w:t>and 12 months (3+1 doses).</w:t>
      </w:r>
    </w:p>
    <w:p w14:paraId="070C42BE" w14:textId="34645A3F" w:rsidR="00826D3B" w:rsidRPr="00C34520" w:rsidRDefault="00826D3B" w:rsidP="00F625A4">
      <w:pPr>
        <w:pStyle w:val="3-BodyText"/>
        <w:numPr>
          <w:ilvl w:val="0"/>
          <w:numId w:val="11"/>
        </w:numPr>
      </w:pPr>
      <w:r w:rsidRPr="00C34520">
        <w:t>Children and adolescents between 12 months and 18 years newly diagnosed with a specified medical risk condition (one dose).</w:t>
      </w:r>
    </w:p>
    <w:p w14:paraId="7C69145D" w14:textId="6B976090" w:rsidR="00826D3B" w:rsidRPr="00C34520" w:rsidRDefault="00826D3B" w:rsidP="00F625A4">
      <w:pPr>
        <w:pStyle w:val="3-BodyText"/>
        <w:numPr>
          <w:ilvl w:val="0"/>
          <w:numId w:val="11"/>
        </w:numPr>
      </w:pPr>
      <w:r w:rsidRPr="00C34520">
        <w:t xml:space="preserve">Haematopoietic stem cell transplant recipients aged 12 months to &lt;18 years: three doses at </w:t>
      </w:r>
      <w:r w:rsidR="001631A8">
        <w:t>6</w:t>
      </w:r>
      <w:r w:rsidRPr="00C34520">
        <w:t xml:space="preserve">, </w:t>
      </w:r>
      <w:r w:rsidR="001631A8">
        <w:t>8</w:t>
      </w:r>
      <w:r w:rsidRPr="00C34520">
        <w:t>, and 12 months after haematopoietic stem cell transplant (three doses).</w:t>
      </w:r>
    </w:p>
    <w:p w14:paraId="663F2D77" w14:textId="2A216531" w:rsidR="00826D3B" w:rsidRDefault="00826D3B" w:rsidP="00F625A4">
      <w:pPr>
        <w:pStyle w:val="3-BodyText"/>
      </w:pPr>
      <w:r w:rsidRPr="00C34520">
        <w:t xml:space="preserve">The PBAC recommended in November 2022 that 20vPCV be a designated vaccine for the purposes of the </w:t>
      </w:r>
      <w:r w:rsidRPr="00A813E1">
        <w:rPr>
          <w:i/>
          <w:iCs/>
        </w:rPr>
        <w:t>National Health Act 1953</w:t>
      </w:r>
      <w:r w:rsidRPr="00C34520">
        <w:t>, for the prevention of pneumococcal disease in individuals with a NIP-funded risk condition</w:t>
      </w:r>
      <w:r w:rsidRPr="00C34520" w:rsidDel="00825E6D">
        <w:t xml:space="preserve"> </w:t>
      </w:r>
      <w:r w:rsidRPr="00C34520">
        <w:t>aged ≥ 18 years, non</w:t>
      </w:r>
      <w:r w:rsidR="59C6F41A">
        <w:t>-</w:t>
      </w:r>
      <w:r w:rsidRPr="00C34520">
        <w:t>Indigenous adults aged ≥ 70 years and Aboriginal and Torres Strait Islander adults aged ≥ 25 years</w:t>
      </w:r>
      <w:r w:rsidR="00E15CF8">
        <w:t xml:space="preserve">. </w:t>
      </w:r>
      <w:r w:rsidR="00E15CF8" w:rsidRPr="00902DEA">
        <w:rPr>
          <w:iCs/>
        </w:rPr>
        <w:t>The PBAC’s recommendation was based on, among other matters, its assessment that the cost-effectiveness of 20vPCV would be acceptable if it were cost-minimised against the nominated comparators, 13vPCV and 15vPCV</w:t>
      </w:r>
      <w:r w:rsidR="00E15CF8" w:rsidRPr="00E15CF8">
        <w:t xml:space="preserve"> </w:t>
      </w:r>
      <w:r w:rsidRPr="00C34520">
        <w:t>(paragraph 7.1, pneumococcal conjugate vaccine, 20-valent adsorbed, PSD, November 2022 PBAC meeting).</w:t>
      </w:r>
    </w:p>
    <w:p w14:paraId="5E33D394" w14:textId="7FE54126" w:rsidR="001A547C" w:rsidRPr="001A547C" w:rsidRDefault="001A547C" w:rsidP="001A547C">
      <w:pPr>
        <w:ind w:firstLine="709"/>
        <w:rPr>
          <w:rFonts w:asciiTheme="minorHAnsi" w:hAnsiTheme="minorHAnsi"/>
          <w:i/>
        </w:rPr>
      </w:pPr>
      <w:bookmarkStart w:id="14" w:name="_Hlk76375324"/>
      <w:r w:rsidRPr="00C33D30">
        <w:rPr>
          <w:rFonts w:asciiTheme="minorHAnsi" w:hAnsiTheme="minorHAnsi"/>
          <w:i/>
        </w:rPr>
        <w:t>For more detail on PBAC’s view, see section 7 PBAC outcome.</w:t>
      </w:r>
      <w:bookmarkEnd w:id="14"/>
    </w:p>
    <w:p w14:paraId="2BB7F6B1" w14:textId="7BF71912" w:rsidR="007642E4" w:rsidRPr="00C34520" w:rsidRDefault="00826D3B" w:rsidP="004F16F0">
      <w:pPr>
        <w:pStyle w:val="2-SectionHeading"/>
        <w:numPr>
          <w:ilvl w:val="0"/>
          <w:numId w:val="1"/>
        </w:numPr>
      </w:pPr>
      <w:bookmarkStart w:id="15" w:name="_Toc145498612"/>
      <w:r w:rsidRPr="00C34520">
        <w:lastRenderedPageBreak/>
        <w:t>Requested listing</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2779"/>
        <w:gridCol w:w="2770"/>
      </w:tblGrid>
      <w:tr w:rsidR="00C34520" w:rsidRPr="00C34520" w14:paraId="384E5C71" w14:textId="77777777" w:rsidTr="00667D81">
        <w:trPr>
          <w:cantSplit/>
          <w:trHeight w:val="20"/>
        </w:trPr>
        <w:tc>
          <w:tcPr>
            <w:tcW w:w="1923" w:type="pct"/>
            <w:vAlign w:val="center"/>
          </w:tcPr>
          <w:p w14:paraId="07AB2B09" w14:textId="77777777" w:rsidR="00C34520" w:rsidRPr="00C34520" w:rsidRDefault="00C34520" w:rsidP="004F16F0">
            <w:pPr>
              <w:pStyle w:val="In-tableHeading"/>
              <w:jc w:val="center"/>
              <w:rPr>
                <w:lang w:val="en-AU"/>
              </w:rPr>
            </w:pPr>
            <w:bookmarkStart w:id="16" w:name="_Hlk104809082"/>
            <w:r w:rsidRPr="00C34520">
              <w:rPr>
                <w:lang w:val="en-AU"/>
              </w:rPr>
              <w:t>MEDICINAL PRODUCT</w:t>
            </w:r>
          </w:p>
          <w:p w14:paraId="4C9EA5E7" w14:textId="77777777" w:rsidR="00C34520" w:rsidRPr="00C34520" w:rsidRDefault="00C34520" w:rsidP="004F16F0">
            <w:pPr>
              <w:pStyle w:val="In-tableHeading"/>
              <w:jc w:val="center"/>
              <w:rPr>
                <w:lang w:val="en-AU"/>
              </w:rPr>
            </w:pPr>
            <w:r w:rsidRPr="00C34520">
              <w:rPr>
                <w:lang w:val="en-AU"/>
              </w:rPr>
              <w:t>medicinal product pack</w:t>
            </w:r>
          </w:p>
        </w:tc>
        <w:tc>
          <w:tcPr>
            <w:tcW w:w="1541" w:type="pct"/>
            <w:vAlign w:val="center"/>
          </w:tcPr>
          <w:p w14:paraId="7D4F5A24" w14:textId="72D74962" w:rsidR="00C34520" w:rsidRPr="00C34520" w:rsidRDefault="00C34520" w:rsidP="004F16F0">
            <w:pPr>
              <w:pStyle w:val="In-tableHeading"/>
              <w:jc w:val="center"/>
              <w:rPr>
                <w:lang w:val="en-AU"/>
              </w:rPr>
            </w:pPr>
            <w:r w:rsidRPr="00C34520">
              <w:rPr>
                <w:snapToGrid w:val="0"/>
                <w:lang w:val="en-AU"/>
              </w:rPr>
              <w:t>Nationally Negotiated Price</w:t>
            </w:r>
          </w:p>
        </w:tc>
        <w:tc>
          <w:tcPr>
            <w:tcW w:w="1536" w:type="pct"/>
            <w:vAlign w:val="center"/>
          </w:tcPr>
          <w:p w14:paraId="0411C20F" w14:textId="0FDB9C19" w:rsidR="00C34520" w:rsidRPr="00C34520" w:rsidRDefault="00C34520" w:rsidP="004F16F0">
            <w:pPr>
              <w:pStyle w:val="In-tableHeading"/>
              <w:jc w:val="center"/>
              <w:rPr>
                <w:lang w:val="en-AU"/>
              </w:rPr>
            </w:pPr>
            <w:r w:rsidRPr="00C34520">
              <w:rPr>
                <w:rFonts w:eastAsia="Arial Narrow" w:cs="Arial Narrow"/>
                <w:bCs/>
                <w:color w:val="000000" w:themeColor="text1"/>
                <w:szCs w:val="20"/>
                <w:lang w:val="en-AU"/>
              </w:rPr>
              <w:t>Proprietary Name and Manufacturer</w:t>
            </w:r>
          </w:p>
        </w:tc>
      </w:tr>
      <w:tr w:rsidR="00C34520" w:rsidRPr="00C34520" w14:paraId="13230C03" w14:textId="77777777" w:rsidTr="00667D81">
        <w:trPr>
          <w:cantSplit/>
          <w:trHeight w:val="20"/>
        </w:trPr>
        <w:tc>
          <w:tcPr>
            <w:tcW w:w="5000" w:type="pct"/>
            <w:gridSpan w:val="3"/>
            <w:vAlign w:val="center"/>
          </w:tcPr>
          <w:p w14:paraId="313D2E39" w14:textId="1C3CA4BB" w:rsidR="00C34520" w:rsidRPr="00C34520" w:rsidRDefault="00C34520" w:rsidP="004F16F0">
            <w:pPr>
              <w:pStyle w:val="TableText0"/>
            </w:pPr>
            <w:r w:rsidRPr="00C34520">
              <w:t xml:space="preserve"> PNEUMOCOCCAL POLYSACCHARIDE CONJUGATE VACCINE, 20 VALENT ADSORBED</w:t>
            </w:r>
          </w:p>
        </w:tc>
      </w:tr>
      <w:tr w:rsidR="00C34520" w:rsidRPr="00E2011C" w14:paraId="6A7876CE" w14:textId="77777777" w:rsidTr="00667D81">
        <w:trPr>
          <w:cantSplit/>
          <w:trHeight w:val="20"/>
        </w:trPr>
        <w:tc>
          <w:tcPr>
            <w:tcW w:w="1923" w:type="pct"/>
            <w:vAlign w:val="center"/>
          </w:tcPr>
          <w:p w14:paraId="4290979F" w14:textId="77777777" w:rsidR="00C34520" w:rsidRPr="00C34520" w:rsidRDefault="00C34520" w:rsidP="004F16F0">
            <w:pPr>
              <w:pStyle w:val="TableText0"/>
            </w:pPr>
            <w:r w:rsidRPr="00C34520">
              <w:t>Pneumococcal polysaccharide conjugate vaccine, 20 valent adsorbed</w:t>
            </w:r>
          </w:p>
          <w:p w14:paraId="40158202" w14:textId="4293D1B8" w:rsidR="00C34520" w:rsidRPr="00C34520" w:rsidRDefault="00C34520" w:rsidP="004F16F0">
            <w:pPr>
              <w:pStyle w:val="TableText0"/>
            </w:pPr>
            <w:r w:rsidRPr="00C34520">
              <w:rPr>
                <w:rFonts w:eastAsia="Arial Narrow" w:cs="Arial Narrow"/>
                <w:color w:val="000000" w:themeColor="text1"/>
                <w:szCs w:val="20"/>
              </w:rPr>
              <w:t>0.5 mL, Injection, Prefilled syringe</w:t>
            </w:r>
          </w:p>
        </w:tc>
        <w:tc>
          <w:tcPr>
            <w:tcW w:w="1541" w:type="pct"/>
            <w:vAlign w:val="center"/>
          </w:tcPr>
          <w:p w14:paraId="14295900" w14:textId="4CC2374B" w:rsidR="00C34520" w:rsidRPr="00C34520" w:rsidRDefault="00C34520" w:rsidP="004F16F0">
            <w:pPr>
              <w:pStyle w:val="TableText0"/>
            </w:pPr>
            <w:r w:rsidRPr="009A7D4D">
              <w:t>$</w:t>
            </w:r>
            <w:r w:rsidR="003F73D9" w:rsidRPr="003F73D9">
              <w:rPr>
                <w:color w:val="000000"/>
                <w:spacing w:val="53"/>
                <w:shd w:val="solid" w:color="000000" w:fill="000000"/>
                <w:fitText w:val="330" w:id="-1032153088"/>
                <w14:textFill>
                  <w14:solidFill>
                    <w14:srgbClr w14:val="000000">
                      <w14:alpha w14:val="100000"/>
                    </w14:srgbClr>
                  </w14:solidFill>
                </w14:textFill>
              </w:rPr>
              <w:t>|||</w:t>
            </w:r>
            <w:r w:rsidR="003F73D9" w:rsidRPr="003F73D9">
              <w:rPr>
                <w:color w:val="000000"/>
                <w:spacing w:val="1"/>
                <w:shd w:val="solid" w:color="000000" w:fill="000000"/>
                <w:fitText w:val="330" w:id="-1032153088"/>
                <w14:textFill>
                  <w14:solidFill>
                    <w14:srgbClr w14:val="000000">
                      <w14:alpha w14:val="100000"/>
                    </w14:srgbClr>
                  </w14:solidFill>
                </w14:textFill>
              </w:rPr>
              <w:t>|</w:t>
            </w:r>
            <w:r w:rsidR="003F73D9">
              <w:t xml:space="preserve"> </w:t>
            </w:r>
            <w:r w:rsidRPr="009A7D4D">
              <w:t xml:space="preserve"> </w:t>
            </w:r>
          </w:p>
        </w:tc>
        <w:tc>
          <w:tcPr>
            <w:tcW w:w="1536" w:type="pct"/>
            <w:vAlign w:val="center"/>
          </w:tcPr>
          <w:p w14:paraId="112183D0" w14:textId="77777777" w:rsidR="00C34520" w:rsidRPr="00AC58B9" w:rsidRDefault="00C34520" w:rsidP="004F16F0">
            <w:pPr>
              <w:pStyle w:val="TableText0"/>
              <w:rPr>
                <w:lang w:val="es-CL"/>
              </w:rPr>
            </w:pPr>
            <w:r w:rsidRPr="00AC58B9">
              <w:rPr>
                <w:lang w:val="es-CL"/>
              </w:rPr>
              <w:t>Prevenar 20</w:t>
            </w:r>
          </w:p>
          <w:p w14:paraId="4DCA71B1" w14:textId="77777777" w:rsidR="00C34520" w:rsidRPr="00AC58B9" w:rsidRDefault="00C34520" w:rsidP="004F16F0">
            <w:pPr>
              <w:pStyle w:val="TableText0"/>
              <w:rPr>
                <w:lang w:val="es-CL"/>
              </w:rPr>
            </w:pPr>
            <w:r w:rsidRPr="00AC58B9">
              <w:rPr>
                <w:lang w:val="es-CL"/>
              </w:rPr>
              <w:t>Pfizer Australia Pty Ltd</w:t>
            </w:r>
          </w:p>
        </w:tc>
      </w:tr>
      <w:bookmarkEnd w:id="16"/>
    </w:tbl>
    <w:p w14:paraId="2A729F12" w14:textId="77777777" w:rsidR="00826D3B" w:rsidRPr="00AC58B9" w:rsidRDefault="00826D3B" w:rsidP="004F16F0">
      <w:pPr>
        <w:keepNext/>
        <w:rPr>
          <w:lang w:val="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826D3B" w:rsidRPr="00C34520" w14:paraId="2881EBC4" w14:textId="77777777" w:rsidTr="00667D81">
        <w:trPr>
          <w:trHeight w:val="1221"/>
        </w:trPr>
        <w:tc>
          <w:tcPr>
            <w:tcW w:w="5000" w:type="pct"/>
            <w:tcBorders>
              <w:bottom w:val="single" w:sz="4" w:space="0" w:color="auto"/>
            </w:tcBorders>
            <w:vAlign w:val="center"/>
          </w:tcPr>
          <w:p w14:paraId="4DEBE776" w14:textId="62765408" w:rsidR="00826D3B" w:rsidRPr="00C34520" w:rsidRDefault="00826D3B" w:rsidP="004F16F0">
            <w:pPr>
              <w:pStyle w:val="TableText0"/>
              <w:rPr>
                <w:u w:val="single"/>
              </w:rPr>
            </w:pPr>
            <w:r w:rsidRPr="00C34520">
              <w:rPr>
                <w:u w:val="single"/>
              </w:rPr>
              <w:t>Current NIP populations:</w:t>
            </w:r>
          </w:p>
          <w:p w14:paraId="6E1B6BB0" w14:textId="77777777" w:rsidR="00826D3B" w:rsidRPr="00C34520" w:rsidRDefault="00826D3B" w:rsidP="004F16F0">
            <w:pPr>
              <w:pStyle w:val="TableText0"/>
              <w:numPr>
                <w:ilvl w:val="0"/>
                <w:numId w:val="22"/>
              </w:numPr>
            </w:pPr>
            <w:r w:rsidRPr="00C34520">
              <w:t>Infants in NSW, VIC, ACT, TAS and non-Indigenous infants in QLD, NT, WA and SA: 2+1 schedule</w:t>
            </w:r>
          </w:p>
          <w:p w14:paraId="2CFF2644" w14:textId="77777777" w:rsidR="00826D3B" w:rsidRPr="00C34520" w:rsidRDefault="00826D3B" w:rsidP="004F16F0">
            <w:pPr>
              <w:pStyle w:val="TableText0"/>
              <w:numPr>
                <w:ilvl w:val="0"/>
                <w:numId w:val="22"/>
              </w:numPr>
            </w:pPr>
            <w:r w:rsidRPr="00C34520">
              <w:t>Indigenous infants in QLD, NT, WA and SA: 3+1 schedule</w:t>
            </w:r>
          </w:p>
          <w:p w14:paraId="536BC4C3" w14:textId="02A11E99" w:rsidR="00826D3B" w:rsidRPr="00C34520" w:rsidRDefault="00826D3B" w:rsidP="004F16F0">
            <w:pPr>
              <w:pStyle w:val="TableText0"/>
              <w:numPr>
                <w:ilvl w:val="0"/>
                <w:numId w:val="22"/>
              </w:numPr>
            </w:pPr>
            <w:r w:rsidRPr="00C34520">
              <w:t xml:space="preserve">Infants ≤12 months with risk conditions </w:t>
            </w:r>
            <w:r w:rsidRPr="00C34520">
              <w:rPr>
                <w:vertAlign w:val="superscript"/>
              </w:rPr>
              <w:t>a</w:t>
            </w:r>
            <w:r w:rsidRPr="00C34520">
              <w:t>: 3+1 schedule</w:t>
            </w:r>
          </w:p>
          <w:p w14:paraId="505358C9" w14:textId="592060AC" w:rsidR="00826D3B" w:rsidRPr="00C34520" w:rsidRDefault="00826D3B" w:rsidP="004F16F0">
            <w:pPr>
              <w:pStyle w:val="TableText0"/>
              <w:numPr>
                <w:ilvl w:val="0"/>
                <w:numId w:val="22"/>
              </w:numPr>
            </w:pPr>
            <w:r w:rsidRPr="00C34520">
              <w:t xml:space="preserve">Children &gt;12 months with risk conditions </w:t>
            </w:r>
            <w:r w:rsidRPr="00C34520">
              <w:rPr>
                <w:vertAlign w:val="superscript"/>
              </w:rPr>
              <w:t>a</w:t>
            </w:r>
            <w:r w:rsidRPr="00C34520">
              <w:t xml:space="preserve">: 1 dose on diagnosis </w:t>
            </w:r>
          </w:p>
        </w:tc>
      </w:tr>
    </w:tbl>
    <w:p w14:paraId="3D26C77E" w14:textId="3FB8FB0C" w:rsidR="00A05D8F" w:rsidRPr="00C34520" w:rsidRDefault="00A05D8F" w:rsidP="004F16F0">
      <w:pPr>
        <w:pStyle w:val="FooterTableFigure"/>
        <w:keepNext/>
        <w:rPr>
          <w:rFonts w:eastAsia="Arial Narrow" w:cs="Arial Narrow"/>
          <w:color w:val="000000" w:themeColor="text1"/>
        </w:rPr>
      </w:pPr>
      <w:r w:rsidRPr="00C34520">
        <w:rPr>
          <w:rFonts w:eastAsia="Arial Narrow" w:cs="Arial Narrow"/>
          <w:color w:val="000000" w:themeColor="text1"/>
        </w:rPr>
        <w:t>NIP = National Immunisation Program</w:t>
      </w:r>
      <w:r w:rsidR="00666527">
        <w:rPr>
          <w:rFonts w:eastAsia="Arial Narrow" w:cs="Arial Narrow"/>
          <w:color w:val="000000" w:themeColor="text1"/>
        </w:rPr>
        <w:t>.</w:t>
      </w:r>
    </w:p>
    <w:p w14:paraId="642FF6AA" w14:textId="6F37A5E5" w:rsidR="00853846" w:rsidRPr="00C34520" w:rsidRDefault="00A05D8F" w:rsidP="004F16F0">
      <w:pPr>
        <w:pStyle w:val="FooterTableFigure"/>
        <w:keepNext/>
        <w:rPr>
          <w:rFonts w:eastAsia="Arial Narrow" w:cs="Arial Narrow"/>
          <w:color w:val="000000" w:themeColor="text1"/>
        </w:rPr>
      </w:pPr>
      <w:r w:rsidRPr="005147BF">
        <w:rPr>
          <w:rFonts w:eastAsia="Arial Narrow" w:cs="Arial Narrow"/>
          <w:color w:val="000000" w:themeColor="text1"/>
          <w:vertAlign w:val="superscript"/>
        </w:rPr>
        <w:t>a</w:t>
      </w:r>
      <w:r w:rsidRPr="00C34520">
        <w:rPr>
          <w:rFonts w:eastAsia="Arial Narrow" w:cs="Arial Narrow"/>
          <w:color w:val="000000" w:themeColor="text1"/>
        </w:rPr>
        <w:t xml:space="preserve"> NIP-funded risk conditions for pneumococcal disease (</w:t>
      </w:r>
      <w:r w:rsidR="00615C1B">
        <w:rPr>
          <w:rFonts w:eastAsia="Arial Narrow" w:cs="Arial Narrow"/>
          <w:color w:val="000000" w:themeColor="text1"/>
        </w:rPr>
        <w:fldChar w:fldCharType="begin"/>
      </w:r>
      <w:r w:rsidR="00615C1B">
        <w:rPr>
          <w:rFonts w:eastAsia="Arial Narrow" w:cs="Arial Narrow"/>
          <w:color w:val="000000" w:themeColor="text1"/>
        </w:rPr>
        <w:instrText xml:space="preserve"> REF _Ref144211508 \h </w:instrText>
      </w:r>
      <w:r w:rsidR="00615C1B">
        <w:rPr>
          <w:rFonts w:eastAsia="Arial Narrow" w:cs="Arial Narrow"/>
          <w:color w:val="000000" w:themeColor="text1"/>
        </w:rPr>
      </w:r>
      <w:r w:rsidR="00615C1B">
        <w:rPr>
          <w:rFonts w:eastAsia="Arial Narrow" w:cs="Arial Narrow"/>
          <w:color w:val="000000" w:themeColor="text1"/>
        </w:rPr>
        <w:fldChar w:fldCharType="separate"/>
      </w:r>
      <w:r w:rsidR="009523CC" w:rsidRPr="00C34520">
        <w:t xml:space="preserve">Table </w:t>
      </w:r>
      <w:r w:rsidR="009523CC">
        <w:rPr>
          <w:noProof/>
        </w:rPr>
        <w:t>3</w:t>
      </w:r>
      <w:r w:rsidR="00615C1B">
        <w:rPr>
          <w:rFonts w:eastAsia="Arial Narrow" w:cs="Arial Narrow"/>
          <w:color w:val="000000" w:themeColor="text1"/>
        </w:rPr>
        <w:fldChar w:fldCharType="end"/>
      </w:r>
      <w:r w:rsidRPr="00C34520">
        <w:rPr>
          <w:rFonts w:eastAsia="Arial Narrow" w:cs="Arial Narrow"/>
          <w:color w:val="000000" w:themeColor="text1"/>
        </w:rPr>
        <w:t>)</w:t>
      </w:r>
      <w:r w:rsidR="00666527">
        <w:rPr>
          <w:rFonts w:eastAsia="Arial Narrow" w:cs="Arial Narrow"/>
          <w:color w:val="000000" w:themeColor="text1"/>
        </w:rPr>
        <w:t>.</w:t>
      </w:r>
    </w:p>
    <w:p w14:paraId="480CD3B4" w14:textId="2091C829" w:rsidR="00826D3B" w:rsidRPr="00C34520" w:rsidRDefault="00826D3B" w:rsidP="00826D3B">
      <w:pPr>
        <w:pStyle w:val="ExecSumBodyText"/>
        <w:numPr>
          <w:ilvl w:val="1"/>
          <w:numId w:val="1"/>
        </w:numPr>
      </w:pPr>
      <w:r w:rsidRPr="00C34520">
        <w:t xml:space="preserve">The proposed price for 20vPCV was </w:t>
      </w:r>
      <w:r w:rsidR="00F12286">
        <w:t>the same as</w:t>
      </w:r>
      <w:r w:rsidR="00F12286" w:rsidRPr="00C34520">
        <w:t xml:space="preserve"> </w:t>
      </w:r>
      <w:r w:rsidR="00C461C5">
        <w:t>for</w:t>
      </w:r>
      <w:r w:rsidR="00C461C5" w:rsidRPr="00C34520">
        <w:t xml:space="preserve"> </w:t>
      </w:r>
      <w:r w:rsidRPr="00C34520">
        <w:t>13vPCV and 15vPCV.</w:t>
      </w:r>
    </w:p>
    <w:p w14:paraId="2F227AAE" w14:textId="69ED0D53" w:rsidR="00826D3B" w:rsidRPr="00D15D0C" w:rsidRDefault="00826D3B" w:rsidP="00826D3B">
      <w:pPr>
        <w:pStyle w:val="ExecSumBodyText"/>
        <w:numPr>
          <w:ilvl w:val="1"/>
          <w:numId w:val="1"/>
        </w:numPr>
      </w:pPr>
      <w:r w:rsidRPr="00D15D0C">
        <w:t xml:space="preserve">The proposed </w:t>
      </w:r>
      <w:r w:rsidR="008C480A" w:rsidRPr="00D15D0C">
        <w:t xml:space="preserve">NIP </w:t>
      </w:r>
      <w:r w:rsidRPr="00D15D0C">
        <w:t xml:space="preserve">listing differs from what was proposed in the request for ATAGI Advice to the PBAC. </w:t>
      </w:r>
      <w:r w:rsidR="00575EEB" w:rsidRPr="00D15D0C">
        <w:t>Proposals included</w:t>
      </w:r>
      <w:r w:rsidRPr="00D15D0C">
        <w:t xml:space="preserve"> in the ATAGI Advice to the PBAC </w:t>
      </w:r>
      <w:r w:rsidR="00575EEB" w:rsidRPr="00D15D0C">
        <w:t xml:space="preserve">not included in the proposed NIP listing were for the </w:t>
      </w:r>
      <w:r w:rsidRPr="00D15D0C">
        <w:t>20vPCV replacing the 23 valent pneumococcal polysaccharide vaccine (</w:t>
      </w:r>
      <w:r w:rsidRPr="003B768C">
        <w:t xml:space="preserve">23vPPV), </w:t>
      </w:r>
      <w:r w:rsidR="003B768C" w:rsidRPr="003B768C">
        <w:t xml:space="preserve">using 20vPCV to complete a dose series that initiated with </w:t>
      </w:r>
      <w:r w:rsidR="003B768C" w:rsidRPr="00D15D0C">
        <w:t>13vPCV</w:t>
      </w:r>
      <w:r w:rsidRPr="003B768C">
        <w:t>, a catch-up do</w:t>
      </w:r>
      <w:r w:rsidRPr="00D15D0C">
        <w:t xml:space="preserve">se </w:t>
      </w:r>
      <w:r w:rsidR="00E27B80" w:rsidRPr="00D15D0C">
        <w:t>with 20vPCV</w:t>
      </w:r>
      <w:r w:rsidR="00475C2D" w:rsidRPr="00D15D0C">
        <w:t xml:space="preserve"> </w:t>
      </w:r>
      <w:r w:rsidRPr="00D15D0C">
        <w:t xml:space="preserve">for children aged under </w:t>
      </w:r>
      <w:r w:rsidR="001631A8" w:rsidRPr="00D15D0C">
        <w:t xml:space="preserve">3 </w:t>
      </w:r>
      <w:r w:rsidRPr="00D15D0C">
        <w:t>years who completed the primary vaccination schedule with 13vPCV, and an expanded list of risk conditions.</w:t>
      </w:r>
    </w:p>
    <w:p w14:paraId="58C93A54" w14:textId="449998F4" w:rsidR="00826D3B" w:rsidRPr="001A547C" w:rsidRDefault="00826D3B" w:rsidP="00CC548D">
      <w:pPr>
        <w:pStyle w:val="ExecSumBodyText"/>
        <w:numPr>
          <w:ilvl w:val="1"/>
          <w:numId w:val="1"/>
        </w:numPr>
      </w:pPr>
      <w:r w:rsidRPr="00D15D0C">
        <w:t xml:space="preserve">The requested </w:t>
      </w:r>
      <w:r w:rsidR="00CE0C96">
        <w:t>listing</w:t>
      </w:r>
      <w:r w:rsidR="00CE0C96" w:rsidRPr="00D15D0C">
        <w:t xml:space="preserve"> </w:t>
      </w:r>
      <w:r w:rsidRPr="00D15D0C">
        <w:t xml:space="preserve">was consistent with the proposed TGA indication, the evidence presented in </w:t>
      </w:r>
      <w:r w:rsidR="00760006" w:rsidRPr="00760006">
        <w:t>the submission</w:t>
      </w:r>
      <w:r w:rsidRPr="00760006">
        <w:t xml:space="preserve"> for healthy </w:t>
      </w:r>
      <w:r w:rsidR="00717C91" w:rsidRPr="00760006">
        <w:t>children</w:t>
      </w:r>
      <w:r w:rsidRPr="00760006">
        <w:t>, the cost-minimisation approach presented and the estimat</w:t>
      </w:r>
      <w:r w:rsidR="00CE0C96">
        <w:t>es</w:t>
      </w:r>
      <w:r w:rsidRPr="00760006">
        <w:t xml:space="preserve"> of use in clinical practice.</w:t>
      </w:r>
      <w:r w:rsidRPr="00D15D0C">
        <w:t xml:space="preserve"> </w:t>
      </w:r>
      <w:r w:rsidR="008C480A" w:rsidRPr="00CC548D">
        <w:t xml:space="preserve">The evidence presented in </w:t>
      </w:r>
      <w:r w:rsidR="008F0254">
        <w:t>in the submission</w:t>
      </w:r>
      <w:r w:rsidR="008C480A" w:rsidRPr="00CC548D">
        <w:t xml:space="preserve"> did not include </w:t>
      </w:r>
      <w:r w:rsidR="00CE0C96">
        <w:t xml:space="preserve">use in </w:t>
      </w:r>
      <w:r w:rsidRPr="00CC548D">
        <w:t>Aboriginal and Torres Strait Islander population and children with risk conditions.</w:t>
      </w:r>
      <w:r w:rsidRPr="00902DEA">
        <w:rPr>
          <w:iCs/>
        </w:rPr>
        <w:t xml:space="preserve"> </w:t>
      </w:r>
    </w:p>
    <w:p w14:paraId="79281DD8" w14:textId="77777777" w:rsidR="001A547C" w:rsidRPr="001A547C" w:rsidRDefault="001A547C" w:rsidP="001A547C">
      <w:pPr>
        <w:ind w:firstLine="709"/>
        <w:rPr>
          <w:rFonts w:asciiTheme="minorHAnsi" w:hAnsiTheme="minorHAnsi"/>
          <w:i/>
        </w:rPr>
      </w:pPr>
      <w:r w:rsidRPr="00C33D30">
        <w:rPr>
          <w:rFonts w:asciiTheme="minorHAnsi" w:hAnsiTheme="minorHAnsi"/>
          <w:i/>
        </w:rPr>
        <w:t>For more detail on PBAC’s view, see section 7 PBAC outcome.</w:t>
      </w:r>
    </w:p>
    <w:p w14:paraId="2B99A358" w14:textId="77777777" w:rsidR="00826D3B" w:rsidRPr="00C34520" w:rsidDel="00195452" w:rsidRDefault="00826D3B" w:rsidP="00826D3B">
      <w:pPr>
        <w:pStyle w:val="2-SectionHeading"/>
        <w:numPr>
          <w:ilvl w:val="0"/>
          <w:numId w:val="1"/>
        </w:numPr>
      </w:pPr>
      <w:bookmarkStart w:id="17" w:name="_Toc145498613"/>
      <w:r w:rsidRPr="00C34520" w:rsidDel="00195452">
        <w:t>Population and disease</w:t>
      </w:r>
      <w:bookmarkEnd w:id="17"/>
    </w:p>
    <w:p w14:paraId="401C321F" w14:textId="5DBDBA34" w:rsidR="00826D3B" w:rsidRPr="00C34520" w:rsidRDefault="00826D3B" w:rsidP="00F625A4">
      <w:pPr>
        <w:pStyle w:val="3-BodyText"/>
      </w:pPr>
      <w:r w:rsidRPr="00C34520">
        <w:t xml:space="preserve">Pneumococcal disease caused by </w:t>
      </w:r>
      <w:r w:rsidRPr="00C34520">
        <w:rPr>
          <w:i/>
          <w:iCs/>
        </w:rPr>
        <w:t>Streptococcus pneumoniae</w:t>
      </w:r>
      <w:r w:rsidRPr="00C34520">
        <w:t xml:space="preserve"> can cause severe invasive pneumococcal disease (IPD), including meningitis, sepsis, and pneumonia with bacteraemia. It</w:t>
      </w:r>
      <w:r w:rsidR="000F1CFA" w:rsidRPr="00C34520">
        <w:t xml:space="preserve"> can</w:t>
      </w:r>
      <w:r w:rsidRPr="00C34520">
        <w:t xml:space="preserve"> also </w:t>
      </w:r>
      <w:r w:rsidR="000F1CFA" w:rsidRPr="00C34520">
        <w:t xml:space="preserve">lead to </w:t>
      </w:r>
      <w:r w:rsidRPr="00C34520">
        <w:t xml:space="preserve">non-invasive diseases such as nonbacteremic pneumonia and otitis media. Pneumococcal disease caused by </w:t>
      </w:r>
      <w:r w:rsidRPr="00C34520">
        <w:rPr>
          <w:i/>
          <w:iCs/>
        </w:rPr>
        <w:t>Streptococcus pneumoniae</w:t>
      </w:r>
      <w:r w:rsidRPr="00C34520">
        <w:t xml:space="preserve"> continues to be a source of significant morbidity and mortality, especially for older adults and those with underlying medical conditions.</w:t>
      </w:r>
    </w:p>
    <w:p w14:paraId="2482BEFB" w14:textId="38C5624D" w:rsidR="00826D3B" w:rsidRPr="00902DEA" w:rsidRDefault="00826D3B" w:rsidP="00F625A4">
      <w:pPr>
        <w:pStyle w:val="3-BodyText"/>
        <w:rPr>
          <w:iCs/>
        </w:rPr>
      </w:pPr>
      <w:r w:rsidRPr="00C34520">
        <w:t xml:space="preserve">The target disease and proposed population groups are those currently covered on the NIP by 13vPCV and are included in </w:t>
      </w:r>
      <w:r w:rsidRPr="00C34520">
        <w:fldChar w:fldCharType="begin"/>
      </w:r>
      <w:r w:rsidRPr="00C34520">
        <w:instrText xml:space="preserve"> REF _Ref144209581 \h  \* MERGEFORMAT </w:instrText>
      </w:r>
      <w:r w:rsidRPr="00C34520">
        <w:fldChar w:fldCharType="separate"/>
      </w:r>
      <w:r w:rsidR="009523CC" w:rsidRPr="00C34520">
        <w:t xml:space="preserve">Table </w:t>
      </w:r>
      <w:r w:rsidR="009523CC">
        <w:rPr>
          <w:noProof/>
        </w:rPr>
        <w:t>2</w:t>
      </w:r>
      <w:r w:rsidRPr="00C34520">
        <w:fldChar w:fldCharType="end"/>
      </w:r>
      <w:r w:rsidRPr="00902DEA">
        <w:rPr>
          <w:iCs/>
        </w:rPr>
        <w:t>.</w:t>
      </w:r>
    </w:p>
    <w:p w14:paraId="46E56E30" w14:textId="3BC6FEBC" w:rsidR="00826D3B" w:rsidRPr="00C34520" w:rsidRDefault="00826D3B" w:rsidP="00D132A0">
      <w:pPr>
        <w:pStyle w:val="Caption"/>
      </w:pPr>
      <w:bookmarkStart w:id="18" w:name="_Ref144209581"/>
      <w:r w:rsidRPr="00C34520">
        <w:lastRenderedPageBreak/>
        <w:t xml:space="preserve">Table </w:t>
      </w:r>
      <w:fldSimple w:instr=" SEQ Table \* ARABIC ">
        <w:r w:rsidR="009523CC">
          <w:rPr>
            <w:noProof/>
          </w:rPr>
          <w:t>2</w:t>
        </w:r>
      </w:fldSimple>
      <w:bookmarkEnd w:id="18"/>
      <w:r w:rsidRPr="00C34520">
        <w:t>: Population groups covered on the NIP by 13vPCV</w:t>
      </w:r>
    </w:p>
    <w:tbl>
      <w:tblPr>
        <w:tblStyle w:val="TableGrid"/>
        <w:tblW w:w="5000" w:type="pct"/>
        <w:tblLook w:val="04A0" w:firstRow="1" w:lastRow="0" w:firstColumn="1" w:lastColumn="0" w:noHBand="0" w:noVBand="1"/>
      </w:tblPr>
      <w:tblGrid>
        <w:gridCol w:w="1472"/>
        <w:gridCol w:w="2862"/>
        <w:gridCol w:w="4683"/>
      </w:tblGrid>
      <w:tr w:rsidR="00826D3B" w:rsidRPr="00C34520" w14:paraId="6A563788" w14:textId="77777777" w:rsidTr="00667D81">
        <w:trPr>
          <w:tblHeader/>
        </w:trPr>
        <w:tc>
          <w:tcPr>
            <w:tcW w:w="816" w:type="pct"/>
            <w:shd w:val="clear" w:color="auto" w:fill="auto"/>
            <w:vAlign w:val="center"/>
          </w:tcPr>
          <w:p w14:paraId="6AC0FA75" w14:textId="77777777" w:rsidR="00826D3B" w:rsidRPr="00C34520" w:rsidRDefault="00826D3B" w:rsidP="00DE0052">
            <w:pPr>
              <w:pStyle w:val="In-tableHeading"/>
              <w:jc w:val="center"/>
              <w:rPr>
                <w:lang w:val="en-AU"/>
              </w:rPr>
            </w:pPr>
            <w:r w:rsidRPr="00C34520">
              <w:rPr>
                <w:lang w:val="en-AU"/>
              </w:rPr>
              <w:t>Vaccine Preventable Disease</w:t>
            </w:r>
          </w:p>
        </w:tc>
        <w:tc>
          <w:tcPr>
            <w:tcW w:w="1587" w:type="pct"/>
            <w:shd w:val="clear" w:color="auto" w:fill="auto"/>
            <w:vAlign w:val="center"/>
          </w:tcPr>
          <w:p w14:paraId="08553E3D" w14:textId="77777777" w:rsidR="00826D3B" w:rsidRPr="00C34520" w:rsidRDefault="00826D3B" w:rsidP="00DE0052">
            <w:pPr>
              <w:pStyle w:val="In-tableHeading"/>
              <w:jc w:val="center"/>
              <w:rPr>
                <w:lang w:val="en-AU"/>
              </w:rPr>
            </w:pPr>
            <w:r w:rsidRPr="00C34520">
              <w:rPr>
                <w:lang w:val="en-AU"/>
              </w:rPr>
              <w:t>Target Population Group</w:t>
            </w:r>
          </w:p>
        </w:tc>
        <w:tc>
          <w:tcPr>
            <w:tcW w:w="2596" w:type="pct"/>
            <w:shd w:val="clear" w:color="auto" w:fill="auto"/>
            <w:vAlign w:val="center"/>
          </w:tcPr>
          <w:p w14:paraId="49415492" w14:textId="77777777" w:rsidR="00826D3B" w:rsidRPr="00C34520" w:rsidRDefault="00826D3B" w:rsidP="00DE0052">
            <w:pPr>
              <w:pStyle w:val="In-tableHeading"/>
              <w:jc w:val="center"/>
              <w:rPr>
                <w:lang w:val="en-AU"/>
              </w:rPr>
            </w:pPr>
            <w:r w:rsidRPr="00C34520">
              <w:rPr>
                <w:lang w:val="en-AU"/>
              </w:rPr>
              <w:t>Australian Immunisation Handbook Recommendation(s)</w:t>
            </w:r>
          </w:p>
        </w:tc>
      </w:tr>
      <w:tr w:rsidR="00B12770" w:rsidRPr="00C34520" w14:paraId="7A496D14" w14:textId="77777777" w:rsidTr="00667D81">
        <w:tc>
          <w:tcPr>
            <w:tcW w:w="816" w:type="pct"/>
            <w:vMerge w:val="restart"/>
          </w:tcPr>
          <w:p w14:paraId="089D5C16" w14:textId="77777777" w:rsidR="00B12770" w:rsidRPr="00C34520" w:rsidRDefault="00B12770" w:rsidP="00B12770">
            <w:pPr>
              <w:pStyle w:val="TableText0"/>
            </w:pPr>
            <w:r w:rsidRPr="00C34520">
              <w:t xml:space="preserve">Pneumococcal disease caused by the bacterium </w:t>
            </w:r>
            <w:r w:rsidRPr="00C34520">
              <w:rPr>
                <w:i/>
                <w:iCs/>
              </w:rPr>
              <w:t>Streptococcus pneumoniae</w:t>
            </w:r>
          </w:p>
          <w:p w14:paraId="17E27F40" w14:textId="77777777" w:rsidR="00B12770" w:rsidRPr="00C34520" w:rsidRDefault="00B12770" w:rsidP="00B12770">
            <w:pPr>
              <w:pStyle w:val="TableText0"/>
            </w:pPr>
          </w:p>
        </w:tc>
        <w:tc>
          <w:tcPr>
            <w:tcW w:w="1587" w:type="pct"/>
          </w:tcPr>
          <w:p w14:paraId="67388A1F" w14:textId="61353E11" w:rsidR="00B12770" w:rsidRPr="00C34520" w:rsidRDefault="000B57A8" w:rsidP="00B12770">
            <w:pPr>
              <w:pStyle w:val="TableText0"/>
            </w:pPr>
            <w:r w:rsidRPr="00C34520">
              <w:rPr>
                <w:iCs/>
              </w:rPr>
              <w:t xml:space="preserve">Children aged 12 months or younger </w:t>
            </w:r>
            <w:r w:rsidR="00B12770" w:rsidRPr="00C34520">
              <w:rPr>
                <w:iCs/>
              </w:rPr>
              <w:t xml:space="preserve">in </w:t>
            </w:r>
            <w:r w:rsidR="00B12770" w:rsidRPr="00C34520">
              <w:t xml:space="preserve">NSW, VIC, ACT, and TAS and non-Indigenous </w:t>
            </w:r>
            <w:r w:rsidRPr="00C34520">
              <w:t xml:space="preserve">children aged 12 months or younger </w:t>
            </w:r>
            <w:r w:rsidR="00B12770" w:rsidRPr="00C34520">
              <w:t>in QLD, NT, WA and SA</w:t>
            </w:r>
          </w:p>
        </w:tc>
        <w:tc>
          <w:tcPr>
            <w:tcW w:w="2596" w:type="pct"/>
          </w:tcPr>
          <w:p w14:paraId="0C0024C3" w14:textId="4C3D5A6E" w:rsidR="00B12770" w:rsidRPr="00C34520" w:rsidRDefault="00B12770" w:rsidP="00B12770">
            <w:pPr>
              <w:pStyle w:val="TableText0"/>
            </w:pPr>
            <w:r w:rsidRPr="00C34520">
              <w:t xml:space="preserve">All children are recommended to receive 13vPCV in a three-dose schedule at </w:t>
            </w:r>
            <w:r w:rsidR="001631A8">
              <w:t>2</w:t>
            </w:r>
            <w:r w:rsidRPr="00C34520">
              <w:t xml:space="preserve">, </w:t>
            </w:r>
            <w:r w:rsidR="001631A8">
              <w:t>4</w:t>
            </w:r>
            <w:r w:rsidR="001631A8" w:rsidRPr="00C34520">
              <w:t xml:space="preserve"> </w:t>
            </w:r>
            <w:r w:rsidRPr="00C34520">
              <w:t>and 12 months of age.</w:t>
            </w:r>
          </w:p>
          <w:p w14:paraId="4C29CA79" w14:textId="315F2666" w:rsidR="00B12770" w:rsidRPr="00C34520" w:rsidRDefault="000B57A8" w:rsidP="00B12770">
            <w:pPr>
              <w:pStyle w:val="TableText0"/>
            </w:pPr>
            <w:r w:rsidRPr="00C34520">
              <w:t xml:space="preserve">Children aged 12 months or younger </w:t>
            </w:r>
            <w:r w:rsidR="00B12770" w:rsidRPr="00C34520">
              <w:t xml:space="preserve">can receive their </w:t>
            </w:r>
            <w:r w:rsidR="00275B2C" w:rsidRPr="00C34520">
              <w:t>first</w:t>
            </w:r>
            <w:r w:rsidR="00B12770" w:rsidRPr="00C34520">
              <w:t xml:space="preserve"> dose of pneumococcal conjugate vaccine as early as </w:t>
            </w:r>
            <w:r w:rsidR="001631A8">
              <w:t>6</w:t>
            </w:r>
            <w:r w:rsidR="001631A8" w:rsidRPr="00C34520">
              <w:t xml:space="preserve"> </w:t>
            </w:r>
            <w:r w:rsidR="00B12770" w:rsidRPr="00C34520">
              <w:t xml:space="preserve">weeks of age. If the </w:t>
            </w:r>
            <w:r w:rsidR="00655EBC">
              <w:t>first</w:t>
            </w:r>
            <w:r w:rsidR="00655EBC" w:rsidRPr="00C34520">
              <w:t xml:space="preserve"> </w:t>
            </w:r>
            <w:r w:rsidR="00B12770" w:rsidRPr="00C34520">
              <w:t xml:space="preserve">dose is given at the age of </w:t>
            </w:r>
            <w:r w:rsidR="001631A8">
              <w:t>6</w:t>
            </w:r>
            <w:r w:rsidR="001631A8" w:rsidRPr="00C34520">
              <w:t xml:space="preserve"> </w:t>
            </w:r>
            <w:r w:rsidR="00B12770" w:rsidRPr="00C34520">
              <w:t xml:space="preserve">weeks, </w:t>
            </w:r>
            <w:r w:rsidRPr="00C34520">
              <w:t xml:space="preserve">children aged 12 months or younger </w:t>
            </w:r>
            <w:r w:rsidR="00B12770" w:rsidRPr="00C34520">
              <w:t>should still receive their next scheduled dose at four months of age</w:t>
            </w:r>
          </w:p>
        </w:tc>
      </w:tr>
      <w:tr w:rsidR="00B12770" w:rsidRPr="00C34520" w14:paraId="7FD1FCA2" w14:textId="77777777" w:rsidTr="00667D81">
        <w:tc>
          <w:tcPr>
            <w:tcW w:w="816" w:type="pct"/>
            <w:vMerge/>
          </w:tcPr>
          <w:p w14:paraId="6DEA9265" w14:textId="77777777" w:rsidR="00B12770" w:rsidRPr="00C34520" w:rsidRDefault="00B12770" w:rsidP="00B12770">
            <w:pPr>
              <w:pStyle w:val="TableText0"/>
            </w:pPr>
          </w:p>
        </w:tc>
        <w:tc>
          <w:tcPr>
            <w:tcW w:w="1587" w:type="pct"/>
          </w:tcPr>
          <w:p w14:paraId="5AFF2FE4" w14:textId="7A342283" w:rsidR="00B12770" w:rsidRPr="00C34520" w:rsidRDefault="00B12770" w:rsidP="00B12770">
            <w:pPr>
              <w:pStyle w:val="TableText0"/>
            </w:pPr>
            <w:r w:rsidRPr="00C34520">
              <w:t xml:space="preserve">Aboriginal and Torres Strait Islander </w:t>
            </w:r>
            <w:r w:rsidR="00F46D7E" w:rsidRPr="00C34520">
              <w:t xml:space="preserve">infants </w:t>
            </w:r>
            <w:r w:rsidR="000B57A8" w:rsidRPr="00C34520">
              <w:t xml:space="preserve">aged 12 months or younger </w:t>
            </w:r>
            <w:r w:rsidRPr="00C34520">
              <w:t>in QLD, NT, WA and SA</w:t>
            </w:r>
          </w:p>
        </w:tc>
        <w:tc>
          <w:tcPr>
            <w:tcW w:w="2596" w:type="pct"/>
          </w:tcPr>
          <w:p w14:paraId="167136CD" w14:textId="2A50D865" w:rsidR="00B12770" w:rsidRPr="00C34520" w:rsidRDefault="00B12770" w:rsidP="00B12770">
            <w:pPr>
              <w:pStyle w:val="TableText0"/>
            </w:pPr>
            <w:r w:rsidRPr="00C34520">
              <w:t xml:space="preserve">In addition to the three doses for all </w:t>
            </w:r>
            <w:r w:rsidR="000B57A8" w:rsidRPr="00C34520">
              <w:t>children aged 12 months or younger</w:t>
            </w:r>
            <w:r w:rsidRPr="00C34520">
              <w:t xml:space="preserve">, Aboriginal and Torres Strait Islander </w:t>
            </w:r>
            <w:r w:rsidR="000B57A8" w:rsidRPr="00C34520">
              <w:t xml:space="preserve">children aged 12 months or younger </w:t>
            </w:r>
            <w:r w:rsidRPr="00C34520">
              <w:t xml:space="preserve">living in the following states and territories are recommended to receive an additional dose of 13vPCV at </w:t>
            </w:r>
            <w:r w:rsidR="001631A8">
              <w:t>6</w:t>
            </w:r>
            <w:r w:rsidR="001631A8" w:rsidRPr="00C34520">
              <w:t xml:space="preserve"> </w:t>
            </w:r>
            <w:r w:rsidRPr="00C34520">
              <w:t>months of age: QLD, NT, WA and SA</w:t>
            </w:r>
          </w:p>
          <w:p w14:paraId="1050186A" w14:textId="77777777" w:rsidR="00B12770" w:rsidRPr="00C34520" w:rsidRDefault="00B12770" w:rsidP="00B12770">
            <w:pPr>
              <w:pStyle w:val="TableText0"/>
            </w:pPr>
            <w:r w:rsidRPr="00C34520">
              <w:t>These children are also recommended to receive two doses of 23vPPV:</w:t>
            </w:r>
          </w:p>
          <w:p w14:paraId="6BC547FD" w14:textId="7A8A5D26" w:rsidR="00B12770" w:rsidRPr="00C34520" w:rsidRDefault="00B12770" w:rsidP="00574E84">
            <w:pPr>
              <w:pStyle w:val="TableText0"/>
              <w:numPr>
                <w:ilvl w:val="0"/>
                <w:numId w:val="27"/>
              </w:numPr>
            </w:pPr>
            <w:r w:rsidRPr="00C34520">
              <w:t xml:space="preserve">One dose at </w:t>
            </w:r>
            <w:r w:rsidR="001631A8">
              <w:t>4</w:t>
            </w:r>
            <w:r w:rsidR="001631A8" w:rsidRPr="00C34520">
              <w:t xml:space="preserve"> </w:t>
            </w:r>
            <w:r w:rsidRPr="00C34520">
              <w:t>years of age</w:t>
            </w:r>
          </w:p>
          <w:p w14:paraId="29460F9F" w14:textId="783965EA" w:rsidR="00B12770" w:rsidRPr="00C34520" w:rsidRDefault="00B35568" w:rsidP="00574E84">
            <w:pPr>
              <w:pStyle w:val="TableText0"/>
              <w:numPr>
                <w:ilvl w:val="0"/>
                <w:numId w:val="25"/>
              </w:numPr>
            </w:pPr>
            <w:r>
              <w:t>Second</w:t>
            </w:r>
            <w:r w:rsidRPr="00C34520">
              <w:t xml:space="preserve"> </w:t>
            </w:r>
            <w:r w:rsidR="00B12770" w:rsidRPr="00C34520">
              <w:t xml:space="preserve">dose at least </w:t>
            </w:r>
            <w:r w:rsidR="001631A8">
              <w:t>5</w:t>
            </w:r>
            <w:r w:rsidR="001631A8" w:rsidRPr="00C34520">
              <w:t xml:space="preserve"> </w:t>
            </w:r>
            <w:r w:rsidR="00B12770" w:rsidRPr="00C34520">
              <w:t>years later</w:t>
            </w:r>
          </w:p>
        </w:tc>
      </w:tr>
      <w:tr w:rsidR="00B12770" w:rsidRPr="00C34520" w14:paraId="6037D6A0" w14:textId="77777777" w:rsidTr="00667D81">
        <w:tc>
          <w:tcPr>
            <w:tcW w:w="816" w:type="pct"/>
            <w:vMerge/>
          </w:tcPr>
          <w:p w14:paraId="35D5C3B2" w14:textId="77777777" w:rsidR="00B12770" w:rsidRPr="00C34520" w:rsidRDefault="00B12770" w:rsidP="00B12770">
            <w:pPr>
              <w:pStyle w:val="TableText0"/>
            </w:pPr>
          </w:p>
        </w:tc>
        <w:tc>
          <w:tcPr>
            <w:tcW w:w="1587" w:type="pct"/>
          </w:tcPr>
          <w:p w14:paraId="64C14C6B" w14:textId="11CA81C7" w:rsidR="00B12770" w:rsidRPr="00C34520" w:rsidRDefault="00F46D7E" w:rsidP="00B12770">
            <w:pPr>
              <w:pStyle w:val="TableText0"/>
            </w:pPr>
            <w:r w:rsidRPr="00C34520">
              <w:t xml:space="preserve">Infants </w:t>
            </w:r>
            <w:r w:rsidR="000B57A8" w:rsidRPr="00C34520">
              <w:t>aged 12 months or younger</w:t>
            </w:r>
            <w:r w:rsidR="000B57A8" w:rsidRPr="00C34520" w:rsidDel="000B57A8">
              <w:t xml:space="preserve"> </w:t>
            </w:r>
            <w:r w:rsidR="00B12770" w:rsidRPr="00C34520">
              <w:t>with NIP risk conditions</w:t>
            </w:r>
          </w:p>
        </w:tc>
        <w:tc>
          <w:tcPr>
            <w:tcW w:w="2596" w:type="pct"/>
          </w:tcPr>
          <w:p w14:paraId="5E1EE24B" w14:textId="61D957CE" w:rsidR="00B12770" w:rsidRPr="00C34520" w:rsidRDefault="00B12770" w:rsidP="00B12770">
            <w:pPr>
              <w:pStyle w:val="TableText0"/>
            </w:pPr>
            <w:r w:rsidRPr="00C34520">
              <w:t>In addition to the three doses of 13vPCV routinely recommended for healthy non-Indigenous</w:t>
            </w:r>
            <w:r w:rsidR="000B57A8" w:rsidRPr="00C34520">
              <w:t xml:space="preserve"> </w:t>
            </w:r>
            <w:r w:rsidRPr="00C34520">
              <w:t>children less than 12 months of age with risk conditions for pneumococcal disease are recommended to receive:</w:t>
            </w:r>
          </w:p>
          <w:p w14:paraId="61DC40AB" w14:textId="77777777" w:rsidR="00B12770" w:rsidRPr="00C34520" w:rsidRDefault="00B12770" w:rsidP="00574E84">
            <w:pPr>
              <w:pStyle w:val="TableText0"/>
              <w:numPr>
                <w:ilvl w:val="0"/>
                <w:numId w:val="28"/>
              </w:numPr>
            </w:pPr>
            <w:r w:rsidRPr="00C34520">
              <w:t>An additional dose of 13vPCV at 6 months of age</w:t>
            </w:r>
          </w:p>
          <w:p w14:paraId="59A9CFC3" w14:textId="77777777" w:rsidR="00B12770" w:rsidRPr="00C34520" w:rsidRDefault="00B12770" w:rsidP="00574E84">
            <w:pPr>
              <w:pStyle w:val="TableText0"/>
              <w:numPr>
                <w:ilvl w:val="0"/>
                <w:numId w:val="28"/>
              </w:numPr>
            </w:pPr>
            <w:r w:rsidRPr="00C34520">
              <w:t>A dose of 23vPPV at 4 years of age</w:t>
            </w:r>
          </w:p>
          <w:p w14:paraId="62945E67" w14:textId="3DC68289" w:rsidR="00B12770" w:rsidRPr="00C34520" w:rsidRDefault="00B12770" w:rsidP="00574E84">
            <w:pPr>
              <w:pStyle w:val="TableText0"/>
              <w:numPr>
                <w:ilvl w:val="0"/>
                <w:numId w:val="28"/>
              </w:numPr>
            </w:pPr>
            <w:r w:rsidRPr="00C34520">
              <w:t xml:space="preserve">A </w:t>
            </w:r>
            <w:r w:rsidR="00B35568">
              <w:t>second</w:t>
            </w:r>
            <w:r w:rsidR="00B35568" w:rsidRPr="00C34520">
              <w:t xml:space="preserve"> </w:t>
            </w:r>
            <w:r w:rsidRPr="00C34520">
              <w:t xml:space="preserve">dose of 23vPPV at least 5 years after the </w:t>
            </w:r>
            <w:r w:rsidR="00655EBC">
              <w:t>first</w:t>
            </w:r>
            <w:r w:rsidR="00655EBC" w:rsidRPr="00C34520">
              <w:t xml:space="preserve"> </w:t>
            </w:r>
            <w:r w:rsidRPr="00C34520">
              <w:t>dose of 23vPPV</w:t>
            </w:r>
          </w:p>
          <w:p w14:paraId="78A4AAC2" w14:textId="75333BDA" w:rsidR="00B12770" w:rsidRPr="00C34520" w:rsidRDefault="00B12770" w:rsidP="00B12770">
            <w:pPr>
              <w:pStyle w:val="TableText0"/>
            </w:pPr>
            <w:r w:rsidRPr="00C34520">
              <w:t xml:space="preserve">Any child aged </w:t>
            </w:r>
            <w:r w:rsidR="001631A8">
              <w:t>6</w:t>
            </w:r>
            <w:r w:rsidR="001631A8" w:rsidRPr="00C34520">
              <w:t xml:space="preserve"> </w:t>
            </w:r>
            <w:r w:rsidRPr="00C34520">
              <w:t xml:space="preserve">to 11 months with a newly identified risk condition who has not received an additional dose of 13vPCV at </w:t>
            </w:r>
            <w:r w:rsidR="001631A8">
              <w:t>6</w:t>
            </w:r>
            <w:r w:rsidR="001631A8" w:rsidRPr="00C34520">
              <w:t xml:space="preserve"> </w:t>
            </w:r>
            <w:r w:rsidRPr="00C34520">
              <w:t>months of age should receive this dose at diagnosis. The exception is children who have received a haematopoietic stem cell transplant — these children are recommended to receive three doses of 13vPCV after transplantation, followed by two doses of 23vPPV</w:t>
            </w:r>
          </w:p>
        </w:tc>
      </w:tr>
      <w:tr w:rsidR="00B12770" w:rsidRPr="00C34520" w14:paraId="48D2A1D6" w14:textId="77777777" w:rsidTr="00667D81">
        <w:tc>
          <w:tcPr>
            <w:tcW w:w="816" w:type="pct"/>
            <w:vMerge/>
          </w:tcPr>
          <w:p w14:paraId="5931A598" w14:textId="77777777" w:rsidR="00B12770" w:rsidRPr="00C34520" w:rsidRDefault="00B12770" w:rsidP="00B12770">
            <w:pPr>
              <w:pStyle w:val="TableText0"/>
            </w:pPr>
          </w:p>
        </w:tc>
        <w:tc>
          <w:tcPr>
            <w:tcW w:w="1587" w:type="pct"/>
          </w:tcPr>
          <w:p w14:paraId="60AAA084" w14:textId="60C0A3AD" w:rsidR="00B12770" w:rsidRPr="00C34520" w:rsidRDefault="00F46D7E" w:rsidP="00B12770">
            <w:pPr>
              <w:pStyle w:val="TableText0"/>
            </w:pPr>
            <w:r w:rsidRPr="00C34520">
              <w:t xml:space="preserve">Infants </w:t>
            </w:r>
            <w:r w:rsidR="00B12770" w:rsidRPr="00C34520">
              <w:t>&gt;</w:t>
            </w:r>
            <w:r w:rsidRPr="00C34520">
              <w:t xml:space="preserve"> </w:t>
            </w:r>
            <w:r w:rsidR="00B12770" w:rsidRPr="00C34520">
              <w:t>12 months with risk conditions</w:t>
            </w:r>
          </w:p>
        </w:tc>
        <w:tc>
          <w:tcPr>
            <w:tcW w:w="2596" w:type="pct"/>
          </w:tcPr>
          <w:p w14:paraId="0101FE8D" w14:textId="77777777" w:rsidR="00B12770" w:rsidRPr="00C34520" w:rsidRDefault="00B12770" w:rsidP="00B12770">
            <w:pPr>
              <w:pStyle w:val="TableText0"/>
            </w:pPr>
            <w:r w:rsidRPr="00C34520">
              <w:t>All children and adolescents with newly identified risk conditions are recommended to receive:</w:t>
            </w:r>
          </w:p>
          <w:p w14:paraId="448F1108" w14:textId="77777777" w:rsidR="00B12770" w:rsidRPr="00C34520" w:rsidRDefault="00B12770" w:rsidP="00574E84">
            <w:pPr>
              <w:pStyle w:val="TableText0"/>
              <w:numPr>
                <w:ilvl w:val="0"/>
                <w:numId w:val="29"/>
              </w:numPr>
            </w:pPr>
            <w:r w:rsidRPr="00C34520">
              <w:t>One dose of 13vPCV at diagnosis (at least 2 months after any previous doses of 13vPCV)</w:t>
            </w:r>
          </w:p>
          <w:p w14:paraId="3F8D4762" w14:textId="498C1AC6" w:rsidR="00B12770" w:rsidRPr="00C34520" w:rsidRDefault="00B12770" w:rsidP="00574E84">
            <w:pPr>
              <w:pStyle w:val="TableText0"/>
              <w:numPr>
                <w:ilvl w:val="0"/>
                <w:numId w:val="29"/>
              </w:numPr>
            </w:pPr>
            <w:r w:rsidRPr="00C34520">
              <w:t>One dose of 23vPPV 12 months after 13vPCV (</w:t>
            </w:r>
            <w:r w:rsidR="001631A8">
              <w:t>2</w:t>
            </w:r>
            <w:r w:rsidR="001631A8" w:rsidRPr="00C34520">
              <w:t xml:space="preserve"> </w:t>
            </w:r>
            <w:r w:rsidRPr="00C34520">
              <w:t>to 12 months later is acceptable) or at four years of age whichever is later</w:t>
            </w:r>
          </w:p>
          <w:p w14:paraId="5CFBF429" w14:textId="5519009B" w:rsidR="00B12770" w:rsidRPr="00C34520" w:rsidRDefault="00655EBC" w:rsidP="00574E84">
            <w:pPr>
              <w:pStyle w:val="TableText0"/>
              <w:numPr>
                <w:ilvl w:val="0"/>
                <w:numId w:val="26"/>
              </w:numPr>
            </w:pPr>
            <w:r>
              <w:t>A</w:t>
            </w:r>
            <w:r w:rsidR="00B12770" w:rsidRPr="00C34520">
              <w:t xml:space="preserve"> </w:t>
            </w:r>
            <w:r>
              <w:t>second</w:t>
            </w:r>
            <w:r w:rsidRPr="00C34520">
              <w:t xml:space="preserve"> </w:t>
            </w:r>
            <w:r w:rsidR="00B12770" w:rsidRPr="00C34520">
              <w:t xml:space="preserve">dose of 23vPPV at least </w:t>
            </w:r>
            <w:r w:rsidR="001631A8">
              <w:t>5</w:t>
            </w:r>
            <w:r w:rsidR="001631A8" w:rsidRPr="00C34520">
              <w:t xml:space="preserve"> </w:t>
            </w:r>
            <w:r w:rsidR="00B12770" w:rsidRPr="00C34520">
              <w:t>years later</w:t>
            </w:r>
          </w:p>
        </w:tc>
      </w:tr>
    </w:tbl>
    <w:p w14:paraId="53975985" w14:textId="77777777" w:rsidR="00826D3B" w:rsidRPr="00C34520" w:rsidRDefault="00826D3B" w:rsidP="00826D3B">
      <w:pPr>
        <w:pStyle w:val="TableFigureFooter"/>
      </w:pPr>
      <w:r w:rsidRPr="00C34520">
        <w:t>Source: Table 1.1.3, pp9-10 of the submission.</w:t>
      </w:r>
    </w:p>
    <w:p w14:paraId="705227CB" w14:textId="77777777" w:rsidR="00826D3B" w:rsidRPr="00C34520" w:rsidRDefault="00826D3B" w:rsidP="00826D3B">
      <w:pPr>
        <w:pStyle w:val="TableFigureFooter"/>
      </w:pPr>
      <w:r w:rsidRPr="00C34520">
        <w:t>13vPCV = 13 valent pneumococcal conjugate vaccine; 23vPPV = 23 valent pneumococcal polysaccharide vaccine; ACT = Australian Capital Territory; NIP = National Immunisation Program; NSW = New South Wales; NT = Northern Territory; QLD = Queensland; SA = South Australia; TAS = Tasmania; VIC = Victoria; WA = Western Australia.</w:t>
      </w:r>
    </w:p>
    <w:p w14:paraId="1ACD86D7" w14:textId="5B9AC713" w:rsidR="00826D3B" w:rsidRPr="00902DEA" w:rsidRDefault="00826D3B" w:rsidP="00F625A4">
      <w:pPr>
        <w:pStyle w:val="3-BodyText"/>
        <w:rPr>
          <w:iCs/>
        </w:rPr>
      </w:pPr>
      <w:r w:rsidRPr="00C34520">
        <w:rPr>
          <w:i/>
          <w:iCs/>
        </w:rPr>
        <w:fldChar w:fldCharType="begin"/>
      </w:r>
      <w:r w:rsidRPr="00C34520">
        <w:rPr>
          <w:i/>
          <w:iCs/>
        </w:rPr>
        <w:instrText xml:space="preserve"> REF _Ref144211508 \h </w:instrText>
      </w:r>
      <w:r w:rsidRPr="00C34520">
        <w:rPr>
          <w:i/>
          <w:iCs/>
        </w:rPr>
      </w:r>
      <w:r w:rsidRPr="00C34520">
        <w:rPr>
          <w:i/>
          <w:iCs/>
        </w:rPr>
        <w:fldChar w:fldCharType="separate"/>
      </w:r>
      <w:r w:rsidR="009523CC" w:rsidRPr="00C34520">
        <w:t xml:space="preserve">Table </w:t>
      </w:r>
      <w:r w:rsidR="009523CC">
        <w:rPr>
          <w:noProof/>
        </w:rPr>
        <w:t>3</w:t>
      </w:r>
      <w:r w:rsidRPr="00C34520">
        <w:rPr>
          <w:i/>
          <w:iCs/>
        </w:rPr>
        <w:fldChar w:fldCharType="end"/>
      </w:r>
      <w:r w:rsidRPr="00902DEA">
        <w:rPr>
          <w:iCs/>
        </w:rPr>
        <w:t xml:space="preserve"> </w:t>
      </w:r>
      <w:r w:rsidRPr="00C34520">
        <w:t>describes the current paediatric NIP-funded risk conditions.</w:t>
      </w:r>
    </w:p>
    <w:p w14:paraId="59BAB5C1" w14:textId="5A032572" w:rsidR="00826D3B" w:rsidRPr="00C34520" w:rsidRDefault="00826D3B" w:rsidP="00D132A0">
      <w:pPr>
        <w:pStyle w:val="Caption"/>
      </w:pPr>
      <w:bookmarkStart w:id="19" w:name="_Ref144211508"/>
      <w:r w:rsidRPr="00C34520">
        <w:lastRenderedPageBreak/>
        <w:t xml:space="preserve">Table </w:t>
      </w:r>
      <w:fldSimple w:instr=" SEQ Table \* ARABIC ">
        <w:r w:rsidR="009523CC">
          <w:rPr>
            <w:noProof/>
          </w:rPr>
          <w:t>3</w:t>
        </w:r>
      </w:fldSimple>
      <w:bookmarkEnd w:id="19"/>
      <w:r w:rsidRPr="00C34520">
        <w:t>: National Immunisation Program funded risk conditions</w:t>
      </w:r>
    </w:p>
    <w:tbl>
      <w:tblPr>
        <w:tblStyle w:val="TableGrid"/>
        <w:tblW w:w="5000" w:type="pct"/>
        <w:tblLook w:val="04A0" w:firstRow="1" w:lastRow="0" w:firstColumn="1" w:lastColumn="0" w:noHBand="0" w:noVBand="1"/>
      </w:tblPr>
      <w:tblGrid>
        <w:gridCol w:w="6561"/>
        <w:gridCol w:w="1331"/>
        <w:gridCol w:w="1125"/>
      </w:tblGrid>
      <w:tr w:rsidR="00826D3B" w:rsidRPr="00C34520" w14:paraId="26D5D6F6" w14:textId="77777777" w:rsidTr="00667D81">
        <w:trPr>
          <w:trHeight w:val="227"/>
        </w:trPr>
        <w:tc>
          <w:tcPr>
            <w:tcW w:w="3638" w:type="pct"/>
            <w:noWrap/>
            <w:hideMark/>
          </w:tcPr>
          <w:p w14:paraId="6ADB8A2C" w14:textId="77777777" w:rsidR="00826D3B" w:rsidRPr="00C34520" w:rsidRDefault="00826D3B" w:rsidP="00DE0052">
            <w:pPr>
              <w:pStyle w:val="In-tableHeading"/>
              <w:jc w:val="center"/>
              <w:rPr>
                <w:lang w:val="en-AU"/>
              </w:rPr>
            </w:pPr>
            <w:r w:rsidRPr="00C34520">
              <w:rPr>
                <w:lang w:val="en-AU"/>
              </w:rPr>
              <w:t>Risk condition</w:t>
            </w:r>
          </w:p>
        </w:tc>
        <w:tc>
          <w:tcPr>
            <w:tcW w:w="738" w:type="pct"/>
            <w:noWrap/>
            <w:hideMark/>
          </w:tcPr>
          <w:p w14:paraId="0350AAC1" w14:textId="77777777" w:rsidR="00826D3B" w:rsidRPr="00C34520" w:rsidRDefault="00826D3B" w:rsidP="00DE0052">
            <w:pPr>
              <w:pStyle w:val="In-tableHeading"/>
              <w:jc w:val="center"/>
              <w:rPr>
                <w:lang w:val="en-AU"/>
              </w:rPr>
            </w:pPr>
            <w:r w:rsidRPr="00C34520">
              <w:rPr>
                <w:lang w:val="en-AU"/>
              </w:rPr>
              <w:t>&lt; 5 years</w:t>
            </w:r>
          </w:p>
        </w:tc>
        <w:tc>
          <w:tcPr>
            <w:tcW w:w="624" w:type="pct"/>
            <w:noWrap/>
            <w:hideMark/>
          </w:tcPr>
          <w:p w14:paraId="48B36FD3" w14:textId="5F2ECD15" w:rsidR="00826D3B" w:rsidRPr="00C34520" w:rsidRDefault="00826D3B" w:rsidP="00DE0052">
            <w:pPr>
              <w:pStyle w:val="In-tableHeading"/>
              <w:jc w:val="center"/>
              <w:rPr>
                <w:lang w:val="en-AU"/>
              </w:rPr>
            </w:pPr>
            <w:r w:rsidRPr="00C34520">
              <w:rPr>
                <w:lang w:val="en-AU"/>
              </w:rPr>
              <w:t>≥</w:t>
            </w:r>
            <w:r w:rsidR="004F16F0">
              <w:rPr>
                <w:lang w:val="en-AU"/>
              </w:rPr>
              <w:t xml:space="preserve"> </w:t>
            </w:r>
            <w:r w:rsidRPr="00C34520">
              <w:rPr>
                <w:lang w:val="en-AU"/>
              </w:rPr>
              <w:t>5 years</w:t>
            </w:r>
          </w:p>
        </w:tc>
      </w:tr>
      <w:tr w:rsidR="00826D3B" w:rsidRPr="00C34520" w14:paraId="4326E824" w14:textId="77777777" w:rsidTr="00667D81">
        <w:trPr>
          <w:trHeight w:val="227"/>
        </w:trPr>
        <w:tc>
          <w:tcPr>
            <w:tcW w:w="3638" w:type="pct"/>
            <w:noWrap/>
            <w:hideMark/>
          </w:tcPr>
          <w:p w14:paraId="74A455A9" w14:textId="77777777" w:rsidR="00826D3B" w:rsidRPr="00C34520" w:rsidRDefault="00826D3B" w:rsidP="00DE0052">
            <w:pPr>
              <w:pStyle w:val="TableText0"/>
            </w:pPr>
            <w:r w:rsidRPr="00C34520">
              <w:t>Previous episode of invasive pneumococcal disease</w:t>
            </w:r>
          </w:p>
        </w:tc>
        <w:tc>
          <w:tcPr>
            <w:tcW w:w="738" w:type="pct"/>
            <w:noWrap/>
            <w:hideMark/>
          </w:tcPr>
          <w:p w14:paraId="5F771A5F"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773B9097"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31D5ABAA" w14:textId="77777777" w:rsidTr="00667D81">
        <w:trPr>
          <w:trHeight w:val="227"/>
        </w:trPr>
        <w:tc>
          <w:tcPr>
            <w:tcW w:w="5000" w:type="pct"/>
            <w:gridSpan w:val="3"/>
            <w:noWrap/>
            <w:vAlign w:val="center"/>
            <w:hideMark/>
          </w:tcPr>
          <w:p w14:paraId="46A48D83" w14:textId="77777777" w:rsidR="00826D3B" w:rsidRPr="00C34520" w:rsidRDefault="00826D3B" w:rsidP="00DE0052">
            <w:pPr>
              <w:pStyle w:val="In-tableHeading"/>
              <w:rPr>
                <w:lang w:val="en-AU"/>
              </w:rPr>
            </w:pPr>
            <w:r w:rsidRPr="00C34520">
              <w:rPr>
                <w:lang w:val="en-AU"/>
              </w:rPr>
              <w:t>Functional or anatomical asplenia including</w:t>
            </w:r>
          </w:p>
        </w:tc>
      </w:tr>
      <w:tr w:rsidR="00826D3B" w:rsidRPr="00C34520" w14:paraId="58A27054" w14:textId="77777777" w:rsidTr="00667D81">
        <w:trPr>
          <w:trHeight w:val="227"/>
        </w:trPr>
        <w:tc>
          <w:tcPr>
            <w:tcW w:w="3638" w:type="pct"/>
            <w:noWrap/>
            <w:hideMark/>
          </w:tcPr>
          <w:p w14:paraId="6D2760C3" w14:textId="77777777" w:rsidR="00826D3B" w:rsidRPr="00C34520" w:rsidRDefault="00826D3B" w:rsidP="00DE0052">
            <w:pPr>
              <w:pStyle w:val="TableText0"/>
            </w:pPr>
            <w:r w:rsidRPr="00C34520">
              <w:t>Sickle cell disease or other haemoglobinopathies</w:t>
            </w:r>
          </w:p>
        </w:tc>
        <w:tc>
          <w:tcPr>
            <w:tcW w:w="738" w:type="pct"/>
            <w:noWrap/>
            <w:hideMark/>
          </w:tcPr>
          <w:p w14:paraId="1AB80809"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21190A07"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7F770741" w14:textId="77777777" w:rsidTr="00667D81">
        <w:trPr>
          <w:trHeight w:val="227"/>
        </w:trPr>
        <w:tc>
          <w:tcPr>
            <w:tcW w:w="3638" w:type="pct"/>
            <w:noWrap/>
            <w:hideMark/>
          </w:tcPr>
          <w:p w14:paraId="6ABC32C9" w14:textId="77777777" w:rsidR="00826D3B" w:rsidRPr="00C34520" w:rsidRDefault="00826D3B" w:rsidP="00DE0052">
            <w:pPr>
              <w:pStyle w:val="TableText0"/>
            </w:pPr>
            <w:r w:rsidRPr="00C34520">
              <w:t>Congenital or acquired asplenia (for example, splenectomy or hyposplenia)</w:t>
            </w:r>
          </w:p>
        </w:tc>
        <w:tc>
          <w:tcPr>
            <w:tcW w:w="738" w:type="pct"/>
            <w:noWrap/>
            <w:hideMark/>
          </w:tcPr>
          <w:p w14:paraId="50F534EA"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69FBE46D"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00670850" w14:textId="77777777" w:rsidTr="00667D81">
        <w:trPr>
          <w:trHeight w:val="227"/>
        </w:trPr>
        <w:tc>
          <w:tcPr>
            <w:tcW w:w="5000" w:type="pct"/>
            <w:gridSpan w:val="3"/>
            <w:noWrap/>
            <w:vAlign w:val="center"/>
            <w:hideMark/>
          </w:tcPr>
          <w:p w14:paraId="145E4AC4" w14:textId="77777777" w:rsidR="00826D3B" w:rsidRPr="00C34520" w:rsidRDefault="00826D3B" w:rsidP="00DE0052">
            <w:pPr>
              <w:pStyle w:val="In-tableHeading"/>
              <w:rPr>
                <w:lang w:val="en-AU"/>
              </w:rPr>
            </w:pPr>
            <w:r w:rsidRPr="00C34520">
              <w:rPr>
                <w:lang w:val="en-AU"/>
              </w:rPr>
              <w:t>Immunocompromising conditions, including</w:t>
            </w:r>
          </w:p>
        </w:tc>
      </w:tr>
      <w:tr w:rsidR="00826D3B" w:rsidRPr="00C34520" w14:paraId="685808BC" w14:textId="77777777" w:rsidTr="00667D81">
        <w:trPr>
          <w:trHeight w:val="227"/>
        </w:trPr>
        <w:tc>
          <w:tcPr>
            <w:tcW w:w="3638" w:type="pct"/>
            <w:hideMark/>
          </w:tcPr>
          <w:p w14:paraId="0BB6A701" w14:textId="77777777" w:rsidR="00826D3B" w:rsidRPr="00C34520" w:rsidRDefault="00826D3B" w:rsidP="00DE0052">
            <w:pPr>
              <w:pStyle w:val="TableText0"/>
            </w:pPr>
            <w:r w:rsidRPr="00C34520">
              <w:t>Congenital or acquired immune deficiency, including symptomatic IgG subclass or isolated IgA deficiency</w:t>
            </w:r>
          </w:p>
        </w:tc>
        <w:tc>
          <w:tcPr>
            <w:tcW w:w="738" w:type="pct"/>
            <w:noWrap/>
            <w:hideMark/>
          </w:tcPr>
          <w:p w14:paraId="79317ED8"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7ADC167F"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3085B8D0" w14:textId="77777777" w:rsidTr="00667D81">
        <w:trPr>
          <w:trHeight w:val="227"/>
        </w:trPr>
        <w:tc>
          <w:tcPr>
            <w:tcW w:w="3638" w:type="pct"/>
            <w:noWrap/>
            <w:hideMark/>
          </w:tcPr>
          <w:p w14:paraId="14540538" w14:textId="77777777" w:rsidR="00826D3B" w:rsidRPr="00C34520" w:rsidRDefault="00826D3B" w:rsidP="00DE0052">
            <w:pPr>
              <w:pStyle w:val="TableText0"/>
            </w:pPr>
            <w:r w:rsidRPr="00C34520">
              <w:t>Haematological malignancies</w:t>
            </w:r>
          </w:p>
        </w:tc>
        <w:tc>
          <w:tcPr>
            <w:tcW w:w="738" w:type="pct"/>
            <w:noWrap/>
            <w:hideMark/>
          </w:tcPr>
          <w:p w14:paraId="7658DE8D"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4A5EC3AE"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6D4C66F6" w14:textId="77777777" w:rsidTr="00667D81">
        <w:trPr>
          <w:trHeight w:val="227"/>
        </w:trPr>
        <w:tc>
          <w:tcPr>
            <w:tcW w:w="3638" w:type="pct"/>
            <w:noWrap/>
            <w:hideMark/>
          </w:tcPr>
          <w:p w14:paraId="150FCBCC" w14:textId="77777777" w:rsidR="00826D3B" w:rsidRPr="00C34520" w:rsidRDefault="00826D3B" w:rsidP="00DE0052">
            <w:pPr>
              <w:pStyle w:val="TableText0"/>
            </w:pPr>
            <w:r w:rsidRPr="00C34520">
              <w:t>Solid organ transplant</w:t>
            </w:r>
          </w:p>
        </w:tc>
        <w:tc>
          <w:tcPr>
            <w:tcW w:w="738" w:type="pct"/>
            <w:noWrap/>
            <w:hideMark/>
          </w:tcPr>
          <w:p w14:paraId="1A0A087C"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0DF43971"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44AC62ED" w14:textId="77777777" w:rsidTr="00667D81">
        <w:trPr>
          <w:trHeight w:val="227"/>
        </w:trPr>
        <w:tc>
          <w:tcPr>
            <w:tcW w:w="3638" w:type="pct"/>
            <w:noWrap/>
            <w:hideMark/>
          </w:tcPr>
          <w:p w14:paraId="2716CD13" w14:textId="77777777" w:rsidR="00826D3B" w:rsidRPr="00C34520" w:rsidRDefault="00826D3B" w:rsidP="00DE0052">
            <w:pPr>
              <w:pStyle w:val="TableText0"/>
            </w:pPr>
            <w:r w:rsidRPr="00C34520">
              <w:t>Haematopoietic stem cell transplant</w:t>
            </w:r>
          </w:p>
        </w:tc>
        <w:tc>
          <w:tcPr>
            <w:tcW w:w="738" w:type="pct"/>
            <w:noWrap/>
            <w:hideMark/>
          </w:tcPr>
          <w:p w14:paraId="30C62659"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3CB9F302"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7697A2D4" w14:textId="77777777" w:rsidTr="00667D81">
        <w:trPr>
          <w:trHeight w:val="227"/>
        </w:trPr>
        <w:tc>
          <w:tcPr>
            <w:tcW w:w="3638" w:type="pct"/>
            <w:noWrap/>
            <w:hideMark/>
          </w:tcPr>
          <w:p w14:paraId="245BF7B7" w14:textId="77777777" w:rsidR="00826D3B" w:rsidRPr="00C34520" w:rsidRDefault="00826D3B" w:rsidP="00DE0052">
            <w:pPr>
              <w:pStyle w:val="TableText0"/>
            </w:pPr>
            <w:r w:rsidRPr="00C34520">
              <w:t>HIV infection</w:t>
            </w:r>
          </w:p>
        </w:tc>
        <w:tc>
          <w:tcPr>
            <w:tcW w:w="738" w:type="pct"/>
            <w:noWrap/>
            <w:hideMark/>
          </w:tcPr>
          <w:p w14:paraId="773AE43F"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29532AA4"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090EC968" w14:textId="77777777" w:rsidTr="00667D81">
        <w:trPr>
          <w:trHeight w:val="227"/>
        </w:trPr>
        <w:tc>
          <w:tcPr>
            <w:tcW w:w="5000" w:type="pct"/>
            <w:gridSpan w:val="3"/>
            <w:noWrap/>
            <w:vAlign w:val="center"/>
            <w:hideMark/>
          </w:tcPr>
          <w:p w14:paraId="324E8345" w14:textId="77777777" w:rsidR="00826D3B" w:rsidRPr="00C34520" w:rsidRDefault="00826D3B" w:rsidP="00DE0052">
            <w:pPr>
              <w:pStyle w:val="In-tableHeading"/>
              <w:rPr>
                <w:lang w:val="en-AU"/>
              </w:rPr>
            </w:pPr>
            <w:r w:rsidRPr="00C34520">
              <w:rPr>
                <w:lang w:val="en-AU"/>
              </w:rPr>
              <w:t>Proven or presumptive cerebrospinal fluid leak, including</w:t>
            </w:r>
          </w:p>
        </w:tc>
      </w:tr>
      <w:tr w:rsidR="00826D3B" w:rsidRPr="00C34520" w14:paraId="2D64AE7C" w14:textId="77777777" w:rsidTr="00667D81">
        <w:trPr>
          <w:trHeight w:val="227"/>
        </w:trPr>
        <w:tc>
          <w:tcPr>
            <w:tcW w:w="3638" w:type="pct"/>
            <w:noWrap/>
            <w:hideMark/>
          </w:tcPr>
          <w:p w14:paraId="17515E5F" w14:textId="77777777" w:rsidR="00826D3B" w:rsidRPr="00C34520" w:rsidRDefault="00826D3B" w:rsidP="00DE0052">
            <w:pPr>
              <w:pStyle w:val="TableText0"/>
            </w:pPr>
            <w:r w:rsidRPr="00C34520">
              <w:t>Cochlear implants</w:t>
            </w:r>
          </w:p>
        </w:tc>
        <w:tc>
          <w:tcPr>
            <w:tcW w:w="738" w:type="pct"/>
            <w:noWrap/>
            <w:hideMark/>
          </w:tcPr>
          <w:p w14:paraId="279E0FD8"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75D2A72F"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1B38817E" w14:textId="77777777" w:rsidTr="00667D81">
        <w:trPr>
          <w:trHeight w:val="227"/>
        </w:trPr>
        <w:tc>
          <w:tcPr>
            <w:tcW w:w="3638" w:type="pct"/>
            <w:noWrap/>
            <w:hideMark/>
          </w:tcPr>
          <w:p w14:paraId="0A86A0FE" w14:textId="77777777" w:rsidR="00826D3B" w:rsidRPr="00C34520" w:rsidRDefault="00826D3B" w:rsidP="00DE0052">
            <w:pPr>
              <w:pStyle w:val="TableText0"/>
            </w:pPr>
            <w:r w:rsidRPr="00C34520">
              <w:t>Intracranial shunts</w:t>
            </w:r>
          </w:p>
        </w:tc>
        <w:tc>
          <w:tcPr>
            <w:tcW w:w="738" w:type="pct"/>
            <w:noWrap/>
            <w:hideMark/>
          </w:tcPr>
          <w:p w14:paraId="69DAF0DC"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0F5717CB"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7D9DB805" w14:textId="77777777" w:rsidTr="00667D81">
        <w:trPr>
          <w:trHeight w:val="227"/>
        </w:trPr>
        <w:tc>
          <w:tcPr>
            <w:tcW w:w="5000" w:type="pct"/>
            <w:gridSpan w:val="3"/>
            <w:noWrap/>
            <w:vAlign w:val="center"/>
            <w:hideMark/>
          </w:tcPr>
          <w:p w14:paraId="61CC81D5" w14:textId="77777777" w:rsidR="00826D3B" w:rsidRPr="00C34520" w:rsidRDefault="00826D3B" w:rsidP="00DE0052">
            <w:pPr>
              <w:pStyle w:val="In-tableHeading"/>
              <w:rPr>
                <w:vertAlign w:val="superscript"/>
                <w:lang w:val="en-AU"/>
              </w:rPr>
            </w:pPr>
            <w:r w:rsidRPr="00C34520">
              <w:rPr>
                <w:lang w:val="en-AU"/>
              </w:rPr>
              <w:t xml:space="preserve">Chronic respiratory disease, including </w:t>
            </w:r>
          </w:p>
        </w:tc>
      </w:tr>
      <w:tr w:rsidR="00826D3B" w:rsidRPr="00C34520" w14:paraId="346580B0" w14:textId="77777777" w:rsidTr="00667D81">
        <w:trPr>
          <w:trHeight w:val="227"/>
        </w:trPr>
        <w:tc>
          <w:tcPr>
            <w:tcW w:w="3638" w:type="pct"/>
            <w:noWrap/>
            <w:hideMark/>
          </w:tcPr>
          <w:p w14:paraId="26A98A62" w14:textId="77777777" w:rsidR="00826D3B" w:rsidRPr="00C34520" w:rsidRDefault="00826D3B" w:rsidP="00DE0052">
            <w:pPr>
              <w:pStyle w:val="TableText0"/>
            </w:pPr>
            <w:r w:rsidRPr="00C34520">
              <w:t>Suppurative lung disease, bronchiectasis and cystic fibrosis</w:t>
            </w:r>
          </w:p>
        </w:tc>
        <w:tc>
          <w:tcPr>
            <w:tcW w:w="738" w:type="pct"/>
            <w:noWrap/>
            <w:hideMark/>
          </w:tcPr>
          <w:p w14:paraId="512EA11A"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04E73193"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493300F7" w14:textId="77777777" w:rsidTr="00667D81">
        <w:trPr>
          <w:trHeight w:val="227"/>
        </w:trPr>
        <w:tc>
          <w:tcPr>
            <w:tcW w:w="3638" w:type="pct"/>
            <w:noWrap/>
            <w:hideMark/>
          </w:tcPr>
          <w:p w14:paraId="3506A0D4" w14:textId="77777777" w:rsidR="00826D3B" w:rsidRPr="00C34520" w:rsidRDefault="00826D3B" w:rsidP="00DE0052">
            <w:pPr>
              <w:pStyle w:val="TableText0"/>
            </w:pPr>
            <w:r w:rsidRPr="00C34520">
              <w:t>Chronic lung disease in preterm infants</w:t>
            </w:r>
          </w:p>
        </w:tc>
        <w:tc>
          <w:tcPr>
            <w:tcW w:w="738" w:type="pct"/>
            <w:noWrap/>
            <w:hideMark/>
          </w:tcPr>
          <w:p w14:paraId="5A54A407"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7C259787"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0443EE44" w14:textId="77777777" w:rsidTr="00667D81">
        <w:trPr>
          <w:trHeight w:val="227"/>
        </w:trPr>
        <w:tc>
          <w:tcPr>
            <w:tcW w:w="5000" w:type="pct"/>
            <w:gridSpan w:val="3"/>
            <w:noWrap/>
            <w:vAlign w:val="center"/>
            <w:hideMark/>
          </w:tcPr>
          <w:p w14:paraId="44B8E55D" w14:textId="77777777" w:rsidR="00826D3B" w:rsidRPr="00C34520" w:rsidRDefault="00826D3B" w:rsidP="00DE0052">
            <w:pPr>
              <w:pStyle w:val="In-tableHeading"/>
              <w:rPr>
                <w:lang w:val="en-AU"/>
              </w:rPr>
            </w:pPr>
            <w:r w:rsidRPr="00C34520">
              <w:rPr>
                <w:lang w:val="en-AU"/>
              </w:rPr>
              <w:t>Chronic renal disease</w:t>
            </w:r>
          </w:p>
        </w:tc>
      </w:tr>
      <w:tr w:rsidR="00826D3B" w:rsidRPr="00C34520" w14:paraId="53FF7B70" w14:textId="77777777" w:rsidTr="00667D81">
        <w:trPr>
          <w:trHeight w:val="227"/>
        </w:trPr>
        <w:tc>
          <w:tcPr>
            <w:tcW w:w="3638" w:type="pct"/>
            <w:noWrap/>
            <w:hideMark/>
          </w:tcPr>
          <w:p w14:paraId="3D185323" w14:textId="77777777" w:rsidR="00826D3B" w:rsidRPr="00C34520" w:rsidRDefault="00826D3B" w:rsidP="00DE0052">
            <w:pPr>
              <w:pStyle w:val="TableText0"/>
            </w:pPr>
            <w:r w:rsidRPr="00C34520">
              <w:t>Relapsing or persistent nephrotic syndrome</w:t>
            </w:r>
          </w:p>
        </w:tc>
        <w:tc>
          <w:tcPr>
            <w:tcW w:w="738" w:type="pct"/>
            <w:noWrap/>
            <w:hideMark/>
          </w:tcPr>
          <w:p w14:paraId="693A348A"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78FE6F44" w14:textId="77777777" w:rsidR="00826D3B" w:rsidRPr="00C34520" w:rsidRDefault="00826D3B" w:rsidP="00DE0052">
            <w:pPr>
              <w:pStyle w:val="TableText0"/>
              <w:jc w:val="center"/>
            </w:pPr>
            <w:r w:rsidRPr="00C34520">
              <w:rPr>
                <w:rFonts w:ascii="Segoe UI Symbol" w:hAnsi="Segoe UI Symbol" w:cs="Segoe UI Symbol"/>
              </w:rPr>
              <w:t>✓</w:t>
            </w:r>
          </w:p>
        </w:tc>
      </w:tr>
      <w:tr w:rsidR="00826D3B" w:rsidRPr="00C34520" w14:paraId="4C9AE6D0" w14:textId="77777777" w:rsidTr="00667D81">
        <w:trPr>
          <w:trHeight w:val="227"/>
        </w:trPr>
        <w:tc>
          <w:tcPr>
            <w:tcW w:w="3638" w:type="pct"/>
            <w:noWrap/>
            <w:hideMark/>
          </w:tcPr>
          <w:p w14:paraId="0B2F5BB8" w14:textId="77777777" w:rsidR="00826D3B" w:rsidRPr="00C34520" w:rsidRDefault="00826D3B" w:rsidP="00DE0052">
            <w:pPr>
              <w:pStyle w:val="TableText0"/>
            </w:pPr>
            <w:r w:rsidRPr="00C34520">
              <w:t>Chronic renal impairment - eGFR &lt;15 mL/min</w:t>
            </w:r>
          </w:p>
        </w:tc>
        <w:tc>
          <w:tcPr>
            <w:tcW w:w="738" w:type="pct"/>
            <w:noWrap/>
            <w:hideMark/>
          </w:tcPr>
          <w:p w14:paraId="32DE6821" w14:textId="77777777" w:rsidR="00826D3B" w:rsidRPr="00C34520" w:rsidRDefault="00826D3B" w:rsidP="00DE0052">
            <w:pPr>
              <w:pStyle w:val="TableText0"/>
              <w:jc w:val="center"/>
              <w:rPr>
                <w:vertAlign w:val="superscript"/>
              </w:rPr>
            </w:pPr>
            <w:r w:rsidRPr="00C34520">
              <w:rPr>
                <w:rFonts w:ascii="Segoe UI Symbol" w:hAnsi="Segoe UI Symbol" w:cs="Segoe UI Symbol"/>
              </w:rPr>
              <w:t>✓</w:t>
            </w:r>
            <w:r w:rsidRPr="00C34520">
              <w:rPr>
                <w:rFonts w:ascii="Segoe UI Symbol" w:hAnsi="Segoe UI Symbol" w:cs="Segoe UI Symbol"/>
                <w:vertAlign w:val="superscript"/>
              </w:rPr>
              <w:t>a</w:t>
            </w:r>
          </w:p>
        </w:tc>
        <w:tc>
          <w:tcPr>
            <w:tcW w:w="624" w:type="pct"/>
            <w:noWrap/>
            <w:hideMark/>
          </w:tcPr>
          <w:p w14:paraId="194D7C01" w14:textId="77777777" w:rsidR="00826D3B" w:rsidRPr="00C34520" w:rsidRDefault="00826D3B" w:rsidP="00DE0052">
            <w:pPr>
              <w:pStyle w:val="TableText0"/>
              <w:jc w:val="center"/>
              <w:rPr>
                <w:vertAlign w:val="superscript"/>
              </w:rPr>
            </w:pPr>
            <w:r w:rsidRPr="00C34520">
              <w:rPr>
                <w:rFonts w:ascii="Segoe UI Symbol" w:hAnsi="Segoe UI Symbol" w:cs="Segoe UI Symbol"/>
              </w:rPr>
              <w:t>✓</w:t>
            </w:r>
            <w:r w:rsidRPr="00C34520">
              <w:rPr>
                <w:rFonts w:ascii="Segoe UI Symbol" w:hAnsi="Segoe UI Symbol" w:cs="Segoe UI Symbol"/>
                <w:vertAlign w:val="superscript"/>
              </w:rPr>
              <w:t>a</w:t>
            </w:r>
          </w:p>
        </w:tc>
      </w:tr>
      <w:tr w:rsidR="00826D3B" w:rsidRPr="00C34520" w14:paraId="1F1F1E43" w14:textId="77777777" w:rsidTr="00667D81">
        <w:trPr>
          <w:trHeight w:val="227"/>
        </w:trPr>
        <w:tc>
          <w:tcPr>
            <w:tcW w:w="5000" w:type="pct"/>
            <w:gridSpan w:val="3"/>
            <w:noWrap/>
            <w:vAlign w:val="center"/>
            <w:hideMark/>
          </w:tcPr>
          <w:p w14:paraId="6D959918" w14:textId="77777777" w:rsidR="00826D3B" w:rsidRPr="00C34520" w:rsidRDefault="00826D3B" w:rsidP="00DE0052">
            <w:pPr>
              <w:pStyle w:val="In-tableHeading"/>
              <w:rPr>
                <w:lang w:val="en-AU"/>
              </w:rPr>
            </w:pPr>
            <w:r w:rsidRPr="00C34520">
              <w:rPr>
                <w:lang w:val="en-AU"/>
              </w:rPr>
              <w:t>Cardiac disease, including</w:t>
            </w:r>
          </w:p>
        </w:tc>
      </w:tr>
      <w:tr w:rsidR="00826D3B" w:rsidRPr="00C34520" w14:paraId="050B8CA9" w14:textId="77777777" w:rsidTr="00667D81">
        <w:trPr>
          <w:trHeight w:val="227"/>
        </w:trPr>
        <w:tc>
          <w:tcPr>
            <w:tcW w:w="3638" w:type="pct"/>
            <w:noWrap/>
            <w:hideMark/>
          </w:tcPr>
          <w:p w14:paraId="07D8C397" w14:textId="77777777" w:rsidR="00826D3B" w:rsidRPr="00C34520" w:rsidRDefault="00826D3B" w:rsidP="00DE0052">
            <w:pPr>
              <w:pStyle w:val="TableText0"/>
            </w:pPr>
            <w:r w:rsidRPr="00C34520">
              <w:t>Congenital heart disease</w:t>
            </w:r>
          </w:p>
        </w:tc>
        <w:tc>
          <w:tcPr>
            <w:tcW w:w="738" w:type="pct"/>
            <w:noWrap/>
            <w:hideMark/>
          </w:tcPr>
          <w:p w14:paraId="21D423C4"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626CDA9C" w14:textId="77777777" w:rsidR="00826D3B" w:rsidRPr="00C34520" w:rsidRDefault="00826D3B" w:rsidP="00DE0052">
            <w:pPr>
              <w:pStyle w:val="TableText0"/>
              <w:jc w:val="center"/>
            </w:pPr>
          </w:p>
        </w:tc>
      </w:tr>
      <w:tr w:rsidR="00826D3B" w:rsidRPr="00C34520" w14:paraId="0CB983F3" w14:textId="77777777" w:rsidTr="00667D81">
        <w:trPr>
          <w:trHeight w:val="227"/>
        </w:trPr>
        <w:tc>
          <w:tcPr>
            <w:tcW w:w="3638" w:type="pct"/>
            <w:noWrap/>
            <w:hideMark/>
          </w:tcPr>
          <w:p w14:paraId="271FD7C8" w14:textId="77777777" w:rsidR="00826D3B" w:rsidRPr="00C34520" w:rsidRDefault="00826D3B" w:rsidP="00DE0052">
            <w:pPr>
              <w:pStyle w:val="TableText0"/>
            </w:pPr>
            <w:r w:rsidRPr="00C34520">
              <w:t>Coronary artery disease</w:t>
            </w:r>
          </w:p>
        </w:tc>
        <w:tc>
          <w:tcPr>
            <w:tcW w:w="738" w:type="pct"/>
            <w:noWrap/>
            <w:hideMark/>
          </w:tcPr>
          <w:p w14:paraId="0BA5E9D4"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77081924" w14:textId="77777777" w:rsidR="00826D3B" w:rsidRPr="00C34520" w:rsidRDefault="00826D3B" w:rsidP="00DE0052">
            <w:pPr>
              <w:pStyle w:val="TableText0"/>
              <w:jc w:val="center"/>
            </w:pPr>
          </w:p>
        </w:tc>
      </w:tr>
      <w:tr w:rsidR="00826D3B" w:rsidRPr="00C34520" w14:paraId="2800A228" w14:textId="77777777" w:rsidTr="00667D81">
        <w:trPr>
          <w:trHeight w:val="227"/>
        </w:trPr>
        <w:tc>
          <w:tcPr>
            <w:tcW w:w="3638" w:type="pct"/>
            <w:noWrap/>
            <w:hideMark/>
          </w:tcPr>
          <w:p w14:paraId="4407BD25" w14:textId="77777777" w:rsidR="00826D3B" w:rsidRPr="00C34520" w:rsidRDefault="00826D3B" w:rsidP="00DE0052">
            <w:pPr>
              <w:pStyle w:val="TableText0"/>
            </w:pPr>
            <w:r w:rsidRPr="00C34520">
              <w:t>Heart failure</w:t>
            </w:r>
          </w:p>
        </w:tc>
        <w:tc>
          <w:tcPr>
            <w:tcW w:w="738" w:type="pct"/>
            <w:noWrap/>
            <w:hideMark/>
          </w:tcPr>
          <w:p w14:paraId="77F0134C"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5021492A" w14:textId="77777777" w:rsidR="00826D3B" w:rsidRPr="00C34520" w:rsidRDefault="00826D3B" w:rsidP="00DE0052">
            <w:pPr>
              <w:pStyle w:val="TableText0"/>
              <w:jc w:val="center"/>
            </w:pPr>
          </w:p>
        </w:tc>
      </w:tr>
      <w:tr w:rsidR="00826D3B" w:rsidRPr="00C34520" w14:paraId="786DB717" w14:textId="77777777" w:rsidTr="00667D81">
        <w:trPr>
          <w:trHeight w:val="227"/>
        </w:trPr>
        <w:tc>
          <w:tcPr>
            <w:tcW w:w="5000" w:type="pct"/>
            <w:gridSpan w:val="3"/>
            <w:noWrap/>
            <w:vAlign w:val="center"/>
          </w:tcPr>
          <w:p w14:paraId="3B59A077" w14:textId="77777777" w:rsidR="00826D3B" w:rsidRPr="00C34520" w:rsidRDefault="00826D3B" w:rsidP="00DE0052">
            <w:pPr>
              <w:pStyle w:val="In-tableHeading"/>
              <w:rPr>
                <w:lang w:val="en-AU"/>
              </w:rPr>
            </w:pPr>
            <w:r w:rsidRPr="00C34520">
              <w:rPr>
                <w:lang w:val="en-AU"/>
              </w:rPr>
              <w:t>Others</w:t>
            </w:r>
          </w:p>
        </w:tc>
      </w:tr>
      <w:tr w:rsidR="00826D3B" w:rsidRPr="00C34520" w14:paraId="4F0A383F" w14:textId="77777777" w:rsidTr="00667D81">
        <w:trPr>
          <w:trHeight w:val="227"/>
        </w:trPr>
        <w:tc>
          <w:tcPr>
            <w:tcW w:w="3638" w:type="pct"/>
            <w:noWrap/>
            <w:hideMark/>
          </w:tcPr>
          <w:p w14:paraId="2415E099" w14:textId="77777777" w:rsidR="00826D3B" w:rsidRPr="00C34520" w:rsidRDefault="00826D3B" w:rsidP="00DE0052">
            <w:pPr>
              <w:pStyle w:val="TableText0"/>
            </w:pPr>
            <w:r w:rsidRPr="00C34520">
              <w:t>Children born less than 28 weeks gestation</w:t>
            </w:r>
          </w:p>
        </w:tc>
        <w:tc>
          <w:tcPr>
            <w:tcW w:w="738" w:type="pct"/>
            <w:noWrap/>
            <w:hideMark/>
          </w:tcPr>
          <w:p w14:paraId="76560F24"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5E8FD5CE" w14:textId="77777777" w:rsidR="00826D3B" w:rsidRPr="00C34520" w:rsidRDefault="00826D3B" w:rsidP="00DE0052">
            <w:pPr>
              <w:pStyle w:val="TableText0"/>
              <w:jc w:val="center"/>
            </w:pPr>
          </w:p>
        </w:tc>
      </w:tr>
      <w:tr w:rsidR="00826D3B" w:rsidRPr="00C34520" w14:paraId="0C5F1E7D" w14:textId="77777777" w:rsidTr="00667D81">
        <w:trPr>
          <w:trHeight w:val="227"/>
        </w:trPr>
        <w:tc>
          <w:tcPr>
            <w:tcW w:w="3638" w:type="pct"/>
            <w:noWrap/>
            <w:hideMark/>
          </w:tcPr>
          <w:p w14:paraId="561C9EC1" w14:textId="77777777" w:rsidR="00826D3B" w:rsidRPr="00C34520" w:rsidRDefault="00826D3B" w:rsidP="00DE0052">
            <w:pPr>
              <w:pStyle w:val="TableText0"/>
            </w:pPr>
            <w:r w:rsidRPr="00C34520">
              <w:t>Trisomy 21</w:t>
            </w:r>
          </w:p>
        </w:tc>
        <w:tc>
          <w:tcPr>
            <w:tcW w:w="738" w:type="pct"/>
            <w:noWrap/>
            <w:hideMark/>
          </w:tcPr>
          <w:p w14:paraId="23033219" w14:textId="77777777" w:rsidR="00826D3B" w:rsidRPr="00C34520" w:rsidRDefault="00826D3B" w:rsidP="00DE0052">
            <w:pPr>
              <w:pStyle w:val="TableText0"/>
              <w:jc w:val="center"/>
            </w:pPr>
            <w:r w:rsidRPr="00C34520">
              <w:rPr>
                <w:rFonts w:ascii="Segoe UI Symbol" w:hAnsi="Segoe UI Symbol" w:cs="Segoe UI Symbol"/>
              </w:rPr>
              <w:t>✓</w:t>
            </w:r>
          </w:p>
        </w:tc>
        <w:tc>
          <w:tcPr>
            <w:tcW w:w="624" w:type="pct"/>
            <w:noWrap/>
            <w:hideMark/>
          </w:tcPr>
          <w:p w14:paraId="4CA5B6B5" w14:textId="77777777" w:rsidR="00826D3B" w:rsidRPr="00C34520" w:rsidRDefault="00826D3B" w:rsidP="00DE0052">
            <w:pPr>
              <w:pStyle w:val="TableText0"/>
              <w:jc w:val="center"/>
            </w:pPr>
          </w:p>
        </w:tc>
      </w:tr>
    </w:tbl>
    <w:p w14:paraId="382167FE" w14:textId="77777777" w:rsidR="00826D3B" w:rsidRPr="00C34520" w:rsidRDefault="00826D3B" w:rsidP="00826D3B">
      <w:pPr>
        <w:pStyle w:val="FooterTableFigure"/>
      </w:pPr>
      <w:r w:rsidRPr="00C34520">
        <w:t xml:space="preserve">Source: Table 1.1.1, pp5-7 of the submission; </w:t>
      </w:r>
      <w:bookmarkStart w:id="20" w:name="_Hlk144478325"/>
      <w:r w:rsidRPr="00C34520">
        <w:t>Table 1-1 of the ATAGI Advice to the PBAC.</w:t>
      </w:r>
      <w:bookmarkEnd w:id="20"/>
    </w:p>
    <w:p w14:paraId="749F5928" w14:textId="77777777" w:rsidR="00826D3B" w:rsidRPr="00C34520" w:rsidRDefault="00826D3B" w:rsidP="00826D3B">
      <w:pPr>
        <w:pStyle w:val="FooterTableFigure"/>
      </w:pPr>
      <w:r w:rsidRPr="00C34520">
        <w:t>eGFR = estimated glomerular filtration rate; HIV = human immunodeficiency virus; IgA = immunoglobulin A; IgG = immunoglobulin G.</w:t>
      </w:r>
    </w:p>
    <w:p w14:paraId="5D421FBD" w14:textId="2812FB19" w:rsidR="00826D3B" w:rsidRPr="00A40D48" w:rsidRDefault="00826D3B" w:rsidP="00A40D48">
      <w:pPr>
        <w:pStyle w:val="FooterTableFigure"/>
      </w:pPr>
      <w:r w:rsidRPr="00C34520">
        <w:rPr>
          <w:vertAlign w:val="superscript"/>
        </w:rPr>
        <w:t>a</w:t>
      </w:r>
      <w:r w:rsidRPr="00C34520">
        <w:t xml:space="preserve"> Funded under the NIP for eGFR &lt; 15mL/min only (including patients on dialysis).</w:t>
      </w:r>
    </w:p>
    <w:p w14:paraId="4CC8781E" w14:textId="66007C24" w:rsidR="00826D3B" w:rsidRPr="00D15D0C" w:rsidRDefault="00826D3B" w:rsidP="00F625A4">
      <w:pPr>
        <w:pStyle w:val="3-BodyText"/>
      </w:pPr>
      <w:bookmarkStart w:id="21" w:name="_Hlk144476676"/>
      <w:r w:rsidRPr="00D15D0C">
        <w:t>In 2019 there were 459 cases of IPD in children and adolescents aged 19 or less in Australia, of which 65 were in Aboriginal and Torres Strait Islander children and adolescents.</w:t>
      </w:r>
      <w:bookmarkStart w:id="22" w:name="_Ref144720681"/>
      <w:r w:rsidRPr="00D15D0C">
        <w:rPr>
          <w:rStyle w:val="FootnoteReference"/>
        </w:rPr>
        <w:footnoteReference w:id="2"/>
      </w:r>
      <w:bookmarkEnd w:id="22"/>
      <w:r w:rsidRPr="00D15D0C">
        <w:t xml:space="preserve"> The ATAGI Advice to the PBAC noted a 1.</w:t>
      </w:r>
      <w:r w:rsidR="00D150E7" w:rsidRPr="00D15D0C">
        <w:t>3</w:t>
      </w:r>
      <w:r w:rsidRPr="00D15D0C">
        <w:t xml:space="preserve">% case fatality rate for children aged </w:t>
      </w:r>
      <w:r w:rsidR="001631A8" w:rsidRPr="00D15D0C">
        <w:t xml:space="preserve">2 </w:t>
      </w:r>
      <w:r w:rsidRPr="00D15D0C">
        <w:t>years or less, which might be 1.6 times higher for Aboriginal and Torres Strait Islander children (ATAGI Advice to the PBAC).</w:t>
      </w:r>
    </w:p>
    <w:bookmarkEnd w:id="21"/>
    <w:p w14:paraId="41B4E44D" w14:textId="2A9E8E3D" w:rsidR="00826D3B" w:rsidRPr="00C34520" w:rsidRDefault="00826D3B" w:rsidP="00F625A4">
      <w:pPr>
        <w:pStyle w:val="3-BodyText"/>
      </w:pPr>
      <w:r w:rsidRPr="00C34520">
        <w:t xml:space="preserve">The submission also estimated that approximately 0.96% of children aged </w:t>
      </w:r>
      <w:r w:rsidR="001631A8">
        <w:t>1</w:t>
      </w:r>
      <w:r w:rsidR="001631A8" w:rsidRPr="00C34520">
        <w:t xml:space="preserve"> </w:t>
      </w:r>
      <w:r w:rsidRPr="00C34520">
        <w:t>to 17</w:t>
      </w:r>
      <w:r w:rsidR="00FF0BF9">
        <w:t> </w:t>
      </w:r>
      <w:r w:rsidRPr="00C34520">
        <w:t>years had a risk condition.</w:t>
      </w:r>
    </w:p>
    <w:p w14:paraId="53A729CD" w14:textId="5C039A4E" w:rsidR="00826D3B" w:rsidRPr="00902DEA" w:rsidRDefault="00826D3B" w:rsidP="00F625A4">
      <w:pPr>
        <w:pStyle w:val="3-BodyText"/>
        <w:rPr>
          <w:iCs/>
        </w:rPr>
      </w:pPr>
      <w:r w:rsidRPr="00C34520">
        <w:fldChar w:fldCharType="begin"/>
      </w:r>
      <w:r w:rsidRPr="00C34520">
        <w:instrText xml:space="preserve"> REF _Ref143773795 \h </w:instrText>
      </w:r>
      <w:r w:rsidRPr="00C34520">
        <w:fldChar w:fldCharType="separate"/>
      </w:r>
      <w:r w:rsidR="009523CC" w:rsidRPr="00C34520">
        <w:t xml:space="preserve">Table </w:t>
      </w:r>
      <w:r w:rsidR="009523CC">
        <w:rPr>
          <w:noProof/>
        </w:rPr>
        <w:t>4</w:t>
      </w:r>
      <w:r w:rsidRPr="00C34520">
        <w:fldChar w:fldCharType="end"/>
      </w:r>
      <w:r w:rsidRPr="00C34520">
        <w:t xml:space="preserve"> summarises IPD cases per serotype distribution and population.</w:t>
      </w:r>
    </w:p>
    <w:p w14:paraId="4EFB706B" w14:textId="15747419" w:rsidR="00826D3B" w:rsidRPr="00C34520" w:rsidRDefault="00826D3B" w:rsidP="00D132A0">
      <w:pPr>
        <w:pStyle w:val="Caption"/>
      </w:pPr>
      <w:bookmarkStart w:id="23" w:name="_Ref143773795"/>
      <w:r w:rsidRPr="00C34520">
        <w:lastRenderedPageBreak/>
        <w:t xml:space="preserve">Table </w:t>
      </w:r>
      <w:fldSimple w:instr=" SEQ Table \* ARABIC ">
        <w:r w:rsidR="009523CC">
          <w:rPr>
            <w:noProof/>
          </w:rPr>
          <w:t>4</w:t>
        </w:r>
      </w:fldSimple>
      <w:bookmarkEnd w:id="23"/>
      <w:r w:rsidRPr="00C34520">
        <w:t>: IPD serotype distribution in age groups and Indigenous status for paediatric NIP populations</w:t>
      </w:r>
    </w:p>
    <w:tbl>
      <w:tblPr>
        <w:tblW w:w="5000" w:type="pct"/>
        <w:tblLook w:val="04A0" w:firstRow="1" w:lastRow="0" w:firstColumn="1" w:lastColumn="0" w:noHBand="0" w:noVBand="1"/>
      </w:tblPr>
      <w:tblGrid>
        <w:gridCol w:w="1227"/>
        <w:gridCol w:w="1336"/>
        <w:gridCol w:w="1335"/>
        <w:gridCol w:w="1335"/>
        <w:gridCol w:w="1335"/>
        <w:gridCol w:w="1331"/>
        <w:gridCol w:w="1118"/>
      </w:tblGrid>
      <w:tr w:rsidR="00826D3B" w:rsidRPr="000B6735" w14:paraId="0CD68C1F" w14:textId="77777777" w:rsidTr="00667D81">
        <w:trPr>
          <w:trHeight w:val="20"/>
          <w:tblHeader/>
        </w:trPr>
        <w:tc>
          <w:tcPr>
            <w:tcW w:w="681" w:type="pct"/>
            <w:tcBorders>
              <w:top w:val="single" w:sz="4" w:space="0" w:color="auto"/>
              <w:left w:val="single" w:sz="4" w:space="0" w:color="auto"/>
              <w:bottom w:val="single" w:sz="4" w:space="0" w:color="auto"/>
              <w:right w:val="nil"/>
            </w:tcBorders>
            <w:shd w:val="clear" w:color="auto" w:fill="FFFFFF" w:themeFill="background1"/>
            <w:vAlign w:val="center"/>
          </w:tcPr>
          <w:p w14:paraId="1F1495A2" w14:textId="77777777" w:rsidR="00826D3B" w:rsidRPr="000B6735" w:rsidRDefault="00826D3B" w:rsidP="00DE0052">
            <w:pPr>
              <w:pStyle w:val="In-tableHeading"/>
              <w:jc w:val="center"/>
              <w:rPr>
                <w:lang w:val="en-AU"/>
              </w:rPr>
            </w:pPr>
            <w:r w:rsidRPr="000B6735">
              <w:rPr>
                <w:lang w:val="en-AU"/>
              </w:rPr>
              <w:t>Vaccine</w:t>
            </w:r>
          </w:p>
        </w:tc>
        <w:tc>
          <w:tcPr>
            <w:tcW w:w="741" w:type="pct"/>
            <w:tcBorders>
              <w:top w:val="single" w:sz="4" w:space="0" w:color="auto"/>
              <w:left w:val="single" w:sz="4" w:space="0" w:color="auto"/>
              <w:bottom w:val="single" w:sz="4" w:space="0" w:color="auto"/>
              <w:right w:val="nil"/>
            </w:tcBorders>
            <w:shd w:val="clear" w:color="auto" w:fill="FFFFFF" w:themeFill="background1"/>
            <w:vAlign w:val="center"/>
            <w:hideMark/>
          </w:tcPr>
          <w:p w14:paraId="73BD3CBE" w14:textId="0A2DEDAF" w:rsidR="00826D3B" w:rsidRPr="000B6735" w:rsidRDefault="00826D3B" w:rsidP="00DE0052">
            <w:pPr>
              <w:pStyle w:val="In-tableHeading"/>
              <w:jc w:val="center"/>
              <w:rPr>
                <w:vertAlign w:val="superscript"/>
                <w:lang w:val="en-AU"/>
              </w:rPr>
            </w:pPr>
            <w:r w:rsidRPr="000B6735">
              <w:rPr>
                <w:lang w:val="en-AU"/>
              </w:rPr>
              <w:t>Children &lt;2 years in NSW, ACT, and TAS and non-Indigenous children &lt;2 years in NT, QLD, SA and WA </w:t>
            </w:r>
            <w:r w:rsidRPr="000B6735">
              <w:rPr>
                <w:vertAlign w:val="superscript"/>
                <w:lang w:val="en-AU"/>
              </w:rPr>
              <w:t>a, b</w:t>
            </w:r>
          </w:p>
        </w:tc>
        <w:tc>
          <w:tcPr>
            <w:tcW w:w="740" w:type="pct"/>
            <w:tcBorders>
              <w:top w:val="single" w:sz="4" w:space="0" w:color="auto"/>
              <w:left w:val="single" w:sz="4" w:space="0" w:color="auto"/>
              <w:bottom w:val="single" w:sz="4" w:space="0" w:color="auto"/>
              <w:right w:val="nil"/>
            </w:tcBorders>
            <w:shd w:val="clear" w:color="auto" w:fill="FFFFFF" w:themeFill="background1"/>
            <w:vAlign w:val="center"/>
            <w:hideMark/>
          </w:tcPr>
          <w:p w14:paraId="3DD03D82" w14:textId="77777777" w:rsidR="00826D3B" w:rsidRPr="000B6735" w:rsidRDefault="00826D3B" w:rsidP="00DE0052">
            <w:pPr>
              <w:pStyle w:val="In-tableHeading"/>
              <w:jc w:val="center"/>
              <w:rPr>
                <w:lang w:val="en-AU"/>
              </w:rPr>
            </w:pPr>
            <w:r w:rsidRPr="000B6735">
              <w:rPr>
                <w:lang w:val="en-AU"/>
              </w:rPr>
              <w:t>Aboriginal and Torres Strait Islander children &lt;2 years (NT, QLD, SA and WA)</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4810F" w14:textId="77777777" w:rsidR="00826D3B" w:rsidRPr="000B6735" w:rsidRDefault="00826D3B" w:rsidP="00DE0052">
            <w:pPr>
              <w:pStyle w:val="In-tableHeading"/>
              <w:jc w:val="center"/>
              <w:rPr>
                <w:lang w:val="en-AU"/>
              </w:rPr>
            </w:pPr>
            <w:r w:rsidRPr="000B6735">
              <w:rPr>
                <w:lang w:val="en-AU"/>
              </w:rPr>
              <w:t>Non-indigenous children &lt;2 years with risk conditions</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81EAE" w14:textId="77777777" w:rsidR="00826D3B" w:rsidRPr="000B6735" w:rsidRDefault="00826D3B" w:rsidP="00DE0052">
            <w:pPr>
              <w:pStyle w:val="In-tableHeading"/>
              <w:jc w:val="center"/>
              <w:rPr>
                <w:lang w:val="en-AU"/>
              </w:rPr>
            </w:pPr>
            <w:r w:rsidRPr="000B6735">
              <w:rPr>
                <w:lang w:val="en-AU"/>
              </w:rPr>
              <w:t>Non-indigenous children 5-&lt;18 years with risk conditions</w:t>
            </w:r>
          </w:p>
        </w:tc>
        <w:tc>
          <w:tcPr>
            <w:tcW w:w="738" w:type="pct"/>
            <w:tcBorders>
              <w:top w:val="single" w:sz="4" w:space="0" w:color="auto"/>
              <w:left w:val="single" w:sz="4" w:space="0" w:color="auto"/>
              <w:bottom w:val="single" w:sz="4" w:space="0" w:color="auto"/>
              <w:right w:val="nil"/>
            </w:tcBorders>
            <w:shd w:val="clear" w:color="auto" w:fill="FFFFFF" w:themeFill="background1"/>
            <w:vAlign w:val="center"/>
            <w:hideMark/>
          </w:tcPr>
          <w:p w14:paraId="346DA100" w14:textId="288A83B7" w:rsidR="00826D3B" w:rsidRPr="00C460F9" w:rsidRDefault="00826D3B" w:rsidP="00DE0052">
            <w:pPr>
              <w:pStyle w:val="In-tableHeading"/>
              <w:jc w:val="center"/>
              <w:rPr>
                <w:vertAlign w:val="superscript"/>
                <w:lang w:val="en-AU"/>
              </w:rPr>
            </w:pPr>
            <w:r w:rsidRPr="00C460F9">
              <w:rPr>
                <w:lang w:val="en-AU"/>
              </w:rPr>
              <w:t>Children &lt;12 months </w:t>
            </w:r>
            <w:r w:rsidRPr="00C460F9">
              <w:rPr>
                <w:vertAlign w:val="superscript"/>
                <w:lang w:val="en-AU"/>
              </w:rPr>
              <w:t>a, c</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641C8" w14:textId="77777777" w:rsidR="00826D3B" w:rsidRPr="00C460F9" w:rsidRDefault="00826D3B" w:rsidP="00DE0052">
            <w:pPr>
              <w:pStyle w:val="In-tableHeading"/>
              <w:jc w:val="center"/>
              <w:rPr>
                <w:vertAlign w:val="superscript"/>
                <w:lang w:val="en-AU"/>
              </w:rPr>
            </w:pPr>
            <w:r w:rsidRPr="00C460F9">
              <w:rPr>
                <w:lang w:val="en-AU"/>
              </w:rPr>
              <w:t>Children 1-17 years </w:t>
            </w:r>
            <w:r w:rsidRPr="00C460F9">
              <w:rPr>
                <w:vertAlign w:val="superscript"/>
                <w:lang w:val="en-AU"/>
              </w:rPr>
              <w:t>a, c</w:t>
            </w:r>
          </w:p>
        </w:tc>
      </w:tr>
      <w:tr w:rsidR="00826D3B" w:rsidRPr="000B6735" w14:paraId="3F70765C" w14:textId="77777777" w:rsidTr="00667D81">
        <w:trPr>
          <w:trHeight w:val="20"/>
        </w:trPr>
        <w:tc>
          <w:tcPr>
            <w:tcW w:w="681" w:type="pct"/>
            <w:tcBorders>
              <w:top w:val="single" w:sz="4" w:space="0" w:color="auto"/>
              <w:left w:val="single" w:sz="4" w:space="0" w:color="auto"/>
              <w:bottom w:val="single" w:sz="4" w:space="0" w:color="auto"/>
              <w:right w:val="nil"/>
            </w:tcBorders>
            <w:shd w:val="clear" w:color="auto" w:fill="FFFFFF" w:themeFill="background1"/>
          </w:tcPr>
          <w:p w14:paraId="1DCA3B7C" w14:textId="77777777" w:rsidR="00826D3B" w:rsidRPr="000B6735" w:rsidRDefault="00826D3B" w:rsidP="00DE0052">
            <w:pPr>
              <w:pStyle w:val="TableText0"/>
              <w:rPr>
                <w:vertAlign w:val="superscript"/>
              </w:rPr>
            </w:pPr>
            <w:r w:rsidRPr="000B6735">
              <w:t xml:space="preserve">% of cases involving strains in 13vPCV </w:t>
            </w:r>
            <w:r w:rsidRPr="000B6735">
              <w:rPr>
                <w:vertAlign w:val="superscript"/>
              </w:rPr>
              <w:t>d</w:t>
            </w:r>
          </w:p>
        </w:tc>
        <w:tc>
          <w:tcPr>
            <w:tcW w:w="741"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7258BCB1" w14:textId="77777777" w:rsidR="00826D3B" w:rsidRPr="000B6735" w:rsidRDefault="00826D3B" w:rsidP="00DE0052">
            <w:pPr>
              <w:pStyle w:val="TableText0"/>
              <w:jc w:val="center"/>
            </w:pPr>
            <w:r w:rsidRPr="000B6735">
              <w:t>29%</w:t>
            </w:r>
          </w:p>
        </w:tc>
        <w:tc>
          <w:tcPr>
            <w:tcW w:w="740"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514BB86D" w14:textId="77777777" w:rsidR="00826D3B" w:rsidRPr="000B6735" w:rsidRDefault="00826D3B" w:rsidP="00DE0052">
            <w:pPr>
              <w:pStyle w:val="TableText0"/>
              <w:jc w:val="center"/>
            </w:pPr>
            <w:r w:rsidRPr="000B6735">
              <w:t>9%</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F1D9D" w14:textId="77777777" w:rsidR="00826D3B" w:rsidRPr="000B6735" w:rsidRDefault="00826D3B" w:rsidP="00DE0052">
            <w:pPr>
              <w:pStyle w:val="TableText0"/>
              <w:jc w:val="center"/>
            </w:pPr>
            <w:r w:rsidRPr="000B6735">
              <w:t>28%</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FF14" w14:textId="77777777" w:rsidR="00826D3B" w:rsidRPr="000B6735" w:rsidRDefault="00826D3B" w:rsidP="00DE0052">
            <w:pPr>
              <w:pStyle w:val="TableText0"/>
              <w:jc w:val="center"/>
            </w:pPr>
            <w:r w:rsidRPr="000B6735">
              <w:t>17%</w:t>
            </w:r>
          </w:p>
        </w:tc>
        <w:tc>
          <w:tcPr>
            <w:tcW w:w="7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F98373" w14:textId="77777777" w:rsidR="00826D3B" w:rsidRPr="00C460F9" w:rsidRDefault="00826D3B" w:rsidP="00DE0052">
            <w:pPr>
              <w:pStyle w:val="TableText0"/>
              <w:jc w:val="center"/>
            </w:pPr>
            <w:r w:rsidRPr="00C460F9">
              <w:t>36%</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349CCF" w14:textId="77777777" w:rsidR="00826D3B" w:rsidRPr="00C460F9" w:rsidRDefault="00826D3B" w:rsidP="00DE0052">
            <w:pPr>
              <w:pStyle w:val="TableText0"/>
              <w:jc w:val="center"/>
            </w:pPr>
            <w:r w:rsidRPr="00C460F9">
              <w:t>43%</w:t>
            </w:r>
          </w:p>
        </w:tc>
      </w:tr>
      <w:tr w:rsidR="00826D3B" w:rsidRPr="000B6735" w14:paraId="4FE5E1F2" w14:textId="77777777" w:rsidTr="00667D81">
        <w:trPr>
          <w:trHeight w:val="20"/>
        </w:trPr>
        <w:tc>
          <w:tcPr>
            <w:tcW w:w="681" w:type="pct"/>
            <w:tcBorders>
              <w:top w:val="single" w:sz="4" w:space="0" w:color="auto"/>
              <w:left w:val="single" w:sz="4" w:space="0" w:color="auto"/>
              <w:bottom w:val="single" w:sz="4" w:space="0" w:color="auto"/>
              <w:right w:val="nil"/>
            </w:tcBorders>
            <w:shd w:val="clear" w:color="auto" w:fill="FFFFFF" w:themeFill="background1"/>
          </w:tcPr>
          <w:p w14:paraId="587973FF" w14:textId="3980AA41" w:rsidR="00826D3B" w:rsidRPr="000B6735" w:rsidRDefault="00826D3B" w:rsidP="00DE0052">
            <w:pPr>
              <w:pStyle w:val="TableText0"/>
            </w:pPr>
            <w:r w:rsidRPr="000B6735">
              <w:t>% of cases involving strains in 15vPCV but no</w:t>
            </w:r>
            <w:r w:rsidR="002B271D" w:rsidRPr="000B6735">
              <w:t xml:space="preserve">t in </w:t>
            </w:r>
            <w:r w:rsidRPr="000B6735">
              <w:t>13vPCV</w:t>
            </w:r>
          </w:p>
        </w:tc>
        <w:tc>
          <w:tcPr>
            <w:tcW w:w="741"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4663EFE7" w14:textId="77777777" w:rsidR="00826D3B" w:rsidRPr="000B6735" w:rsidRDefault="00826D3B" w:rsidP="00DE0052">
            <w:pPr>
              <w:pStyle w:val="TableText0"/>
              <w:jc w:val="center"/>
            </w:pPr>
            <w:r w:rsidRPr="000B6735">
              <w:t>11%</w:t>
            </w:r>
          </w:p>
        </w:tc>
        <w:tc>
          <w:tcPr>
            <w:tcW w:w="740"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02F74AD6" w14:textId="77777777" w:rsidR="00826D3B" w:rsidRPr="000B6735" w:rsidRDefault="00826D3B" w:rsidP="00DE0052">
            <w:pPr>
              <w:pStyle w:val="TableText0"/>
              <w:jc w:val="center"/>
            </w:pPr>
            <w:r w:rsidRPr="000B6735">
              <w:t>0%</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EA604" w14:textId="77777777" w:rsidR="00826D3B" w:rsidRPr="000B6735" w:rsidRDefault="00826D3B" w:rsidP="00DE0052">
            <w:pPr>
              <w:pStyle w:val="TableText0"/>
              <w:jc w:val="center"/>
            </w:pPr>
            <w:r w:rsidRPr="000B6735">
              <w:t>13%</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3E316" w14:textId="77777777" w:rsidR="00826D3B" w:rsidRPr="000B6735" w:rsidRDefault="00826D3B" w:rsidP="00DE0052">
            <w:pPr>
              <w:pStyle w:val="TableText0"/>
              <w:jc w:val="center"/>
            </w:pPr>
            <w:r w:rsidRPr="000B6735">
              <w:t>25%</w:t>
            </w:r>
          </w:p>
        </w:tc>
        <w:tc>
          <w:tcPr>
            <w:tcW w:w="7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9BA898" w14:textId="77777777" w:rsidR="00826D3B" w:rsidRPr="00C460F9" w:rsidRDefault="00826D3B" w:rsidP="00DE0052">
            <w:pPr>
              <w:pStyle w:val="TableText0"/>
              <w:jc w:val="center"/>
            </w:pPr>
            <w:r w:rsidRPr="00C460F9">
              <w:t>10%</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9FB4BE" w14:textId="77777777" w:rsidR="00826D3B" w:rsidRPr="00C460F9" w:rsidRDefault="00826D3B" w:rsidP="00DE0052">
            <w:pPr>
              <w:pStyle w:val="TableText0"/>
              <w:jc w:val="center"/>
            </w:pPr>
            <w:r w:rsidRPr="00C460F9">
              <w:t>5%</w:t>
            </w:r>
          </w:p>
        </w:tc>
      </w:tr>
      <w:tr w:rsidR="00826D3B" w:rsidRPr="000B6735" w14:paraId="2469BD03" w14:textId="77777777" w:rsidTr="00667D81">
        <w:trPr>
          <w:trHeight w:val="20"/>
        </w:trPr>
        <w:tc>
          <w:tcPr>
            <w:tcW w:w="681" w:type="pct"/>
            <w:tcBorders>
              <w:top w:val="single" w:sz="4" w:space="0" w:color="auto"/>
              <w:left w:val="single" w:sz="4" w:space="0" w:color="auto"/>
              <w:bottom w:val="single" w:sz="4" w:space="0" w:color="auto"/>
              <w:right w:val="nil"/>
            </w:tcBorders>
            <w:shd w:val="clear" w:color="auto" w:fill="FFFFFF" w:themeFill="background1"/>
          </w:tcPr>
          <w:p w14:paraId="4119E3BF" w14:textId="181051AA" w:rsidR="00826D3B" w:rsidRPr="000B6735" w:rsidRDefault="00826D3B" w:rsidP="00DE0052">
            <w:pPr>
              <w:pStyle w:val="TableText0"/>
            </w:pPr>
            <w:r w:rsidRPr="000B6735">
              <w:t>% of cases involving strains in 20vPCV but no</w:t>
            </w:r>
            <w:r w:rsidR="002B271D" w:rsidRPr="000B6735">
              <w:t xml:space="preserve">t in </w:t>
            </w:r>
            <w:r w:rsidRPr="000B6735">
              <w:t>15vPCV</w:t>
            </w:r>
          </w:p>
        </w:tc>
        <w:tc>
          <w:tcPr>
            <w:tcW w:w="741"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1942E045" w14:textId="77777777" w:rsidR="00826D3B" w:rsidRPr="000B6735" w:rsidRDefault="00826D3B" w:rsidP="00DE0052">
            <w:pPr>
              <w:pStyle w:val="TableText0"/>
              <w:jc w:val="center"/>
            </w:pPr>
            <w:r w:rsidRPr="000B6735">
              <w:t>8%</w:t>
            </w:r>
          </w:p>
        </w:tc>
        <w:tc>
          <w:tcPr>
            <w:tcW w:w="740"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35A26E4A" w14:textId="77777777" w:rsidR="00826D3B" w:rsidRPr="000B6735" w:rsidRDefault="00826D3B" w:rsidP="00DE0052">
            <w:pPr>
              <w:pStyle w:val="TableText0"/>
              <w:jc w:val="center"/>
            </w:pPr>
            <w:r w:rsidRPr="000B6735">
              <w:t>9%</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DE1B4" w14:textId="77777777" w:rsidR="00826D3B" w:rsidRPr="000B6735" w:rsidRDefault="00826D3B" w:rsidP="00DE0052">
            <w:pPr>
              <w:pStyle w:val="TableText0"/>
              <w:jc w:val="center"/>
            </w:pPr>
            <w:r w:rsidRPr="000B6735">
              <w:t>9%</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8818C" w14:textId="77777777" w:rsidR="00826D3B" w:rsidRPr="000B6735" w:rsidRDefault="00826D3B" w:rsidP="00DE0052">
            <w:pPr>
              <w:pStyle w:val="TableText0"/>
              <w:jc w:val="center"/>
            </w:pPr>
            <w:r w:rsidRPr="000B6735">
              <w:t>0%</w:t>
            </w:r>
          </w:p>
        </w:tc>
        <w:tc>
          <w:tcPr>
            <w:tcW w:w="7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0E9274" w14:textId="77777777" w:rsidR="00826D3B" w:rsidRPr="00C460F9" w:rsidRDefault="00826D3B" w:rsidP="00DE0052">
            <w:pPr>
              <w:pStyle w:val="TableText0"/>
              <w:jc w:val="center"/>
            </w:pPr>
            <w:r w:rsidRPr="00C460F9">
              <w:t>9%</w:t>
            </w:r>
          </w:p>
        </w:tc>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547A1" w14:textId="77777777" w:rsidR="00826D3B" w:rsidRPr="00C460F9" w:rsidRDefault="00826D3B" w:rsidP="00DE0052">
            <w:pPr>
              <w:pStyle w:val="TableText0"/>
              <w:jc w:val="center"/>
            </w:pPr>
            <w:r w:rsidRPr="00C460F9">
              <w:t>8%</w:t>
            </w:r>
          </w:p>
        </w:tc>
      </w:tr>
    </w:tbl>
    <w:p w14:paraId="0784E78C" w14:textId="7CC13A53" w:rsidR="00826D3B" w:rsidRPr="00C34520" w:rsidRDefault="00826D3B" w:rsidP="00826D3B">
      <w:pPr>
        <w:pStyle w:val="TableFigureFooter"/>
      </w:pPr>
      <w:r w:rsidRPr="00C34520">
        <w:t>Source: Table 1.1.7, p14 of the submission; Table 2.4-3, p42 of the ATAGI Advice to the PBAC.</w:t>
      </w:r>
    </w:p>
    <w:p w14:paraId="10B395F7" w14:textId="77777777" w:rsidR="00826D3B" w:rsidRPr="00C34520" w:rsidRDefault="00826D3B" w:rsidP="00826D3B">
      <w:pPr>
        <w:pStyle w:val="TableFigureFooter"/>
      </w:pPr>
      <w:r w:rsidRPr="00C34520">
        <w:t>13vPCV = 13 valent pneumococcal conjugate vaccine; 15vPCV = 15 valent pneumococcal conjugate vaccine; 20vPCV = 20 valent pneumococcal conjugate vaccine; ACT = Australian Capital Territory; IPD = invasive pneumococcal disease; NIP = National Immunisation Program; NSW = New South Wales; NT = Northern Territory; QLD = Queensland; SA = South Australia; TAS = Tasmania; VIC = Victoria; WA = Western Australia.</w:t>
      </w:r>
    </w:p>
    <w:p w14:paraId="548CEFBC" w14:textId="01A66854" w:rsidR="00826D3B" w:rsidRPr="00C34520" w:rsidRDefault="00826D3B" w:rsidP="00826D3B">
      <w:pPr>
        <w:pStyle w:val="TableFigureFooter"/>
      </w:pPr>
      <w:bookmarkStart w:id="24" w:name="_Hlk144208086"/>
      <w:r w:rsidRPr="00C34520">
        <w:rPr>
          <w:vertAlign w:val="superscript"/>
        </w:rPr>
        <w:t>a</w:t>
      </w:r>
      <w:r w:rsidRPr="00C34520">
        <w:t xml:space="preserve"> Excludes Aboriginal and Torres Strait Islander </w:t>
      </w:r>
      <w:r w:rsidR="00B12770" w:rsidRPr="00C34520">
        <w:t xml:space="preserve">children less than </w:t>
      </w:r>
      <w:r w:rsidRPr="00C34520">
        <w:t xml:space="preserve">2 years in NT, QLD, SA or WA. </w:t>
      </w:r>
    </w:p>
    <w:p w14:paraId="3DD5D251" w14:textId="77777777" w:rsidR="00826D3B" w:rsidRPr="00C34520" w:rsidRDefault="00826D3B" w:rsidP="00826D3B">
      <w:pPr>
        <w:pStyle w:val="TableFigureFooter"/>
      </w:pPr>
      <w:r w:rsidRPr="00C34520">
        <w:rPr>
          <w:vertAlign w:val="superscript"/>
        </w:rPr>
        <w:t>b</w:t>
      </w:r>
      <w:r w:rsidRPr="00C34520">
        <w:t xml:space="preserve"> It is unclear from the submission or the ATAGI advice if Victoria was included.</w:t>
      </w:r>
    </w:p>
    <w:p w14:paraId="4EF25128" w14:textId="77777777" w:rsidR="00826D3B" w:rsidRPr="00C34520" w:rsidRDefault="00826D3B" w:rsidP="00826D3B">
      <w:pPr>
        <w:pStyle w:val="TableFigureFooter"/>
      </w:pPr>
      <w:r w:rsidRPr="00C34520">
        <w:rPr>
          <w:vertAlign w:val="superscript"/>
        </w:rPr>
        <w:t>c</w:t>
      </w:r>
      <w:r w:rsidRPr="00C34520">
        <w:t xml:space="preserve"> Sourced from ATAGI Advice to the PBAC.</w:t>
      </w:r>
    </w:p>
    <w:p w14:paraId="41203C4E" w14:textId="7F8F5F2B" w:rsidR="00826D3B" w:rsidRPr="00C34520" w:rsidRDefault="00826D3B" w:rsidP="00826D3B">
      <w:pPr>
        <w:pStyle w:val="TableFigureFooter"/>
      </w:pPr>
      <w:r w:rsidRPr="00C34520">
        <w:rPr>
          <w:vertAlign w:val="superscript"/>
        </w:rPr>
        <w:t>d</w:t>
      </w:r>
      <w:r w:rsidRPr="00C34520">
        <w:t xml:space="preserve"> Serotype 3 represents 2</w:t>
      </w:r>
      <w:r w:rsidR="006C3E38" w:rsidRPr="00C34520">
        <w:t>4</w:t>
      </w:r>
      <w:r w:rsidRPr="00C34520">
        <w:t>% of all cases.</w:t>
      </w:r>
    </w:p>
    <w:bookmarkEnd w:id="24"/>
    <w:p w14:paraId="585BE12B" w14:textId="5FDEF79B" w:rsidR="003D7622" w:rsidRPr="007A64DE" w:rsidRDefault="00826D3B" w:rsidP="00F625A4">
      <w:pPr>
        <w:pStyle w:val="3-BodyText"/>
      </w:pPr>
      <w:r w:rsidRPr="00C34520" w:rsidDel="00850563">
        <w:t xml:space="preserve">The ATAGI </w:t>
      </w:r>
      <w:r w:rsidRPr="00C34520">
        <w:t>A</w:t>
      </w:r>
      <w:r w:rsidRPr="00C34520" w:rsidDel="00850563">
        <w:t xml:space="preserve">dvice </w:t>
      </w:r>
      <w:r w:rsidRPr="00C34520">
        <w:t xml:space="preserve">to the PBAC </w:t>
      </w:r>
      <w:r w:rsidRPr="00C34520" w:rsidDel="00850563">
        <w:t>noted that IPD ha</w:t>
      </w:r>
      <w:r w:rsidRPr="00C34520">
        <w:t>d</w:t>
      </w:r>
      <w:r w:rsidRPr="00C34520" w:rsidDel="00850563">
        <w:t xml:space="preserve"> an appreciable </w:t>
      </w:r>
      <w:r w:rsidRPr="00C34520">
        <w:t>incidence</w:t>
      </w:r>
      <w:r w:rsidRPr="00C34520" w:rsidDel="00850563">
        <w:t xml:space="preserve"> in Australia </w:t>
      </w:r>
      <w:r w:rsidRPr="00C34520">
        <w:t>caused by</w:t>
      </w:r>
      <w:r w:rsidRPr="00C34520" w:rsidDel="00850563">
        <w:t xml:space="preserve"> serotypes</w:t>
      </w:r>
      <w:r w:rsidRPr="00C34520">
        <w:t xml:space="preserve"> included in 20vPCV but not</w:t>
      </w:r>
      <w:r w:rsidRPr="00C34520" w:rsidDel="00850563">
        <w:t xml:space="preserve"> included in 13vPCV</w:t>
      </w:r>
      <w:r w:rsidRPr="00C34520">
        <w:t xml:space="preserve">, which caused </w:t>
      </w:r>
      <w:r w:rsidRPr="00C34520" w:rsidDel="00850563">
        <w:t>14% of IPD in all children but 30% in Aboriginal and Torres Strait Islander children</w:t>
      </w:r>
      <w:r w:rsidRPr="00C34520">
        <w:t xml:space="preserve"> (p7 of the ATAGI Advice to the PBAC)</w:t>
      </w:r>
      <w:r w:rsidRPr="00C34520" w:rsidDel="00850563">
        <w:t xml:space="preserve">. </w:t>
      </w:r>
      <w:r w:rsidRPr="00C34520">
        <w:t>Additionally, serotypes included in 13vPCV</w:t>
      </w:r>
      <w:r w:rsidRPr="00C34520" w:rsidDel="00850563">
        <w:t xml:space="preserve"> caused 41% of IPD in all children </w:t>
      </w:r>
      <w:r w:rsidRPr="00C34520">
        <w:t xml:space="preserve">younger than </w:t>
      </w:r>
      <w:r w:rsidRPr="00C34520" w:rsidDel="00850563">
        <w:t>18 years and 25% of IPD in Aboriginal and Torres Strait Islander children</w:t>
      </w:r>
      <w:r w:rsidR="000D04B3" w:rsidRPr="00C34520">
        <w:t xml:space="preserve"> </w:t>
      </w:r>
      <w:r w:rsidR="00205907" w:rsidRPr="00C34520">
        <w:t>(p7 of the ATAGI Advice to the PBAC</w:t>
      </w:r>
      <w:r w:rsidR="000D04B3" w:rsidRPr="00C34520">
        <w:t>)</w:t>
      </w:r>
      <w:r w:rsidRPr="00C34520" w:rsidDel="00850563">
        <w:t>.</w:t>
      </w:r>
      <w:r w:rsidRPr="00C34520">
        <w:t xml:space="preserve"> S</w:t>
      </w:r>
      <w:r w:rsidRPr="00C34520" w:rsidDel="00850563">
        <w:t>erotype</w:t>
      </w:r>
      <w:r w:rsidRPr="00C34520">
        <w:t> </w:t>
      </w:r>
      <w:r w:rsidRPr="00C34520" w:rsidDel="00850563">
        <w:t xml:space="preserve">3 </w:t>
      </w:r>
      <w:r w:rsidRPr="00C34520">
        <w:t>(</w:t>
      </w:r>
      <w:r w:rsidRPr="00C34520" w:rsidDel="00850563">
        <w:t>covered by 13vPCV</w:t>
      </w:r>
      <w:r w:rsidR="003D51B6">
        <w:t xml:space="preserve"> and 15vPCV, and although covered by 20vPCV the vaccine efficacy may be less than for 13vPCV and 15vPCV</w:t>
      </w:r>
      <w:r w:rsidRPr="00C34520">
        <w:t>)</w:t>
      </w:r>
      <w:r w:rsidRPr="00C34520" w:rsidDel="00850563">
        <w:t xml:space="preserve"> caused 24% of IPD in all children</w:t>
      </w:r>
      <w:r w:rsidRPr="00C34520">
        <w:t xml:space="preserve"> (p7 of the ATAGI Advice to the PBAC)</w:t>
      </w:r>
      <w:r w:rsidRPr="00C34520" w:rsidDel="00850563">
        <w:t xml:space="preserve">. </w:t>
      </w:r>
    </w:p>
    <w:p w14:paraId="48FB1AB1" w14:textId="342FC5E6" w:rsidR="00826D3B" w:rsidRDefault="00826D3B" w:rsidP="00F625A4">
      <w:pPr>
        <w:pStyle w:val="3-BodyText"/>
      </w:pPr>
      <w:r w:rsidRPr="00C34520">
        <w:t xml:space="preserve">The clinical management algorithm was based on the existing 13vPCV paediatric NIP listing. </w:t>
      </w:r>
      <w:r w:rsidR="000B6735" w:rsidRPr="004E2D9A">
        <w:t xml:space="preserve">The evaluation considered that this </w:t>
      </w:r>
      <w:r w:rsidRPr="004E2D9A">
        <w:t>was reasonable.</w:t>
      </w:r>
    </w:p>
    <w:p w14:paraId="61AFEABD" w14:textId="77777777" w:rsidR="001A547C" w:rsidRPr="001A547C" w:rsidRDefault="001A547C" w:rsidP="001A547C">
      <w:pPr>
        <w:ind w:firstLine="709"/>
        <w:rPr>
          <w:rFonts w:asciiTheme="minorHAnsi" w:hAnsiTheme="minorHAnsi"/>
          <w:i/>
        </w:rPr>
      </w:pPr>
      <w:r w:rsidRPr="00C33D30">
        <w:rPr>
          <w:rFonts w:asciiTheme="minorHAnsi" w:hAnsiTheme="minorHAnsi"/>
          <w:i/>
        </w:rPr>
        <w:t>For more detail on PBAC’s view, see section 7 PBAC outcome.</w:t>
      </w:r>
    </w:p>
    <w:p w14:paraId="27C7DCB3" w14:textId="77777777" w:rsidR="001A547C" w:rsidRPr="00C34520" w:rsidDel="00195452" w:rsidRDefault="001A547C" w:rsidP="00F625A4">
      <w:pPr>
        <w:pStyle w:val="3-BodyText"/>
        <w:numPr>
          <w:ilvl w:val="0"/>
          <w:numId w:val="0"/>
        </w:numPr>
        <w:ind w:left="720"/>
      </w:pPr>
    </w:p>
    <w:p w14:paraId="643BE5EB" w14:textId="77777777" w:rsidR="00826D3B" w:rsidRPr="00C34520" w:rsidRDefault="00826D3B" w:rsidP="00826D3B">
      <w:pPr>
        <w:pStyle w:val="2-SectionHeading"/>
        <w:numPr>
          <w:ilvl w:val="0"/>
          <w:numId w:val="1"/>
        </w:numPr>
      </w:pPr>
      <w:bookmarkStart w:id="25" w:name="_Toc145498614"/>
      <w:r w:rsidRPr="00C34520">
        <w:lastRenderedPageBreak/>
        <w:t>Comparator</w:t>
      </w:r>
      <w:bookmarkEnd w:id="25"/>
    </w:p>
    <w:p w14:paraId="68F05E9B" w14:textId="4CF3B2D5" w:rsidR="00826D3B" w:rsidRPr="00646DE4" w:rsidRDefault="00826D3B" w:rsidP="00F625A4">
      <w:pPr>
        <w:pStyle w:val="3-BodyText"/>
        <w:rPr>
          <w:snapToGrid/>
        </w:rPr>
      </w:pPr>
      <w:r w:rsidRPr="00C34520">
        <w:rPr>
          <w:snapToGrid/>
        </w:rPr>
        <w:t xml:space="preserve">The submission nominated 13vPCV and 15vPCV as the main comparators. </w:t>
      </w:r>
      <w:bookmarkStart w:id="26" w:name="_Hlk143248994"/>
      <w:r w:rsidR="003D51B6" w:rsidRPr="00C34520">
        <w:rPr>
          <w:snapToGrid/>
        </w:rPr>
        <w:t>13vPCV is currently NIP-funded for the proposed target populations.</w:t>
      </w:r>
      <w:r w:rsidR="003D51B6">
        <w:rPr>
          <w:snapToGrid/>
        </w:rPr>
        <w:t xml:space="preserve"> </w:t>
      </w:r>
      <w:r w:rsidRPr="00C34520">
        <w:rPr>
          <w:snapToGrid/>
        </w:rPr>
        <w:t xml:space="preserve">15vPCV was nominated as a near-market comparator as it received a positive recommendation for NIP listing for paediatric populations at the March 2023 PBAC meeting. </w:t>
      </w:r>
      <w:bookmarkEnd w:id="26"/>
      <w:r w:rsidRPr="00D15D0C">
        <w:rPr>
          <w:snapToGrid/>
        </w:rPr>
        <w:t xml:space="preserve">The </w:t>
      </w:r>
      <w:r w:rsidR="00C460F9" w:rsidRPr="00646DE4">
        <w:rPr>
          <w:snapToGrid/>
        </w:rPr>
        <w:t xml:space="preserve">evaluation considered the </w:t>
      </w:r>
      <w:r w:rsidRPr="00646DE4">
        <w:rPr>
          <w:snapToGrid/>
        </w:rPr>
        <w:t>comparators were reasonable.</w:t>
      </w:r>
    </w:p>
    <w:p w14:paraId="6ACA0AA3" w14:textId="2A6506C9" w:rsidR="00826D3B" w:rsidRPr="001A547C" w:rsidRDefault="00826D3B" w:rsidP="00F625A4">
      <w:pPr>
        <w:pStyle w:val="3-BodyText"/>
        <w:rPr>
          <w:snapToGrid/>
          <w:color w:val="0066FF"/>
        </w:rPr>
      </w:pPr>
      <w:bookmarkStart w:id="27" w:name="_Ref107305379"/>
      <w:r w:rsidRPr="00D15D0C">
        <w:t>In the context of the cost-minimisation approach taken by the submission, a further consideration for PBAC is that, under Section 101(</w:t>
      </w:r>
      <w:r w:rsidR="007C2C68" w:rsidRPr="00D15D0C">
        <w:t>4D</w:t>
      </w:r>
      <w:r w:rsidRPr="00D15D0C">
        <w:t xml:space="preserve">) of the </w:t>
      </w:r>
      <w:r w:rsidRPr="005020B3">
        <w:rPr>
          <w:i/>
          <w:iCs/>
        </w:rPr>
        <w:t>National Health Act 1953</w:t>
      </w:r>
      <w:r w:rsidRPr="00D15D0C">
        <w:t xml:space="preserve">, when the proposed </w:t>
      </w:r>
      <w:r w:rsidR="007C2C68" w:rsidRPr="00D15D0C">
        <w:t xml:space="preserve">vaccine </w:t>
      </w:r>
      <w:r w:rsidRPr="00D15D0C">
        <w:t xml:space="preserve">is substantially more costly than an alternative </w:t>
      </w:r>
      <w:r w:rsidR="007C2C68" w:rsidRPr="00D15D0C">
        <w:t>vaccine</w:t>
      </w:r>
      <w:r w:rsidRPr="00D15D0C">
        <w:t xml:space="preserve">, the committee cannot make a positive recommendation unless it is satisfied that, for some patients, the proposed </w:t>
      </w:r>
      <w:r w:rsidR="007C2C68" w:rsidRPr="00D15D0C">
        <w:t xml:space="preserve">vaccine </w:t>
      </w:r>
      <w:r w:rsidRPr="00D15D0C">
        <w:t xml:space="preserve">provides a significant improvement in efficacy and/or reduction of toxicity over the alternative </w:t>
      </w:r>
      <w:r w:rsidR="007C2C68" w:rsidRPr="00D15D0C">
        <w:t>vaccine</w:t>
      </w:r>
      <w:r w:rsidRPr="00D15D0C">
        <w:t>. If the committee is so satisfied, it must make a statement to this effect.</w:t>
      </w:r>
      <w:bookmarkEnd w:id="27"/>
      <w:r w:rsidR="00381617" w:rsidRPr="00D15D0C">
        <w:t xml:space="preserve"> The alternative vaccines include 13vPCV, and if listed, 15vPCV.</w:t>
      </w:r>
      <w:r w:rsidRPr="00D15D0C">
        <w:t xml:space="preserve"> </w:t>
      </w:r>
    </w:p>
    <w:p w14:paraId="00C21F38" w14:textId="08D049D2" w:rsidR="001A547C" w:rsidRPr="001A547C" w:rsidRDefault="001A547C" w:rsidP="001A547C">
      <w:pPr>
        <w:ind w:firstLine="709"/>
        <w:rPr>
          <w:rFonts w:asciiTheme="minorHAnsi" w:hAnsiTheme="minorHAnsi"/>
          <w:i/>
        </w:rPr>
      </w:pPr>
      <w:r w:rsidRPr="00C33D30">
        <w:rPr>
          <w:rFonts w:asciiTheme="minorHAnsi" w:hAnsiTheme="minorHAnsi"/>
          <w:i/>
        </w:rPr>
        <w:t>For more detail on PBAC’s view, see section 7 PBAC outcome.</w:t>
      </w:r>
    </w:p>
    <w:p w14:paraId="64070BAB" w14:textId="76537CFF" w:rsidR="00826D3B" w:rsidRDefault="00826D3B" w:rsidP="00826D3B">
      <w:pPr>
        <w:pStyle w:val="2-SectionHeading"/>
        <w:numPr>
          <w:ilvl w:val="0"/>
          <w:numId w:val="1"/>
        </w:numPr>
      </w:pPr>
      <w:bookmarkStart w:id="28" w:name="_Toc145498615"/>
      <w:bookmarkStart w:id="29" w:name="_Toc22897640"/>
      <w:r w:rsidRPr="00C34520">
        <w:t>Consideration of the evidence</w:t>
      </w:r>
      <w:bookmarkEnd w:id="28"/>
    </w:p>
    <w:p w14:paraId="7554A00E" w14:textId="77777777" w:rsidR="00124200" w:rsidRPr="006E1229" w:rsidRDefault="00124200" w:rsidP="006E17D2">
      <w:pPr>
        <w:pStyle w:val="4-SubsectionHeading"/>
      </w:pPr>
      <w:bookmarkStart w:id="30" w:name="_Hlk76375935"/>
      <w:r w:rsidRPr="006E1229">
        <w:t>Sponsor hearing</w:t>
      </w:r>
    </w:p>
    <w:p w14:paraId="4B63563E" w14:textId="638D4233" w:rsidR="00B25CBF" w:rsidRPr="00F10359" w:rsidRDefault="00124200" w:rsidP="00F625A4">
      <w:pPr>
        <w:pStyle w:val="3-BodyText"/>
      </w:pPr>
      <w:bookmarkStart w:id="31" w:name="_Hlk76382586"/>
      <w:r w:rsidRPr="00836F75">
        <w:rPr>
          <w:bCs/>
        </w:rPr>
        <w:t xml:space="preserve">The sponsor requested a hearing for this item. </w:t>
      </w:r>
      <w:bookmarkEnd w:id="31"/>
      <w:r w:rsidR="00C15A65">
        <w:rPr>
          <w:bCs/>
        </w:rPr>
        <w:t xml:space="preserve">The </w:t>
      </w:r>
      <w:r w:rsidR="00B25CBF">
        <w:rPr>
          <w:bCs/>
        </w:rPr>
        <w:t>representative</w:t>
      </w:r>
      <w:r w:rsidR="00C15A65">
        <w:rPr>
          <w:bCs/>
        </w:rPr>
        <w:t xml:space="preserve"> discussed the unmet disease burden associated with </w:t>
      </w:r>
      <w:r w:rsidR="00C15A65">
        <w:t>p</w:t>
      </w:r>
      <w:r w:rsidR="00C15A65" w:rsidRPr="00C34520">
        <w:t xml:space="preserve">neumococcal disease </w:t>
      </w:r>
      <w:r w:rsidR="00151638">
        <w:t xml:space="preserve">in Australia </w:t>
      </w:r>
      <w:r w:rsidR="00C15A65" w:rsidRPr="00C34520">
        <w:t xml:space="preserve">caused by </w:t>
      </w:r>
      <w:r w:rsidR="00C15A65" w:rsidRPr="00C34520">
        <w:rPr>
          <w:i/>
          <w:iCs/>
        </w:rPr>
        <w:t>Streptococcus pneumoniae</w:t>
      </w:r>
      <w:r w:rsidR="00151638">
        <w:t>. The representative stated</w:t>
      </w:r>
      <w:r w:rsidR="00C15A65">
        <w:t xml:space="preserve"> </w:t>
      </w:r>
      <w:r w:rsidR="00E4594D">
        <w:t xml:space="preserve">that </w:t>
      </w:r>
      <w:r w:rsidR="00C15A65">
        <w:t>20vPCV</w:t>
      </w:r>
      <w:r w:rsidR="00E4594D">
        <w:t xml:space="preserve"> ha</w:t>
      </w:r>
      <w:r w:rsidR="00151638">
        <w:t>s</w:t>
      </w:r>
      <w:r w:rsidR="00E4594D">
        <w:t xml:space="preserve"> an increased serotype coverage compared with </w:t>
      </w:r>
      <w:r w:rsidR="00C15A65">
        <w:t>13</w:t>
      </w:r>
      <w:r w:rsidR="00E939B5">
        <w:t>v</w:t>
      </w:r>
      <w:r w:rsidR="00C15A65">
        <w:t>PCV and 15</w:t>
      </w:r>
      <w:r w:rsidR="00E939B5">
        <w:t>v</w:t>
      </w:r>
      <w:r w:rsidR="00C15A65">
        <w:t>PCV</w:t>
      </w:r>
      <w:r w:rsidR="00151638">
        <w:t xml:space="preserve">, and emphasised </w:t>
      </w:r>
      <w:r w:rsidR="008D1C38">
        <w:t>that the additional serotypes included in 20vPCV are prevalent and medically significant.</w:t>
      </w:r>
      <w:r w:rsidR="00DD5031">
        <w:t xml:space="preserve"> The </w:t>
      </w:r>
      <w:r w:rsidR="00151638">
        <w:t>representative discussed an example, stating</w:t>
      </w:r>
      <w:r w:rsidR="0080329F">
        <w:t xml:space="preserve"> that</w:t>
      </w:r>
      <w:r w:rsidR="00DD5031">
        <w:t xml:space="preserve"> </w:t>
      </w:r>
      <w:r w:rsidR="0080329F">
        <w:t xml:space="preserve">additional </w:t>
      </w:r>
      <w:r w:rsidR="00E4594D">
        <w:t>serotypes 10A, 11A, 15B, and 33F</w:t>
      </w:r>
      <w:r w:rsidR="0080329F">
        <w:t xml:space="preserve"> were significantly associated with the development of otit</w:t>
      </w:r>
      <w:r w:rsidR="00F0509D">
        <w:t>i</w:t>
      </w:r>
      <w:r w:rsidR="0080329F">
        <w:t>s media and considered it had significantly contributed to hearing loss in the Australian indigenous paediatric population.</w:t>
      </w:r>
      <w:r w:rsidR="008D1C38">
        <w:t xml:space="preserve"> The </w:t>
      </w:r>
      <w:r w:rsidR="00B25CBF">
        <w:rPr>
          <w:bCs/>
        </w:rPr>
        <w:t xml:space="preserve">representative </w:t>
      </w:r>
      <w:r w:rsidR="00151638">
        <w:rPr>
          <w:bCs/>
        </w:rPr>
        <w:t xml:space="preserve">further </w:t>
      </w:r>
      <w:r w:rsidR="008D1C38">
        <w:t xml:space="preserve">discussed the serotype distribution </w:t>
      </w:r>
      <w:r w:rsidR="00DD5031">
        <w:t xml:space="preserve">and associated IPD </w:t>
      </w:r>
      <w:r w:rsidR="00151638">
        <w:t xml:space="preserve">that are </w:t>
      </w:r>
      <w:r w:rsidR="008D1C38">
        <w:t xml:space="preserve">covered by </w:t>
      </w:r>
      <w:r w:rsidR="00DD5031">
        <w:t>7</w:t>
      </w:r>
      <w:r w:rsidR="00E939B5">
        <w:t>v</w:t>
      </w:r>
      <w:r w:rsidR="00DD5031">
        <w:t>PCV, 13</w:t>
      </w:r>
      <w:r w:rsidR="00E939B5">
        <w:t>v</w:t>
      </w:r>
      <w:r w:rsidR="00DD5031">
        <w:t>PCV, 15</w:t>
      </w:r>
      <w:r w:rsidR="00E939B5">
        <w:t>v</w:t>
      </w:r>
      <w:r w:rsidR="00DD5031">
        <w:t xml:space="preserve">PCV, and 20vPCV </w:t>
      </w:r>
      <w:r w:rsidR="00151638">
        <w:t xml:space="preserve">for </w:t>
      </w:r>
      <w:r w:rsidR="008D1C38">
        <w:t>non-</w:t>
      </w:r>
      <w:r w:rsidR="00DD5031">
        <w:t>indigenous</w:t>
      </w:r>
      <w:r w:rsidR="008D1C38">
        <w:t xml:space="preserve"> and </w:t>
      </w:r>
      <w:r w:rsidR="00DD5031">
        <w:t>indigenous</w:t>
      </w:r>
      <w:r w:rsidR="008D1C38">
        <w:t xml:space="preserve"> </w:t>
      </w:r>
      <w:r w:rsidR="00DD5031">
        <w:t xml:space="preserve">children in Australia. The </w:t>
      </w:r>
      <w:r w:rsidR="00B25CBF">
        <w:rPr>
          <w:bCs/>
        </w:rPr>
        <w:t xml:space="preserve">representative </w:t>
      </w:r>
      <w:r w:rsidR="00DD5031">
        <w:t xml:space="preserve">highlighted that </w:t>
      </w:r>
      <w:r w:rsidR="00E450EA">
        <w:t xml:space="preserve">there is evidence to suggest that </w:t>
      </w:r>
      <w:r w:rsidR="00DD5031">
        <w:t>20</w:t>
      </w:r>
      <w:r w:rsidR="00E450EA">
        <w:t>v</w:t>
      </w:r>
      <w:r w:rsidR="00DD5031">
        <w:t>PCV</w:t>
      </w:r>
      <w:r w:rsidR="00E450EA">
        <w:t xml:space="preserve"> provides </w:t>
      </w:r>
      <w:r w:rsidR="009908D6">
        <w:t xml:space="preserve">an additional </w:t>
      </w:r>
      <w:r w:rsidR="00DD5031">
        <w:t xml:space="preserve">21% </w:t>
      </w:r>
      <w:r w:rsidR="00151638">
        <w:t>protection against</w:t>
      </w:r>
      <w:r w:rsidR="009908D6">
        <w:t xml:space="preserve"> </w:t>
      </w:r>
      <w:r w:rsidR="00151638">
        <w:t xml:space="preserve">the </w:t>
      </w:r>
      <w:r w:rsidR="00DD5031">
        <w:t>IPD</w:t>
      </w:r>
      <w:r w:rsidR="00E450EA">
        <w:t xml:space="preserve"> serotype distribution</w:t>
      </w:r>
      <w:r w:rsidR="00151638">
        <w:t xml:space="preserve"> in Australia</w:t>
      </w:r>
      <w:r w:rsidR="00DD5031">
        <w:t xml:space="preserve"> compared with 13</w:t>
      </w:r>
      <w:r w:rsidR="00B036CC">
        <w:t>v</w:t>
      </w:r>
      <w:r w:rsidR="00DD5031">
        <w:t>PCV and 12% more than 15</w:t>
      </w:r>
      <w:r w:rsidR="00E939B5">
        <w:t>v</w:t>
      </w:r>
      <w:r w:rsidR="00DD5031">
        <w:t>PCV</w:t>
      </w:r>
      <w:r w:rsidR="00E450EA">
        <w:t xml:space="preserve"> in children aged 0</w:t>
      </w:r>
      <w:r w:rsidR="00E450EA">
        <w:rPr>
          <w:rFonts w:cs="Calibri"/>
        </w:rPr>
        <w:t>−</w:t>
      </w:r>
      <w:r w:rsidR="00E450EA">
        <w:t>23 months</w:t>
      </w:r>
      <w:r w:rsidR="009908D6">
        <w:t>. Furthermore, 20</w:t>
      </w:r>
      <w:r w:rsidR="00151638">
        <w:t>v</w:t>
      </w:r>
      <w:r w:rsidR="009908D6">
        <w:t xml:space="preserve">PCV provides </w:t>
      </w:r>
      <w:r w:rsidR="00151638">
        <w:t xml:space="preserve">an </w:t>
      </w:r>
      <w:r w:rsidR="009908D6">
        <w:t xml:space="preserve">additional </w:t>
      </w:r>
      <w:r w:rsidR="00E450EA" w:rsidRPr="00E450EA">
        <w:rPr>
          <w:lang w:val="en-US"/>
        </w:rPr>
        <w:t xml:space="preserve">30% </w:t>
      </w:r>
      <w:r w:rsidR="00151638">
        <w:rPr>
          <w:lang w:val="en-US"/>
        </w:rPr>
        <w:t xml:space="preserve">protection against the </w:t>
      </w:r>
      <w:r w:rsidR="00E450EA" w:rsidRPr="00E450EA">
        <w:rPr>
          <w:lang w:val="en-US"/>
        </w:rPr>
        <w:t xml:space="preserve">IPD </w:t>
      </w:r>
      <w:r w:rsidR="009908D6">
        <w:rPr>
          <w:lang w:val="en-US"/>
        </w:rPr>
        <w:t xml:space="preserve">serotype distribution </w:t>
      </w:r>
      <w:r w:rsidR="00151638">
        <w:rPr>
          <w:lang w:val="en-US"/>
        </w:rPr>
        <w:t xml:space="preserve">in Australia </w:t>
      </w:r>
      <w:r w:rsidR="009908D6">
        <w:rPr>
          <w:lang w:val="en-US"/>
        </w:rPr>
        <w:t>compared with</w:t>
      </w:r>
      <w:r w:rsidR="00E450EA" w:rsidRPr="00E450EA">
        <w:rPr>
          <w:lang w:val="en-US"/>
        </w:rPr>
        <w:t xml:space="preserve"> </w:t>
      </w:r>
      <w:r w:rsidR="009908D6">
        <w:rPr>
          <w:lang w:val="en-US"/>
        </w:rPr>
        <w:t>13</w:t>
      </w:r>
      <w:r w:rsidR="00E939B5">
        <w:rPr>
          <w:lang w:val="en-US"/>
        </w:rPr>
        <w:t>v</w:t>
      </w:r>
      <w:r w:rsidR="00E450EA" w:rsidRPr="00E450EA">
        <w:rPr>
          <w:lang w:val="en-US"/>
        </w:rPr>
        <w:t xml:space="preserve">PCV and 19% more than </w:t>
      </w:r>
      <w:r w:rsidR="009908D6">
        <w:rPr>
          <w:lang w:val="en-US"/>
        </w:rPr>
        <w:t>15</w:t>
      </w:r>
      <w:r w:rsidR="00E939B5">
        <w:rPr>
          <w:lang w:val="en-US"/>
        </w:rPr>
        <w:t>v</w:t>
      </w:r>
      <w:r w:rsidR="00E450EA" w:rsidRPr="00E450EA">
        <w:rPr>
          <w:lang w:val="en-US"/>
        </w:rPr>
        <w:t>PC</w:t>
      </w:r>
      <w:r w:rsidR="00151638">
        <w:rPr>
          <w:lang w:val="en-US"/>
        </w:rPr>
        <w:t>V</w:t>
      </w:r>
      <w:r w:rsidR="00E450EA">
        <w:rPr>
          <w:lang w:val="en-US"/>
        </w:rPr>
        <w:t xml:space="preserve"> among indigenous children aged </w:t>
      </w:r>
      <w:r w:rsidR="00E450EA">
        <w:t>0</w:t>
      </w:r>
      <w:r w:rsidR="00E450EA">
        <w:rPr>
          <w:rFonts w:cs="Calibri"/>
        </w:rPr>
        <w:t>−</w:t>
      </w:r>
      <w:r w:rsidR="00E450EA">
        <w:t>23 months.</w:t>
      </w:r>
      <w:r w:rsidR="00151638">
        <w:t xml:space="preserve"> </w:t>
      </w:r>
      <w:r w:rsidR="00FB2B65" w:rsidRPr="00151638">
        <w:rPr>
          <w:bCs/>
        </w:rPr>
        <w:t xml:space="preserve">A second representative </w:t>
      </w:r>
      <w:r w:rsidR="00B036CC">
        <w:rPr>
          <w:bCs/>
        </w:rPr>
        <w:t>discussed the immunogenicity of 20vPCV to serotype 3</w:t>
      </w:r>
      <w:r w:rsidR="000A1670">
        <w:rPr>
          <w:bCs/>
        </w:rPr>
        <w:t xml:space="preserve"> and </w:t>
      </w:r>
      <w:r w:rsidR="00F10359" w:rsidRPr="00151638">
        <w:rPr>
          <w:bCs/>
        </w:rPr>
        <w:t xml:space="preserve">emphasised </w:t>
      </w:r>
      <w:r w:rsidR="00B53698" w:rsidRPr="00151638">
        <w:rPr>
          <w:bCs/>
        </w:rPr>
        <w:t xml:space="preserve">that </w:t>
      </w:r>
      <w:r w:rsidR="000A1670">
        <w:rPr>
          <w:bCs/>
        </w:rPr>
        <w:t xml:space="preserve">overall </w:t>
      </w:r>
      <w:r w:rsidR="00F10359" w:rsidRPr="00151638">
        <w:rPr>
          <w:bCs/>
        </w:rPr>
        <w:t xml:space="preserve">20vPCV is comparable to 13vPCV based on OPA titres and immune memory response, and </w:t>
      </w:r>
      <w:r w:rsidR="00B53698" w:rsidRPr="00151638">
        <w:rPr>
          <w:bCs/>
        </w:rPr>
        <w:t>therefore considered that</w:t>
      </w:r>
      <w:r w:rsidR="00F10359" w:rsidRPr="00151638">
        <w:rPr>
          <w:bCs/>
        </w:rPr>
        <w:t xml:space="preserve"> effectiveness for </w:t>
      </w:r>
      <w:r w:rsidR="000A1670">
        <w:rPr>
          <w:bCs/>
        </w:rPr>
        <w:t>all</w:t>
      </w:r>
      <w:r w:rsidR="00F10359" w:rsidRPr="00151638">
        <w:rPr>
          <w:bCs/>
        </w:rPr>
        <w:t xml:space="preserve"> shared serotypes, including serotype 3</w:t>
      </w:r>
      <w:r w:rsidR="00B53698" w:rsidRPr="00151638">
        <w:rPr>
          <w:bCs/>
        </w:rPr>
        <w:t xml:space="preserve">, would be similar. </w:t>
      </w:r>
    </w:p>
    <w:p w14:paraId="7BEF3A72" w14:textId="331BAACF" w:rsidR="00124200" w:rsidRDefault="00124200" w:rsidP="006E17D2">
      <w:pPr>
        <w:pStyle w:val="4-SubsectionHeading"/>
      </w:pPr>
      <w:r w:rsidRPr="006E1229">
        <w:lastRenderedPageBreak/>
        <w:t>Consumer comments</w:t>
      </w:r>
      <w:bookmarkEnd w:id="30"/>
    </w:p>
    <w:p w14:paraId="1CFA912A" w14:textId="77777777" w:rsidR="002A250E" w:rsidRDefault="00E4658E" w:rsidP="00F625A4">
      <w:pPr>
        <w:pStyle w:val="3-BodyText"/>
      </w:pPr>
      <w:bookmarkStart w:id="32" w:name="_Toc145498616"/>
      <w:r>
        <w:t xml:space="preserve">The PBAC noted and welcomed the input from </w:t>
      </w:r>
      <w:r w:rsidR="00BF0B43">
        <w:t>1 organisation via the Consumer Comments facility on the PBS website.</w:t>
      </w:r>
    </w:p>
    <w:p w14:paraId="2B32B033" w14:textId="2746DD0B" w:rsidR="00BF0B43" w:rsidRDefault="00BF0B43" w:rsidP="00F625A4">
      <w:pPr>
        <w:pStyle w:val="3-BodyText"/>
      </w:pPr>
      <w:r>
        <w:t>The Immunisation Foundation of Australia</w:t>
      </w:r>
      <w:r w:rsidR="00B85B46">
        <w:t xml:space="preserve"> (IFA)</w:t>
      </w:r>
      <w:r w:rsidR="008F3345">
        <w:t xml:space="preserve"> expressed its strong support for </w:t>
      </w:r>
      <w:r w:rsidR="00B85B46">
        <w:t>the NIP listing of 20vPCV for the current NIP paediatric populations. The IFA noted that 20vPCV provided additional coverage to</w:t>
      </w:r>
      <w:r w:rsidR="00B85B46" w:rsidRPr="00B85B46">
        <w:t xml:space="preserve"> circulating pneumococcal stereotypes</w:t>
      </w:r>
      <w:r w:rsidR="00B85B46">
        <w:t xml:space="preserve"> </w:t>
      </w:r>
      <w:r w:rsidR="00E36547">
        <w:t>in Australia</w:t>
      </w:r>
      <w:r w:rsidR="007E17AB">
        <w:t xml:space="preserve">. It </w:t>
      </w:r>
      <w:r w:rsidR="00B85B46">
        <w:t xml:space="preserve">considered the </w:t>
      </w:r>
      <w:r w:rsidR="00E36547">
        <w:t xml:space="preserve">NIP </w:t>
      </w:r>
      <w:r w:rsidR="00B85B46">
        <w:t xml:space="preserve">listing of 20vPCV would </w:t>
      </w:r>
      <w:r w:rsidR="00935A81">
        <w:t xml:space="preserve">likely lead to </w:t>
      </w:r>
      <w:r w:rsidR="00CA3206">
        <w:t>reduced</w:t>
      </w:r>
      <w:r w:rsidR="00935A81">
        <w:t xml:space="preserve"> case numbers and </w:t>
      </w:r>
      <w:r w:rsidR="00E36547">
        <w:t xml:space="preserve">the </w:t>
      </w:r>
      <w:r w:rsidR="00935A81">
        <w:t xml:space="preserve">burden of disease </w:t>
      </w:r>
      <w:r w:rsidR="00E36547">
        <w:t xml:space="preserve">associated with pneumococcal </w:t>
      </w:r>
      <w:r w:rsidR="00935A81">
        <w:t xml:space="preserve">experienced by the Australian healthcare system and Australian families. The IFA provided </w:t>
      </w:r>
      <w:r w:rsidR="00CA3206">
        <w:t xml:space="preserve">a statement from a </w:t>
      </w:r>
      <w:r w:rsidR="00935A81">
        <w:t xml:space="preserve">parent advocate </w:t>
      </w:r>
      <w:r w:rsidR="00CA3206">
        <w:t xml:space="preserve">sharing the loss of a family member due </w:t>
      </w:r>
      <w:r w:rsidR="00E36547">
        <w:t>to a</w:t>
      </w:r>
      <w:r w:rsidR="00CA3206" w:rsidRPr="00CA3206">
        <w:t xml:space="preserve"> serotype of pneumococcal not contained in </w:t>
      </w:r>
      <w:r w:rsidR="00E36547">
        <w:t xml:space="preserve">currently available </w:t>
      </w:r>
      <w:r w:rsidR="007E17AB">
        <w:t>PCVs</w:t>
      </w:r>
      <w:r w:rsidR="00CA3206" w:rsidRPr="00CA3206">
        <w:t xml:space="preserve"> </w:t>
      </w:r>
      <w:r w:rsidR="00CA3206">
        <w:t xml:space="preserve">and </w:t>
      </w:r>
      <w:r w:rsidR="00935A81">
        <w:t>express</w:t>
      </w:r>
      <w:r w:rsidR="00E36547">
        <w:t>ed their</w:t>
      </w:r>
      <w:r w:rsidR="00935A81">
        <w:t xml:space="preserve"> strong support for increased coverage </w:t>
      </w:r>
      <w:r w:rsidR="00E36547">
        <w:t>to</w:t>
      </w:r>
      <w:r w:rsidR="00935A81">
        <w:t xml:space="preserve"> </w:t>
      </w:r>
      <w:r w:rsidR="00CA3206">
        <w:t xml:space="preserve">pneumococcal </w:t>
      </w:r>
      <w:r w:rsidR="00935A81">
        <w:t>serotypes</w:t>
      </w:r>
      <w:r w:rsidR="00E36547">
        <w:t xml:space="preserve"> for infants and toddlers in Australia</w:t>
      </w:r>
      <w:r w:rsidR="00CA3206">
        <w:t>.</w:t>
      </w:r>
    </w:p>
    <w:p w14:paraId="7D579415" w14:textId="7AE28FA3" w:rsidR="00826D3B" w:rsidRPr="00C34520" w:rsidRDefault="00826D3B" w:rsidP="00826D3B">
      <w:pPr>
        <w:pStyle w:val="4-SubsectionHeading"/>
      </w:pPr>
      <w:r w:rsidRPr="00C34520">
        <w:t>Clinical studies/trials</w:t>
      </w:r>
      <w:bookmarkEnd w:id="29"/>
      <w:bookmarkEnd w:id="32"/>
    </w:p>
    <w:p w14:paraId="23D8D83A" w14:textId="42C0D7F5" w:rsidR="00826D3B" w:rsidRPr="00C34520" w:rsidRDefault="00826D3B" w:rsidP="00F625A4">
      <w:pPr>
        <w:pStyle w:val="3-BodyText"/>
      </w:pPr>
      <w:r w:rsidRPr="00C34520">
        <w:t xml:space="preserve">The submission was based on four head-to-head randomised controlled trials (RCTs) comparing 20vPCV to 13vPCV and one single-arm study, all in healthy </w:t>
      </w:r>
      <w:r w:rsidR="00717C91" w:rsidRPr="00C34520">
        <w:t>children</w:t>
      </w:r>
      <w:r w:rsidRPr="00C34520">
        <w:t xml:space="preserve">: </w:t>
      </w:r>
    </w:p>
    <w:p w14:paraId="50EBE071" w14:textId="173D989B" w:rsidR="00826D3B" w:rsidRPr="00C34520" w:rsidRDefault="00826D3B" w:rsidP="00574E84">
      <w:pPr>
        <w:pStyle w:val="ListParagraph"/>
        <w:numPr>
          <w:ilvl w:val="0"/>
          <w:numId w:val="16"/>
        </w:numPr>
      </w:pPr>
      <w:r w:rsidRPr="00C34520">
        <w:t xml:space="preserve">One phase III RCT of 20vPCV vs 13vPCV using the 2+1 schedule (two infant doses at </w:t>
      </w:r>
      <w:r w:rsidR="001631A8">
        <w:t>2</w:t>
      </w:r>
      <w:r w:rsidR="001631A8" w:rsidRPr="00C34520">
        <w:t xml:space="preserve"> </w:t>
      </w:r>
      <w:r w:rsidRPr="00C34520">
        <w:t xml:space="preserve">and </w:t>
      </w:r>
      <w:r w:rsidR="001631A8">
        <w:t>4</w:t>
      </w:r>
      <w:r w:rsidR="001631A8" w:rsidRPr="00C34520">
        <w:t xml:space="preserve"> </w:t>
      </w:r>
      <w:r w:rsidRPr="00C34520">
        <w:t>months and a toddler dose at 12 months): B7471012 (N = 1,207).</w:t>
      </w:r>
    </w:p>
    <w:p w14:paraId="040E31CF" w14:textId="3A79E01C" w:rsidR="00826D3B" w:rsidRPr="00C34520" w:rsidRDefault="00826D3B" w:rsidP="00574E84">
      <w:pPr>
        <w:pStyle w:val="ListParagraph"/>
        <w:numPr>
          <w:ilvl w:val="0"/>
          <w:numId w:val="16"/>
        </w:numPr>
      </w:pPr>
      <w:r w:rsidRPr="00C34520">
        <w:t xml:space="preserve">One phase III RCT of 20vPCV vs 13vPCV using a 3+1 schedule (three infant doses at </w:t>
      </w:r>
      <w:r w:rsidR="001631A8">
        <w:t>2</w:t>
      </w:r>
      <w:r w:rsidRPr="00C34520">
        <w:t xml:space="preserve">, </w:t>
      </w:r>
      <w:r w:rsidR="001631A8">
        <w:t>4</w:t>
      </w:r>
      <w:r w:rsidRPr="00C34520">
        <w:t xml:space="preserve">, and </w:t>
      </w:r>
      <w:r w:rsidR="001631A8">
        <w:t>6</w:t>
      </w:r>
      <w:r w:rsidR="001631A8" w:rsidRPr="00C34520">
        <w:t xml:space="preserve"> </w:t>
      </w:r>
      <w:r w:rsidRPr="00C34520">
        <w:t>months and a toddler dose at 12 months): B7471011 (N=1,997).</w:t>
      </w:r>
    </w:p>
    <w:p w14:paraId="2F99951D" w14:textId="77777777" w:rsidR="00826D3B" w:rsidRPr="00C34520" w:rsidRDefault="00826D3B" w:rsidP="00574E84">
      <w:pPr>
        <w:pStyle w:val="ListParagraph"/>
        <w:numPr>
          <w:ilvl w:val="0"/>
          <w:numId w:val="16"/>
        </w:numPr>
      </w:pPr>
      <w:r w:rsidRPr="00C34520">
        <w:t>One phase III safety RCT of 20vPCV vs 13vPCV using a 3+1 schedule: B7471013 (N = 1,511).</w:t>
      </w:r>
    </w:p>
    <w:p w14:paraId="31FA34E1" w14:textId="77777777" w:rsidR="00826D3B" w:rsidRPr="00C34520" w:rsidRDefault="00826D3B" w:rsidP="00574E84">
      <w:pPr>
        <w:pStyle w:val="ListParagraph"/>
        <w:numPr>
          <w:ilvl w:val="0"/>
          <w:numId w:val="16"/>
        </w:numPr>
      </w:pPr>
      <w:r w:rsidRPr="00C34520">
        <w:t>One phase II RCT of 20vPCV vs 13vPCV using a 3+1 schedule: B7471003 (N = 460).</w:t>
      </w:r>
    </w:p>
    <w:p w14:paraId="66CB702E" w14:textId="74814A0D" w:rsidR="00826D3B" w:rsidRPr="00C34520" w:rsidRDefault="00826D3B" w:rsidP="00574E84">
      <w:pPr>
        <w:pStyle w:val="ListParagraph"/>
        <w:numPr>
          <w:ilvl w:val="0"/>
          <w:numId w:val="16"/>
        </w:numPr>
      </w:pPr>
      <w:r w:rsidRPr="00C34520">
        <w:t>One single</w:t>
      </w:r>
      <w:r w:rsidR="006C3E38" w:rsidRPr="00C34520">
        <w:t>-</w:t>
      </w:r>
      <w:r w:rsidRPr="00C34520">
        <w:t xml:space="preserve">arm study assessing a single dose of 20vPCV for children 15 months to 17 years: B7471014 (N = 839). </w:t>
      </w:r>
    </w:p>
    <w:p w14:paraId="259B89C0" w14:textId="7480D3D8" w:rsidR="00826D3B" w:rsidRPr="00D15D0C" w:rsidRDefault="00826D3B" w:rsidP="00F625A4">
      <w:pPr>
        <w:pStyle w:val="3-BodyText"/>
      </w:pPr>
      <w:r w:rsidRPr="00D15D0C">
        <w:t xml:space="preserve">The B7471012 trial was most relevant for the proposed population of </w:t>
      </w:r>
      <w:r w:rsidR="00717C91" w:rsidRPr="00D15D0C">
        <w:t xml:space="preserve">children aged 12 months or younger </w:t>
      </w:r>
      <w:r w:rsidRPr="00D15D0C">
        <w:t xml:space="preserve">in NSW, VIC, ACT, TAS and non-Indigenous </w:t>
      </w:r>
      <w:r w:rsidR="00717C91" w:rsidRPr="00D15D0C">
        <w:t>children aged 12</w:t>
      </w:r>
      <w:r w:rsidR="00214186">
        <w:t> </w:t>
      </w:r>
      <w:r w:rsidR="00717C91" w:rsidRPr="00D15D0C">
        <w:t xml:space="preserve">months or younger </w:t>
      </w:r>
      <w:r w:rsidRPr="00D15D0C">
        <w:t>in QLD, NT, WA and SA (2+1 schedule).</w:t>
      </w:r>
    </w:p>
    <w:p w14:paraId="5B0059F3" w14:textId="06D5F43B" w:rsidR="00826D3B" w:rsidRPr="00D15D0C" w:rsidRDefault="00826D3B" w:rsidP="00F625A4">
      <w:pPr>
        <w:pStyle w:val="3-BodyText"/>
      </w:pPr>
      <w:r w:rsidRPr="00D15D0C">
        <w:t xml:space="preserve">The B7471011, B7471013 and B7471003 trials were most relevant to the proposed population of Aboriginal and Torres Strait Island </w:t>
      </w:r>
      <w:r w:rsidR="00717C91" w:rsidRPr="00D15D0C">
        <w:t xml:space="preserve">children aged 12 months or younger </w:t>
      </w:r>
      <w:r w:rsidRPr="00D15D0C">
        <w:t xml:space="preserve">in QLD, NT, WA and SA and </w:t>
      </w:r>
      <w:r w:rsidR="00717C91" w:rsidRPr="00D15D0C">
        <w:t xml:space="preserve">children aged 12 months or younger </w:t>
      </w:r>
      <w:r w:rsidRPr="00D15D0C">
        <w:t>with risk conditions aged 12 months or less (3+1 schedule).</w:t>
      </w:r>
    </w:p>
    <w:p w14:paraId="378798E4" w14:textId="7D227331" w:rsidR="00826D3B" w:rsidRPr="00D15D0C" w:rsidRDefault="00826D3B" w:rsidP="00F625A4">
      <w:pPr>
        <w:pStyle w:val="3-BodyText"/>
      </w:pPr>
      <w:r w:rsidRPr="00D15D0C">
        <w:t>The B7471014 study was most relevant to the proposed population of children and adolescents with NIP-funded risk conditions</w:t>
      </w:r>
      <w:r w:rsidRPr="00D15D0C" w:rsidDel="00825E6D">
        <w:t xml:space="preserve"> </w:t>
      </w:r>
      <w:r w:rsidR="00680E41" w:rsidRPr="00D15D0C">
        <w:t xml:space="preserve">aged </w:t>
      </w:r>
      <w:r w:rsidRPr="00D15D0C">
        <w:t>1-17 years (single dose).</w:t>
      </w:r>
    </w:p>
    <w:p w14:paraId="680145F5" w14:textId="77777777" w:rsidR="00826D3B" w:rsidRPr="00C34520" w:rsidRDefault="00826D3B" w:rsidP="00F625A4">
      <w:pPr>
        <w:pStyle w:val="3-BodyText"/>
      </w:pPr>
      <w:r w:rsidRPr="00C34520">
        <w:t xml:space="preserve">The submission also presented three head-to-head RCTs comparing 15vPCV to 13vPCV: </w:t>
      </w:r>
    </w:p>
    <w:p w14:paraId="13E5ADC2" w14:textId="77777777" w:rsidR="00826D3B" w:rsidRPr="00C34520" w:rsidRDefault="00826D3B" w:rsidP="00F870C5">
      <w:pPr>
        <w:pStyle w:val="ListParagraph"/>
        <w:numPr>
          <w:ilvl w:val="0"/>
          <w:numId w:val="17"/>
        </w:numPr>
        <w:jc w:val="left"/>
      </w:pPr>
      <w:r w:rsidRPr="00C34520">
        <w:lastRenderedPageBreak/>
        <w:t>Two phase III RCTs of 15vPCV vs 13vPCV using a 2+1 schedule: PNEU-PED-EU-1 (N = 1,184) and PNEU-PED-EU-2 (N = 1,191).</w:t>
      </w:r>
    </w:p>
    <w:p w14:paraId="6D47B893" w14:textId="77777777" w:rsidR="00826D3B" w:rsidRPr="00C34520" w:rsidRDefault="00826D3B" w:rsidP="00F870C5">
      <w:pPr>
        <w:pStyle w:val="ListParagraph"/>
        <w:numPr>
          <w:ilvl w:val="0"/>
          <w:numId w:val="17"/>
        </w:numPr>
        <w:jc w:val="left"/>
      </w:pPr>
      <w:r w:rsidRPr="00C34520">
        <w:t>One phase III RCT of 15vPCV vs 13vPCV using a 3+1 schedule: PNEU</w:t>
      </w:r>
      <w:r w:rsidRPr="00C34520">
        <w:noBreakHyphen/>
        <w:t xml:space="preserve">PED (N = 1,720). </w:t>
      </w:r>
    </w:p>
    <w:p w14:paraId="7380DC15" w14:textId="326E02E5" w:rsidR="00826D3B" w:rsidRPr="00C34520" w:rsidRDefault="00826D3B" w:rsidP="00F625A4">
      <w:pPr>
        <w:pStyle w:val="3-BodyText"/>
      </w:pPr>
      <w:r w:rsidRPr="00C34520">
        <w:t xml:space="preserve">A summary list of trials and vaccine schedules included in the submission and whether the PBAC has previously considered them is presented in </w:t>
      </w:r>
      <w:r w:rsidRPr="00C34520">
        <w:fldChar w:fldCharType="begin"/>
      </w:r>
      <w:r w:rsidRPr="00C34520">
        <w:instrText xml:space="preserve"> REF _Ref143773827 \h </w:instrText>
      </w:r>
      <w:r w:rsidRPr="00C34520">
        <w:fldChar w:fldCharType="separate"/>
      </w:r>
      <w:r w:rsidR="009523CC" w:rsidRPr="00C34520">
        <w:t xml:space="preserve">Table </w:t>
      </w:r>
      <w:r w:rsidR="009523CC">
        <w:rPr>
          <w:noProof/>
        </w:rPr>
        <w:t>5</w:t>
      </w:r>
      <w:r w:rsidRPr="00C34520">
        <w:fldChar w:fldCharType="end"/>
      </w:r>
      <w:r w:rsidRPr="00C34520">
        <w:t>.</w:t>
      </w:r>
    </w:p>
    <w:p w14:paraId="3187F50F" w14:textId="1D90D092" w:rsidR="00826D3B" w:rsidRPr="00C34520" w:rsidRDefault="00826D3B" w:rsidP="00D132A0">
      <w:pPr>
        <w:pStyle w:val="Caption"/>
      </w:pPr>
      <w:bookmarkStart w:id="33" w:name="_Ref143773827"/>
      <w:r w:rsidRPr="00C34520">
        <w:t xml:space="preserve">Table </w:t>
      </w:r>
      <w:fldSimple w:instr=" SEQ Table \* ARABIC ">
        <w:r w:rsidR="009523CC">
          <w:rPr>
            <w:noProof/>
          </w:rPr>
          <w:t>5</w:t>
        </w:r>
      </w:fldSimple>
      <w:bookmarkEnd w:id="33"/>
      <w:r w:rsidRPr="00C34520">
        <w:t>: Summary list of trials / study</w:t>
      </w:r>
    </w:p>
    <w:tbl>
      <w:tblPr>
        <w:tblStyle w:val="TableGrid"/>
        <w:tblW w:w="5000" w:type="pct"/>
        <w:tblLook w:val="04A0" w:firstRow="1" w:lastRow="0" w:firstColumn="1" w:lastColumn="0" w:noHBand="0" w:noVBand="1"/>
      </w:tblPr>
      <w:tblGrid>
        <w:gridCol w:w="1575"/>
        <w:gridCol w:w="1246"/>
        <w:gridCol w:w="849"/>
        <w:gridCol w:w="853"/>
        <w:gridCol w:w="4494"/>
      </w:tblGrid>
      <w:tr w:rsidR="00826D3B" w:rsidRPr="00C34520" w14:paraId="7EC0D319" w14:textId="77777777" w:rsidTr="00667D81">
        <w:trPr>
          <w:trHeight w:val="225"/>
        </w:trPr>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47D11BC9" w14:textId="77777777" w:rsidR="00826D3B" w:rsidRPr="00C34520" w:rsidRDefault="00826D3B" w:rsidP="00DE0052">
            <w:pPr>
              <w:pStyle w:val="In-tableHeading"/>
              <w:jc w:val="center"/>
              <w:rPr>
                <w:lang w:val="en-AU"/>
              </w:rPr>
            </w:pPr>
            <w:r w:rsidRPr="00C34520">
              <w:rPr>
                <w:lang w:val="en-AU"/>
              </w:rPr>
              <w:t>Trial / study</w:t>
            </w:r>
          </w:p>
        </w:tc>
        <w:tc>
          <w:tcPr>
            <w:tcW w:w="1635" w:type="pct"/>
            <w:gridSpan w:val="3"/>
            <w:tcBorders>
              <w:top w:val="single" w:sz="4" w:space="0" w:color="auto"/>
              <w:left w:val="single" w:sz="4" w:space="0" w:color="auto"/>
              <w:bottom w:val="single" w:sz="4" w:space="0" w:color="auto"/>
              <w:right w:val="single" w:sz="4" w:space="0" w:color="auto"/>
            </w:tcBorders>
            <w:vAlign w:val="center"/>
            <w:hideMark/>
          </w:tcPr>
          <w:p w14:paraId="3C23D7F8" w14:textId="77777777" w:rsidR="00826D3B" w:rsidRPr="00C34520" w:rsidRDefault="00826D3B" w:rsidP="00DE0052">
            <w:pPr>
              <w:pStyle w:val="In-tableHeading"/>
              <w:jc w:val="center"/>
              <w:rPr>
                <w:lang w:val="en-AU"/>
              </w:rPr>
            </w:pPr>
            <w:r w:rsidRPr="00C34520">
              <w:rPr>
                <w:lang w:val="en-AU"/>
              </w:rPr>
              <w:t>Vaccine schedule</w:t>
            </w:r>
          </w:p>
        </w:tc>
        <w:tc>
          <w:tcPr>
            <w:tcW w:w="2492" w:type="pct"/>
            <w:vMerge w:val="restart"/>
            <w:tcBorders>
              <w:top w:val="single" w:sz="4" w:space="0" w:color="auto"/>
              <w:left w:val="single" w:sz="4" w:space="0" w:color="auto"/>
              <w:bottom w:val="single" w:sz="4" w:space="0" w:color="auto"/>
              <w:right w:val="single" w:sz="4" w:space="0" w:color="auto"/>
            </w:tcBorders>
            <w:vAlign w:val="center"/>
            <w:hideMark/>
          </w:tcPr>
          <w:p w14:paraId="462118CA" w14:textId="7224674E" w:rsidR="00826D3B" w:rsidRPr="00C34520" w:rsidRDefault="009961AF" w:rsidP="00DE0052">
            <w:pPr>
              <w:pStyle w:val="In-tableHeading"/>
              <w:jc w:val="center"/>
              <w:rPr>
                <w:lang w:val="en-AU"/>
              </w:rPr>
            </w:pPr>
            <w:r>
              <w:rPr>
                <w:lang w:val="en-AU"/>
              </w:rPr>
              <w:t>Previously s</w:t>
            </w:r>
            <w:r w:rsidR="00826D3B" w:rsidRPr="00C34520">
              <w:rPr>
                <w:lang w:val="en-AU"/>
              </w:rPr>
              <w:t>een by the PBAC (context)</w:t>
            </w:r>
          </w:p>
        </w:tc>
      </w:tr>
      <w:tr w:rsidR="00826D3B" w:rsidRPr="00C34520" w14:paraId="0D4EEBB0" w14:textId="77777777" w:rsidTr="00667D81">
        <w:trPr>
          <w:trHeight w:val="144"/>
        </w:trPr>
        <w:tc>
          <w:tcPr>
            <w:tcW w:w="873" w:type="pct"/>
            <w:vMerge/>
            <w:tcBorders>
              <w:top w:val="single" w:sz="4" w:space="0" w:color="auto"/>
              <w:left w:val="single" w:sz="4" w:space="0" w:color="auto"/>
              <w:bottom w:val="single" w:sz="4" w:space="0" w:color="auto"/>
              <w:right w:val="single" w:sz="4" w:space="0" w:color="auto"/>
            </w:tcBorders>
            <w:vAlign w:val="center"/>
            <w:hideMark/>
          </w:tcPr>
          <w:p w14:paraId="466F5E7E" w14:textId="77777777" w:rsidR="00826D3B" w:rsidRPr="00C34520" w:rsidRDefault="00826D3B" w:rsidP="00DE0052">
            <w:pPr>
              <w:keepNext/>
              <w:jc w:val="left"/>
              <w:rPr>
                <w:rFonts w:ascii="Arial Narrow" w:eastAsiaTheme="majorEastAsia" w:hAnsi="Arial Narrow" w:cs="Times New Roman"/>
                <w:b/>
                <w:sz w:val="20"/>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3988DDB8" w14:textId="77777777" w:rsidR="00826D3B" w:rsidRPr="00C34520" w:rsidRDefault="00826D3B" w:rsidP="00DE0052">
            <w:pPr>
              <w:pStyle w:val="In-tableHeading"/>
              <w:jc w:val="center"/>
              <w:rPr>
                <w:lang w:val="en-AU"/>
              </w:rPr>
            </w:pPr>
            <w:r w:rsidRPr="00C34520">
              <w:rPr>
                <w:lang w:val="en-AU"/>
              </w:rPr>
              <w:t>2+1</w:t>
            </w:r>
          </w:p>
        </w:tc>
        <w:tc>
          <w:tcPr>
            <w:tcW w:w="471" w:type="pct"/>
            <w:tcBorders>
              <w:top w:val="single" w:sz="4" w:space="0" w:color="auto"/>
              <w:left w:val="single" w:sz="4" w:space="0" w:color="auto"/>
              <w:bottom w:val="single" w:sz="4" w:space="0" w:color="auto"/>
              <w:right w:val="single" w:sz="4" w:space="0" w:color="auto"/>
            </w:tcBorders>
            <w:vAlign w:val="center"/>
            <w:hideMark/>
          </w:tcPr>
          <w:p w14:paraId="52AE9C6E" w14:textId="77777777" w:rsidR="00826D3B" w:rsidRPr="00C34520" w:rsidRDefault="00826D3B" w:rsidP="00DE0052">
            <w:pPr>
              <w:pStyle w:val="In-tableHeading"/>
              <w:jc w:val="center"/>
              <w:rPr>
                <w:lang w:val="en-AU"/>
              </w:rPr>
            </w:pPr>
            <w:r w:rsidRPr="00C34520">
              <w:rPr>
                <w:lang w:val="en-AU"/>
              </w:rPr>
              <w:t>3+1</w:t>
            </w:r>
          </w:p>
        </w:tc>
        <w:tc>
          <w:tcPr>
            <w:tcW w:w="473" w:type="pct"/>
            <w:tcBorders>
              <w:top w:val="single" w:sz="4" w:space="0" w:color="auto"/>
              <w:left w:val="single" w:sz="4" w:space="0" w:color="auto"/>
              <w:bottom w:val="single" w:sz="4" w:space="0" w:color="auto"/>
              <w:right w:val="single" w:sz="4" w:space="0" w:color="auto"/>
            </w:tcBorders>
            <w:vAlign w:val="center"/>
            <w:hideMark/>
          </w:tcPr>
          <w:p w14:paraId="0FB417D5" w14:textId="77777777" w:rsidR="00826D3B" w:rsidRPr="00C34520" w:rsidRDefault="00826D3B" w:rsidP="00DE0052">
            <w:pPr>
              <w:pStyle w:val="In-tableHeading"/>
              <w:jc w:val="center"/>
              <w:rPr>
                <w:lang w:val="en-AU"/>
              </w:rPr>
            </w:pPr>
            <w:r w:rsidRPr="00C34520">
              <w:rPr>
                <w:lang w:val="en-AU"/>
              </w:rPr>
              <w:t>Single dose</w:t>
            </w:r>
          </w:p>
        </w:tc>
        <w:tc>
          <w:tcPr>
            <w:tcW w:w="2492" w:type="pct"/>
            <w:vMerge/>
            <w:tcBorders>
              <w:top w:val="single" w:sz="4" w:space="0" w:color="auto"/>
              <w:left w:val="single" w:sz="4" w:space="0" w:color="auto"/>
              <w:bottom w:val="single" w:sz="4" w:space="0" w:color="auto"/>
              <w:right w:val="single" w:sz="4" w:space="0" w:color="auto"/>
            </w:tcBorders>
            <w:vAlign w:val="center"/>
            <w:hideMark/>
          </w:tcPr>
          <w:p w14:paraId="0B030120" w14:textId="77777777" w:rsidR="00826D3B" w:rsidRPr="00C34520" w:rsidRDefault="00826D3B" w:rsidP="00DE0052">
            <w:pPr>
              <w:jc w:val="left"/>
              <w:rPr>
                <w:rFonts w:ascii="Arial Narrow" w:eastAsiaTheme="majorEastAsia" w:hAnsi="Arial Narrow" w:cs="Times New Roman"/>
                <w:b/>
                <w:sz w:val="20"/>
              </w:rPr>
            </w:pPr>
          </w:p>
        </w:tc>
      </w:tr>
      <w:tr w:rsidR="00826D3B" w:rsidRPr="00C34520" w14:paraId="53DA988C" w14:textId="77777777" w:rsidTr="00667D81">
        <w:trPr>
          <w:trHeight w:val="225"/>
        </w:trPr>
        <w:tc>
          <w:tcPr>
            <w:tcW w:w="5000" w:type="pct"/>
            <w:gridSpan w:val="5"/>
            <w:tcBorders>
              <w:top w:val="single" w:sz="4" w:space="0" w:color="auto"/>
              <w:left w:val="single" w:sz="4" w:space="0" w:color="auto"/>
              <w:bottom w:val="single" w:sz="4" w:space="0" w:color="auto"/>
              <w:right w:val="single" w:sz="4" w:space="0" w:color="auto"/>
            </w:tcBorders>
            <w:hideMark/>
          </w:tcPr>
          <w:p w14:paraId="27B48838" w14:textId="77777777" w:rsidR="00826D3B" w:rsidRPr="00C34520" w:rsidRDefault="00826D3B" w:rsidP="00DE0052">
            <w:pPr>
              <w:pStyle w:val="In-tableHeading"/>
              <w:rPr>
                <w:lang w:val="en-AU"/>
              </w:rPr>
            </w:pPr>
            <w:r w:rsidRPr="00C34520">
              <w:rPr>
                <w:lang w:val="en-AU"/>
              </w:rPr>
              <w:t>20vPCV</w:t>
            </w:r>
          </w:p>
        </w:tc>
      </w:tr>
      <w:tr w:rsidR="00826D3B" w:rsidRPr="00C34520" w14:paraId="4CDDD6B9" w14:textId="77777777" w:rsidTr="00667D81">
        <w:trPr>
          <w:trHeight w:val="225"/>
        </w:trPr>
        <w:tc>
          <w:tcPr>
            <w:tcW w:w="873" w:type="pct"/>
            <w:tcBorders>
              <w:top w:val="single" w:sz="4" w:space="0" w:color="auto"/>
              <w:left w:val="single" w:sz="4" w:space="0" w:color="auto"/>
              <w:bottom w:val="single" w:sz="4" w:space="0" w:color="auto"/>
              <w:right w:val="single" w:sz="4" w:space="0" w:color="auto"/>
            </w:tcBorders>
            <w:hideMark/>
          </w:tcPr>
          <w:p w14:paraId="041B024A" w14:textId="77777777" w:rsidR="00826D3B" w:rsidRPr="00C34520" w:rsidRDefault="00826D3B" w:rsidP="00DE0052">
            <w:pPr>
              <w:pStyle w:val="TableText0"/>
            </w:pPr>
            <w:r w:rsidRPr="00C34520">
              <w:t>B7471012</w:t>
            </w:r>
          </w:p>
        </w:tc>
        <w:tc>
          <w:tcPr>
            <w:tcW w:w="691" w:type="pct"/>
            <w:tcBorders>
              <w:top w:val="single" w:sz="4" w:space="0" w:color="auto"/>
              <w:left w:val="single" w:sz="4" w:space="0" w:color="auto"/>
              <w:bottom w:val="single" w:sz="4" w:space="0" w:color="auto"/>
              <w:right w:val="single" w:sz="4" w:space="0" w:color="auto"/>
            </w:tcBorders>
            <w:hideMark/>
          </w:tcPr>
          <w:p w14:paraId="1B3372AE" w14:textId="3656DDAA" w:rsidR="00826D3B" w:rsidRPr="00C34520" w:rsidRDefault="00680E41" w:rsidP="00DE0052">
            <w:pPr>
              <w:pStyle w:val="TableText0"/>
              <w:jc w:val="center"/>
            </w:pPr>
            <w:r w:rsidRPr="00C34520">
              <w:rPr>
                <w:rFonts w:ascii="Segoe UI Symbol" w:hAnsi="Segoe UI Symbol" w:cs="Segoe UI Symbol"/>
              </w:rPr>
              <w:t>✓</w:t>
            </w:r>
          </w:p>
        </w:tc>
        <w:tc>
          <w:tcPr>
            <w:tcW w:w="471" w:type="pct"/>
            <w:tcBorders>
              <w:top w:val="single" w:sz="4" w:space="0" w:color="auto"/>
              <w:left w:val="single" w:sz="4" w:space="0" w:color="auto"/>
              <w:bottom w:val="single" w:sz="4" w:space="0" w:color="auto"/>
              <w:right w:val="single" w:sz="4" w:space="0" w:color="auto"/>
            </w:tcBorders>
          </w:tcPr>
          <w:p w14:paraId="1FC32D9E" w14:textId="77777777" w:rsidR="00826D3B" w:rsidRPr="00C34520" w:rsidRDefault="00826D3B" w:rsidP="00DE0052">
            <w:pPr>
              <w:pStyle w:val="TableText0"/>
              <w:jc w:val="center"/>
            </w:pPr>
          </w:p>
        </w:tc>
        <w:tc>
          <w:tcPr>
            <w:tcW w:w="473" w:type="pct"/>
            <w:tcBorders>
              <w:top w:val="single" w:sz="4" w:space="0" w:color="auto"/>
              <w:left w:val="single" w:sz="4" w:space="0" w:color="auto"/>
              <w:bottom w:val="single" w:sz="4" w:space="0" w:color="auto"/>
              <w:right w:val="single" w:sz="4" w:space="0" w:color="auto"/>
            </w:tcBorders>
          </w:tcPr>
          <w:p w14:paraId="1DB9C6EA" w14:textId="77777777" w:rsidR="00826D3B" w:rsidRPr="00C34520" w:rsidRDefault="00826D3B" w:rsidP="00DE0052">
            <w:pPr>
              <w:pStyle w:val="TableText0"/>
              <w:jc w:val="center"/>
            </w:pPr>
          </w:p>
        </w:tc>
        <w:tc>
          <w:tcPr>
            <w:tcW w:w="2492" w:type="pct"/>
            <w:tcBorders>
              <w:top w:val="single" w:sz="4" w:space="0" w:color="auto"/>
              <w:left w:val="single" w:sz="4" w:space="0" w:color="auto"/>
              <w:bottom w:val="single" w:sz="4" w:space="0" w:color="auto"/>
              <w:right w:val="single" w:sz="4" w:space="0" w:color="auto"/>
            </w:tcBorders>
            <w:vAlign w:val="center"/>
            <w:hideMark/>
          </w:tcPr>
          <w:p w14:paraId="7B10C18A" w14:textId="77777777" w:rsidR="00826D3B" w:rsidRPr="00C34520" w:rsidRDefault="00826D3B" w:rsidP="00DE0052">
            <w:pPr>
              <w:pStyle w:val="TableText0"/>
              <w:jc w:val="center"/>
            </w:pPr>
            <w:r w:rsidRPr="00C34520">
              <w:t>N</w:t>
            </w:r>
          </w:p>
        </w:tc>
      </w:tr>
      <w:tr w:rsidR="00826D3B" w:rsidRPr="00C34520" w14:paraId="71B0BE6E" w14:textId="77777777" w:rsidTr="00667D81">
        <w:trPr>
          <w:trHeight w:val="225"/>
        </w:trPr>
        <w:tc>
          <w:tcPr>
            <w:tcW w:w="873" w:type="pct"/>
            <w:tcBorders>
              <w:top w:val="single" w:sz="4" w:space="0" w:color="auto"/>
              <w:left w:val="single" w:sz="4" w:space="0" w:color="auto"/>
              <w:bottom w:val="single" w:sz="4" w:space="0" w:color="auto"/>
              <w:right w:val="single" w:sz="4" w:space="0" w:color="auto"/>
            </w:tcBorders>
            <w:hideMark/>
          </w:tcPr>
          <w:p w14:paraId="75836054" w14:textId="77777777" w:rsidR="00826D3B" w:rsidRPr="00C34520" w:rsidRDefault="00826D3B" w:rsidP="00DE0052">
            <w:pPr>
              <w:pStyle w:val="TableText0"/>
            </w:pPr>
            <w:r w:rsidRPr="00C34520">
              <w:t>B7471011</w:t>
            </w:r>
          </w:p>
        </w:tc>
        <w:tc>
          <w:tcPr>
            <w:tcW w:w="691" w:type="pct"/>
            <w:tcBorders>
              <w:top w:val="single" w:sz="4" w:space="0" w:color="auto"/>
              <w:left w:val="single" w:sz="4" w:space="0" w:color="auto"/>
              <w:bottom w:val="single" w:sz="4" w:space="0" w:color="auto"/>
              <w:right w:val="single" w:sz="4" w:space="0" w:color="auto"/>
            </w:tcBorders>
          </w:tcPr>
          <w:p w14:paraId="4C1370A6" w14:textId="77777777" w:rsidR="00826D3B" w:rsidRPr="00C34520" w:rsidRDefault="00826D3B" w:rsidP="00DE0052">
            <w:pPr>
              <w:pStyle w:val="TableText0"/>
              <w:jc w:val="center"/>
            </w:pPr>
          </w:p>
        </w:tc>
        <w:tc>
          <w:tcPr>
            <w:tcW w:w="471" w:type="pct"/>
            <w:tcBorders>
              <w:top w:val="single" w:sz="4" w:space="0" w:color="auto"/>
              <w:left w:val="single" w:sz="4" w:space="0" w:color="auto"/>
              <w:bottom w:val="single" w:sz="4" w:space="0" w:color="auto"/>
              <w:right w:val="single" w:sz="4" w:space="0" w:color="auto"/>
            </w:tcBorders>
            <w:hideMark/>
          </w:tcPr>
          <w:p w14:paraId="20D56D25" w14:textId="4155D9A7" w:rsidR="00826D3B" w:rsidRPr="00C34520" w:rsidRDefault="00F315E4" w:rsidP="00DE0052">
            <w:pPr>
              <w:pStyle w:val="TableText0"/>
              <w:jc w:val="center"/>
            </w:pPr>
            <w:r w:rsidRPr="00F315E4">
              <w:rPr>
                <w:rFonts w:ascii="Segoe UI Symbol" w:hAnsi="Segoe UI Symbol" w:cs="Segoe UI Symbol"/>
              </w:rPr>
              <w:t>✓</w:t>
            </w:r>
          </w:p>
        </w:tc>
        <w:tc>
          <w:tcPr>
            <w:tcW w:w="473" w:type="pct"/>
            <w:tcBorders>
              <w:top w:val="single" w:sz="4" w:space="0" w:color="auto"/>
              <w:left w:val="single" w:sz="4" w:space="0" w:color="auto"/>
              <w:bottom w:val="single" w:sz="4" w:space="0" w:color="auto"/>
              <w:right w:val="single" w:sz="4" w:space="0" w:color="auto"/>
            </w:tcBorders>
          </w:tcPr>
          <w:p w14:paraId="36C8D9F1" w14:textId="77777777" w:rsidR="00826D3B" w:rsidRPr="00C34520" w:rsidRDefault="00826D3B" w:rsidP="00DE0052">
            <w:pPr>
              <w:pStyle w:val="TableText0"/>
              <w:jc w:val="center"/>
            </w:pPr>
          </w:p>
        </w:tc>
        <w:tc>
          <w:tcPr>
            <w:tcW w:w="2492" w:type="pct"/>
            <w:tcBorders>
              <w:top w:val="single" w:sz="4" w:space="0" w:color="auto"/>
              <w:left w:val="single" w:sz="4" w:space="0" w:color="auto"/>
              <w:bottom w:val="single" w:sz="4" w:space="0" w:color="auto"/>
              <w:right w:val="single" w:sz="4" w:space="0" w:color="auto"/>
            </w:tcBorders>
            <w:vAlign w:val="center"/>
            <w:hideMark/>
          </w:tcPr>
          <w:p w14:paraId="525DC08D" w14:textId="77777777" w:rsidR="00826D3B" w:rsidRPr="00C34520" w:rsidRDefault="00826D3B" w:rsidP="00DE0052">
            <w:pPr>
              <w:pStyle w:val="TableText0"/>
              <w:jc w:val="center"/>
            </w:pPr>
            <w:r w:rsidRPr="00C34520">
              <w:t>N</w:t>
            </w:r>
          </w:p>
        </w:tc>
      </w:tr>
      <w:tr w:rsidR="00826D3B" w:rsidRPr="00C34520" w14:paraId="76A8EB20" w14:textId="77777777" w:rsidTr="00667D81">
        <w:trPr>
          <w:trHeight w:val="225"/>
        </w:trPr>
        <w:tc>
          <w:tcPr>
            <w:tcW w:w="873" w:type="pct"/>
            <w:tcBorders>
              <w:top w:val="single" w:sz="4" w:space="0" w:color="auto"/>
              <w:left w:val="single" w:sz="4" w:space="0" w:color="auto"/>
              <w:bottom w:val="single" w:sz="4" w:space="0" w:color="auto"/>
              <w:right w:val="single" w:sz="4" w:space="0" w:color="auto"/>
            </w:tcBorders>
            <w:hideMark/>
          </w:tcPr>
          <w:p w14:paraId="248680AB" w14:textId="77777777" w:rsidR="00826D3B" w:rsidRPr="00C34520" w:rsidRDefault="00826D3B" w:rsidP="00DE0052">
            <w:pPr>
              <w:pStyle w:val="TableText0"/>
            </w:pPr>
            <w:r w:rsidRPr="00C34520">
              <w:t>B7471013</w:t>
            </w:r>
          </w:p>
        </w:tc>
        <w:tc>
          <w:tcPr>
            <w:tcW w:w="691" w:type="pct"/>
            <w:tcBorders>
              <w:top w:val="single" w:sz="4" w:space="0" w:color="auto"/>
              <w:left w:val="single" w:sz="4" w:space="0" w:color="auto"/>
              <w:bottom w:val="single" w:sz="4" w:space="0" w:color="auto"/>
              <w:right w:val="single" w:sz="4" w:space="0" w:color="auto"/>
            </w:tcBorders>
          </w:tcPr>
          <w:p w14:paraId="5702D997" w14:textId="77777777" w:rsidR="00826D3B" w:rsidRPr="00C34520" w:rsidRDefault="00826D3B" w:rsidP="00DE0052">
            <w:pPr>
              <w:pStyle w:val="TableText0"/>
              <w:jc w:val="center"/>
            </w:pPr>
          </w:p>
        </w:tc>
        <w:tc>
          <w:tcPr>
            <w:tcW w:w="471" w:type="pct"/>
            <w:tcBorders>
              <w:top w:val="single" w:sz="4" w:space="0" w:color="auto"/>
              <w:left w:val="single" w:sz="4" w:space="0" w:color="auto"/>
              <w:bottom w:val="single" w:sz="4" w:space="0" w:color="auto"/>
              <w:right w:val="single" w:sz="4" w:space="0" w:color="auto"/>
            </w:tcBorders>
            <w:hideMark/>
          </w:tcPr>
          <w:p w14:paraId="23625BE9" w14:textId="158BC3D2" w:rsidR="00826D3B" w:rsidRPr="00C34520" w:rsidRDefault="00F315E4" w:rsidP="00DE0052">
            <w:pPr>
              <w:pStyle w:val="TableText0"/>
              <w:jc w:val="center"/>
            </w:pPr>
            <w:r w:rsidRPr="00F315E4">
              <w:rPr>
                <w:rFonts w:ascii="Segoe UI Symbol" w:hAnsi="Segoe UI Symbol" w:cs="Segoe UI Symbol"/>
              </w:rPr>
              <w:t>✓</w:t>
            </w:r>
          </w:p>
        </w:tc>
        <w:tc>
          <w:tcPr>
            <w:tcW w:w="473" w:type="pct"/>
            <w:tcBorders>
              <w:top w:val="single" w:sz="4" w:space="0" w:color="auto"/>
              <w:left w:val="single" w:sz="4" w:space="0" w:color="auto"/>
              <w:bottom w:val="single" w:sz="4" w:space="0" w:color="auto"/>
              <w:right w:val="single" w:sz="4" w:space="0" w:color="auto"/>
            </w:tcBorders>
          </w:tcPr>
          <w:p w14:paraId="0F6CBC42" w14:textId="77777777" w:rsidR="00826D3B" w:rsidRPr="00C34520" w:rsidRDefault="00826D3B" w:rsidP="00DE0052">
            <w:pPr>
              <w:pStyle w:val="TableText0"/>
              <w:jc w:val="center"/>
            </w:pPr>
          </w:p>
        </w:tc>
        <w:tc>
          <w:tcPr>
            <w:tcW w:w="2492" w:type="pct"/>
            <w:tcBorders>
              <w:top w:val="single" w:sz="4" w:space="0" w:color="auto"/>
              <w:left w:val="single" w:sz="4" w:space="0" w:color="auto"/>
              <w:bottom w:val="single" w:sz="4" w:space="0" w:color="auto"/>
              <w:right w:val="single" w:sz="4" w:space="0" w:color="auto"/>
            </w:tcBorders>
            <w:vAlign w:val="center"/>
            <w:hideMark/>
          </w:tcPr>
          <w:p w14:paraId="597EF5CF" w14:textId="77777777" w:rsidR="00826D3B" w:rsidRPr="00C34520" w:rsidRDefault="00826D3B" w:rsidP="00DE0052">
            <w:pPr>
              <w:pStyle w:val="TableText0"/>
              <w:jc w:val="center"/>
            </w:pPr>
            <w:r w:rsidRPr="00C34520">
              <w:t>N</w:t>
            </w:r>
          </w:p>
        </w:tc>
      </w:tr>
      <w:tr w:rsidR="00826D3B" w:rsidRPr="00C34520" w14:paraId="0ACBCED3" w14:textId="77777777" w:rsidTr="00667D81">
        <w:trPr>
          <w:trHeight w:val="225"/>
        </w:trPr>
        <w:tc>
          <w:tcPr>
            <w:tcW w:w="873" w:type="pct"/>
            <w:tcBorders>
              <w:top w:val="single" w:sz="4" w:space="0" w:color="auto"/>
              <w:left w:val="single" w:sz="4" w:space="0" w:color="auto"/>
              <w:bottom w:val="single" w:sz="4" w:space="0" w:color="auto"/>
              <w:right w:val="single" w:sz="4" w:space="0" w:color="auto"/>
            </w:tcBorders>
            <w:hideMark/>
          </w:tcPr>
          <w:p w14:paraId="49511E2A" w14:textId="77777777" w:rsidR="00826D3B" w:rsidRPr="00C34520" w:rsidRDefault="00826D3B" w:rsidP="00DE0052">
            <w:pPr>
              <w:pStyle w:val="TableText0"/>
            </w:pPr>
            <w:r w:rsidRPr="00C34520">
              <w:t>B7471003</w:t>
            </w:r>
          </w:p>
        </w:tc>
        <w:tc>
          <w:tcPr>
            <w:tcW w:w="691" w:type="pct"/>
            <w:tcBorders>
              <w:top w:val="single" w:sz="4" w:space="0" w:color="auto"/>
              <w:left w:val="single" w:sz="4" w:space="0" w:color="auto"/>
              <w:bottom w:val="single" w:sz="4" w:space="0" w:color="auto"/>
              <w:right w:val="single" w:sz="4" w:space="0" w:color="auto"/>
            </w:tcBorders>
          </w:tcPr>
          <w:p w14:paraId="47FF0EB1" w14:textId="77777777" w:rsidR="00826D3B" w:rsidRPr="00C34520" w:rsidRDefault="00826D3B" w:rsidP="00DE0052">
            <w:pPr>
              <w:pStyle w:val="TableText0"/>
              <w:jc w:val="center"/>
            </w:pPr>
          </w:p>
        </w:tc>
        <w:tc>
          <w:tcPr>
            <w:tcW w:w="471" w:type="pct"/>
            <w:tcBorders>
              <w:top w:val="single" w:sz="4" w:space="0" w:color="auto"/>
              <w:left w:val="single" w:sz="4" w:space="0" w:color="auto"/>
              <w:bottom w:val="single" w:sz="4" w:space="0" w:color="auto"/>
              <w:right w:val="single" w:sz="4" w:space="0" w:color="auto"/>
            </w:tcBorders>
            <w:hideMark/>
          </w:tcPr>
          <w:p w14:paraId="1EE3898C" w14:textId="2DE41533" w:rsidR="00826D3B" w:rsidRPr="00C34520" w:rsidRDefault="00F315E4" w:rsidP="00DE0052">
            <w:pPr>
              <w:pStyle w:val="TableText0"/>
              <w:jc w:val="center"/>
            </w:pPr>
            <w:r w:rsidRPr="00F315E4">
              <w:rPr>
                <w:rFonts w:ascii="Segoe UI Symbol" w:hAnsi="Segoe UI Symbol" w:cs="Segoe UI Symbol"/>
              </w:rPr>
              <w:t>✓</w:t>
            </w:r>
          </w:p>
        </w:tc>
        <w:tc>
          <w:tcPr>
            <w:tcW w:w="473" w:type="pct"/>
            <w:tcBorders>
              <w:top w:val="single" w:sz="4" w:space="0" w:color="auto"/>
              <w:left w:val="single" w:sz="4" w:space="0" w:color="auto"/>
              <w:bottom w:val="single" w:sz="4" w:space="0" w:color="auto"/>
              <w:right w:val="single" w:sz="4" w:space="0" w:color="auto"/>
            </w:tcBorders>
          </w:tcPr>
          <w:p w14:paraId="1A209342" w14:textId="77777777" w:rsidR="00826D3B" w:rsidRPr="00C34520" w:rsidRDefault="00826D3B" w:rsidP="00DE0052">
            <w:pPr>
              <w:pStyle w:val="TableText0"/>
              <w:jc w:val="center"/>
            </w:pPr>
          </w:p>
        </w:tc>
        <w:tc>
          <w:tcPr>
            <w:tcW w:w="2492" w:type="pct"/>
            <w:tcBorders>
              <w:top w:val="single" w:sz="4" w:space="0" w:color="auto"/>
              <w:left w:val="single" w:sz="4" w:space="0" w:color="auto"/>
              <w:bottom w:val="single" w:sz="4" w:space="0" w:color="auto"/>
              <w:right w:val="single" w:sz="4" w:space="0" w:color="auto"/>
            </w:tcBorders>
            <w:vAlign w:val="center"/>
            <w:hideMark/>
          </w:tcPr>
          <w:p w14:paraId="6EBE04D2" w14:textId="77777777" w:rsidR="00826D3B" w:rsidRPr="00C34520" w:rsidRDefault="00826D3B" w:rsidP="00DE0052">
            <w:pPr>
              <w:pStyle w:val="TableText0"/>
              <w:jc w:val="center"/>
            </w:pPr>
            <w:r w:rsidRPr="00C34520">
              <w:t>N</w:t>
            </w:r>
          </w:p>
        </w:tc>
      </w:tr>
      <w:tr w:rsidR="00826D3B" w:rsidRPr="00C34520" w14:paraId="13A6864B" w14:textId="77777777" w:rsidTr="00667D81">
        <w:trPr>
          <w:trHeight w:val="225"/>
        </w:trPr>
        <w:tc>
          <w:tcPr>
            <w:tcW w:w="873" w:type="pct"/>
            <w:tcBorders>
              <w:top w:val="single" w:sz="4" w:space="0" w:color="auto"/>
              <w:left w:val="single" w:sz="4" w:space="0" w:color="auto"/>
              <w:bottom w:val="single" w:sz="4" w:space="0" w:color="auto"/>
              <w:right w:val="single" w:sz="4" w:space="0" w:color="auto"/>
            </w:tcBorders>
            <w:hideMark/>
          </w:tcPr>
          <w:p w14:paraId="47CA22BC" w14:textId="77777777" w:rsidR="00826D3B" w:rsidRPr="00C34520" w:rsidRDefault="00826D3B" w:rsidP="00DE0052">
            <w:pPr>
              <w:pStyle w:val="TableText0"/>
            </w:pPr>
            <w:r w:rsidRPr="00C34520">
              <w:t>B7471014</w:t>
            </w:r>
          </w:p>
        </w:tc>
        <w:tc>
          <w:tcPr>
            <w:tcW w:w="691" w:type="pct"/>
            <w:tcBorders>
              <w:top w:val="single" w:sz="4" w:space="0" w:color="auto"/>
              <w:left w:val="single" w:sz="4" w:space="0" w:color="auto"/>
              <w:bottom w:val="single" w:sz="4" w:space="0" w:color="auto"/>
              <w:right w:val="single" w:sz="4" w:space="0" w:color="auto"/>
            </w:tcBorders>
          </w:tcPr>
          <w:p w14:paraId="30A354F9" w14:textId="77777777" w:rsidR="00826D3B" w:rsidRPr="00C34520" w:rsidRDefault="00826D3B" w:rsidP="00DE0052">
            <w:pPr>
              <w:pStyle w:val="TableText0"/>
              <w:jc w:val="center"/>
            </w:pPr>
          </w:p>
        </w:tc>
        <w:tc>
          <w:tcPr>
            <w:tcW w:w="471" w:type="pct"/>
            <w:tcBorders>
              <w:top w:val="single" w:sz="4" w:space="0" w:color="auto"/>
              <w:left w:val="single" w:sz="4" w:space="0" w:color="auto"/>
              <w:bottom w:val="single" w:sz="4" w:space="0" w:color="auto"/>
              <w:right w:val="single" w:sz="4" w:space="0" w:color="auto"/>
            </w:tcBorders>
          </w:tcPr>
          <w:p w14:paraId="04FFA3A9" w14:textId="77777777" w:rsidR="00826D3B" w:rsidRPr="00C34520" w:rsidRDefault="00826D3B" w:rsidP="00DE0052">
            <w:pPr>
              <w:pStyle w:val="TableText0"/>
              <w:jc w:val="center"/>
            </w:pPr>
          </w:p>
        </w:tc>
        <w:tc>
          <w:tcPr>
            <w:tcW w:w="473" w:type="pct"/>
            <w:tcBorders>
              <w:top w:val="single" w:sz="4" w:space="0" w:color="auto"/>
              <w:left w:val="single" w:sz="4" w:space="0" w:color="auto"/>
              <w:bottom w:val="single" w:sz="4" w:space="0" w:color="auto"/>
              <w:right w:val="single" w:sz="4" w:space="0" w:color="auto"/>
            </w:tcBorders>
            <w:hideMark/>
          </w:tcPr>
          <w:p w14:paraId="5E363DA5" w14:textId="220E0B10" w:rsidR="00826D3B" w:rsidRPr="00C34520" w:rsidRDefault="00F315E4" w:rsidP="00DE0052">
            <w:pPr>
              <w:pStyle w:val="TableText0"/>
              <w:jc w:val="center"/>
            </w:pPr>
            <w:r w:rsidRPr="00F315E4">
              <w:rPr>
                <w:rFonts w:ascii="Segoe UI Symbol" w:hAnsi="Segoe UI Symbol" w:cs="Segoe UI Symbol"/>
              </w:rPr>
              <w:t>✓</w:t>
            </w:r>
          </w:p>
        </w:tc>
        <w:tc>
          <w:tcPr>
            <w:tcW w:w="2492" w:type="pct"/>
            <w:tcBorders>
              <w:top w:val="single" w:sz="4" w:space="0" w:color="auto"/>
              <w:left w:val="single" w:sz="4" w:space="0" w:color="auto"/>
              <w:bottom w:val="single" w:sz="4" w:space="0" w:color="auto"/>
              <w:right w:val="single" w:sz="4" w:space="0" w:color="auto"/>
            </w:tcBorders>
            <w:vAlign w:val="center"/>
            <w:hideMark/>
          </w:tcPr>
          <w:p w14:paraId="61E7C612" w14:textId="77777777" w:rsidR="00826D3B" w:rsidRPr="00C34520" w:rsidRDefault="00826D3B" w:rsidP="00DE0052">
            <w:pPr>
              <w:pStyle w:val="TableText0"/>
              <w:jc w:val="center"/>
            </w:pPr>
            <w:r w:rsidRPr="00C34520">
              <w:t>N</w:t>
            </w:r>
          </w:p>
        </w:tc>
      </w:tr>
      <w:tr w:rsidR="00826D3B" w:rsidRPr="00C34520" w14:paraId="5CFF04A6" w14:textId="77777777" w:rsidTr="00667D81">
        <w:trPr>
          <w:trHeight w:val="225"/>
        </w:trPr>
        <w:tc>
          <w:tcPr>
            <w:tcW w:w="5000" w:type="pct"/>
            <w:gridSpan w:val="5"/>
            <w:tcBorders>
              <w:top w:val="single" w:sz="4" w:space="0" w:color="auto"/>
              <w:left w:val="single" w:sz="4" w:space="0" w:color="auto"/>
              <w:bottom w:val="single" w:sz="4" w:space="0" w:color="auto"/>
              <w:right w:val="single" w:sz="4" w:space="0" w:color="auto"/>
            </w:tcBorders>
            <w:hideMark/>
          </w:tcPr>
          <w:p w14:paraId="767AB858" w14:textId="77777777" w:rsidR="00826D3B" w:rsidRPr="00C34520" w:rsidRDefault="00826D3B" w:rsidP="00DE0052">
            <w:pPr>
              <w:pStyle w:val="In-tableHeading"/>
              <w:rPr>
                <w:lang w:val="en-AU"/>
              </w:rPr>
            </w:pPr>
            <w:r w:rsidRPr="00C34520">
              <w:rPr>
                <w:lang w:val="en-AU"/>
              </w:rPr>
              <w:t>15vPCV</w:t>
            </w:r>
          </w:p>
        </w:tc>
      </w:tr>
      <w:tr w:rsidR="00826D3B" w:rsidRPr="00C34520" w14:paraId="2D6B4D49" w14:textId="77777777" w:rsidTr="00667D81">
        <w:trPr>
          <w:trHeight w:val="179"/>
        </w:trPr>
        <w:tc>
          <w:tcPr>
            <w:tcW w:w="873" w:type="pct"/>
            <w:tcBorders>
              <w:top w:val="single" w:sz="4" w:space="0" w:color="auto"/>
              <w:left w:val="single" w:sz="4" w:space="0" w:color="auto"/>
              <w:bottom w:val="single" w:sz="4" w:space="0" w:color="auto"/>
              <w:right w:val="single" w:sz="4" w:space="0" w:color="auto"/>
            </w:tcBorders>
            <w:hideMark/>
          </w:tcPr>
          <w:p w14:paraId="3E6237BC" w14:textId="77777777" w:rsidR="00826D3B" w:rsidRPr="00C34520" w:rsidRDefault="00826D3B" w:rsidP="00DE0052">
            <w:pPr>
              <w:pStyle w:val="TableText0"/>
            </w:pPr>
            <w:r w:rsidRPr="00C34520">
              <w:t>PNEU-PED-EU-1</w:t>
            </w:r>
          </w:p>
        </w:tc>
        <w:tc>
          <w:tcPr>
            <w:tcW w:w="691" w:type="pct"/>
            <w:tcBorders>
              <w:top w:val="single" w:sz="4" w:space="0" w:color="auto"/>
              <w:left w:val="single" w:sz="4" w:space="0" w:color="auto"/>
              <w:bottom w:val="single" w:sz="4" w:space="0" w:color="auto"/>
              <w:right w:val="single" w:sz="4" w:space="0" w:color="auto"/>
            </w:tcBorders>
            <w:hideMark/>
          </w:tcPr>
          <w:p w14:paraId="5901028F" w14:textId="0FCB2DDF" w:rsidR="00826D3B" w:rsidRPr="00C34520" w:rsidRDefault="00F315E4" w:rsidP="00DE0052">
            <w:pPr>
              <w:pStyle w:val="TableText0"/>
              <w:jc w:val="center"/>
            </w:pPr>
            <w:r w:rsidRPr="00F315E4">
              <w:rPr>
                <w:rFonts w:ascii="Segoe UI Symbol" w:hAnsi="Segoe UI Symbol" w:cs="Segoe UI Symbol"/>
              </w:rPr>
              <w:t>✓</w:t>
            </w:r>
          </w:p>
        </w:tc>
        <w:tc>
          <w:tcPr>
            <w:tcW w:w="471" w:type="pct"/>
            <w:tcBorders>
              <w:top w:val="single" w:sz="4" w:space="0" w:color="auto"/>
              <w:left w:val="single" w:sz="4" w:space="0" w:color="auto"/>
              <w:bottom w:val="single" w:sz="4" w:space="0" w:color="auto"/>
              <w:right w:val="single" w:sz="4" w:space="0" w:color="auto"/>
            </w:tcBorders>
          </w:tcPr>
          <w:p w14:paraId="16CC0AEF" w14:textId="77777777" w:rsidR="00826D3B" w:rsidRPr="00C34520" w:rsidRDefault="00826D3B" w:rsidP="00DE0052">
            <w:pPr>
              <w:pStyle w:val="TableText0"/>
              <w:jc w:val="center"/>
            </w:pPr>
          </w:p>
        </w:tc>
        <w:tc>
          <w:tcPr>
            <w:tcW w:w="473" w:type="pct"/>
            <w:tcBorders>
              <w:top w:val="single" w:sz="4" w:space="0" w:color="auto"/>
              <w:left w:val="single" w:sz="4" w:space="0" w:color="auto"/>
              <w:bottom w:val="single" w:sz="4" w:space="0" w:color="auto"/>
              <w:right w:val="single" w:sz="4" w:space="0" w:color="auto"/>
            </w:tcBorders>
          </w:tcPr>
          <w:p w14:paraId="2CCC2447" w14:textId="77777777" w:rsidR="00826D3B" w:rsidRPr="00C34520" w:rsidRDefault="00826D3B" w:rsidP="00DE0052">
            <w:pPr>
              <w:pStyle w:val="TableText0"/>
              <w:jc w:val="center"/>
            </w:pPr>
          </w:p>
        </w:tc>
        <w:tc>
          <w:tcPr>
            <w:tcW w:w="2492" w:type="pct"/>
            <w:vMerge w:val="restart"/>
            <w:tcBorders>
              <w:top w:val="single" w:sz="4" w:space="0" w:color="auto"/>
              <w:left w:val="single" w:sz="4" w:space="0" w:color="auto"/>
              <w:bottom w:val="single" w:sz="4" w:space="0" w:color="auto"/>
              <w:right w:val="single" w:sz="4" w:space="0" w:color="auto"/>
            </w:tcBorders>
            <w:vAlign w:val="center"/>
            <w:hideMark/>
          </w:tcPr>
          <w:p w14:paraId="2E988D23" w14:textId="77143E13" w:rsidR="00826D3B" w:rsidRPr="00C34520" w:rsidRDefault="00826D3B" w:rsidP="00DE0052">
            <w:pPr>
              <w:pStyle w:val="TableText0"/>
            </w:pPr>
            <w:r w:rsidRPr="00C34520">
              <w:t>Y (paragraph 6.7, pneumococcal conjugate vaccine, 15 valent adsorbed, PSD, March 2023 PBAC meeting</w:t>
            </w:r>
            <w:r w:rsidR="00680E41" w:rsidRPr="00C34520">
              <w:t>)</w:t>
            </w:r>
          </w:p>
        </w:tc>
      </w:tr>
      <w:tr w:rsidR="00826D3B" w:rsidRPr="00C34520" w14:paraId="6CB8964E" w14:textId="77777777" w:rsidTr="00667D81">
        <w:trPr>
          <w:trHeight w:val="206"/>
        </w:trPr>
        <w:tc>
          <w:tcPr>
            <w:tcW w:w="873" w:type="pct"/>
            <w:tcBorders>
              <w:top w:val="single" w:sz="4" w:space="0" w:color="auto"/>
              <w:left w:val="single" w:sz="4" w:space="0" w:color="auto"/>
              <w:bottom w:val="single" w:sz="4" w:space="0" w:color="auto"/>
              <w:right w:val="single" w:sz="4" w:space="0" w:color="auto"/>
            </w:tcBorders>
            <w:hideMark/>
          </w:tcPr>
          <w:p w14:paraId="0880ADA2" w14:textId="77777777" w:rsidR="00826D3B" w:rsidRPr="00C34520" w:rsidRDefault="00826D3B" w:rsidP="00DE0052">
            <w:pPr>
              <w:pStyle w:val="TableText0"/>
            </w:pPr>
            <w:r w:rsidRPr="00C34520">
              <w:t>PNEU-PED-EU-2</w:t>
            </w:r>
          </w:p>
        </w:tc>
        <w:tc>
          <w:tcPr>
            <w:tcW w:w="691" w:type="pct"/>
            <w:tcBorders>
              <w:top w:val="single" w:sz="4" w:space="0" w:color="auto"/>
              <w:left w:val="single" w:sz="4" w:space="0" w:color="auto"/>
              <w:bottom w:val="single" w:sz="4" w:space="0" w:color="auto"/>
              <w:right w:val="single" w:sz="4" w:space="0" w:color="auto"/>
            </w:tcBorders>
            <w:hideMark/>
          </w:tcPr>
          <w:p w14:paraId="4B91D799" w14:textId="00AB7B50" w:rsidR="00826D3B" w:rsidRPr="00C34520" w:rsidRDefault="00F315E4" w:rsidP="00DE0052">
            <w:pPr>
              <w:pStyle w:val="TableText0"/>
              <w:jc w:val="center"/>
            </w:pPr>
            <w:r w:rsidRPr="00F315E4">
              <w:rPr>
                <w:rFonts w:ascii="Segoe UI Symbol" w:hAnsi="Segoe UI Symbol" w:cs="Segoe UI Symbol"/>
              </w:rPr>
              <w:t>✓</w:t>
            </w:r>
          </w:p>
        </w:tc>
        <w:tc>
          <w:tcPr>
            <w:tcW w:w="471" w:type="pct"/>
            <w:tcBorders>
              <w:top w:val="single" w:sz="4" w:space="0" w:color="auto"/>
              <w:left w:val="single" w:sz="4" w:space="0" w:color="auto"/>
              <w:bottom w:val="single" w:sz="4" w:space="0" w:color="auto"/>
              <w:right w:val="single" w:sz="4" w:space="0" w:color="auto"/>
            </w:tcBorders>
          </w:tcPr>
          <w:p w14:paraId="3508E7D1" w14:textId="77777777" w:rsidR="00826D3B" w:rsidRPr="00C34520" w:rsidRDefault="00826D3B" w:rsidP="00DE0052">
            <w:pPr>
              <w:pStyle w:val="TableText0"/>
              <w:jc w:val="center"/>
            </w:pPr>
          </w:p>
        </w:tc>
        <w:tc>
          <w:tcPr>
            <w:tcW w:w="473" w:type="pct"/>
            <w:tcBorders>
              <w:top w:val="single" w:sz="4" w:space="0" w:color="auto"/>
              <w:left w:val="single" w:sz="4" w:space="0" w:color="auto"/>
              <w:bottom w:val="single" w:sz="4" w:space="0" w:color="auto"/>
              <w:right w:val="single" w:sz="4" w:space="0" w:color="auto"/>
            </w:tcBorders>
          </w:tcPr>
          <w:p w14:paraId="31B21199" w14:textId="77777777" w:rsidR="00826D3B" w:rsidRPr="00C34520" w:rsidRDefault="00826D3B" w:rsidP="00DE0052">
            <w:pPr>
              <w:pStyle w:val="TableText0"/>
              <w:jc w:val="center"/>
            </w:pPr>
          </w:p>
        </w:tc>
        <w:tc>
          <w:tcPr>
            <w:tcW w:w="2492" w:type="pct"/>
            <w:vMerge/>
            <w:tcBorders>
              <w:top w:val="single" w:sz="4" w:space="0" w:color="auto"/>
              <w:left w:val="single" w:sz="4" w:space="0" w:color="auto"/>
              <w:bottom w:val="single" w:sz="4" w:space="0" w:color="auto"/>
              <w:right w:val="single" w:sz="4" w:space="0" w:color="auto"/>
            </w:tcBorders>
            <w:vAlign w:val="center"/>
            <w:hideMark/>
          </w:tcPr>
          <w:p w14:paraId="1759D7CD" w14:textId="77777777" w:rsidR="00826D3B" w:rsidRPr="00C34520" w:rsidRDefault="00826D3B" w:rsidP="00DE0052">
            <w:pPr>
              <w:jc w:val="left"/>
              <w:rPr>
                <w:rFonts w:ascii="Arial Narrow" w:eastAsiaTheme="majorEastAsia" w:hAnsi="Arial Narrow" w:cstheme="majorBidi"/>
                <w:bCs/>
                <w:sz w:val="20"/>
              </w:rPr>
            </w:pPr>
          </w:p>
        </w:tc>
      </w:tr>
      <w:tr w:rsidR="00826D3B" w:rsidRPr="00C34520" w14:paraId="2D354B2A" w14:textId="77777777" w:rsidTr="00667D81">
        <w:trPr>
          <w:trHeight w:val="225"/>
        </w:trPr>
        <w:tc>
          <w:tcPr>
            <w:tcW w:w="873" w:type="pct"/>
            <w:tcBorders>
              <w:top w:val="single" w:sz="4" w:space="0" w:color="auto"/>
              <w:left w:val="single" w:sz="4" w:space="0" w:color="auto"/>
              <w:bottom w:val="single" w:sz="4" w:space="0" w:color="auto"/>
              <w:right w:val="single" w:sz="4" w:space="0" w:color="auto"/>
            </w:tcBorders>
            <w:hideMark/>
          </w:tcPr>
          <w:p w14:paraId="006B2F71" w14:textId="77777777" w:rsidR="00826D3B" w:rsidRPr="00C34520" w:rsidRDefault="00826D3B" w:rsidP="00DE0052">
            <w:pPr>
              <w:pStyle w:val="TableText0"/>
            </w:pPr>
            <w:r w:rsidRPr="00C34520">
              <w:t>PNEU-PED</w:t>
            </w:r>
          </w:p>
        </w:tc>
        <w:tc>
          <w:tcPr>
            <w:tcW w:w="691" w:type="pct"/>
            <w:tcBorders>
              <w:top w:val="single" w:sz="4" w:space="0" w:color="auto"/>
              <w:left w:val="single" w:sz="4" w:space="0" w:color="auto"/>
              <w:bottom w:val="single" w:sz="4" w:space="0" w:color="auto"/>
              <w:right w:val="single" w:sz="4" w:space="0" w:color="auto"/>
            </w:tcBorders>
          </w:tcPr>
          <w:p w14:paraId="2B07B454" w14:textId="77777777" w:rsidR="00826D3B" w:rsidRPr="00C34520" w:rsidRDefault="00826D3B" w:rsidP="00DE0052">
            <w:pPr>
              <w:pStyle w:val="TableText0"/>
              <w:jc w:val="center"/>
            </w:pPr>
          </w:p>
        </w:tc>
        <w:tc>
          <w:tcPr>
            <w:tcW w:w="471" w:type="pct"/>
            <w:tcBorders>
              <w:top w:val="single" w:sz="4" w:space="0" w:color="auto"/>
              <w:left w:val="single" w:sz="4" w:space="0" w:color="auto"/>
              <w:bottom w:val="single" w:sz="4" w:space="0" w:color="auto"/>
              <w:right w:val="single" w:sz="4" w:space="0" w:color="auto"/>
            </w:tcBorders>
            <w:hideMark/>
          </w:tcPr>
          <w:p w14:paraId="619DCFC9" w14:textId="4DA6617C" w:rsidR="00826D3B" w:rsidRPr="00C34520" w:rsidRDefault="00F315E4" w:rsidP="00DE0052">
            <w:pPr>
              <w:pStyle w:val="TableText0"/>
              <w:jc w:val="center"/>
            </w:pPr>
            <w:r w:rsidRPr="00F315E4">
              <w:rPr>
                <w:rFonts w:ascii="Segoe UI Symbol" w:hAnsi="Segoe UI Symbol" w:cs="Segoe UI Symbol"/>
              </w:rPr>
              <w:t>✓</w:t>
            </w:r>
          </w:p>
        </w:tc>
        <w:tc>
          <w:tcPr>
            <w:tcW w:w="473" w:type="pct"/>
            <w:tcBorders>
              <w:top w:val="single" w:sz="4" w:space="0" w:color="auto"/>
              <w:left w:val="single" w:sz="4" w:space="0" w:color="auto"/>
              <w:bottom w:val="single" w:sz="4" w:space="0" w:color="auto"/>
              <w:right w:val="single" w:sz="4" w:space="0" w:color="auto"/>
            </w:tcBorders>
          </w:tcPr>
          <w:p w14:paraId="7E392C1E" w14:textId="77777777" w:rsidR="00826D3B" w:rsidRPr="00C34520" w:rsidRDefault="00826D3B" w:rsidP="00DE0052">
            <w:pPr>
              <w:pStyle w:val="TableText0"/>
              <w:jc w:val="center"/>
            </w:pPr>
          </w:p>
        </w:tc>
        <w:tc>
          <w:tcPr>
            <w:tcW w:w="2492" w:type="pct"/>
            <w:vMerge/>
            <w:tcBorders>
              <w:top w:val="single" w:sz="4" w:space="0" w:color="auto"/>
              <w:left w:val="single" w:sz="4" w:space="0" w:color="auto"/>
              <w:bottom w:val="single" w:sz="4" w:space="0" w:color="auto"/>
              <w:right w:val="single" w:sz="4" w:space="0" w:color="auto"/>
            </w:tcBorders>
            <w:vAlign w:val="center"/>
            <w:hideMark/>
          </w:tcPr>
          <w:p w14:paraId="725E782D" w14:textId="77777777" w:rsidR="00826D3B" w:rsidRPr="00C34520" w:rsidRDefault="00826D3B" w:rsidP="00DE0052">
            <w:pPr>
              <w:jc w:val="left"/>
              <w:rPr>
                <w:rFonts w:ascii="Arial Narrow" w:eastAsiaTheme="majorEastAsia" w:hAnsi="Arial Narrow" w:cstheme="majorBidi"/>
                <w:bCs/>
                <w:sz w:val="20"/>
              </w:rPr>
            </w:pPr>
          </w:p>
        </w:tc>
      </w:tr>
    </w:tbl>
    <w:p w14:paraId="709144A0" w14:textId="77777777" w:rsidR="00826D3B" w:rsidRPr="00C34520" w:rsidRDefault="00826D3B" w:rsidP="00826D3B">
      <w:pPr>
        <w:pStyle w:val="FooterTableFigure"/>
      </w:pPr>
      <w:r w:rsidRPr="00C34520">
        <w:t>Source: Table 2.3.3, pp53 &amp; 251-252 of the submission</w:t>
      </w:r>
      <w:bookmarkStart w:id="34" w:name="_Hlk143424599"/>
      <w:r w:rsidRPr="00C34520">
        <w:t>.</w:t>
      </w:r>
    </w:p>
    <w:bookmarkEnd w:id="34"/>
    <w:p w14:paraId="10029B13" w14:textId="0DBEBC25" w:rsidR="00826D3B" w:rsidRPr="00C34520" w:rsidRDefault="00826D3B" w:rsidP="00826D3B">
      <w:pPr>
        <w:pStyle w:val="FooterTableFigure"/>
      </w:pPr>
      <w:r w:rsidRPr="00C34520">
        <w:t xml:space="preserve">15vPCV = 15 valent pneumococcal conjugate vaccine; 20vPCV = 20 valent pneumococcal conjugate vaccine; </w:t>
      </w:r>
      <w:r w:rsidR="00DE596F" w:rsidRPr="00C34520">
        <w:t xml:space="preserve">N = no; </w:t>
      </w:r>
      <w:r w:rsidRPr="00C34520">
        <w:t>PBAC = Pharmaceutical Benefits Advisory Committee</w:t>
      </w:r>
      <w:r w:rsidR="00DE596F" w:rsidRPr="00C34520">
        <w:t>; Y = yes.</w:t>
      </w:r>
    </w:p>
    <w:p w14:paraId="1928591A" w14:textId="4B2DFCC5" w:rsidR="00826D3B" w:rsidRPr="00C34520" w:rsidRDefault="00826D3B" w:rsidP="00F625A4">
      <w:pPr>
        <w:pStyle w:val="3-BodyText"/>
      </w:pPr>
      <w:r w:rsidRPr="00C34520">
        <w:rPr>
          <w:snapToGrid/>
        </w:rPr>
        <w:t xml:space="preserve">Details of the trials/study presented in the submission are provided in </w:t>
      </w:r>
      <w:r w:rsidRPr="00C34520">
        <w:rPr>
          <w:snapToGrid/>
        </w:rPr>
        <w:fldChar w:fldCharType="begin"/>
      </w:r>
      <w:r w:rsidRPr="00C34520">
        <w:rPr>
          <w:snapToGrid/>
        </w:rPr>
        <w:instrText xml:space="preserve"> REF _Ref104803956 \h </w:instrText>
      </w:r>
      <w:r w:rsidRPr="00C34520">
        <w:rPr>
          <w:snapToGrid/>
        </w:rPr>
      </w:r>
      <w:r w:rsidRPr="00C34520">
        <w:rPr>
          <w:snapToGrid/>
        </w:rPr>
        <w:fldChar w:fldCharType="separate"/>
      </w:r>
      <w:r w:rsidR="009523CC" w:rsidRPr="00C34520">
        <w:t xml:space="preserve">Table </w:t>
      </w:r>
      <w:r w:rsidR="009523CC">
        <w:rPr>
          <w:noProof/>
        </w:rPr>
        <w:t>6</w:t>
      </w:r>
      <w:r w:rsidRPr="00C34520">
        <w:rPr>
          <w:snapToGrid/>
        </w:rPr>
        <w:fldChar w:fldCharType="end"/>
      </w:r>
      <w:r w:rsidRPr="00C34520">
        <w:rPr>
          <w:snapToGrid/>
        </w:rPr>
        <w:t xml:space="preserve">. </w:t>
      </w:r>
    </w:p>
    <w:p w14:paraId="3BEEE90D" w14:textId="10738E7C" w:rsidR="00826D3B" w:rsidRPr="00C34520" w:rsidRDefault="00826D3B" w:rsidP="002A250E">
      <w:pPr>
        <w:pStyle w:val="Caption"/>
        <w:rPr>
          <w:rStyle w:val="CommentReference"/>
          <w:b/>
          <w:szCs w:val="24"/>
        </w:rPr>
      </w:pPr>
      <w:bookmarkStart w:id="35" w:name="_Ref104803956"/>
      <w:r w:rsidRPr="00C34520">
        <w:lastRenderedPageBreak/>
        <w:t xml:space="preserve">Table </w:t>
      </w:r>
      <w:fldSimple w:instr=" SEQ Table \* ARABIC ">
        <w:r w:rsidR="009523CC">
          <w:rPr>
            <w:noProof/>
          </w:rPr>
          <w:t>6</w:t>
        </w:r>
      </w:fldSimple>
      <w:bookmarkEnd w:id="35"/>
      <w:r w:rsidRPr="00C34520">
        <w:t>:</w:t>
      </w:r>
      <w:r w:rsidRPr="00C34520">
        <w:rPr>
          <w:rStyle w:val="CommentReference"/>
          <w:b/>
          <w:szCs w:val="24"/>
        </w:rPr>
        <w:t xml:space="preserve"> Trials/study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9"/>
        <w:gridCol w:w="5491"/>
        <w:gridCol w:w="1977"/>
      </w:tblGrid>
      <w:tr w:rsidR="00826D3B" w:rsidRPr="00C34520" w14:paraId="54C7D162" w14:textId="77777777" w:rsidTr="00667D81">
        <w:trPr>
          <w:tblHeader/>
        </w:trPr>
        <w:tc>
          <w:tcPr>
            <w:tcW w:w="859" w:type="pct"/>
            <w:tcBorders>
              <w:top w:val="single" w:sz="4" w:space="0" w:color="auto"/>
              <w:left w:val="single" w:sz="4" w:space="0" w:color="auto"/>
              <w:bottom w:val="single" w:sz="4" w:space="0" w:color="auto"/>
              <w:right w:val="single" w:sz="4" w:space="0" w:color="auto"/>
            </w:tcBorders>
            <w:vAlign w:val="center"/>
            <w:hideMark/>
          </w:tcPr>
          <w:p w14:paraId="576F70D0" w14:textId="77777777" w:rsidR="00826D3B" w:rsidRPr="00C34520" w:rsidRDefault="00826D3B" w:rsidP="00DE0052">
            <w:pPr>
              <w:pStyle w:val="In-tableHeading"/>
              <w:jc w:val="center"/>
              <w:rPr>
                <w:lang w:val="en-AU"/>
              </w:rPr>
            </w:pPr>
            <w:r w:rsidRPr="00C34520">
              <w:rPr>
                <w:lang w:val="en-AU"/>
              </w:rPr>
              <w:t>Trial ID</w:t>
            </w:r>
          </w:p>
        </w:tc>
        <w:tc>
          <w:tcPr>
            <w:tcW w:w="3045" w:type="pct"/>
            <w:tcBorders>
              <w:top w:val="single" w:sz="4" w:space="0" w:color="auto"/>
              <w:left w:val="single" w:sz="4" w:space="0" w:color="auto"/>
              <w:bottom w:val="single" w:sz="4" w:space="0" w:color="auto"/>
              <w:right w:val="single" w:sz="4" w:space="0" w:color="auto"/>
            </w:tcBorders>
            <w:vAlign w:val="center"/>
            <w:hideMark/>
          </w:tcPr>
          <w:p w14:paraId="6947B447" w14:textId="77777777" w:rsidR="00826D3B" w:rsidRPr="00C34520" w:rsidRDefault="00826D3B" w:rsidP="00DE0052">
            <w:pPr>
              <w:pStyle w:val="In-tableHeading"/>
              <w:jc w:val="center"/>
              <w:rPr>
                <w:lang w:val="en-AU"/>
              </w:rPr>
            </w:pPr>
            <w:r w:rsidRPr="00C34520">
              <w:rPr>
                <w:lang w:val="en-AU"/>
              </w:rPr>
              <w:t>Protocol title/ Publication title</w:t>
            </w:r>
          </w:p>
        </w:tc>
        <w:tc>
          <w:tcPr>
            <w:tcW w:w="1096" w:type="pct"/>
            <w:tcBorders>
              <w:top w:val="single" w:sz="4" w:space="0" w:color="auto"/>
              <w:left w:val="single" w:sz="4" w:space="0" w:color="auto"/>
              <w:bottom w:val="single" w:sz="4" w:space="0" w:color="auto"/>
              <w:right w:val="single" w:sz="4" w:space="0" w:color="auto"/>
            </w:tcBorders>
            <w:vAlign w:val="center"/>
            <w:hideMark/>
          </w:tcPr>
          <w:p w14:paraId="7EDBE407" w14:textId="77777777" w:rsidR="00826D3B" w:rsidRPr="00C34520" w:rsidRDefault="00826D3B" w:rsidP="00DE0052">
            <w:pPr>
              <w:pStyle w:val="In-tableHeading"/>
              <w:jc w:val="center"/>
              <w:rPr>
                <w:lang w:val="en-AU"/>
              </w:rPr>
            </w:pPr>
            <w:r w:rsidRPr="00C34520">
              <w:rPr>
                <w:lang w:val="en-AU"/>
              </w:rPr>
              <w:t>Publication citation</w:t>
            </w:r>
          </w:p>
        </w:tc>
      </w:tr>
      <w:tr w:rsidR="00826D3B" w:rsidRPr="00C34520" w14:paraId="5A1BCD64" w14:textId="77777777" w:rsidTr="00667D81">
        <w:trPr>
          <w:tblHeader/>
        </w:trPr>
        <w:tc>
          <w:tcPr>
            <w:tcW w:w="859" w:type="pct"/>
            <w:tcBorders>
              <w:top w:val="single" w:sz="4" w:space="0" w:color="auto"/>
              <w:left w:val="single" w:sz="4" w:space="0" w:color="auto"/>
              <w:bottom w:val="single" w:sz="4" w:space="0" w:color="auto"/>
              <w:right w:val="nil"/>
            </w:tcBorders>
            <w:vAlign w:val="center"/>
            <w:hideMark/>
          </w:tcPr>
          <w:p w14:paraId="10B88BB9" w14:textId="77777777" w:rsidR="00826D3B" w:rsidRPr="00C34520" w:rsidRDefault="00826D3B" w:rsidP="00DE0052">
            <w:pPr>
              <w:pStyle w:val="In-tableHeading"/>
              <w:rPr>
                <w:lang w:val="en-AU"/>
              </w:rPr>
            </w:pPr>
            <w:r w:rsidRPr="00C34520">
              <w:rPr>
                <w:lang w:val="en-AU"/>
              </w:rPr>
              <w:t>20vPCV</w:t>
            </w:r>
          </w:p>
        </w:tc>
        <w:tc>
          <w:tcPr>
            <w:tcW w:w="3045" w:type="pct"/>
            <w:tcBorders>
              <w:top w:val="single" w:sz="4" w:space="0" w:color="auto"/>
              <w:left w:val="nil"/>
              <w:bottom w:val="single" w:sz="4" w:space="0" w:color="auto"/>
              <w:right w:val="nil"/>
            </w:tcBorders>
            <w:vAlign w:val="center"/>
          </w:tcPr>
          <w:p w14:paraId="12D4F9FF" w14:textId="77777777" w:rsidR="00826D3B" w:rsidRPr="00C34520" w:rsidRDefault="00826D3B" w:rsidP="00DE0052">
            <w:pPr>
              <w:pStyle w:val="In-tableHeading"/>
              <w:jc w:val="center"/>
              <w:rPr>
                <w:lang w:val="en-AU"/>
              </w:rPr>
            </w:pPr>
          </w:p>
        </w:tc>
        <w:tc>
          <w:tcPr>
            <w:tcW w:w="1096" w:type="pct"/>
            <w:tcBorders>
              <w:top w:val="single" w:sz="4" w:space="0" w:color="auto"/>
              <w:left w:val="nil"/>
              <w:bottom w:val="single" w:sz="4" w:space="0" w:color="auto"/>
              <w:right w:val="single" w:sz="4" w:space="0" w:color="auto"/>
            </w:tcBorders>
            <w:vAlign w:val="center"/>
          </w:tcPr>
          <w:p w14:paraId="0F87718C" w14:textId="77777777" w:rsidR="00826D3B" w:rsidRPr="00C34520" w:rsidRDefault="00826D3B" w:rsidP="00DE0052">
            <w:pPr>
              <w:pStyle w:val="In-tableHeading"/>
              <w:jc w:val="center"/>
              <w:rPr>
                <w:lang w:val="en-AU"/>
              </w:rPr>
            </w:pPr>
          </w:p>
        </w:tc>
      </w:tr>
      <w:tr w:rsidR="00554D8F" w:rsidRPr="00C34520" w14:paraId="4B645B90" w14:textId="77777777" w:rsidTr="00667D81">
        <w:tc>
          <w:tcPr>
            <w:tcW w:w="859" w:type="pct"/>
            <w:tcBorders>
              <w:top w:val="single" w:sz="4" w:space="0" w:color="auto"/>
              <w:left w:val="single" w:sz="4" w:space="0" w:color="auto"/>
              <w:bottom w:val="nil"/>
              <w:right w:val="single" w:sz="4" w:space="0" w:color="auto"/>
            </w:tcBorders>
            <w:vAlign w:val="center"/>
          </w:tcPr>
          <w:p w14:paraId="40BC64E3" w14:textId="77777777" w:rsidR="00554D8F" w:rsidRDefault="00554D8F" w:rsidP="00554D8F">
            <w:pPr>
              <w:pStyle w:val="TableText0"/>
              <w:rPr>
                <w:szCs w:val="18"/>
              </w:rPr>
            </w:pPr>
            <w:r w:rsidRPr="00C34520">
              <w:rPr>
                <w:szCs w:val="18"/>
              </w:rPr>
              <w:t>B7471012</w:t>
            </w:r>
          </w:p>
          <w:p w14:paraId="66EEB0C0" w14:textId="48DDB05C" w:rsidR="00CF2DD5" w:rsidRPr="00E44772" w:rsidRDefault="00E44772" w:rsidP="00554D8F">
            <w:pPr>
              <w:pStyle w:val="TableText0"/>
              <w:rPr>
                <w:i/>
                <w:iCs/>
                <w:szCs w:val="18"/>
              </w:rPr>
            </w:pPr>
            <w:r w:rsidRPr="00C460F9">
              <w:t>NCT04546425</w:t>
            </w:r>
          </w:p>
        </w:tc>
        <w:tc>
          <w:tcPr>
            <w:tcW w:w="3045" w:type="pct"/>
            <w:tcBorders>
              <w:top w:val="single" w:sz="4" w:space="0" w:color="auto"/>
              <w:left w:val="single" w:sz="4" w:space="0" w:color="auto"/>
              <w:bottom w:val="nil"/>
              <w:right w:val="single" w:sz="4" w:space="0" w:color="auto"/>
            </w:tcBorders>
            <w:vAlign w:val="center"/>
          </w:tcPr>
          <w:p w14:paraId="6DFF9FFF" w14:textId="6BB9D154" w:rsidR="00554D8F" w:rsidRPr="00C34520" w:rsidRDefault="00554D8F" w:rsidP="00554D8F">
            <w:pPr>
              <w:pStyle w:val="TableText0"/>
              <w:rPr>
                <w:szCs w:val="18"/>
              </w:rPr>
            </w:pPr>
            <w:r w:rsidRPr="00C34520">
              <w:rPr>
                <w:szCs w:val="18"/>
              </w:rPr>
              <w:t>A phase 3, randomised, double-blind trial to evaluate the safety and immunogenicity of a 20-valent pneumococcal conjugate vaccine given as a series of 2 infant doses and 1 toddler dose in healthy infants</w:t>
            </w:r>
          </w:p>
        </w:tc>
        <w:tc>
          <w:tcPr>
            <w:tcW w:w="1096" w:type="pct"/>
            <w:tcBorders>
              <w:top w:val="single" w:sz="4" w:space="0" w:color="auto"/>
              <w:left w:val="single" w:sz="4" w:space="0" w:color="auto"/>
              <w:bottom w:val="nil"/>
              <w:right w:val="single" w:sz="4" w:space="0" w:color="auto"/>
            </w:tcBorders>
            <w:vAlign w:val="center"/>
          </w:tcPr>
          <w:p w14:paraId="02A9E936" w14:textId="52A0710F" w:rsidR="00554D8F" w:rsidRPr="00C34520" w:rsidRDefault="00554D8F" w:rsidP="00554D8F">
            <w:pPr>
              <w:pStyle w:val="TableText0"/>
            </w:pPr>
            <w:r w:rsidRPr="00C34520">
              <w:t>October 2022</w:t>
            </w:r>
          </w:p>
        </w:tc>
      </w:tr>
      <w:tr w:rsidR="00554D8F" w:rsidRPr="00C34520" w14:paraId="0AB3009A" w14:textId="77777777" w:rsidTr="00667D81">
        <w:tc>
          <w:tcPr>
            <w:tcW w:w="859" w:type="pct"/>
            <w:tcBorders>
              <w:top w:val="single" w:sz="4" w:space="0" w:color="auto"/>
              <w:left w:val="single" w:sz="4" w:space="0" w:color="auto"/>
              <w:bottom w:val="nil"/>
              <w:right w:val="single" w:sz="4" w:space="0" w:color="auto"/>
            </w:tcBorders>
            <w:vAlign w:val="center"/>
          </w:tcPr>
          <w:p w14:paraId="636DF8E9" w14:textId="69A8F548" w:rsidR="00554D8F" w:rsidRDefault="00554D8F" w:rsidP="00554D8F">
            <w:pPr>
              <w:pStyle w:val="TableText0"/>
            </w:pPr>
            <w:r w:rsidRPr="00C34520">
              <w:t>B7471011</w:t>
            </w:r>
          </w:p>
          <w:p w14:paraId="55E15BDB" w14:textId="3C57CF7B" w:rsidR="00E44772" w:rsidRPr="00E44772" w:rsidRDefault="00E44772" w:rsidP="00554D8F">
            <w:pPr>
              <w:pStyle w:val="TableText0"/>
              <w:rPr>
                <w:i/>
                <w:iCs/>
              </w:rPr>
            </w:pPr>
            <w:r w:rsidRPr="00C460F9">
              <w:t>NCT04382326</w:t>
            </w:r>
          </w:p>
        </w:tc>
        <w:tc>
          <w:tcPr>
            <w:tcW w:w="3045" w:type="pct"/>
            <w:tcBorders>
              <w:top w:val="single" w:sz="4" w:space="0" w:color="auto"/>
              <w:left w:val="single" w:sz="4" w:space="0" w:color="auto"/>
              <w:bottom w:val="nil"/>
              <w:right w:val="single" w:sz="4" w:space="0" w:color="auto"/>
            </w:tcBorders>
            <w:vAlign w:val="center"/>
          </w:tcPr>
          <w:p w14:paraId="418DB946" w14:textId="75B217B5" w:rsidR="00554D8F" w:rsidRPr="00C34520" w:rsidRDefault="00554D8F" w:rsidP="00554D8F">
            <w:pPr>
              <w:pStyle w:val="TableText0"/>
            </w:pPr>
            <w:r w:rsidRPr="00C34520">
              <w:rPr>
                <w:szCs w:val="18"/>
              </w:rPr>
              <w:t>A phase 3, randomised, double-blind trial to evaluate the safety and immunogenicity of a 20-valent pneumococcal conjugate vaccine in healthy infants</w:t>
            </w:r>
          </w:p>
        </w:tc>
        <w:tc>
          <w:tcPr>
            <w:tcW w:w="1096" w:type="pct"/>
            <w:tcBorders>
              <w:top w:val="single" w:sz="4" w:space="0" w:color="auto"/>
              <w:left w:val="single" w:sz="4" w:space="0" w:color="auto"/>
              <w:bottom w:val="nil"/>
              <w:right w:val="single" w:sz="4" w:space="0" w:color="auto"/>
            </w:tcBorders>
            <w:vAlign w:val="center"/>
          </w:tcPr>
          <w:p w14:paraId="75098EAA" w14:textId="4C446B25" w:rsidR="00554D8F" w:rsidRPr="00C34520" w:rsidRDefault="00554D8F" w:rsidP="00554D8F">
            <w:pPr>
              <w:pStyle w:val="TableText0"/>
            </w:pPr>
            <w:r w:rsidRPr="00C34520">
              <w:t>October 2022</w:t>
            </w:r>
          </w:p>
        </w:tc>
      </w:tr>
      <w:tr w:rsidR="00554D8F" w:rsidRPr="00C34520" w14:paraId="297C7A4C" w14:textId="77777777" w:rsidTr="00667D81">
        <w:tc>
          <w:tcPr>
            <w:tcW w:w="859" w:type="pct"/>
            <w:tcBorders>
              <w:top w:val="single" w:sz="4" w:space="0" w:color="auto"/>
              <w:left w:val="single" w:sz="4" w:space="0" w:color="auto"/>
              <w:bottom w:val="nil"/>
              <w:right w:val="single" w:sz="4" w:space="0" w:color="auto"/>
            </w:tcBorders>
            <w:vAlign w:val="center"/>
            <w:hideMark/>
          </w:tcPr>
          <w:p w14:paraId="009CE81F" w14:textId="77777777" w:rsidR="00554D8F" w:rsidRDefault="00554D8F" w:rsidP="00554D8F">
            <w:pPr>
              <w:pStyle w:val="TableText0"/>
              <w:rPr>
                <w:szCs w:val="18"/>
              </w:rPr>
            </w:pPr>
            <w:r w:rsidRPr="00C34520">
              <w:rPr>
                <w:szCs w:val="18"/>
              </w:rPr>
              <w:t>B7471013</w:t>
            </w:r>
          </w:p>
          <w:p w14:paraId="102ADCB4" w14:textId="2A9DA480" w:rsidR="00263A8C" w:rsidRPr="00263A8C" w:rsidRDefault="00263A8C" w:rsidP="00554D8F">
            <w:pPr>
              <w:pStyle w:val="TableText0"/>
              <w:rPr>
                <w:i/>
                <w:iCs/>
              </w:rPr>
            </w:pPr>
            <w:r w:rsidRPr="00C460F9">
              <w:t>NCT04379713</w:t>
            </w:r>
          </w:p>
        </w:tc>
        <w:tc>
          <w:tcPr>
            <w:tcW w:w="3045" w:type="pct"/>
            <w:tcBorders>
              <w:top w:val="single" w:sz="4" w:space="0" w:color="auto"/>
              <w:left w:val="single" w:sz="4" w:space="0" w:color="auto"/>
              <w:bottom w:val="nil"/>
              <w:right w:val="single" w:sz="4" w:space="0" w:color="auto"/>
            </w:tcBorders>
            <w:vAlign w:val="center"/>
            <w:hideMark/>
          </w:tcPr>
          <w:p w14:paraId="5761A72D" w14:textId="77777777" w:rsidR="00554D8F" w:rsidRPr="00C34520" w:rsidRDefault="00554D8F" w:rsidP="00554D8F">
            <w:pPr>
              <w:pStyle w:val="TableText0"/>
            </w:pPr>
            <w:r w:rsidRPr="00C34520">
              <w:rPr>
                <w:szCs w:val="18"/>
              </w:rPr>
              <w:t>A phase 3, randomised, double-blind trial to evaluate the safety of a 20</w:t>
            </w:r>
            <w:r w:rsidRPr="00C34520">
              <w:rPr>
                <w:szCs w:val="18"/>
              </w:rPr>
              <w:noBreakHyphen/>
              <w:t>valent pneumococcal conjugate vaccine in healthy infants</w:t>
            </w:r>
          </w:p>
        </w:tc>
        <w:tc>
          <w:tcPr>
            <w:tcW w:w="1096" w:type="pct"/>
            <w:tcBorders>
              <w:top w:val="single" w:sz="4" w:space="0" w:color="auto"/>
              <w:left w:val="single" w:sz="4" w:space="0" w:color="auto"/>
              <w:bottom w:val="nil"/>
              <w:right w:val="single" w:sz="4" w:space="0" w:color="auto"/>
            </w:tcBorders>
            <w:vAlign w:val="center"/>
            <w:hideMark/>
          </w:tcPr>
          <w:p w14:paraId="5857559E" w14:textId="77777777" w:rsidR="00554D8F" w:rsidRPr="00C34520" w:rsidRDefault="00554D8F" w:rsidP="00554D8F">
            <w:pPr>
              <w:pStyle w:val="TableText0"/>
            </w:pPr>
            <w:r w:rsidRPr="00C34520">
              <w:t>October 2022</w:t>
            </w:r>
          </w:p>
        </w:tc>
      </w:tr>
      <w:tr w:rsidR="00554D8F" w:rsidRPr="00C34520" w14:paraId="2860B36E" w14:textId="77777777" w:rsidTr="00667D81">
        <w:tc>
          <w:tcPr>
            <w:tcW w:w="859" w:type="pct"/>
            <w:tcBorders>
              <w:top w:val="single" w:sz="4" w:space="0" w:color="auto"/>
              <w:left w:val="single" w:sz="4" w:space="0" w:color="auto"/>
              <w:bottom w:val="nil"/>
              <w:right w:val="single" w:sz="4" w:space="0" w:color="auto"/>
            </w:tcBorders>
            <w:hideMark/>
          </w:tcPr>
          <w:p w14:paraId="66AAAB71" w14:textId="77777777" w:rsidR="00554D8F" w:rsidRDefault="00554D8F" w:rsidP="00554D8F">
            <w:pPr>
              <w:pStyle w:val="TableText0"/>
            </w:pPr>
            <w:r w:rsidRPr="00C34520">
              <w:t>B7471014</w:t>
            </w:r>
          </w:p>
          <w:p w14:paraId="276C7EAB" w14:textId="7407EA3B" w:rsidR="00263A8C" w:rsidRPr="00FC7DA2" w:rsidRDefault="00263A8C" w:rsidP="00554D8F">
            <w:pPr>
              <w:pStyle w:val="TableText0"/>
              <w:rPr>
                <w:i/>
                <w:iCs/>
                <w:szCs w:val="18"/>
              </w:rPr>
            </w:pPr>
            <w:r w:rsidRPr="00C460F9">
              <w:t>NCT04642079</w:t>
            </w:r>
          </w:p>
        </w:tc>
        <w:tc>
          <w:tcPr>
            <w:tcW w:w="3045" w:type="pct"/>
            <w:tcBorders>
              <w:top w:val="single" w:sz="4" w:space="0" w:color="auto"/>
              <w:left w:val="single" w:sz="4" w:space="0" w:color="auto"/>
              <w:bottom w:val="nil"/>
              <w:right w:val="single" w:sz="4" w:space="0" w:color="auto"/>
            </w:tcBorders>
            <w:hideMark/>
          </w:tcPr>
          <w:p w14:paraId="08441D6C" w14:textId="77777777" w:rsidR="00554D8F" w:rsidRPr="00C34520" w:rsidRDefault="00554D8F" w:rsidP="00554D8F">
            <w:pPr>
              <w:pStyle w:val="TableText0"/>
              <w:rPr>
                <w:szCs w:val="18"/>
              </w:rPr>
            </w:pPr>
            <w:r w:rsidRPr="00C34520">
              <w:t xml:space="preserve">A phase 3, single-arm study to evaluate the safety and immunogenicity of a 20-valent pneumococcal conjugate vaccine in healthy children 15 months through 17 years of age. </w:t>
            </w:r>
          </w:p>
        </w:tc>
        <w:tc>
          <w:tcPr>
            <w:tcW w:w="1096" w:type="pct"/>
            <w:tcBorders>
              <w:top w:val="single" w:sz="4" w:space="0" w:color="auto"/>
              <w:left w:val="single" w:sz="4" w:space="0" w:color="auto"/>
              <w:bottom w:val="nil"/>
              <w:right w:val="single" w:sz="4" w:space="0" w:color="auto"/>
            </w:tcBorders>
            <w:vAlign w:val="center"/>
            <w:hideMark/>
          </w:tcPr>
          <w:p w14:paraId="38296DA9" w14:textId="77777777" w:rsidR="00554D8F" w:rsidRPr="00C34520" w:rsidRDefault="00554D8F" w:rsidP="00554D8F">
            <w:pPr>
              <w:pStyle w:val="TableText0"/>
            </w:pPr>
            <w:r w:rsidRPr="00C34520">
              <w:t>July 2022</w:t>
            </w:r>
          </w:p>
        </w:tc>
      </w:tr>
      <w:tr w:rsidR="00554D8F" w:rsidRPr="00C34520" w14:paraId="0CE52025" w14:textId="77777777" w:rsidTr="00667D81">
        <w:tc>
          <w:tcPr>
            <w:tcW w:w="859" w:type="pct"/>
            <w:tcBorders>
              <w:top w:val="single" w:sz="4" w:space="0" w:color="auto"/>
              <w:left w:val="single" w:sz="4" w:space="0" w:color="auto"/>
              <w:bottom w:val="nil"/>
              <w:right w:val="single" w:sz="4" w:space="0" w:color="auto"/>
            </w:tcBorders>
            <w:hideMark/>
          </w:tcPr>
          <w:p w14:paraId="3F6FE62C" w14:textId="77777777" w:rsidR="00554D8F" w:rsidRDefault="00554D8F" w:rsidP="00554D8F">
            <w:pPr>
              <w:pStyle w:val="TableText0"/>
            </w:pPr>
            <w:r w:rsidRPr="00C34520">
              <w:t>B7471003</w:t>
            </w:r>
          </w:p>
          <w:p w14:paraId="20D03DEF" w14:textId="2071BC6A" w:rsidR="00FC7DA2" w:rsidRPr="005C26CB" w:rsidRDefault="00FC7DA2" w:rsidP="00554D8F">
            <w:pPr>
              <w:pStyle w:val="TableText0"/>
              <w:rPr>
                <w:szCs w:val="18"/>
              </w:rPr>
            </w:pPr>
            <w:r w:rsidRPr="005C26CB">
              <w:rPr>
                <w:szCs w:val="18"/>
              </w:rPr>
              <w:t>NCT03512288</w:t>
            </w:r>
          </w:p>
        </w:tc>
        <w:tc>
          <w:tcPr>
            <w:tcW w:w="3045" w:type="pct"/>
            <w:tcBorders>
              <w:top w:val="single" w:sz="4" w:space="0" w:color="auto"/>
              <w:left w:val="single" w:sz="4" w:space="0" w:color="auto"/>
              <w:bottom w:val="nil"/>
              <w:right w:val="single" w:sz="4" w:space="0" w:color="auto"/>
            </w:tcBorders>
            <w:hideMark/>
          </w:tcPr>
          <w:p w14:paraId="6FE4AB6D" w14:textId="77777777" w:rsidR="00554D8F" w:rsidRPr="00C34520" w:rsidRDefault="00554D8F" w:rsidP="00554D8F">
            <w:pPr>
              <w:pStyle w:val="TableText0"/>
              <w:rPr>
                <w:szCs w:val="18"/>
              </w:rPr>
            </w:pPr>
            <w:r w:rsidRPr="00C34520">
              <w:t>A phase 2, randomised, double-blind trial to evaluate the safety and immunogenicity of a multivalent pneumococcal conjugate vaccine in healthy infants</w:t>
            </w:r>
          </w:p>
        </w:tc>
        <w:tc>
          <w:tcPr>
            <w:tcW w:w="1096" w:type="pct"/>
            <w:tcBorders>
              <w:top w:val="single" w:sz="4" w:space="0" w:color="auto"/>
              <w:left w:val="single" w:sz="4" w:space="0" w:color="auto"/>
              <w:bottom w:val="nil"/>
              <w:right w:val="single" w:sz="4" w:space="0" w:color="auto"/>
            </w:tcBorders>
            <w:vAlign w:val="center"/>
            <w:hideMark/>
          </w:tcPr>
          <w:p w14:paraId="329157E1" w14:textId="77777777" w:rsidR="00554D8F" w:rsidRPr="00C34520" w:rsidRDefault="00554D8F" w:rsidP="00554D8F">
            <w:pPr>
              <w:pStyle w:val="TableText0"/>
            </w:pPr>
            <w:r w:rsidRPr="00C34520">
              <w:t>July 2020</w:t>
            </w:r>
          </w:p>
        </w:tc>
      </w:tr>
      <w:tr w:rsidR="00554D8F" w:rsidRPr="00C34520" w14:paraId="4C919846" w14:textId="77777777" w:rsidTr="00667D81">
        <w:tc>
          <w:tcPr>
            <w:tcW w:w="859" w:type="pct"/>
            <w:tcBorders>
              <w:top w:val="nil"/>
              <w:left w:val="single" w:sz="4" w:space="0" w:color="auto"/>
              <w:bottom w:val="single" w:sz="4" w:space="0" w:color="auto"/>
              <w:right w:val="single" w:sz="4" w:space="0" w:color="auto"/>
            </w:tcBorders>
          </w:tcPr>
          <w:p w14:paraId="4D0ED0E8" w14:textId="77777777" w:rsidR="00554D8F" w:rsidRPr="00C34520" w:rsidRDefault="00554D8F" w:rsidP="00554D8F">
            <w:pPr>
              <w:pStyle w:val="TableText0"/>
            </w:pPr>
          </w:p>
        </w:tc>
        <w:tc>
          <w:tcPr>
            <w:tcW w:w="3045" w:type="pct"/>
            <w:tcBorders>
              <w:top w:val="nil"/>
              <w:left w:val="single" w:sz="4" w:space="0" w:color="auto"/>
              <w:bottom w:val="single" w:sz="4" w:space="0" w:color="auto"/>
              <w:right w:val="single" w:sz="4" w:space="0" w:color="auto"/>
            </w:tcBorders>
            <w:hideMark/>
          </w:tcPr>
          <w:p w14:paraId="4C71273A" w14:textId="585C6227" w:rsidR="00554D8F" w:rsidRPr="00F43D30" w:rsidRDefault="00E53DDE" w:rsidP="00554D8F">
            <w:pPr>
              <w:pStyle w:val="TableText0"/>
            </w:pPr>
            <w:r w:rsidRPr="00F43D30">
              <w:t>Senders S, Klein NP, et al.</w:t>
            </w:r>
            <w:r w:rsidR="00267F2E" w:rsidRPr="00F43D30">
              <w:t xml:space="preserve"> </w:t>
            </w:r>
            <w:r w:rsidR="00554D8F" w:rsidRPr="00F43D30">
              <w:t>Safety and Immunogenicity of a 20-valent Pneumococcal Conjugate Vaccine in Healthy Infants in the United States</w:t>
            </w:r>
          </w:p>
        </w:tc>
        <w:tc>
          <w:tcPr>
            <w:tcW w:w="1096" w:type="pct"/>
            <w:tcBorders>
              <w:top w:val="nil"/>
              <w:left w:val="single" w:sz="4" w:space="0" w:color="auto"/>
              <w:bottom w:val="single" w:sz="4" w:space="0" w:color="auto"/>
              <w:right w:val="single" w:sz="4" w:space="0" w:color="auto"/>
            </w:tcBorders>
            <w:vAlign w:val="center"/>
            <w:hideMark/>
          </w:tcPr>
          <w:p w14:paraId="2BFAB8D5" w14:textId="77777777" w:rsidR="00554D8F" w:rsidRPr="00F43D30" w:rsidRDefault="00554D8F" w:rsidP="00554D8F">
            <w:pPr>
              <w:pStyle w:val="TableText0"/>
            </w:pPr>
            <w:r w:rsidRPr="00C460F9">
              <w:rPr>
                <w:i/>
                <w:iCs/>
              </w:rPr>
              <w:t>The Pediatric Infectious Disease Journal</w:t>
            </w:r>
            <w:r w:rsidRPr="00F43D30">
              <w:t>, 2021, 40: 944-951</w:t>
            </w:r>
          </w:p>
        </w:tc>
      </w:tr>
      <w:tr w:rsidR="00554D8F" w:rsidRPr="000B6735" w14:paraId="06FFAB37" w14:textId="77777777" w:rsidTr="00667D81">
        <w:tc>
          <w:tcPr>
            <w:tcW w:w="859" w:type="pct"/>
            <w:tcBorders>
              <w:top w:val="single" w:sz="4" w:space="0" w:color="auto"/>
              <w:left w:val="single" w:sz="4" w:space="0" w:color="auto"/>
              <w:bottom w:val="single" w:sz="4" w:space="0" w:color="auto"/>
              <w:right w:val="nil"/>
            </w:tcBorders>
            <w:vAlign w:val="center"/>
            <w:hideMark/>
          </w:tcPr>
          <w:p w14:paraId="088B878E" w14:textId="77777777" w:rsidR="00554D8F" w:rsidRPr="000B6735" w:rsidRDefault="00554D8F" w:rsidP="00554D8F">
            <w:pPr>
              <w:pStyle w:val="In-tableHeading"/>
              <w:rPr>
                <w:lang w:val="en-AU"/>
              </w:rPr>
            </w:pPr>
            <w:r w:rsidRPr="000B6735">
              <w:rPr>
                <w:lang w:val="en-AU"/>
              </w:rPr>
              <w:t>15vPCV</w:t>
            </w:r>
          </w:p>
        </w:tc>
        <w:tc>
          <w:tcPr>
            <w:tcW w:w="3045" w:type="pct"/>
            <w:tcBorders>
              <w:top w:val="single" w:sz="4" w:space="0" w:color="auto"/>
              <w:left w:val="nil"/>
              <w:bottom w:val="single" w:sz="4" w:space="0" w:color="auto"/>
              <w:right w:val="nil"/>
            </w:tcBorders>
            <w:vAlign w:val="center"/>
          </w:tcPr>
          <w:p w14:paraId="6BDC090E" w14:textId="77777777" w:rsidR="00554D8F" w:rsidRPr="000B6735" w:rsidRDefault="00554D8F" w:rsidP="00554D8F">
            <w:pPr>
              <w:pStyle w:val="TableText0"/>
              <w:rPr>
                <w:szCs w:val="18"/>
              </w:rPr>
            </w:pPr>
          </w:p>
        </w:tc>
        <w:tc>
          <w:tcPr>
            <w:tcW w:w="1096" w:type="pct"/>
            <w:tcBorders>
              <w:top w:val="single" w:sz="4" w:space="0" w:color="auto"/>
              <w:left w:val="nil"/>
              <w:bottom w:val="single" w:sz="4" w:space="0" w:color="auto"/>
              <w:right w:val="single" w:sz="4" w:space="0" w:color="auto"/>
            </w:tcBorders>
            <w:vAlign w:val="center"/>
          </w:tcPr>
          <w:p w14:paraId="7354604F" w14:textId="77777777" w:rsidR="00554D8F" w:rsidRPr="00C460F9" w:rsidRDefault="00554D8F" w:rsidP="00554D8F">
            <w:pPr>
              <w:pStyle w:val="TableText0"/>
            </w:pPr>
          </w:p>
        </w:tc>
      </w:tr>
      <w:tr w:rsidR="00554D8F" w:rsidRPr="00C34520" w14:paraId="2B58A4EE" w14:textId="77777777" w:rsidTr="00667D81">
        <w:tc>
          <w:tcPr>
            <w:tcW w:w="859" w:type="pct"/>
            <w:tcBorders>
              <w:top w:val="single" w:sz="4" w:space="0" w:color="auto"/>
              <w:left w:val="single" w:sz="4" w:space="0" w:color="auto"/>
              <w:bottom w:val="single" w:sz="4" w:space="0" w:color="auto"/>
              <w:right w:val="single" w:sz="4" w:space="0" w:color="auto"/>
            </w:tcBorders>
            <w:vAlign w:val="center"/>
            <w:hideMark/>
          </w:tcPr>
          <w:p w14:paraId="5AA978F7" w14:textId="77777777" w:rsidR="00554D8F" w:rsidRDefault="00554D8F" w:rsidP="00554D8F">
            <w:pPr>
              <w:pStyle w:val="TableText0"/>
            </w:pPr>
            <w:r w:rsidRPr="00C34520">
              <w:t>PNEU-PED-EU-1</w:t>
            </w:r>
          </w:p>
          <w:p w14:paraId="195821D8" w14:textId="7EC7F285" w:rsidR="00FC7DA2" w:rsidRPr="00C466BB" w:rsidRDefault="00FC7DA2" w:rsidP="00554D8F">
            <w:pPr>
              <w:pStyle w:val="TableText0"/>
            </w:pPr>
            <w:r w:rsidRPr="00C466BB">
              <w:t>NCT04031846</w:t>
            </w:r>
          </w:p>
        </w:tc>
        <w:tc>
          <w:tcPr>
            <w:tcW w:w="3045" w:type="pct"/>
            <w:tcBorders>
              <w:top w:val="single" w:sz="4" w:space="0" w:color="auto"/>
              <w:left w:val="single" w:sz="4" w:space="0" w:color="auto"/>
              <w:bottom w:val="single" w:sz="4" w:space="0" w:color="auto"/>
              <w:right w:val="single" w:sz="4" w:space="0" w:color="auto"/>
            </w:tcBorders>
            <w:vAlign w:val="center"/>
            <w:hideMark/>
          </w:tcPr>
          <w:p w14:paraId="65170C2C" w14:textId="77777777" w:rsidR="00554D8F" w:rsidRPr="00C34520" w:rsidRDefault="00554D8F" w:rsidP="00554D8F">
            <w:pPr>
              <w:pStyle w:val="TableText0"/>
              <w:rPr>
                <w:szCs w:val="18"/>
              </w:rPr>
            </w:pPr>
            <w:r w:rsidRPr="00C34520">
              <w:rPr>
                <w:szCs w:val="18"/>
              </w:rPr>
              <w:t>A phase 3, multicentre, randomised, double-blind, active</w:t>
            </w:r>
            <w:r w:rsidRPr="00C34520">
              <w:rPr>
                <w:szCs w:val="18"/>
              </w:rPr>
              <w:noBreakHyphen/>
              <w:t>comparator</w:t>
            </w:r>
            <w:r w:rsidRPr="00C34520">
              <w:rPr>
                <w:szCs w:val="18"/>
              </w:rPr>
              <w:noBreakHyphen/>
              <w:t>controlled study to evaluate the safety, tolerability, and immunogenicity of V114 in healthy infants (PNEU-PED-EU-1)</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03AD05F" w14:textId="77777777" w:rsidR="00554D8F" w:rsidRPr="00C34520" w:rsidRDefault="00554D8F" w:rsidP="00554D8F">
            <w:pPr>
              <w:pStyle w:val="TableText0"/>
              <w:rPr>
                <w:i/>
                <w:szCs w:val="18"/>
              </w:rPr>
            </w:pPr>
            <w:r w:rsidRPr="00C34520">
              <w:rPr>
                <w:szCs w:val="18"/>
              </w:rPr>
              <w:t>January 2022</w:t>
            </w:r>
          </w:p>
        </w:tc>
      </w:tr>
      <w:tr w:rsidR="00554D8F" w:rsidRPr="00C34520" w14:paraId="18F26F2A" w14:textId="77777777" w:rsidTr="00667D81">
        <w:tc>
          <w:tcPr>
            <w:tcW w:w="859" w:type="pct"/>
            <w:tcBorders>
              <w:top w:val="single" w:sz="4" w:space="0" w:color="auto"/>
              <w:left w:val="single" w:sz="4" w:space="0" w:color="auto"/>
              <w:bottom w:val="nil"/>
              <w:right w:val="single" w:sz="4" w:space="0" w:color="auto"/>
            </w:tcBorders>
            <w:vAlign w:val="center"/>
            <w:hideMark/>
          </w:tcPr>
          <w:p w14:paraId="0BF83334" w14:textId="77777777" w:rsidR="00554D8F" w:rsidRDefault="00554D8F" w:rsidP="00554D8F">
            <w:pPr>
              <w:pStyle w:val="TableText0"/>
            </w:pPr>
            <w:r w:rsidRPr="00C34520">
              <w:t>PNEU-PED-EU-2</w:t>
            </w:r>
          </w:p>
          <w:p w14:paraId="02BBFED4" w14:textId="57C7F5BB" w:rsidR="00E74DC5" w:rsidRPr="005C26CB" w:rsidRDefault="00E74DC5" w:rsidP="00554D8F">
            <w:pPr>
              <w:pStyle w:val="TableText0"/>
            </w:pPr>
            <w:r w:rsidRPr="005C26CB">
              <w:t>NCT04016714</w:t>
            </w:r>
          </w:p>
        </w:tc>
        <w:tc>
          <w:tcPr>
            <w:tcW w:w="3045" w:type="pct"/>
            <w:tcBorders>
              <w:top w:val="single" w:sz="4" w:space="0" w:color="auto"/>
              <w:left w:val="single" w:sz="4" w:space="0" w:color="auto"/>
              <w:bottom w:val="nil"/>
              <w:right w:val="single" w:sz="4" w:space="0" w:color="auto"/>
            </w:tcBorders>
            <w:vAlign w:val="center"/>
            <w:hideMark/>
          </w:tcPr>
          <w:p w14:paraId="012BBF9F" w14:textId="77777777" w:rsidR="00554D8F" w:rsidRPr="00C34520" w:rsidRDefault="00554D8F" w:rsidP="00554D8F">
            <w:pPr>
              <w:pStyle w:val="TableText0"/>
              <w:rPr>
                <w:szCs w:val="18"/>
              </w:rPr>
            </w:pPr>
            <w:r w:rsidRPr="00C34520">
              <w:rPr>
                <w:szCs w:val="18"/>
              </w:rPr>
              <w:t>A phase 3, multicentre, randomised, double-blind, active-comparator-controlled study to evaluate the safety, tolerability, and immunogenicity of V114 in healthy infants (PNEU-PED-EU-2)</w:t>
            </w:r>
          </w:p>
        </w:tc>
        <w:tc>
          <w:tcPr>
            <w:tcW w:w="1096" w:type="pct"/>
            <w:tcBorders>
              <w:top w:val="single" w:sz="4" w:space="0" w:color="auto"/>
              <w:left w:val="single" w:sz="4" w:space="0" w:color="auto"/>
              <w:bottom w:val="nil"/>
              <w:right w:val="single" w:sz="4" w:space="0" w:color="auto"/>
            </w:tcBorders>
            <w:vAlign w:val="center"/>
            <w:hideMark/>
          </w:tcPr>
          <w:p w14:paraId="0662D783" w14:textId="77777777" w:rsidR="00554D8F" w:rsidRPr="00C34520" w:rsidRDefault="00554D8F" w:rsidP="00554D8F">
            <w:pPr>
              <w:pStyle w:val="TableText0"/>
              <w:rPr>
                <w:i/>
                <w:szCs w:val="18"/>
              </w:rPr>
            </w:pPr>
            <w:r w:rsidRPr="00C34520">
              <w:rPr>
                <w:szCs w:val="18"/>
              </w:rPr>
              <w:t>May 2022</w:t>
            </w:r>
          </w:p>
        </w:tc>
      </w:tr>
      <w:tr w:rsidR="00554D8F" w:rsidRPr="00C34520" w14:paraId="59F7E38B" w14:textId="77777777" w:rsidTr="00667D81">
        <w:tc>
          <w:tcPr>
            <w:tcW w:w="859" w:type="pct"/>
            <w:tcBorders>
              <w:top w:val="nil"/>
              <w:left w:val="single" w:sz="4" w:space="0" w:color="auto"/>
              <w:bottom w:val="single" w:sz="4" w:space="0" w:color="auto"/>
              <w:right w:val="single" w:sz="4" w:space="0" w:color="auto"/>
            </w:tcBorders>
            <w:vAlign w:val="center"/>
          </w:tcPr>
          <w:p w14:paraId="279F55EA" w14:textId="77777777" w:rsidR="00554D8F" w:rsidRPr="00C34520" w:rsidRDefault="00554D8F" w:rsidP="00554D8F">
            <w:pPr>
              <w:pStyle w:val="TableText0"/>
            </w:pPr>
          </w:p>
        </w:tc>
        <w:tc>
          <w:tcPr>
            <w:tcW w:w="3045" w:type="pct"/>
            <w:tcBorders>
              <w:top w:val="nil"/>
              <w:left w:val="single" w:sz="4" w:space="0" w:color="auto"/>
              <w:bottom w:val="single" w:sz="4" w:space="0" w:color="auto"/>
              <w:right w:val="single" w:sz="4" w:space="0" w:color="auto"/>
            </w:tcBorders>
            <w:vAlign w:val="center"/>
            <w:hideMark/>
          </w:tcPr>
          <w:p w14:paraId="26AFABC3" w14:textId="26109164" w:rsidR="00554D8F" w:rsidRPr="00C34520" w:rsidRDefault="005C26CB" w:rsidP="005C26CB">
            <w:pPr>
              <w:pStyle w:val="TableText0"/>
              <w:rPr>
                <w:szCs w:val="18"/>
              </w:rPr>
            </w:pPr>
            <w:r>
              <w:rPr>
                <w:szCs w:val="18"/>
              </w:rPr>
              <w:t xml:space="preserve">Benfield T, </w:t>
            </w:r>
            <w:r w:rsidR="00B0073D" w:rsidRPr="00B0073D">
              <w:rPr>
                <w:szCs w:val="18"/>
              </w:rPr>
              <w:t>Rämet</w:t>
            </w:r>
            <w:r w:rsidR="00B0073D">
              <w:rPr>
                <w:szCs w:val="18"/>
              </w:rPr>
              <w:t xml:space="preserve"> M, et al. </w:t>
            </w:r>
            <w:r w:rsidR="00554D8F" w:rsidRPr="00C34520">
              <w:rPr>
                <w:szCs w:val="18"/>
              </w:rPr>
              <w:t>Safety, tolerability, and immunogenicity of V114 pneumococcal vaccine compared with PCV13 in a 2+1 regimen in healthy infants: A phase III study (PNEU-PED-EU-2).</w:t>
            </w:r>
          </w:p>
        </w:tc>
        <w:tc>
          <w:tcPr>
            <w:tcW w:w="1096" w:type="pct"/>
            <w:tcBorders>
              <w:top w:val="nil"/>
              <w:left w:val="single" w:sz="4" w:space="0" w:color="auto"/>
              <w:bottom w:val="single" w:sz="4" w:space="0" w:color="auto"/>
              <w:right w:val="single" w:sz="4" w:space="0" w:color="auto"/>
            </w:tcBorders>
            <w:vAlign w:val="center"/>
            <w:hideMark/>
          </w:tcPr>
          <w:p w14:paraId="3C5D14E8" w14:textId="77777777" w:rsidR="00554D8F" w:rsidRPr="00EE53A3" w:rsidRDefault="00554D8F" w:rsidP="00554D8F">
            <w:pPr>
              <w:pStyle w:val="TableText0"/>
              <w:rPr>
                <w:iCs/>
                <w:szCs w:val="18"/>
              </w:rPr>
            </w:pPr>
            <w:r w:rsidRPr="00C460F9">
              <w:rPr>
                <w:i/>
                <w:szCs w:val="18"/>
              </w:rPr>
              <w:t>Vaccine</w:t>
            </w:r>
            <w:r w:rsidRPr="00EE53A3">
              <w:rPr>
                <w:iCs/>
                <w:szCs w:val="18"/>
              </w:rPr>
              <w:t>, 2023, 41: 2456-2465</w:t>
            </w:r>
          </w:p>
        </w:tc>
      </w:tr>
      <w:tr w:rsidR="00554D8F" w:rsidRPr="00C34520" w14:paraId="08FE5F19" w14:textId="77777777" w:rsidTr="00667D81">
        <w:tc>
          <w:tcPr>
            <w:tcW w:w="859" w:type="pct"/>
            <w:tcBorders>
              <w:top w:val="single" w:sz="4" w:space="0" w:color="auto"/>
              <w:left w:val="single" w:sz="4" w:space="0" w:color="auto"/>
              <w:bottom w:val="nil"/>
              <w:right w:val="single" w:sz="4" w:space="0" w:color="auto"/>
            </w:tcBorders>
            <w:vAlign w:val="center"/>
            <w:hideMark/>
          </w:tcPr>
          <w:p w14:paraId="75578D74" w14:textId="77777777" w:rsidR="00554D8F" w:rsidRDefault="00554D8F" w:rsidP="00554D8F">
            <w:pPr>
              <w:pStyle w:val="TableText0"/>
              <w:rPr>
                <w:szCs w:val="18"/>
              </w:rPr>
            </w:pPr>
            <w:r w:rsidRPr="00C34520">
              <w:rPr>
                <w:szCs w:val="18"/>
              </w:rPr>
              <w:t>PNEU-PED</w:t>
            </w:r>
          </w:p>
          <w:p w14:paraId="15E12E7B" w14:textId="4D81D384" w:rsidR="001B68EA" w:rsidRPr="005C26CB" w:rsidRDefault="001B68EA" w:rsidP="00554D8F">
            <w:pPr>
              <w:pStyle w:val="TableText0"/>
            </w:pPr>
            <w:r w:rsidRPr="005C26CB">
              <w:t>NCT03893448</w:t>
            </w:r>
          </w:p>
        </w:tc>
        <w:tc>
          <w:tcPr>
            <w:tcW w:w="3045" w:type="pct"/>
            <w:tcBorders>
              <w:top w:val="single" w:sz="4" w:space="0" w:color="auto"/>
              <w:left w:val="single" w:sz="4" w:space="0" w:color="auto"/>
              <w:bottom w:val="nil"/>
              <w:right w:val="single" w:sz="4" w:space="0" w:color="auto"/>
            </w:tcBorders>
            <w:vAlign w:val="center"/>
            <w:hideMark/>
          </w:tcPr>
          <w:p w14:paraId="7AC0D622" w14:textId="77777777" w:rsidR="00554D8F" w:rsidRPr="00C34520" w:rsidRDefault="00554D8F" w:rsidP="00554D8F">
            <w:pPr>
              <w:pStyle w:val="TableText0"/>
              <w:rPr>
                <w:szCs w:val="18"/>
              </w:rPr>
            </w:pPr>
            <w:r w:rsidRPr="00C34520">
              <w:rPr>
                <w:szCs w:val="18"/>
              </w:rPr>
              <w:t>Safety, tolerability and immunogenicity of V114 in health infants (V114</w:t>
            </w:r>
            <w:r w:rsidRPr="00C34520">
              <w:rPr>
                <w:szCs w:val="18"/>
              </w:rPr>
              <w:noBreakHyphen/>
              <w:t>029) (PNEU-PED)</w:t>
            </w:r>
          </w:p>
        </w:tc>
        <w:tc>
          <w:tcPr>
            <w:tcW w:w="1096" w:type="pct"/>
            <w:tcBorders>
              <w:top w:val="single" w:sz="4" w:space="0" w:color="auto"/>
              <w:left w:val="single" w:sz="4" w:space="0" w:color="auto"/>
              <w:bottom w:val="nil"/>
              <w:right w:val="single" w:sz="4" w:space="0" w:color="auto"/>
            </w:tcBorders>
            <w:vAlign w:val="center"/>
            <w:hideMark/>
          </w:tcPr>
          <w:p w14:paraId="52E3D20F" w14:textId="77777777" w:rsidR="00554D8F" w:rsidRPr="00C34520" w:rsidRDefault="00554D8F" w:rsidP="00554D8F">
            <w:pPr>
              <w:pStyle w:val="TableText0"/>
              <w:rPr>
                <w:iCs/>
                <w:szCs w:val="18"/>
              </w:rPr>
            </w:pPr>
            <w:r w:rsidRPr="00C34520">
              <w:rPr>
                <w:iCs/>
                <w:szCs w:val="18"/>
              </w:rPr>
              <w:t>Not reported</w:t>
            </w:r>
          </w:p>
        </w:tc>
      </w:tr>
      <w:tr w:rsidR="00554D8F" w:rsidRPr="00C34520" w14:paraId="5D070772" w14:textId="77777777" w:rsidTr="00667D81">
        <w:tc>
          <w:tcPr>
            <w:tcW w:w="859" w:type="pct"/>
            <w:tcBorders>
              <w:top w:val="nil"/>
              <w:left w:val="single" w:sz="4" w:space="0" w:color="auto"/>
              <w:bottom w:val="single" w:sz="4" w:space="0" w:color="auto"/>
              <w:right w:val="single" w:sz="4" w:space="0" w:color="auto"/>
            </w:tcBorders>
            <w:vAlign w:val="center"/>
          </w:tcPr>
          <w:p w14:paraId="2192E6CD" w14:textId="77777777" w:rsidR="00554D8F" w:rsidRPr="00C34520" w:rsidRDefault="00554D8F" w:rsidP="00554D8F">
            <w:pPr>
              <w:pStyle w:val="TableText0"/>
            </w:pPr>
          </w:p>
        </w:tc>
        <w:tc>
          <w:tcPr>
            <w:tcW w:w="3045" w:type="pct"/>
            <w:tcBorders>
              <w:top w:val="nil"/>
              <w:left w:val="single" w:sz="4" w:space="0" w:color="auto"/>
              <w:bottom w:val="single" w:sz="4" w:space="0" w:color="auto"/>
              <w:right w:val="single" w:sz="4" w:space="0" w:color="auto"/>
            </w:tcBorders>
            <w:vAlign w:val="center"/>
            <w:hideMark/>
          </w:tcPr>
          <w:p w14:paraId="1BACFA1A" w14:textId="0AACD0C1" w:rsidR="00554D8F" w:rsidRPr="00C34520" w:rsidRDefault="00333050" w:rsidP="00554D8F">
            <w:pPr>
              <w:pStyle w:val="TableText0"/>
              <w:rPr>
                <w:szCs w:val="18"/>
              </w:rPr>
            </w:pPr>
            <w:r w:rsidRPr="00333050">
              <w:rPr>
                <w:szCs w:val="18"/>
                <w:lang w:val="es-CL"/>
              </w:rPr>
              <w:t xml:space="preserve">Lupinacci R, Rupp R, et al. </w:t>
            </w:r>
            <w:r w:rsidR="00554D8F" w:rsidRPr="00C34520">
              <w:rPr>
                <w:szCs w:val="18"/>
              </w:rPr>
              <w:t>A phase 3, multicenter, randomised, double-blind, active-comparator-controlled study to evaluate the safety, tolerability, and immunogenicity of a 4-dose regimen of V114, a 15-valent pneumococcal conjugate vaccine, in healthy infants (PNEU-PED).</w:t>
            </w:r>
          </w:p>
        </w:tc>
        <w:tc>
          <w:tcPr>
            <w:tcW w:w="1096" w:type="pct"/>
            <w:tcBorders>
              <w:top w:val="nil"/>
              <w:left w:val="single" w:sz="4" w:space="0" w:color="auto"/>
              <w:bottom w:val="single" w:sz="4" w:space="0" w:color="auto"/>
              <w:right w:val="single" w:sz="4" w:space="0" w:color="auto"/>
            </w:tcBorders>
            <w:vAlign w:val="center"/>
            <w:hideMark/>
          </w:tcPr>
          <w:p w14:paraId="560370B1" w14:textId="77777777" w:rsidR="00554D8F" w:rsidRPr="00EE53A3" w:rsidRDefault="00554D8F" w:rsidP="00554D8F">
            <w:pPr>
              <w:pStyle w:val="TableText0"/>
              <w:rPr>
                <w:iCs/>
                <w:szCs w:val="18"/>
              </w:rPr>
            </w:pPr>
            <w:r w:rsidRPr="00C460F9">
              <w:rPr>
                <w:i/>
                <w:szCs w:val="18"/>
              </w:rPr>
              <w:t>Vaccine</w:t>
            </w:r>
            <w:r w:rsidRPr="00EE53A3">
              <w:rPr>
                <w:iCs/>
                <w:szCs w:val="18"/>
              </w:rPr>
              <w:t>, 2023; 41:1142-1152</w:t>
            </w:r>
          </w:p>
        </w:tc>
      </w:tr>
    </w:tbl>
    <w:p w14:paraId="71B595C0" w14:textId="47058F61" w:rsidR="00826D3B" w:rsidRPr="00C34520" w:rsidRDefault="00826D3B" w:rsidP="00826D3B">
      <w:pPr>
        <w:pStyle w:val="FooterTableFigure"/>
      </w:pPr>
      <w:r w:rsidRPr="00C34520">
        <w:t>Source: Table 2.2.1, p46 of the submission</w:t>
      </w:r>
      <w:r w:rsidR="008B7AC3">
        <w:t xml:space="preserve"> and sourced during the evaluation</w:t>
      </w:r>
      <w:r w:rsidRPr="00C34520">
        <w:t xml:space="preserve">. </w:t>
      </w:r>
    </w:p>
    <w:p w14:paraId="5E3ED1D2" w14:textId="77777777" w:rsidR="00826D3B" w:rsidRPr="00C34520" w:rsidRDefault="00826D3B" w:rsidP="00826D3B">
      <w:pPr>
        <w:pStyle w:val="FooterTableFigure"/>
      </w:pPr>
      <w:r w:rsidRPr="00C34520">
        <w:t>15vPCV = 15 valent pneumococcal conjugate vaccine; 20vPCV = 20 valent pneumococcal conjugate vaccine; PCV = pneumococcal conjugate vaccine.</w:t>
      </w:r>
    </w:p>
    <w:p w14:paraId="2B0454DC" w14:textId="7BF8E1C3" w:rsidR="00826D3B" w:rsidRPr="00C34520" w:rsidRDefault="00826D3B" w:rsidP="00F625A4">
      <w:pPr>
        <w:pStyle w:val="3-BodyText"/>
        <w:rPr>
          <w:color w:val="0066FF"/>
        </w:rPr>
      </w:pPr>
      <w:r w:rsidRPr="00C34520">
        <w:t xml:space="preserve">The key features of the RCTs and study are summarised in </w:t>
      </w:r>
      <w:r w:rsidRPr="00C34520">
        <w:fldChar w:fldCharType="begin"/>
      </w:r>
      <w:r w:rsidRPr="00C34520">
        <w:instrText xml:space="preserve"> REF _Ref104804098 \h  \* MERGEFORMAT </w:instrText>
      </w:r>
      <w:r w:rsidRPr="00C34520">
        <w:fldChar w:fldCharType="separate"/>
      </w:r>
      <w:r w:rsidR="009523CC" w:rsidRPr="009523CC">
        <w:t>Table 7</w:t>
      </w:r>
      <w:r w:rsidRPr="00C34520">
        <w:fldChar w:fldCharType="end"/>
      </w:r>
      <w:r w:rsidRPr="00C34520">
        <w:t>.</w:t>
      </w:r>
    </w:p>
    <w:p w14:paraId="60384127" w14:textId="3ACAB4C2" w:rsidR="00826D3B" w:rsidRPr="00C34520" w:rsidRDefault="00826D3B" w:rsidP="00D132A0">
      <w:pPr>
        <w:pStyle w:val="Caption"/>
        <w:rPr>
          <w:rStyle w:val="CommentReference"/>
          <w:b/>
          <w:szCs w:val="24"/>
        </w:rPr>
      </w:pPr>
      <w:bookmarkStart w:id="36" w:name="_Ref104804098"/>
      <w:r w:rsidRPr="00C34520">
        <w:rPr>
          <w:rStyle w:val="CommentReference"/>
          <w:b/>
          <w:szCs w:val="24"/>
        </w:rPr>
        <w:lastRenderedPageBreak/>
        <w:t xml:space="preserve">Table </w:t>
      </w:r>
      <w:r w:rsidRPr="00C34520">
        <w:rPr>
          <w:rStyle w:val="CommentReference"/>
          <w:b/>
          <w:szCs w:val="24"/>
        </w:rPr>
        <w:fldChar w:fldCharType="begin"/>
      </w:r>
      <w:r w:rsidRPr="00C34520">
        <w:rPr>
          <w:rStyle w:val="CommentReference"/>
          <w:b/>
          <w:szCs w:val="24"/>
        </w:rPr>
        <w:instrText xml:space="preserve"> SEQ Table \* ARABIC </w:instrText>
      </w:r>
      <w:r w:rsidRPr="00C34520">
        <w:rPr>
          <w:rStyle w:val="CommentReference"/>
          <w:b/>
          <w:szCs w:val="24"/>
        </w:rPr>
        <w:fldChar w:fldCharType="separate"/>
      </w:r>
      <w:r w:rsidR="009523CC">
        <w:rPr>
          <w:rStyle w:val="CommentReference"/>
          <w:b/>
          <w:noProof/>
          <w:szCs w:val="24"/>
        </w:rPr>
        <w:t>7</w:t>
      </w:r>
      <w:r w:rsidRPr="00C34520">
        <w:rPr>
          <w:rStyle w:val="CommentReference"/>
          <w:b/>
          <w:szCs w:val="24"/>
        </w:rPr>
        <w:fldChar w:fldCharType="end"/>
      </w:r>
      <w:bookmarkEnd w:id="36"/>
      <w:r w:rsidRPr="00C34520">
        <w:rPr>
          <w:rStyle w:val="CommentReference"/>
          <w:b/>
          <w:szCs w:val="24"/>
        </w:rPr>
        <w:t>: Key features of the included evidence - indirect comparison</w:t>
      </w:r>
    </w:p>
    <w:tbl>
      <w:tblPr>
        <w:tblStyle w:val="TableGrid"/>
        <w:tblW w:w="5000" w:type="pct"/>
        <w:tblLook w:val="04A0" w:firstRow="1" w:lastRow="0" w:firstColumn="1" w:lastColumn="0" w:noHBand="0" w:noVBand="1"/>
      </w:tblPr>
      <w:tblGrid>
        <w:gridCol w:w="1188"/>
        <w:gridCol w:w="1587"/>
        <w:gridCol w:w="1304"/>
        <w:gridCol w:w="867"/>
        <w:gridCol w:w="1876"/>
        <w:gridCol w:w="2195"/>
      </w:tblGrid>
      <w:tr w:rsidR="00826D3B" w:rsidRPr="00C34520" w14:paraId="1F2219D9" w14:textId="77777777" w:rsidTr="00667D81">
        <w:trPr>
          <w:trHeight w:val="733"/>
        </w:trPr>
        <w:tc>
          <w:tcPr>
            <w:tcW w:w="659" w:type="pct"/>
            <w:tcBorders>
              <w:top w:val="single" w:sz="4" w:space="0" w:color="auto"/>
              <w:left w:val="single" w:sz="4" w:space="0" w:color="auto"/>
              <w:bottom w:val="single" w:sz="4" w:space="0" w:color="auto"/>
              <w:right w:val="single" w:sz="4" w:space="0" w:color="auto"/>
            </w:tcBorders>
            <w:vAlign w:val="center"/>
            <w:hideMark/>
          </w:tcPr>
          <w:p w14:paraId="69286F13" w14:textId="77777777" w:rsidR="00826D3B" w:rsidRPr="00C34520" w:rsidRDefault="00826D3B" w:rsidP="00DE0052">
            <w:pPr>
              <w:keepNext/>
              <w:jc w:val="center"/>
              <w:rPr>
                <w:rFonts w:ascii="Arial Narrow" w:hAnsi="Arial Narrow"/>
                <w:sz w:val="20"/>
                <w:szCs w:val="20"/>
              </w:rPr>
            </w:pPr>
            <w:r w:rsidRPr="00C34520">
              <w:rPr>
                <w:rFonts w:ascii="Arial Narrow" w:hAnsi="Arial Narrow"/>
                <w:b/>
                <w:bCs/>
                <w:sz w:val="20"/>
                <w:szCs w:val="20"/>
              </w:rPr>
              <w:t>Trial</w:t>
            </w:r>
          </w:p>
        </w:tc>
        <w:tc>
          <w:tcPr>
            <w:tcW w:w="880" w:type="pct"/>
            <w:tcBorders>
              <w:top w:val="single" w:sz="4" w:space="0" w:color="auto"/>
              <w:left w:val="single" w:sz="4" w:space="0" w:color="auto"/>
              <w:bottom w:val="single" w:sz="4" w:space="0" w:color="auto"/>
              <w:right w:val="single" w:sz="4" w:space="0" w:color="auto"/>
            </w:tcBorders>
            <w:vAlign w:val="center"/>
            <w:hideMark/>
          </w:tcPr>
          <w:p w14:paraId="4F3A1A0C" w14:textId="77777777" w:rsidR="00826D3B" w:rsidRPr="00C34520" w:rsidRDefault="00826D3B" w:rsidP="00DE0052">
            <w:pPr>
              <w:keepNext/>
              <w:jc w:val="center"/>
              <w:rPr>
                <w:rFonts w:ascii="Arial Narrow" w:hAnsi="Arial Narrow"/>
                <w:sz w:val="20"/>
                <w:szCs w:val="20"/>
              </w:rPr>
            </w:pPr>
            <w:r w:rsidRPr="00C34520">
              <w:rPr>
                <w:rFonts w:ascii="Arial Narrow" w:hAnsi="Arial Narrow"/>
                <w:b/>
                <w:bCs/>
                <w:sz w:val="20"/>
                <w:szCs w:val="20"/>
              </w:rPr>
              <w:t>N</w:t>
            </w:r>
          </w:p>
        </w:tc>
        <w:tc>
          <w:tcPr>
            <w:tcW w:w="723" w:type="pct"/>
            <w:tcBorders>
              <w:top w:val="single" w:sz="4" w:space="0" w:color="auto"/>
              <w:left w:val="single" w:sz="4" w:space="0" w:color="auto"/>
              <w:bottom w:val="single" w:sz="4" w:space="0" w:color="auto"/>
              <w:right w:val="single" w:sz="4" w:space="0" w:color="auto"/>
            </w:tcBorders>
            <w:vAlign w:val="center"/>
            <w:hideMark/>
          </w:tcPr>
          <w:p w14:paraId="030618A7" w14:textId="77777777" w:rsidR="00826D3B" w:rsidRPr="00C34520" w:rsidRDefault="00826D3B" w:rsidP="00DE0052">
            <w:pPr>
              <w:keepNext/>
              <w:jc w:val="center"/>
              <w:rPr>
                <w:rFonts w:ascii="Arial Narrow" w:hAnsi="Arial Narrow"/>
                <w:sz w:val="20"/>
                <w:szCs w:val="20"/>
              </w:rPr>
            </w:pPr>
            <w:r w:rsidRPr="00C34520">
              <w:rPr>
                <w:rFonts w:ascii="Arial Narrow" w:hAnsi="Arial Narrow"/>
                <w:b/>
                <w:bCs/>
                <w:sz w:val="20"/>
                <w:szCs w:val="20"/>
              </w:rPr>
              <w:t>Design/ median duration of follow-up</w:t>
            </w:r>
          </w:p>
        </w:tc>
        <w:tc>
          <w:tcPr>
            <w:tcW w:w="481" w:type="pct"/>
            <w:tcBorders>
              <w:top w:val="single" w:sz="4" w:space="0" w:color="auto"/>
              <w:left w:val="single" w:sz="4" w:space="0" w:color="auto"/>
              <w:bottom w:val="single" w:sz="4" w:space="0" w:color="auto"/>
              <w:right w:val="single" w:sz="4" w:space="0" w:color="auto"/>
            </w:tcBorders>
            <w:vAlign w:val="center"/>
            <w:hideMark/>
          </w:tcPr>
          <w:p w14:paraId="1BEC6D6D" w14:textId="77777777" w:rsidR="00826D3B" w:rsidRPr="00C34520" w:rsidRDefault="00826D3B" w:rsidP="00DE0052">
            <w:pPr>
              <w:keepNext/>
              <w:jc w:val="center"/>
              <w:rPr>
                <w:rFonts w:ascii="Arial Narrow" w:hAnsi="Arial Narrow"/>
                <w:sz w:val="20"/>
                <w:szCs w:val="20"/>
              </w:rPr>
            </w:pPr>
            <w:r w:rsidRPr="00C34520">
              <w:rPr>
                <w:rFonts w:ascii="Arial Narrow" w:hAnsi="Arial Narrow"/>
                <w:b/>
                <w:bCs/>
                <w:sz w:val="20"/>
                <w:szCs w:val="20"/>
              </w:rPr>
              <w:t>Risk of bias</w:t>
            </w:r>
          </w:p>
        </w:tc>
        <w:tc>
          <w:tcPr>
            <w:tcW w:w="1040" w:type="pct"/>
            <w:tcBorders>
              <w:top w:val="single" w:sz="4" w:space="0" w:color="auto"/>
              <w:left w:val="single" w:sz="4" w:space="0" w:color="auto"/>
              <w:bottom w:val="single" w:sz="4" w:space="0" w:color="auto"/>
              <w:right w:val="single" w:sz="4" w:space="0" w:color="auto"/>
            </w:tcBorders>
            <w:vAlign w:val="center"/>
            <w:hideMark/>
          </w:tcPr>
          <w:p w14:paraId="582EAF43" w14:textId="77777777" w:rsidR="00826D3B" w:rsidRPr="00C34520" w:rsidRDefault="00826D3B" w:rsidP="00DE0052">
            <w:pPr>
              <w:keepNext/>
              <w:jc w:val="center"/>
              <w:rPr>
                <w:rFonts w:ascii="Arial Narrow" w:hAnsi="Arial Narrow"/>
                <w:sz w:val="20"/>
                <w:szCs w:val="20"/>
              </w:rPr>
            </w:pPr>
            <w:r w:rsidRPr="00C34520">
              <w:rPr>
                <w:rFonts w:ascii="Arial Narrow" w:hAnsi="Arial Narrow"/>
                <w:b/>
                <w:bCs/>
                <w:sz w:val="20"/>
                <w:szCs w:val="20"/>
              </w:rPr>
              <w:t>Patient population</w:t>
            </w:r>
          </w:p>
        </w:tc>
        <w:tc>
          <w:tcPr>
            <w:tcW w:w="1217" w:type="pct"/>
            <w:tcBorders>
              <w:top w:val="single" w:sz="4" w:space="0" w:color="auto"/>
              <w:left w:val="single" w:sz="4" w:space="0" w:color="auto"/>
              <w:bottom w:val="single" w:sz="4" w:space="0" w:color="auto"/>
              <w:right w:val="single" w:sz="4" w:space="0" w:color="auto"/>
            </w:tcBorders>
            <w:vAlign w:val="center"/>
            <w:hideMark/>
          </w:tcPr>
          <w:p w14:paraId="120684D2" w14:textId="77777777" w:rsidR="00826D3B" w:rsidRPr="00C34520" w:rsidRDefault="00826D3B" w:rsidP="00DE0052">
            <w:pPr>
              <w:keepNext/>
              <w:jc w:val="center"/>
              <w:rPr>
                <w:rFonts w:ascii="Arial Narrow" w:hAnsi="Arial Narrow"/>
                <w:sz w:val="20"/>
                <w:szCs w:val="20"/>
              </w:rPr>
            </w:pPr>
            <w:r w:rsidRPr="00C34520">
              <w:rPr>
                <w:rFonts w:ascii="Arial Narrow" w:hAnsi="Arial Narrow"/>
                <w:b/>
                <w:bCs/>
                <w:sz w:val="20"/>
                <w:szCs w:val="20"/>
              </w:rPr>
              <w:t>Primary pneumococcal outcomes</w:t>
            </w:r>
          </w:p>
        </w:tc>
      </w:tr>
      <w:tr w:rsidR="00826D3B" w:rsidRPr="00C34520" w14:paraId="78948466" w14:textId="77777777" w:rsidTr="00667D81">
        <w:trPr>
          <w:trHeight w:val="24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A465E17" w14:textId="77777777" w:rsidR="00826D3B" w:rsidRPr="00C34520" w:rsidRDefault="00826D3B" w:rsidP="00DE0052">
            <w:pPr>
              <w:pStyle w:val="In-tableHeading"/>
              <w:rPr>
                <w:vertAlign w:val="superscript"/>
                <w:lang w:val="en-AU"/>
              </w:rPr>
            </w:pPr>
            <w:r w:rsidRPr="00C34520">
              <w:rPr>
                <w:lang w:val="en-AU"/>
              </w:rPr>
              <w:t xml:space="preserve">20vPCV vs 13vPCV </w:t>
            </w:r>
            <w:r w:rsidRPr="00C34520">
              <w:rPr>
                <w:vertAlign w:val="superscript"/>
                <w:lang w:val="en-AU"/>
              </w:rPr>
              <w:t>a</w:t>
            </w:r>
          </w:p>
        </w:tc>
      </w:tr>
      <w:tr w:rsidR="00826D3B" w:rsidRPr="000B6735" w14:paraId="2AF55A32" w14:textId="77777777" w:rsidTr="00667D81">
        <w:trPr>
          <w:trHeight w:val="832"/>
        </w:trPr>
        <w:tc>
          <w:tcPr>
            <w:tcW w:w="659" w:type="pct"/>
            <w:tcBorders>
              <w:top w:val="single" w:sz="4" w:space="0" w:color="auto"/>
              <w:left w:val="single" w:sz="4" w:space="0" w:color="auto"/>
              <w:bottom w:val="single" w:sz="4" w:space="0" w:color="auto"/>
              <w:right w:val="single" w:sz="4" w:space="0" w:color="auto"/>
            </w:tcBorders>
            <w:vAlign w:val="center"/>
            <w:hideMark/>
          </w:tcPr>
          <w:p w14:paraId="74A83A8F" w14:textId="77777777" w:rsidR="00826D3B" w:rsidRPr="000B6735" w:rsidRDefault="00826D3B" w:rsidP="00DE0052">
            <w:pPr>
              <w:pStyle w:val="TableText0"/>
            </w:pPr>
            <w:r w:rsidRPr="000B6735">
              <w:t>B7471012</w:t>
            </w:r>
          </w:p>
        </w:tc>
        <w:tc>
          <w:tcPr>
            <w:tcW w:w="880" w:type="pct"/>
            <w:tcBorders>
              <w:top w:val="single" w:sz="4" w:space="0" w:color="auto"/>
              <w:left w:val="single" w:sz="4" w:space="0" w:color="auto"/>
              <w:bottom w:val="single" w:sz="4" w:space="0" w:color="auto"/>
              <w:right w:val="single" w:sz="4" w:space="0" w:color="auto"/>
            </w:tcBorders>
            <w:vAlign w:val="center"/>
            <w:hideMark/>
          </w:tcPr>
          <w:p w14:paraId="74DB6360" w14:textId="77777777" w:rsidR="00826D3B" w:rsidRPr="000B6735" w:rsidRDefault="00826D3B" w:rsidP="00DE0052">
            <w:pPr>
              <w:pStyle w:val="TableText0"/>
            </w:pPr>
            <w:r w:rsidRPr="000B6735">
              <w:t>20vPCV: 603</w:t>
            </w:r>
          </w:p>
          <w:p w14:paraId="1F805B94" w14:textId="77777777" w:rsidR="00826D3B" w:rsidRPr="000B6735" w:rsidRDefault="00826D3B" w:rsidP="00DE0052">
            <w:pPr>
              <w:pStyle w:val="TableText0"/>
            </w:pPr>
            <w:r w:rsidRPr="000B6735">
              <w:t>13vPCV: 604</w:t>
            </w:r>
          </w:p>
        </w:tc>
        <w:tc>
          <w:tcPr>
            <w:tcW w:w="723" w:type="pct"/>
            <w:tcBorders>
              <w:top w:val="single" w:sz="4" w:space="0" w:color="auto"/>
              <w:left w:val="single" w:sz="4" w:space="0" w:color="auto"/>
              <w:bottom w:val="single" w:sz="4" w:space="0" w:color="auto"/>
              <w:right w:val="single" w:sz="4" w:space="0" w:color="auto"/>
            </w:tcBorders>
            <w:vAlign w:val="center"/>
            <w:hideMark/>
          </w:tcPr>
          <w:p w14:paraId="1A46006E" w14:textId="77777777" w:rsidR="00826D3B" w:rsidRPr="000B6735" w:rsidRDefault="00826D3B" w:rsidP="00DE0052">
            <w:pPr>
              <w:pStyle w:val="TableText0"/>
            </w:pPr>
            <w:r w:rsidRPr="000B6735">
              <w:t>R, DB, MC,</w:t>
            </w:r>
          </w:p>
          <w:p w14:paraId="0A8B3044" w14:textId="77777777" w:rsidR="00826D3B" w:rsidRPr="000B6735" w:rsidRDefault="00826D3B" w:rsidP="00DE0052">
            <w:pPr>
              <w:pStyle w:val="TableText0"/>
            </w:pPr>
            <w:r w:rsidRPr="000B6735">
              <w:t>2+1</w:t>
            </w:r>
          </w:p>
        </w:tc>
        <w:tc>
          <w:tcPr>
            <w:tcW w:w="481" w:type="pct"/>
            <w:tcBorders>
              <w:top w:val="single" w:sz="4" w:space="0" w:color="auto"/>
              <w:left w:val="single" w:sz="4" w:space="0" w:color="auto"/>
              <w:bottom w:val="single" w:sz="4" w:space="0" w:color="auto"/>
              <w:right w:val="single" w:sz="4" w:space="0" w:color="auto"/>
            </w:tcBorders>
            <w:vAlign w:val="center"/>
            <w:hideMark/>
          </w:tcPr>
          <w:p w14:paraId="18C74BF1" w14:textId="77777777" w:rsidR="00826D3B" w:rsidRPr="008B7AC3" w:rsidRDefault="00826D3B" w:rsidP="00DE0052">
            <w:pPr>
              <w:pStyle w:val="TableText0"/>
            </w:pPr>
            <w:r w:rsidRPr="008B7AC3">
              <w:t>Low</w:t>
            </w:r>
          </w:p>
        </w:tc>
        <w:tc>
          <w:tcPr>
            <w:tcW w:w="1040" w:type="pct"/>
            <w:tcBorders>
              <w:top w:val="single" w:sz="4" w:space="0" w:color="auto"/>
              <w:left w:val="single" w:sz="4" w:space="0" w:color="auto"/>
              <w:bottom w:val="single" w:sz="4" w:space="0" w:color="auto"/>
              <w:right w:val="single" w:sz="4" w:space="0" w:color="auto"/>
            </w:tcBorders>
            <w:vAlign w:val="center"/>
            <w:hideMark/>
          </w:tcPr>
          <w:p w14:paraId="30B9089C" w14:textId="2286B741" w:rsidR="00826D3B" w:rsidRPr="000B6735" w:rsidRDefault="00826D3B" w:rsidP="00DE0052">
            <w:pPr>
              <w:pStyle w:val="TableText0"/>
            </w:pPr>
            <w:r w:rsidRPr="000B6735">
              <w:t xml:space="preserve">Healthy </w:t>
            </w:r>
            <w:r w:rsidR="00717C91" w:rsidRPr="000B6735">
              <w:t>children</w:t>
            </w:r>
            <w:r w:rsidRPr="000B6735">
              <w:t xml:space="preserve">, </w:t>
            </w:r>
            <w:r w:rsidR="009A5D56" w:rsidRPr="000B6735">
              <w:t xml:space="preserve">aged </w:t>
            </w:r>
            <w:r w:rsidRPr="000B6735">
              <w:t>42</w:t>
            </w:r>
            <w:r w:rsidRPr="000B6735">
              <w:noBreakHyphen/>
              <w:t>112 days</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58C1B05" w14:textId="77777777" w:rsidR="00826D3B" w:rsidRPr="000B6735" w:rsidRDefault="00826D3B" w:rsidP="00DE0052">
            <w:pPr>
              <w:pStyle w:val="TableText0"/>
            </w:pPr>
            <w:r w:rsidRPr="000B6735">
              <w:t xml:space="preserve">GMR (infant and toddler doses), response rate </w:t>
            </w:r>
            <w:r w:rsidRPr="000B6735">
              <w:rPr>
                <w:vertAlign w:val="superscript"/>
              </w:rPr>
              <w:t xml:space="preserve">b </w:t>
            </w:r>
            <w:r w:rsidRPr="000B6735">
              <w:t>(infant dose)</w:t>
            </w:r>
          </w:p>
        </w:tc>
      </w:tr>
      <w:tr w:rsidR="00826D3B" w:rsidRPr="000B6735" w14:paraId="02FF49DD" w14:textId="77777777" w:rsidTr="00667D81">
        <w:trPr>
          <w:trHeight w:val="844"/>
        </w:trPr>
        <w:tc>
          <w:tcPr>
            <w:tcW w:w="659" w:type="pct"/>
            <w:tcBorders>
              <w:top w:val="single" w:sz="4" w:space="0" w:color="auto"/>
              <w:left w:val="single" w:sz="4" w:space="0" w:color="auto"/>
              <w:bottom w:val="single" w:sz="4" w:space="0" w:color="auto"/>
              <w:right w:val="single" w:sz="4" w:space="0" w:color="auto"/>
            </w:tcBorders>
            <w:vAlign w:val="center"/>
            <w:hideMark/>
          </w:tcPr>
          <w:p w14:paraId="2191FFAA" w14:textId="77777777" w:rsidR="00826D3B" w:rsidRPr="000B6735" w:rsidRDefault="00826D3B" w:rsidP="00DE0052">
            <w:pPr>
              <w:pStyle w:val="TableText0"/>
            </w:pPr>
            <w:r w:rsidRPr="000B6735">
              <w:t>B7471011</w:t>
            </w:r>
          </w:p>
        </w:tc>
        <w:tc>
          <w:tcPr>
            <w:tcW w:w="880" w:type="pct"/>
            <w:tcBorders>
              <w:top w:val="single" w:sz="4" w:space="0" w:color="auto"/>
              <w:left w:val="single" w:sz="4" w:space="0" w:color="auto"/>
              <w:bottom w:val="single" w:sz="4" w:space="0" w:color="auto"/>
              <w:right w:val="single" w:sz="4" w:space="0" w:color="auto"/>
            </w:tcBorders>
            <w:vAlign w:val="center"/>
            <w:hideMark/>
          </w:tcPr>
          <w:p w14:paraId="7909EBE1" w14:textId="77777777" w:rsidR="00826D3B" w:rsidRPr="000B6735" w:rsidRDefault="00826D3B" w:rsidP="00DE0052">
            <w:pPr>
              <w:pStyle w:val="TableText0"/>
            </w:pPr>
            <w:r w:rsidRPr="000B6735">
              <w:t>20vPCV: 1004</w:t>
            </w:r>
          </w:p>
          <w:p w14:paraId="0CAB0FC0" w14:textId="332DCEDD" w:rsidR="00826D3B" w:rsidRPr="000B6735" w:rsidRDefault="00826D3B" w:rsidP="00DE0052">
            <w:pPr>
              <w:pStyle w:val="TableText0"/>
            </w:pPr>
            <w:r w:rsidRPr="000B6735">
              <w:t>13vPCV: 993</w:t>
            </w:r>
          </w:p>
        </w:tc>
        <w:tc>
          <w:tcPr>
            <w:tcW w:w="723" w:type="pct"/>
            <w:tcBorders>
              <w:top w:val="single" w:sz="4" w:space="0" w:color="auto"/>
              <w:left w:val="single" w:sz="4" w:space="0" w:color="auto"/>
              <w:bottom w:val="single" w:sz="4" w:space="0" w:color="auto"/>
              <w:right w:val="single" w:sz="4" w:space="0" w:color="auto"/>
            </w:tcBorders>
            <w:vAlign w:val="center"/>
            <w:hideMark/>
          </w:tcPr>
          <w:p w14:paraId="1987F9B7" w14:textId="77777777" w:rsidR="00826D3B" w:rsidRPr="000B6735" w:rsidRDefault="00826D3B" w:rsidP="00DE0052">
            <w:pPr>
              <w:pStyle w:val="TableText0"/>
            </w:pPr>
            <w:r w:rsidRPr="000B6735">
              <w:t>R, DB, MC,</w:t>
            </w:r>
          </w:p>
          <w:p w14:paraId="1083A777" w14:textId="77777777" w:rsidR="00826D3B" w:rsidRPr="000B6735" w:rsidRDefault="00826D3B" w:rsidP="00DE0052">
            <w:pPr>
              <w:pStyle w:val="TableText0"/>
            </w:pPr>
            <w:r w:rsidRPr="000B6735">
              <w:t xml:space="preserve">3+1 </w:t>
            </w:r>
          </w:p>
        </w:tc>
        <w:tc>
          <w:tcPr>
            <w:tcW w:w="481" w:type="pct"/>
            <w:tcBorders>
              <w:top w:val="single" w:sz="4" w:space="0" w:color="auto"/>
              <w:left w:val="single" w:sz="4" w:space="0" w:color="auto"/>
              <w:bottom w:val="single" w:sz="4" w:space="0" w:color="auto"/>
              <w:right w:val="single" w:sz="4" w:space="0" w:color="auto"/>
            </w:tcBorders>
            <w:vAlign w:val="center"/>
            <w:hideMark/>
          </w:tcPr>
          <w:p w14:paraId="25BC4CBC" w14:textId="77777777" w:rsidR="00826D3B" w:rsidRPr="008B7AC3" w:rsidRDefault="00826D3B" w:rsidP="00DE0052">
            <w:pPr>
              <w:pStyle w:val="TableText0"/>
            </w:pPr>
            <w:r w:rsidRPr="008B7AC3">
              <w:t>Low</w:t>
            </w:r>
          </w:p>
        </w:tc>
        <w:tc>
          <w:tcPr>
            <w:tcW w:w="1040" w:type="pct"/>
            <w:tcBorders>
              <w:top w:val="single" w:sz="4" w:space="0" w:color="auto"/>
              <w:left w:val="single" w:sz="4" w:space="0" w:color="auto"/>
              <w:bottom w:val="single" w:sz="4" w:space="0" w:color="auto"/>
              <w:right w:val="single" w:sz="4" w:space="0" w:color="auto"/>
            </w:tcBorders>
            <w:vAlign w:val="center"/>
            <w:hideMark/>
          </w:tcPr>
          <w:p w14:paraId="43D88D3B" w14:textId="60DB2028" w:rsidR="00826D3B" w:rsidRPr="000B6735" w:rsidRDefault="00826D3B" w:rsidP="00DE0052">
            <w:pPr>
              <w:pStyle w:val="TableText0"/>
            </w:pPr>
            <w:r w:rsidRPr="000B6735">
              <w:t xml:space="preserve">Healthy </w:t>
            </w:r>
            <w:r w:rsidR="00717C91" w:rsidRPr="000B6735">
              <w:t>children</w:t>
            </w:r>
            <w:r w:rsidRPr="000B6735">
              <w:t xml:space="preserve">, </w:t>
            </w:r>
            <w:r w:rsidR="00652AEB" w:rsidRPr="000B6735">
              <w:t xml:space="preserve">aged </w:t>
            </w:r>
            <w:r w:rsidRPr="000B6735">
              <w:t>42</w:t>
            </w:r>
            <w:r w:rsidRPr="000B6735">
              <w:noBreakHyphen/>
              <w:t>98 days</w:t>
            </w:r>
          </w:p>
        </w:tc>
        <w:tc>
          <w:tcPr>
            <w:tcW w:w="1217" w:type="pct"/>
            <w:tcBorders>
              <w:top w:val="single" w:sz="4" w:space="0" w:color="auto"/>
              <w:left w:val="single" w:sz="4" w:space="0" w:color="auto"/>
              <w:bottom w:val="single" w:sz="4" w:space="0" w:color="auto"/>
              <w:right w:val="single" w:sz="4" w:space="0" w:color="auto"/>
            </w:tcBorders>
            <w:vAlign w:val="center"/>
            <w:hideMark/>
          </w:tcPr>
          <w:p w14:paraId="65AEEE77" w14:textId="77777777" w:rsidR="00826D3B" w:rsidRPr="000B6735" w:rsidRDefault="00826D3B" w:rsidP="00DE0052">
            <w:pPr>
              <w:pStyle w:val="TableText0"/>
            </w:pPr>
            <w:r w:rsidRPr="000B6735">
              <w:t xml:space="preserve">GMR (infant and toddler doses), response rate </w:t>
            </w:r>
            <w:r w:rsidRPr="000B6735">
              <w:rPr>
                <w:vertAlign w:val="superscript"/>
              </w:rPr>
              <w:t xml:space="preserve">b </w:t>
            </w:r>
            <w:r w:rsidRPr="000B6735">
              <w:t>(infant dose)</w:t>
            </w:r>
          </w:p>
        </w:tc>
      </w:tr>
      <w:tr w:rsidR="00826D3B" w:rsidRPr="000B6735" w14:paraId="711092AD" w14:textId="77777777" w:rsidTr="00667D81">
        <w:trPr>
          <w:trHeight w:val="842"/>
        </w:trPr>
        <w:tc>
          <w:tcPr>
            <w:tcW w:w="659" w:type="pct"/>
            <w:tcBorders>
              <w:top w:val="single" w:sz="4" w:space="0" w:color="auto"/>
              <w:left w:val="single" w:sz="4" w:space="0" w:color="auto"/>
              <w:bottom w:val="single" w:sz="4" w:space="0" w:color="auto"/>
              <w:right w:val="single" w:sz="4" w:space="0" w:color="auto"/>
            </w:tcBorders>
            <w:vAlign w:val="center"/>
            <w:hideMark/>
          </w:tcPr>
          <w:p w14:paraId="16C155B7" w14:textId="77777777" w:rsidR="00826D3B" w:rsidRPr="000B6735" w:rsidRDefault="00826D3B" w:rsidP="00DE0052">
            <w:pPr>
              <w:pStyle w:val="TableText0"/>
            </w:pPr>
            <w:r w:rsidRPr="000B6735">
              <w:t>B7471013</w:t>
            </w:r>
          </w:p>
        </w:tc>
        <w:tc>
          <w:tcPr>
            <w:tcW w:w="880" w:type="pct"/>
            <w:tcBorders>
              <w:top w:val="single" w:sz="4" w:space="0" w:color="auto"/>
              <w:left w:val="single" w:sz="4" w:space="0" w:color="auto"/>
              <w:bottom w:val="single" w:sz="4" w:space="0" w:color="auto"/>
              <w:right w:val="single" w:sz="4" w:space="0" w:color="auto"/>
            </w:tcBorders>
            <w:vAlign w:val="center"/>
            <w:hideMark/>
          </w:tcPr>
          <w:p w14:paraId="12020A54" w14:textId="77777777" w:rsidR="00826D3B" w:rsidRPr="000B6735" w:rsidRDefault="00826D3B" w:rsidP="00DE0052">
            <w:pPr>
              <w:pStyle w:val="TableText0"/>
            </w:pPr>
            <w:r w:rsidRPr="000B6735">
              <w:t>20vPCV: 1006</w:t>
            </w:r>
          </w:p>
          <w:p w14:paraId="7352EF83" w14:textId="5CC6248F" w:rsidR="00826D3B" w:rsidRPr="000B6735" w:rsidRDefault="00826D3B" w:rsidP="00DE0052">
            <w:pPr>
              <w:pStyle w:val="TableText0"/>
            </w:pPr>
            <w:r w:rsidRPr="000B6735">
              <w:t>13vPCV: 505</w:t>
            </w:r>
          </w:p>
        </w:tc>
        <w:tc>
          <w:tcPr>
            <w:tcW w:w="723" w:type="pct"/>
            <w:tcBorders>
              <w:top w:val="single" w:sz="4" w:space="0" w:color="auto"/>
              <w:left w:val="single" w:sz="4" w:space="0" w:color="auto"/>
              <w:bottom w:val="single" w:sz="4" w:space="0" w:color="auto"/>
              <w:right w:val="single" w:sz="4" w:space="0" w:color="auto"/>
            </w:tcBorders>
            <w:vAlign w:val="center"/>
            <w:hideMark/>
          </w:tcPr>
          <w:p w14:paraId="4FBB5ADE" w14:textId="77777777" w:rsidR="00826D3B" w:rsidRPr="000B6735" w:rsidRDefault="00826D3B" w:rsidP="00DE0052">
            <w:pPr>
              <w:pStyle w:val="TableText0"/>
            </w:pPr>
            <w:r w:rsidRPr="000B6735">
              <w:t>R, DB, MC, Safety</w:t>
            </w:r>
          </w:p>
          <w:p w14:paraId="6199CE3D" w14:textId="77777777" w:rsidR="00826D3B" w:rsidRPr="000B6735" w:rsidRDefault="00826D3B" w:rsidP="00DE0052">
            <w:pPr>
              <w:pStyle w:val="TableText0"/>
            </w:pPr>
            <w:r w:rsidRPr="000B6735">
              <w:t>3+1</w:t>
            </w:r>
          </w:p>
        </w:tc>
        <w:tc>
          <w:tcPr>
            <w:tcW w:w="481" w:type="pct"/>
            <w:tcBorders>
              <w:top w:val="single" w:sz="4" w:space="0" w:color="auto"/>
              <w:left w:val="single" w:sz="4" w:space="0" w:color="auto"/>
              <w:bottom w:val="single" w:sz="4" w:space="0" w:color="auto"/>
              <w:right w:val="single" w:sz="4" w:space="0" w:color="auto"/>
            </w:tcBorders>
            <w:vAlign w:val="center"/>
            <w:hideMark/>
          </w:tcPr>
          <w:p w14:paraId="6489E0F6" w14:textId="77777777" w:rsidR="00826D3B" w:rsidRPr="008B7AC3" w:rsidRDefault="00826D3B" w:rsidP="00DE0052">
            <w:pPr>
              <w:pStyle w:val="TableText0"/>
            </w:pPr>
            <w:r w:rsidRPr="008B7AC3">
              <w:t>Low</w:t>
            </w:r>
          </w:p>
        </w:tc>
        <w:tc>
          <w:tcPr>
            <w:tcW w:w="1040" w:type="pct"/>
            <w:tcBorders>
              <w:top w:val="single" w:sz="4" w:space="0" w:color="auto"/>
              <w:left w:val="single" w:sz="4" w:space="0" w:color="auto"/>
              <w:bottom w:val="single" w:sz="4" w:space="0" w:color="auto"/>
              <w:right w:val="single" w:sz="4" w:space="0" w:color="auto"/>
            </w:tcBorders>
            <w:vAlign w:val="center"/>
            <w:hideMark/>
          </w:tcPr>
          <w:p w14:paraId="18881F4D" w14:textId="643D617F" w:rsidR="00826D3B" w:rsidRPr="000B6735" w:rsidRDefault="00826D3B" w:rsidP="00DE0052">
            <w:pPr>
              <w:pStyle w:val="TableText0"/>
            </w:pPr>
            <w:r w:rsidRPr="000B6735">
              <w:t xml:space="preserve">Healthy </w:t>
            </w:r>
            <w:r w:rsidR="00717C91" w:rsidRPr="000B6735">
              <w:t>children</w:t>
            </w:r>
            <w:r w:rsidRPr="000B6735">
              <w:t xml:space="preserve">, </w:t>
            </w:r>
            <w:r w:rsidR="00652AEB" w:rsidRPr="000B6735">
              <w:t xml:space="preserve">aged </w:t>
            </w:r>
            <w:r w:rsidRPr="000B6735">
              <w:t>42</w:t>
            </w:r>
            <w:r w:rsidRPr="000B6735">
              <w:noBreakHyphen/>
              <w:t>98 days</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9258FF6" w14:textId="77777777" w:rsidR="00826D3B" w:rsidRPr="000B6735" w:rsidRDefault="00826D3B" w:rsidP="00DE0052">
            <w:pPr>
              <w:pStyle w:val="TableText0"/>
              <w:rPr>
                <w:vertAlign w:val="superscript"/>
              </w:rPr>
            </w:pPr>
            <w:r w:rsidRPr="000B6735">
              <w:t xml:space="preserve">Not applicable </w:t>
            </w:r>
            <w:r w:rsidRPr="000B6735">
              <w:rPr>
                <w:vertAlign w:val="superscript"/>
              </w:rPr>
              <w:t>c</w:t>
            </w:r>
          </w:p>
        </w:tc>
      </w:tr>
      <w:tr w:rsidR="00826D3B" w:rsidRPr="000B6735" w14:paraId="11C4DB05" w14:textId="77777777" w:rsidTr="00667D81">
        <w:trPr>
          <w:trHeight w:val="854"/>
        </w:trPr>
        <w:tc>
          <w:tcPr>
            <w:tcW w:w="659" w:type="pct"/>
            <w:tcBorders>
              <w:top w:val="single" w:sz="4" w:space="0" w:color="auto"/>
              <w:left w:val="single" w:sz="4" w:space="0" w:color="auto"/>
              <w:bottom w:val="single" w:sz="4" w:space="0" w:color="auto"/>
              <w:right w:val="single" w:sz="4" w:space="0" w:color="auto"/>
            </w:tcBorders>
            <w:vAlign w:val="center"/>
            <w:hideMark/>
          </w:tcPr>
          <w:p w14:paraId="23D7ED89" w14:textId="77777777" w:rsidR="00826D3B" w:rsidRPr="000B6735" w:rsidRDefault="00826D3B" w:rsidP="00DE0052">
            <w:pPr>
              <w:pStyle w:val="TableText0"/>
            </w:pPr>
            <w:r w:rsidRPr="000B6735">
              <w:t>B7471003</w:t>
            </w:r>
          </w:p>
        </w:tc>
        <w:tc>
          <w:tcPr>
            <w:tcW w:w="880" w:type="pct"/>
            <w:tcBorders>
              <w:top w:val="single" w:sz="4" w:space="0" w:color="auto"/>
              <w:left w:val="single" w:sz="4" w:space="0" w:color="auto"/>
              <w:bottom w:val="single" w:sz="4" w:space="0" w:color="auto"/>
              <w:right w:val="single" w:sz="4" w:space="0" w:color="auto"/>
            </w:tcBorders>
            <w:vAlign w:val="center"/>
            <w:hideMark/>
          </w:tcPr>
          <w:p w14:paraId="2DC06FD2" w14:textId="77777777" w:rsidR="00826D3B" w:rsidRPr="000B6735" w:rsidRDefault="00826D3B" w:rsidP="00DE0052">
            <w:pPr>
              <w:pStyle w:val="TableText0"/>
            </w:pPr>
            <w:r w:rsidRPr="000B6735">
              <w:t>20vPCV: 232</w:t>
            </w:r>
          </w:p>
          <w:p w14:paraId="4A8E96F7" w14:textId="77777777" w:rsidR="00826D3B" w:rsidRPr="000B6735" w:rsidRDefault="00826D3B" w:rsidP="00DE0052">
            <w:pPr>
              <w:pStyle w:val="TableText0"/>
            </w:pPr>
            <w:r w:rsidRPr="000B6735">
              <w:t>13vPCV: 228</w:t>
            </w:r>
          </w:p>
        </w:tc>
        <w:tc>
          <w:tcPr>
            <w:tcW w:w="723" w:type="pct"/>
            <w:tcBorders>
              <w:top w:val="single" w:sz="4" w:space="0" w:color="auto"/>
              <w:left w:val="single" w:sz="4" w:space="0" w:color="auto"/>
              <w:bottom w:val="single" w:sz="4" w:space="0" w:color="auto"/>
              <w:right w:val="single" w:sz="4" w:space="0" w:color="auto"/>
            </w:tcBorders>
            <w:vAlign w:val="center"/>
            <w:hideMark/>
          </w:tcPr>
          <w:p w14:paraId="5B426D1A" w14:textId="77777777" w:rsidR="00826D3B" w:rsidRPr="000B6735" w:rsidRDefault="00826D3B" w:rsidP="00DE0052">
            <w:pPr>
              <w:pStyle w:val="TableText0"/>
            </w:pPr>
            <w:r w:rsidRPr="000B6735">
              <w:t>R (phase II), DB, MC,</w:t>
            </w:r>
          </w:p>
          <w:p w14:paraId="1E606373" w14:textId="77777777" w:rsidR="00826D3B" w:rsidRPr="000B6735" w:rsidRDefault="00826D3B" w:rsidP="00DE0052">
            <w:pPr>
              <w:pStyle w:val="TableText0"/>
            </w:pPr>
            <w:r w:rsidRPr="000B6735">
              <w:t>3+1</w:t>
            </w:r>
          </w:p>
        </w:tc>
        <w:tc>
          <w:tcPr>
            <w:tcW w:w="481" w:type="pct"/>
            <w:tcBorders>
              <w:top w:val="single" w:sz="4" w:space="0" w:color="auto"/>
              <w:left w:val="single" w:sz="4" w:space="0" w:color="auto"/>
              <w:bottom w:val="single" w:sz="4" w:space="0" w:color="auto"/>
              <w:right w:val="single" w:sz="4" w:space="0" w:color="auto"/>
            </w:tcBorders>
            <w:vAlign w:val="center"/>
            <w:hideMark/>
          </w:tcPr>
          <w:p w14:paraId="72D406EB" w14:textId="77777777" w:rsidR="00826D3B" w:rsidRPr="008B7AC3" w:rsidRDefault="00826D3B" w:rsidP="00DE0052">
            <w:pPr>
              <w:pStyle w:val="TableText0"/>
            </w:pPr>
            <w:r w:rsidRPr="008B7AC3">
              <w:t>Low</w:t>
            </w:r>
          </w:p>
        </w:tc>
        <w:tc>
          <w:tcPr>
            <w:tcW w:w="1040" w:type="pct"/>
            <w:tcBorders>
              <w:top w:val="single" w:sz="4" w:space="0" w:color="auto"/>
              <w:left w:val="single" w:sz="4" w:space="0" w:color="auto"/>
              <w:bottom w:val="single" w:sz="4" w:space="0" w:color="auto"/>
              <w:right w:val="single" w:sz="4" w:space="0" w:color="auto"/>
            </w:tcBorders>
            <w:vAlign w:val="center"/>
            <w:hideMark/>
          </w:tcPr>
          <w:p w14:paraId="4B1A64E6" w14:textId="2A2D3D7D" w:rsidR="00826D3B" w:rsidRPr="000B6735" w:rsidRDefault="00826D3B" w:rsidP="00DE0052">
            <w:pPr>
              <w:pStyle w:val="TableText0"/>
            </w:pPr>
            <w:r w:rsidRPr="000B6735">
              <w:t xml:space="preserve">Healthy </w:t>
            </w:r>
            <w:r w:rsidR="00717C91" w:rsidRPr="000B6735">
              <w:t>children</w:t>
            </w:r>
            <w:r w:rsidRPr="000B6735">
              <w:t xml:space="preserve">, </w:t>
            </w:r>
            <w:r w:rsidR="00652AEB" w:rsidRPr="000B6735">
              <w:t xml:space="preserve">aged </w:t>
            </w:r>
            <w:r w:rsidRPr="000B6735">
              <w:t>42</w:t>
            </w:r>
            <w:r w:rsidRPr="000B6735">
              <w:noBreakHyphen/>
              <w:t>98 days</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E9DAB63" w14:textId="77777777" w:rsidR="00826D3B" w:rsidRPr="000B6735" w:rsidRDefault="00826D3B" w:rsidP="00DE0052">
            <w:pPr>
              <w:pStyle w:val="TableText0"/>
              <w:rPr>
                <w:vertAlign w:val="superscript"/>
              </w:rPr>
            </w:pPr>
            <w:r w:rsidRPr="000B6735">
              <w:t xml:space="preserve">Not applicable </w:t>
            </w:r>
            <w:r w:rsidRPr="000B6735">
              <w:rPr>
                <w:vertAlign w:val="superscript"/>
              </w:rPr>
              <w:t>d</w:t>
            </w:r>
          </w:p>
        </w:tc>
      </w:tr>
      <w:tr w:rsidR="00826D3B" w:rsidRPr="000B6735" w14:paraId="6442E25F" w14:textId="77777777" w:rsidTr="00667D81">
        <w:trPr>
          <w:trHeight w:val="1025"/>
        </w:trPr>
        <w:tc>
          <w:tcPr>
            <w:tcW w:w="659" w:type="pct"/>
            <w:tcBorders>
              <w:top w:val="single" w:sz="4" w:space="0" w:color="auto"/>
              <w:left w:val="single" w:sz="4" w:space="0" w:color="auto"/>
              <w:bottom w:val="single" w:sz="4" w:space="0" w:color="auto"/>
              <w:right w:val="single" w:sz="4" w:space="0" w:color="auto"/>
            </w:tcBorders>
            <w:vAlign w:val="center"/>
            <w:hideMark/>
          </w:tcPr>
          <w:p w14:paraId="4813116D" w14:textId="77777777" w:rsidR="00826D3B" w:rsidRPr="000B6735" w:rsidRDefault="00826D3B" w:rsidP="00DE0052">
            <w:pPr>
              <w:pStyle w:val="TableText0"/>
            </w:pPr>
            <w:r w:rsidRPr="000B6735">
              <w:t>B7471014</w:t>
            </w:r>
          </w:p>
        </w:tc>
        <w:tc>
          <w:tcPr>
            <w:tcW w:w="880" w:type="pct"/>
            <w:tcBorders>
              <w:top w:val="single" w:sz="4" w:space="0" w:color="auto"/>
              <w:left w:val="single" w:sz="4" w:space="0" w:color="auto"/>
              <w:bottom w:val="single" w:sz="4" w:space="0" w:color="auto"/>
              <w:right w:val="single" w:sz="4" w:space="0" w:color="auto"/>
            </w:tcBorders>
            <w:vAlign w:val="center"/>
            <w:hideMark/>
          </w:tcPr>
          <w:p w14:paraId="1E906ECC" w14:textId="77777777" w:rsidR="00826D3B" w:rsidRPr="000B6735" w:rsidRDefault="00826D3B" w:rsidP="00DE0052">
            <w:pPr>
              <w:pStyle w:val="TableText0"/>
            </w:pPr>
            <w:r w:rsidRPr="000B6735">
              <w:t xml:space="preserve">Cohort 1 </w:t>
            </w:r>
          </w:p>
          <w:p w14:paraId="25F746AD" w14:textId="77777777" w:rsidR="00826D3B" w:rsidRPr="000B6735" w:rsidRDefault="00826D3B" w:rsidP="00DE0052">
            <w:pPr>
              <w:pStyle w:val="TableText0"/>
            </w:pPr>
            <w:r w:rsidRPr="000B6735">
              <w:t>(≥15–&lt;24 m): 210</w:t>
            </w:r>
          </w:p>
          <w:p w14:paraId="1A5F2807" w14:textId="77777777" w:rsidR="00826D3B" w:rsidRPr="000B6735" w:rsidRDefault="00826D3B" w:rsidP="00DE0052">
            <w:pPr>
              <w:pStyle w:val="TableText0"/>
            </w:pPr>
            <w:r w:rsidRPr="000B6735">
              <w:t xml:space="preserve">Cohort 2 </w:t>
            </w:r>
          </w:p>
          <w:p w14:paraId="4F8F4B77" w14:textId="77777777" w:rsidR="00826D3B" w:rsidRPr="000B6735" w:rsidRDefault="00826D3B" w:rsidP="00DE0052">
            <w:pPr>
              <w:pStyle w:val="TableText0"/>
            </w:pPr>
            <w:r w:rsidRPr="000B6735">
              <w:t>(≥2–&lt;5 y): 219</w:t>
            </w:r>
          </w:p>
          <w:p w14:paraId="474EF38A" w14:textId="77777777" w:rsidR="00826D3B" w:rsidRPr="000B6735" w:rsidRDefault="00826D3B" w:rsidP="00DE0052">
            <w:pPr>
              <w:pStyle w:val="TableText0"/>
            </w:pPr>
            <w:r w:rsidRPr="000B6735">
              <w:t xml:space="preserve">Cohort 3 </w:t>
            </w:r>
          </w:p>
          <w:p w14:paraId="3AE1D0C5" w14:textId="77777777" w:rsidR="00826D3B" w:rsidRPr="000B6735" w:rsidRDefault="00826D3B" w:rsidP="00DE0052">
            <w:pPr>
              <w:pStyle w:val="TableText0"/>
            </w:pPr>
            <w:r w:rsidRPr="000B6735">
              <w:t>(≥5–&lt;10 y): 203</w:t>
            </w:r>
          </w:p>
          <w:p w14:paraId="0412F507" w14:textId="77777777" w:rsidR="00826D3B" w:rsidRPr="000B6735" w:rsidRDefault="00826D3B" w:rsidP="00DE0052">
            <w:pPr>
              <w:pStyle w:val="TableText0"/>
            </w:pPr>
            <w:r w:rsidRPr="000B6735">
              <w:t xml:space="preserve">Cohort 4 </w:t>
            </w:r>
          </w:p>
          <w:p w14:paraId="664ED0C0" w14:textId="77777777" w:rsidR="00826D3B" w:rsidRPr="000B6735" w:rsidRDefault="00826D3B" w:rsidP="00DE0052">
            <w:pPr>
              <w:pStyle w:val="TableText0"/>
            </w:pPr>
            <w:r w:rsidRPr="000B6735">
              <w:t>(≥10–&lt;18 y): 207</w:t>
            </w:r>
          </w:p>
        </w:tc>
        <w:tc>
          <w:tcPr>
            <w:tcW w:w="723" w:type="pct"/>
            <w:tcBorders>
              <w:top w:val="single" w:sz="4" w:space="0" w:color="auto"/>
              <w:left w:val="single" w:sz="4" w:space="0" w:color="auto"/>
              <w:bottom w:val="single" w:sz="4" w:space="0" w:color="auto"/>
              <w:right w:val="single" w:sz="4" w:space="0" w:color="auto"/>
            </w:tcBorders>
            <w:vAlign w:val="center"/>
            <w:hideMark/>
          </w:tcPr>
          <w:p w14:paraId="78AB5354" w14:textId="49C96431" w:rsidR="00826D3B" w:rsidRPr="000B6735" w:rsidRDefault="00826D3B" w:rsidP="00DE0052">
            <w:pPr>
              <w:pStyle w:val="TableText0"/>
            </w:pPr>
            <w:r w:rsidRPr="000B6735">
              <w:t>Single</w:t>
            </w:r>
            <w:r w:rsidR="006C3E38" w:rsidRPr="000B6735">
              <w:t>-</w:t>
            </w:r>
            <w:r w:rsidRPr="000B6735">
              <w:t>arm, OL, MC</w:t>
            </w:r>
          </w:p>
          <w:p w14:paraId="5FA8A7D6" w14:textId="77777777" w:rsidR="00826D3B" w:rsidRPr="000B6735" w:rsidRDefault="00826D3B" w:rsidP="00DE0052">
            <w:pPr>
              <w:pStyle w:val="TableText0"/>
            </w:pPr>
            <w:r w:rsidRPr="000B6735">
              <w:t>1 dose</w:t>
            </w:r>
          </w:p>
        </w:tc>
        <w:tc>
          <w:tcPr>
            <w:tcW w:w="481" w:type="pct"/>
            <w:tcBorders>
              <w:top w:val="single" w:sz="4" w:space="0" w:color="auto"/>
              <w:left w:val="single" w:sz="4" w:space="0" w:color="auto"/>
              <w:bottom w:val="single" w:sz="4" w:space="0" w:color="auto"/>
              <w:right w:val="single" w:sz="4" w:space="0" w:color="auto"/>
            </w:tcBorders>
            <w:vAlign w:val="center"/>
            <w:hideMark/>
          </w:tcPr>
          <w:p w14:paraId="643BB35A" w14:textId="77777777" w:rsidR="00826D3B" w:rsidRPr="008B7AC3" w:rsidRDefault="00826D3B" w:rsidP="00DE0052">
            <w:pPr>
              <w:pStyle w:val="TableText0"/>
              <w:rPr>
                <w:vertAlign w:val="superscript"/>
              </w:rPr>
            </w:pPr>
            <w:r w:rsidRPr="008B7AC3">
              <w:t xml:space="preserve">Low </w:t>
            </w:r>
            <w:r w:rsidRPr="008B7AC3">
              <w:rPr>
                <w:vertAlign w:val="superscript"/>
              </w:rPr>
              <w:t>e</w:t>
            </w:r>
          </w:p>
        </w:tc>
        <w:tc>
          <w:tcPr>
            <w:tcW w:w="1040" w:type="pct"/>
            <w:tcBorders>
              <w:top w:val="single" w:sz="4" w:space="0" w:color="auto"/>
              <w:left w:val="single" w:sz="4" w:space="0" w:color="auto"/>
              <w:bottom w:val="single" w:sz="4" w:space="0" w:color="auto"/>
              <w:right w:val="single" w:sz="4" w:space="0" w:color="auto"/>
            </w:tcBorders>
            <w:vAlign w:val="center"/>
            <w:hideMark/>
          </w:tcPr>
          <w:p w14:paraId="615C7223" w14:textId="2E01F195" w:rsidR="00826D3B" w:rsidRPr="000B6735" w:rsidRDefault="00826D3B" w:rsidP="00DE0052">
            <w:pPr>
              <w:pStyle w:val="TableText0"/>
            </w:pPr>
            <w:r w:rsidRPr="000B6735">
              <w:t xml:space="preserve">Children </w:t>
            </w:r>
            <w:r w:rsidR="00652AEB" w:rsidRPr="000B6735">
              <w:t xml:space="preserve">aged </w:t>
            </w:r>
            <w:r w:rsidRPr="000B6735">
              <w:t>≥1</w:t>
            </w:r>
            <w:r w:rsidR="00A8261F">
              <w:t xml:space="preserve"> </w:t>
            </w:r>
            <w:r w:rsidRPr="000B6735">
              <w:t>5 months to &lt;</w:t>
            </w:r>
            <w:r w:rsidR="00A8261F">
              <w:t xml:space="preserve"> </w:t>
            </w:r>
            <w:r w:rsidRPr="000B6735">
              <w:t>5 years of age with at least 3 prior doses of 13vPCV and children ≥</w:t>
            </w:r>
            <w:r w:rsidR="00A8261F">
              <w:t xml:space="preserve"> </w:t>
            </w:r>
            <w:r w:rsidRPr="000B6735">
              <w:t>5 to &lt;1</w:t>
            </w:r>
            <w:r w:rsidR="00A8261F">
              <w:t xml:space="preserve"> </w:t>
            </w:r>
            <w:r w:rsidRPr="000B6735">
              <w:t xml:space="preserve">8 years of age </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2939EE1" w14:textId="77777777" w:rsidR="00826D3B" w:rsidRPr="000B6735" w:rsidRDefault="00826D3B" w:rsidP="00DE0052">
            <w:pPr>
              <w:pStyle w:val="TableText0"/>
            </w:pPr>
            <w:r w:rsidRPr="000B6735">
              <w:t>IgG GMFR (Cohorts 1 and 2), OPA GMFR (Cohorts 3 and 4)</w:t>
            </w:r>
          </w:p>
        </w:tc>
      </w:tr>
      <w:tr w:rsidR="00826D3B" w:rsidRPr="00C34520" w14:paraId="32C62505" w14:textId="77777777" w:rsidTr="00667D81">
        <w:trPr>
          <w:trHeight w:val="191"/>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4F33F09" w14:textId="77777777" w:rsidR="00826D3B" w:rsidRPr="00C34520" w:rsidRDefault="00826D3B" w:rsidP="00DE0052">
            <w:pPr>
              <w:pStyle w:val="In-tableHeading"/>
              <w:rPr>
                <w:rFonts w:cs="Arial"/>
                <w:kern w:val="24"/>
                <w:vertAlign w:val="superscript"/>
                <w:lang w:val="en-AU"/>
              </w:rPr>
            </w:pPr>
            <w:r w:rsidRPr="00C34520">
              <w:rPr>
                <w:lang w:val="en-AU"/>
              </w:rPr>
              <w:t xml:space="preserve">15vPCV vs 13vPCV </w:t>
            </w:r>
            <w:r w:rsidRPr="00C34520">
              <w:rPr>
                <w:vertAlign w:val="superscript"/>
                <w:lang w:val="en-AU"/>
              </w:rPr>
              <w:t>a</w:t>
            </w:r>
          </w:p>
        </w:tc>
      </w:tr>
      <w:tr w:rsidR="00826D3B" w:rsidRPr="00C34520" w14:paraId="32401357" w14:textId="77777777" w:rsidTr="00667D81">
        <w:trPr>
          <w:trHeight w:val="726"/>
        </w:trPr>
        <w:tc>
          <w:tcPr>
            <w:tcW w:w="659" w:type="pct"/>
            <w:tcBorders>
              <w:top w:val="single" w:sz="4" w:space="0" w:color="auto"/>
              <w:left w:val="single" w:sz="4" w:space="0" w:color="auto"/>
              <w:bottom w:val="single" w:sz="4" w:space="0" w:color="auto"/>
              <w:right w:val="single" w:sz="4" w:space="0" w:color="auto"/>
            </w:tcBorders>
            <w:vAlign w:val="center"/>
          </w:tcPr>
          <w:p w14:paraId="76870841" w14:textId="77777777" w:rsidR="00826D3B" w:rsidRPr="00C34520" w:rsidRDefault="00826D3B" w:rsidP="00DE0052">
            <w:pPr>
              <w:pStyle w:val="TableText0"/>
              <w:rPr>
                <w:szCs w:val="20"/>
              </w:rPr>
            </w:pPr>
            <w:r w:rsidRPr="00C34520">
              <w:rPr>
                <w:rFonts w:eastAsia="Arial"/>
                <w:kern w:val="24"/>
                <w:szCs w:val="20"/>
              </w:rPr>
              <w:t>PNEU-PED-EU-1</w:t>
            </w:r>
          </w:p>
        </w:tc>
        <w:tc>
          <w:tcPr>
            <w:tcW w:w="880" w:type="pct"/>
            <w:tcBorders>
              <w:top w:val="single" w:sz="4" w:space="0" w:color="auto"/>
              <w:left w:val="single" w:sz="4" w:space="0" w:color="auto"/>
              <w:bottom w:val="single" w:sz="4" w:space="0" w:color="auto"/>
              <w:right w:val="single" w:sz="4" w:space="0" w:color="auto"/>
            </w:tcBorders>
            <w:vAlign w:val="center"/>
          </w:tcPr>
          <w:p w14:paraId="3554A4D8" w14:textId="77777777" w:rsidR="00826D3B" w:rsidRPr="00C34520" w:rsidRDefault="00826D3B" w:rsidP="00DE0052">
            <w:pPr>
              <w:pStyle w:val="TableText0"/>
              <w:rPr>
                <w:kern w:val="24"/>
              </w:rPr>
            </w:pPr>
            <w:r w:rsidRPr="00C34520">
              <w:rPr>
                <w:kern w:val="24"/>
              </w:rPr>
              <w:t>15vPCV: 591</w:t>
            </w:r>
          </w:p>
          <w:p w14:paraId="0B44B66F" w14:textId="77777777" w:rsidR="00826D3B" w:rsidRPr="00C34520" w:rsidRDefault="00826D3B" w:rsidP="00DE0052">
            <w:pPr>
              <w:pStyle w:val="TableText0"/>
            </w:pPr>
            <w:r w:rsidRPr="00C34520">
              <w:rPr>
                <w:kern w:val="24"/>
              </w:rPr>
              <w:t>13vPCV: 593</w:t>
            </w:r>
          </w:p>
        </w:tc>
        <w:tc>
          <w:tcPr>
            <w:tcW w:w="723" w:type="pct"/>
            <w:tcBorders>
              <w:top w:val="single" w:sz="4" w:space="0" w:color="auto"/>
              <w:left w:val="single" w:sz="4" w:space="0" w:color="auto"/>
              <w:bottom w:val="single" w:sz="4" w:space="0" w:color="auto"/>
              <w:right w:val="single" w:sz="4" w:space="0" w:color="auto"/>
            </w:tcBorders>
            <w:vAlign w:val="center"/>
          </w:tcPr>
          <w:p w14:paraId="66176A22" w14:textId="77777777" w:rsidR="00826D3B" w:rsidRPr="00C34520" w:rsidRDefault="00826D3B" w:rsidP="00DE0052">
            <w:pPr>
              <w:pStyle w:val="TableText0"/>
              <w:rPr>
                <w:kern w:val="24"/>
              </w:rPr>
            </w:pPr>
            <w:r w:rsidRPr="00C34520">
              <w:rPr>
                <w:kern w:val="24"/>
              </w:rPr>
              <w:t>R,</w:t>
            </w:r>
            <w:r w:rsidRPr="00C34520">
              <w:t xml:space="preserve"> DB, MC,</w:t>
            </w:r>
          </w:p>
          <w:p w14:paraId="2B4F81D4" w14:textId="77777777" w:rsidR="00826D3B" w:rsidRPr="00C34520" w:rsidRDefault="00826D3B" w:rsidP="00DE0052">
            <w:pPr>
              <w:pStyle w:val="TableText0"/>
              <w:rPr>
                <w:kern w:val="24"/>
              </w:rPr>
            </w:pPr>
            <w:r w:rsidRPr="00C34520">
              <w:rPr>
                <w:kern w:val="24"/>
              </w:rPr>
              <w:t xml:space="preserve">2+1, </w:t>
            </w:r>
          </w:p>
          <w:p w14:paraId="243475F0" w14:textId="77777777" w:rsidR="00826D3B" w:rsidRPr="00C34520" w:rsidRDefault="00826D3B" w:rsidP="00DE0052">
            <w:pPr>
              <w:pStyle w:val="TableText0"/>
            </w:pPr>
            <w:r w:rsidRPr="00C34520">
              <w:rPr>
                <w:kern w:val="24"/>
              </w:rPr>
              <w:t xml:space="preserve">3+1 (preterm) </w:t>
            </w:r>
          </w:p>
        </w:tc>
        <w:tc>
          <w:tcPr>
            <w:tcW w:w="481" w:type="pct"/>
            <w:tcBorders>
              <w:top w:val="single" w:sz="4" w:space="0" w:color="auto"/>
              <w:left w:val="single" w:sz="4" w:space="0" w:color="auto"/>
              <w:bottom w:val="single" w:sz="4" w:space="0" w:color="auto"/>
              <w:right w:val="single" w:sz="4" w:space="0" w:color="auto"/>
            </w:tcBorders>
            <w:vAlign w:val="center"/>
          </w:tcPr>
          <w:p w14:paraId="0B9D3C73" w14:textId="77777777" w:rsidR="00826D3B" w:rsidRPr="00652AEB" w:rsidRDefault="00826D3B" w:rsidP="00DE0052">
            <w:pPr>
              <w:pStyle w:val="TableText0"/>
            </w:pPr>
            <w:r w:rsidRPr="00652AEB">
              <w:rPr>
                <w:rFonts w:eastAsia="Calibri"/>
                <w:kern w:val="24"/>
              </w:rPr>
              <w:t>Low</w:t>
            </w:r>
          </w:p>
        </w:tc>
        <w:tc>
          <w:tcPr>
            <w:tcW w:w="1040" w:type="pct"/>
            <w:tcBorders>
              <w:top w:val="single" w:sz="4" w:space="0" w:color="auto"/>
              <w:left w:val="single" w:sz="4" w:space="0" w:color="auto"/>
              <w:bottom w:val="single" w:sz="4" w:space="0" w:color="auto"/>
              <w:right w:val="single" w:sz="4" w:space="0" w:color="auto"/>
            </w:tcBorders>
            <w:vAlign w:val="center"/>
          </w:tcPr>
          <w:p w14:paraId="2A24CD76" w14:textId="124D5E45" w:rsidR="00826D3B" w:rsidRPr="00C34520" w:rsidRDefault="00826D3B" w:rsidP="00DE0052">
            <w:pPr>
              <w:pStyle w:val="TableText0"/>
            </w:pPr>
            <w:r w:rsidRPr="00C34520">
              <w:rPr>
                <w:rFonts w:eastAsia="Calibri"/>
                <w:kern w:val="24"/>
              </w:rPr>
              <w:t xml:space="preserve">Healthy </w:t>
            </w:r>
            <w:r w:rsidR="00717C91" w:rsidRPr="00C34520">
              <w:t>children</w:t>
            </w:r>
            <w:r w:rsidRPr="00C34520">
              <w:rPr>
                <w:rFonts w:eastAsia="Calibri"/>
                <w:kern w:val="24"/>
              </w:rPr>
              <w:t xml:space="preserve">, </w:t>
            </w:r>
            <w:r w:rsidR="00652AEB" w:rsidRPr="00C34520">
              <w:t xml:space="preserve">aged </w:t>
            </w:r>
            <w:r w:rsidRPr="00C34520">
              <w:rPr>
                <w:rFonts w:eastAsia="Calibri"/>
                <w:kern w:val="24"/>
              </w:rPr>
              <w:t>42</w:t>
            </w:r>
            <w:r w:rsidRPr="00C34520">
              <w:rPr>
                <w:rFonts w:eastAsia="Calibri"/>
                <w:kern w:val="24"/>
              </w:rPr>
              <w:noBreakHyphen/>
              <w:t>90 days</w:t>
            </w:r>
          </w:p>
        </w:tc>
        <w:tc>
          <w:tcPr>
            <w:tcW w:w="1217" w:type="pct"/>
            <w:tcBorders>
              <w:top w:val="single" w:sz="4" w:space="0" w:color="auto"/>
              <w:left w:val="single" w:sz="4" w:space="0" w:color="auto"/>
              <w:bottom w:val="single" w:sz="4" w:space="0" w:color="auto"/>
              <w:right w:val="single" w:sz="4" w:space="0" w:color="auto"/>
            </w:tcBorders>
            <w:vAlign w:val="center"/>
          </w:tcPr>
          <w:p w14:paraId="60EAFEDB" w14:textId="77777777" w:rsidR="00826D3B" w:rsidRPr="00C34520" w:rsidRDefault="00826D3B" w:rsidP="00DE0052">
            <w:pPr>
              <w:pStyle w:val="TableText0"/>
              <w:rPr>
                <w:rFonts w:cs="Arial"/>
                <w:kern w:val="24"/>
              </w:rPr>
            </w:pPr>
            <w:r w:rsidRPr="00C34520">
              <w:rPr>
                <w:rFonts w:cs="Arial"/>
                <w:kern w:val="24"/>
              </w:rPr>
              <w:t xml:space="preserve">GMR and response rate </w:t>
            </w:r>
            <w:r w:rsidRPr="00C34520">
              <w:rPr>
                <w:vertAlign w:val="superscript"/>
              </w:rPr>
              <w:t xml:space="preserve">b </w:t>
            </w:r>
            <w:r w:rsidRPr="00C34520">
              <w:rPr>
                <w:rFonts w:cs="Arial"/>
                <w:kern w:val="24"/>
              </w:rPr>
              <w:t>(toddler dose)</w:t>
            </w:r>
          </w:p>
        </w:tc>
      </w:tr>
      <w:tr w:rsidR="00826D3B" w:rsidRPr="00C34520" w14:paraId="210B6AA0" w14:textId="77777777" w:rsidTr="00667D81">
        <w:trPr>
          <w:trHeight w:val="708"/>
        </w:trPr>
        <w:tc>
          <w:tcPr>
            <w:tcW w:w="659" w:type="pct"/>
            <w:tcBorders>
              <w:top w:val="single" w:sz="4" w:space="0" w:color="auto"/>
              <w:left w:val="single" w:sz="4" w:space="0" w:color="auto"/>
              <w:bottom w:val="single" w:sz="4" w:space="0" w:color="auto"/>
              <w:right w:val="single" w:sz="4" w:space="0" w:color="auto"/>
            </w:tcBorders>
            <w:vAlign w:val="center"/>
          </w:tcPr>
          <w:p w14:paraId="5F32CD24" w14:textId="77777777" w:rsidR="00826D3B" w:rsidRPr="00C34520" w:rsidRDefault="00826D3B" w:rsidP="00DE0052">
            <w:pPr>
              <w:pStyle w:val="TableText0"/>
              <w:rPr>
                <w:szCs w:val="20"/>
              </w:rPr>
            </w:pPr>
            <w:r w:rsidRPr="00C34520">
              <w:rPr>
                <w:rFonts w:eastAsia="Arial"/>
                <w:kern w:val="24"/>
                <w:szCs w:val="20"/>
              </w:rPr>
              <w:t>PNEU-PED-EU-2</w:t>
            </w:r>
          </w:p>
        </w:tc>
        <w:tc>
          <w:tcPr>
            <w:tcW w:w="880" w:type="pct"/>
            <w:tcBorders>
              <w:top w:val="single" w:sz="4" w:space="0" w:color="auto"/>
              <w:left w:val="single" w:sz="4" w:space="0" w:color="auto"/>
              <w:bottom w:val="single" w:sz="4" w:space="0" w:color="auto"/>
              <w:right w:val="single" w:sz="4" w:space="0" w:color="auto"/>
            </w:tcBorders>
            <w:vAlign w:val="center"/>
          </w:tcPr>
          <w:p w14:paraId="3AF4C46E" w14:textId="77777777" w:rsidR="00826D3B" w:rsidRPr="00C34520" w:rsidRDefault="00826D3B" w:rsidP="00DE0052">
            <w:pPr>
              <w:pStyle w:val="TableText0"/>
              <w:rPr>
                <w:kern w:val="24"/>
              </w:rPr>
            </w:pPr>
            <w:r w:rsidRPr="00C34520">
              <w:rPr>
                <w:kern w:val="24"/>
              </w:rPr>
              <w:t>15vPCV: 595</w:t>
            </w:r>
          </w:p>
          <w:p w14:paraId="5B208E72" w14:textId="77777777" w:rsidR="00826D3B" w:rsidRPr="00C34520" w:rsidRDefault="00826D3B" w:rsidP="00DE0052">
            <w:pPr>
              <w:pStyle w:val="TableText0"/>
            </w:pPr>
            <w:r w:rsidRPr="00C34520">
              <w:rPr>
                <w:kern w:val="24"/>
              </w:rPr>
              <w:t>13vPCV: 596</w:t>
            </w:r>
          </w:p>
        </w:tc>
        <w:tc>
          <w:tcPr>
            <w:tcW w:w="723" w:type="pct"/>
            <w:tcBorders>
              <w:top w:val="single" w:sz="4" w:space="0" w:color="auto"/>
              <w:left w:val="single" w:sz="4" w:space="0" w:color="auto"/>
              <w:bottom w:val="single" w:sz="4" w:space="0" w:color="auto"/>
              <w:right w:val="single" w:sz="4" w:space="0" w:color="auto"/>
            </w:tcBorders>
            <w:vAlign w:val="center"/>
          </w:tcPr>
          <w:p w14:paraId="0B058721" w14:textId="77777777" w:rsidR="00826D3B" w:rsidRPr="00C34520" w:rsidRDefault="00826D3B" w:rsidP="00DE0052">
            <w:pPr>
              <w:pStyle w:val="TableText0"/>
              <w:rPr>
                <w:kern w:val="24"/>
              </w:rPr>
            </w:pPr>
            <w:r w:rsidRPr="00C34520">
              <w:rPr>
                <w:kern w:val="24"/>
              </w:rPr>
              <w:t>R,</w:t>
            </w:r>
            <w:r w:rsidRPr="00C34520">
              <w:t xml:space="preserve"> DB, MC,</w:t>
            </w:r>
          </w:p>
          <w:p w14:paraId="6E1DBD0D" w14:textId="77777777" w:rsidR="00826D3B" w:rsidRPr="00C34520" w:rsidRDefault="00826D3B" w:rsidP="00DE0052">
            <w:pPr>
              <w:pStyle w:val="TableText0"/>
              <w:rPr>
                <w:kern w:val="24"/>
              </w:rPr>
            </w:pPr>
            <w:r w:rsidRPr="00C34520">
              <w:rPr>
                <w:kern w:val="24"/>
              </w:rPr>
              <w:t>2+1</w:t>
            </w:r>
          </w:p>
        </w:tc>
        <w:tc>
          <w:tcPr>
            <w:tcW w:w="481" w:type="pct"/>
            <w:tcBorders>
              <w:top w:val="single" w:sz="4" w:space="0" w:color="auto"/>
              <w:left w:val="single" w:sz="4" w:space="0" w:color="auto"/>
              <w:bottom w:val="single" w:sz="4" w:space="0" w:color="auto"/>
              <w:right w:val="single" w:sz="4" w:space="0" w:color="auto"/>
            </w:tcBorders>
            <w:vAlign w:val="center"/>
          </w:tcPr>
          <w:p w14:paraId="05EA812E" w14:textId="77777777" w:rsidR="00826D3B" w:rsidRPr="00652AEB" w:rsidRDefault="00826D3B" w:rsidP="00DE0052">
            <w:pPr>
              <w:pStyle w:val="TableText0"/>
            </w:pPr>
            <w:r w:rsidRPr="00652AEB">
              <w:rPr>
                <w:rFonts w:eastAsia="Calibri"/>
                <w:kern w:val="24"/>
              </w:rPr>
              <w:t>Low</w:t>
            </w:r>
          </w:p>
        </w:tc>
        <w:tc>
          <w:tcPr>
            <w:tcW w:w="1040" w:type="pct"/>
            <w:tcBorders>
              <w:top w:val="single" w:sz="4" w:space="0" w:color="auto"/>
              <w:left w:val="single" w:sz="4" w:space="0" w:color="auto"/>
              <w:bottom w:val="single" w:sz="4" w:space="0" w:color="auto"/>
              <w:right w:val="single" w:sz="4" w:space="0" w:color="auto"/>
            </w:tcBorders>
            <w:vAlign w:val="center"/>
          </w:tcPr>
          <w:p w14:paraId="467682D2" w14:textId="77777777" w:rsidR="00717C91" w:rsidRPr="00C34520" w:rsidRDefault="00826D3B" w:rsidP="00DE0052">
            <w:pPr>
              <w:pStyle w:val="TableText0"/>
              <w:rPr>
                <w:rFonts w:eastAsia="Calibri"/>
                <w:kern w:val="24"/>
              </w:rPr>
            </w:pPr>
            <w:r w:rsidRPr="00C34520">
              <w:rPr>
                <w:rFonts w:eastAsia="Calibri"/>
                <w:kern w:val="24"/>
              </w:rPr>
              <w:t xml:space="preserve">Healthy </w:t>
            </w:r>
            <w:r w:rsidR="00717C91" w:rsidRPr="00C34520">
              <w:t>children</w:t>
            </w:r>
            <w:r w:rsidRPr="00C34520">
              <w:rPr>
                <w:rFonts w:eastAsia="Calibri"/>
                <w:kern w:val="24"/>
              </w:rPr>
              <w:t xml:space="preserve">: </w:t>
            </w:r>
          </w:p>
          <w:p w14:paraId="106A7318" w14:textId="526DF4B9" w:rsidR="00826D3B" w:rsidRPr="00C34520" w:rsidRDefault="00652AEB" w:rsidP="00DE0052">
            <w:pPr>
              <w:pStyle w:val="TableText0"/>
            </w:pPr>
            <w:r w:rsidRPr="00C34520">
              <w:t xml:space="preserve">aged </w:t>
            </w:r>
            <w:r w:rsidR="00826D3B" w:rsidRPr="00C34520">
              <w:rPr>
                <w:rFonts w:eastAsia="Calibri"/>
                <w:kern w:val="24"/>
              </w:rPr>
              <w:t xml:space="preserve">42 </w:t>
            </w:r>
            <w:r w:rsidR="00826D3B" w:rsidRPr="008B7AC3">
              <w:rPr>
                <w:kern w:val="24"/>
              </w:rPr>
              <w:t xml:space="preserve">(72) </w:t>
            </w:r>
            <w:r w:rsidR="00826D3B" w:rsidRPr="00C34520">
              <w:rPr>
                <w:rFonts w:eastAsia="Calibri"/>
                <w:kern w:val="24"/>
              </w:rPr>
              <w:t>-111 days</w:t>
            </w:r>
          </w:p>
        </w:tc>
        <w:tc>
          <w:tcPr>
            <w:tcW w:w="1217" w:type="pct"/>
            <w:tcBorders>
              <w:top w:val="single" w:sz="4" w:space="0" w:color="auto"/>
              <w:left w:val="single" w:sz="4" w:space="0" w:color="auto"/>
              <w:bottom w:val="single" w:sz="4" w:space="0" w:color="auto"/>
              <w:right w:val="single" w:sz="4" w:space="0" w:color="auto"/>
            </w:tcBorders>
            <w:vAlign w:val="center"/>
          </w:tcPr>
          <w:p w14:paraId="5ECE07BB" w14:textId="77777777" w:rsidR="00826D3B" w:rsidRPr="00C34520" w:rsidRDefault="00826D3B" w:rsidP="00DE0052">
            <w:pPr>
              <w:pStyle w:val="TableText0"/>
            </w:pPr>
            <w:r w:rsidRPr="00C34520">
              <w:rPr>
                <w:kern w:val="24"/>
              </w:rPr>
              <w:t xml:space="preserve">GMR and response rate </w:t>
            </w:r>
            <w:r w:rsidRPr="00C34520">
              <w:rPr>
                <w:vertAlign w:val="superscript"/>
              </w:rPr>
              <w:t xml:space="preserve">b </w:t>
            </w:r>
            <w:r w:rsidRPr="00C34520">
              <w:rPr>
                <w:kern w:val="24"/>
              </w:rPr>
              <w:t>(toddler dose)</w:t>
            </w:r>
          </w:p>
        </w:tc>
      </w:tr>
      <w:tr w:rsidR="00826D3B" w:rsidRPr="00C34520" w14:paraId="11672E26" w14:textId="77777777" w:rsidTr="00667D81">
        <w:trPr>
          <w:trHeight w:val="846"/>
        </w:trPr>
        <w:tc>
          <w:tcPr>
            <w:tcW w:w="659" w:type="pct"/>
            <w:tcBorders>
              <w:top w:val="single" w:sz="4" w:space="0" w:color="auto"/>
              <w:left w:val="single" w:sz="4" w:space="0" w:color="auto"/>
              <w:bottom w:val="single" w:sz="4" w:space="0" w:color="auto"/>
              <w:right w:val="single" w:sz="4" w:space="0" w:color="auto"/>
            </w:tcBorders>
            <w:vAlign w:val="center"/>
          </w:tcPr>
          <w:p w14:paraId="4E063FDC" w14:textId="77777777" w:rsidR="00826D3B" w:rsidRPr="00C34520" w:rsidRDefault="00826D3B" w:rsidP="00DE0052">
            <w:pPr>
              <w:pStyle w:val="TableText0"/>
              <w:rPr>
                <w:szCs w:val="20"/>
              </w:rPr>
            </w:pPr>
            <w:r w:rsidRPr="00C34520">
              <w:rPr>
                <w:rFonts w:eastAsia="Arial"/>
                <w:kern w:val="24"/>
                <w:szCs w:val="20"/>
              </w:rPr>
              <w:t>PNEU-PED</w:t>
            </w:r>
          </w:p>
        </w:tc>
        <w:tc>
          <w:tcPr>
            <w:tcW w:w="880" w:type="pct"/>
            <w:tcBorders>
              <w:top w:val="single" w:sz="4" w:space="0" w:color="auto"/>
              <w:left w:val="single" w:sz="4" w:space="0" w:color="auto"/>
              <w:bottom w:val="single" w:sz="4" w:space="0" w:color="auto"/>
              <w:right w:val="single" w:sz="4" w:space="0" w:color="auto"/>
            </w:tcBorders>
            <w:vAlign w:val="center"/>
          </w:tcPr>
          <w:p w14:paraId="60CCBC8D" w14:textId="77777777" w:rsidR="00826D3B" w:rsidRPr="00C34520" w:rsidRDefault="00826D3B" w:rsidP="00DE0052">
            <w:pPr>
              <w:pStyle w:val="TableText0"/>
              <w:rPr>
                <w:kern w:val="24"/>
              </w:rPr>
            </w:pPr>
            <w:r w:rsidRPr="00C34520">
              <w:rPr>
                <w:kern w:val="24"/>
              </w:rPr>
              <w:t>15vPCV: 860</w:t>
            </w:r>
          </w:p>
          <w:p w14:paraId="296A6110" w14:textId="77777777" w:rsidR="00826D3B" w:rsidRPr="00C34520" w:rsidRDefault="00826D3B" w:rsidP="00DE0052">
            <w:pPr>
              <w:pStyle w:val="TableText0"/>
            </w:pPr>
            <w:r w:rsidRPr="00C34520">
              <w:rPr>
                <w:kern w:val="24"/>
              </w:rPr>
              <w:t>13vPCV: 860</w:t>
            </w:r>
          </w:p>
        </w:tc>
        <w:tc>
          <w:tcPr>
            <w:tcW w:w="723" w:type="pct"/>
            <w:tcBorders>
              <w:top w:val="single" w:sz="4" w:space="0" w:color="auto"/>
              <w:left w:val="single" w:sz="4" w:space="0" w:color="auto"/>
              <w:bottom w:val="single" w:sz="4" w:space="0" w:color="auto"/>
              <w:right w:val="single" w:sz="4" w:space="0" w:color="auto"/>
            </w:tcBorders>
            <w:vAlign w:val="center"/>
          </w:tcPr>
          <w:p w14:paraId="711A759B" w14:textId="77777777" w:rsidR="00826D3B" w:rsidRPr="00C34520" w:rsidRDefault="00826D3B" w:rsidP="00DE0052">
            <w:pPr>
              <w:pStyle w:val="TableText0"/>
              <w:rPr>
                <w:kern w:val="24"/>
              </w:rPr>
            </w:pPr>
            <w:r w:rsidRPr="00C34520">
              <w:rPr>
                <w:kern w:val="24"/>
              </w:rPr>
              <w:t>R,</w:t>
            </w:r>
            <w:r w:rsidRPr="00C34520">
              <w:t xml:space="preserve"> DB, MC,</w:t>
            </w:r>
          </w:p>
          <w:p w14:paraId="1F1EB080" w14:textId="77777777" w:rsidR="00826D3B" w:rsidRPr="00C34520" w:rsidRDefault="00826D3B" w:rsidP="00DE0052">
            <w:pPr>
              <w:pStyle w:val="TableText0"/>
              <w:rPr>
                <w:kern w:val="24"/>
              </w:rPr>
            </w:pPr>
            <w:r w:rsidRPr="00C34520">
              <w:rPr>
                <w:kern w:val="24"/>
              </w:rPr>
              <w:t>3+1</w:t>
            </w:r>
          </w:p>
        </w:tc>
        <w:tc>
          <w:tcPr>
            <w:tcW w:w="481" w:type="pct"/>
            <w:tcBorders>
              <w:top w:val="single" w:sz="4" w:space="0" w:color="auto"/>
              <w:left w:val="single" w:sz="4" w:space="0" w:color="auto"/>
              <w:bottom w:val="single" w:sz="4" w:space="0" w:color="auto"/>
              <w:right w:val="single" w:sz="4" w:space="0" w:color="auto"/>
            </w:tcBorders>
            <w:vAlign w:val="center"/>
          </w:tcPr>
          <w:p w14:paraId="7765D545" w14:textId="77777777" w:rsidR="00826D3B" w:rsidRPr="00652AEB" w:rsidRDefault="00826D3B" w:rsidP="00DE0052">
            <w:pPr>
              <w:pStyle w:val="TableText0"/>
            </w:pPr>
            <w:r w:rsidRPr="00652AEB">
              <w:rPr>
                <w:rFonts w:eastAsia="Calibri"/>
                <w:kern w:val="24"/>
              </w:rPr>
              <w:t>Low</w:t>
            </w:r>
          </w:p>
        </w:tc>
        <w:tc>
          <w:tcPr>
            <w:tcW w:w="1040" w:type="pct"/>
            <w:tcBorders>
              <w:top w:val="single" w:sz="4" w:space="0" w:color="auto"/>
              <w:left w:val="single" w:sz="4" w:space="0" w:color="auto"/>
              <w:bottom w:val="single" w:sz="4" w:space="0" w:color="auto"/>
              <w:right w:val="single" w:sz="4" w:space="0" w:color="auto"/>
            </w:tcBorders>
            <w:vAlign w:val="center"/>
          </w:tcPr>
          <w:p w14:paraId="18B3AFCE" w14:textId="27AE706A" w:rsidR="00826D3B" w:rsidRPr="00C34520" w:rsidRDefault="00826D3B" w:rsidP="00DE0052">
            <w:pPr>
              <w:pStyle w:val="TableText0"/>
            </w:pPr>
            <w:r w:rsidRPr="00C34520">
              <w:rPr>
                <w:rFonts w:eastAsia="Calibri"/>
                <w:kern w:val="24"/>
              </w:rPr>
              <w:t xml:space="preserve">Healthy </w:t>
            </w:r>
            <w:r w:rsidR="00717C91" w:rsidRPr="00C34520">
              <w:t>children</w:t>
            </w:r>
            <w:r w:rsidRPr="00C34520">
              <w:rPr>
                <w:rFonts w:eastAsia="Calibri"/>
                <w:kern w:val="24"/>
              </w:rPr>
              <w:t xml:space="preserve">, </w:t>
            </w:r>
            <w:r w:rsidR="00652AEB" w:rsidRPr="00C34520">
              <w:t xml:space="preserve">aged </w:t>
            </w:r>
            <w:r w:rsidRPr="00C34520">
              <w:rPr>
                <w:rFonts w:eastAsia="Calibri"/>
                <w:kern w:val="24"/>
              </w:rPr>
              <w:t>42</w:t>
            </w:r>
            <w:r w:rsidRPr="00C34520">
              <w:rPr>
                <w:rFonts w:eastAsia="Calibri"/>
                <w:kern w:val="24"/>
              </w:rPr>
              <w:noBreakHyphen/>
              <w:t>90 days</w:t>
            </w:r>
          </w:p>
        </w:tc>
        <w:tc>
          <w:tcPr>
            <w:tcW w:w="1217" w:type="pct"/>
            <w:tcBorders>
              <w:top w:val="single" w:sz="4" w:space="0" w:color="auto"/>
              <w:left w:val="single" w:sz="4" w:space="0" w:color="auto"/>
              <w:bottom w:val="single" w:sz="4" w:space="0" w:color="auto"/>
              <w:right w:val="single" w:sz="4" w:space="0" w:color="auto"/>
            </w:tcBorders>
            <w:vAlign w:val="center"/>
          </w:tcPr>
          <w:p w14:paraId="406C2F81" w14:textId="77777777" w:rsidR="00826D3B" w:rsidRPr="00C34520" w:rsidRDefault="00826D3B" w:rsidP="00DE0052">
            <w:pPr>
              <w:pStyle w:val="TableText0"/>
            </w:pPr>
            <w:r w:rsidRPr="00C34520">
              <w:t xml:space="preserve">GMR (infant and toddler doses), response rate </w:t>
            </w:r>
            <w:r w:rsidRPr="00C34520">
              <w:rPr>
                <w:vertAlign w:val="superscript"/>
              </w:rPr>
              <w:t xml:space="preserve">b </w:t>
            </w:r>
            <w:r w:rsidRPr="00C34520">
              <w:t>(infant dose)</w:t>
            </w:r>
          </w:p>
        </w:tc>
      </w:tr>
      <w:tr w:rsidR="00826D3B" w:rsidRPr="00C34520" w14:paraId="5A49C210" w14:textId="77777777" w:rsidTr="00667D81">
        <w:trPr>
          <w:trHeight w:val="725"/>
        </w:trPr>
        <w:tc>
          <w:tcPr>
            <w:tcW w:w="659" w:type="pct"/>
            <w:tcBorders>
              <w:top w:val="single" w:sz="4" w:space="0" w:color="auto"/>
              <w:left w:val="single" w:sz="4" w:space="0" w:color="auto"/>
              <w:bottom w:val="single" w:sz="4" w:space="0" w:color="auto"/>
              <w:right w:val="single" w:sz="4" w:space="0" w:color="auto"/>
            </w:tcBorders>
            <w:vAlign w:val="center"/>
          </w:tcPr>
          <w:p w14:paraId="3E6229D1" w14:textId="77777777" w:rsidR="00826D3B" w:rsidRPr="00C34520" w:rsidRDefault="00826D3B" w:rsidP="00DE0052">
            <w:pPr>
              <w:pStyle w:val="TableText0"/>
              <w:rPr>
                <w:rFonts w:eastAsia="Arial"/>
                <w:kern w:val="24"/>
                <w:szCs w:val="20"/>
              </w:rPr>
            </w:pPr>
            <w:r w:rsidRPr="00C34520">
              <w:rPr>
                <w:rFonts w:eastAsia="Arial"/>
                <w:kern w:val="24"/>
                <w:szCs w:val="20"/>
              </w:rPr>
              <w:t>Meta-analysis</w:t>
            </w:r>
          </w:p>
        </w:tc>
        <w:tc>
          <w:tcPr>
            <w:tcW w:w="880" w:type="pct"/>
            <w:tcBorders>
              <w:top w:val="single" w:sz="4" w:space="0" w:color="auto"/>
              <w:left w:val="single" w:sz="4" w:space="0" w:color="auto"/>
              <w:bottom w:val="single" w:sz="4" w:space="0" w:color="auto"/>
              <w:right w:val="single" w:sz="4" w:space="0" w:color="auto"/>
            </w:tcBorders>
            <w:vAlign w:val="center"/>
          </w:tcPr>
          <w:p w14:paraId="56EB11BD" w14:textId="77777777" w:rsidR="00826D3B" w:rsidRPr="00C34520" w:rsidRDefault="00826D3B" w:rsidP="00DE0052">
            <w:pPr>
              <w:pStyle w:val="TableText0"/>
              <w:rPr>
                <w:kern w:val="24"/>
              </w:rPr>
            </w:pPr>
            <w:r w:rsidRPr="00C34520">
              <w:rPr>
                <w:kern w:val="24"/>
              </w:rPr>
              <w:t>15vPCV: 1,186</w:t>
            </w:r>
          </w:p>
          <w:p w14:paraId="13145F32" w14:textId="77777777" w:rsidR="00826D3B" w:rsidRPr="00C34520" w:rsidRDefault="00826D3B" w:rsidP="00DE0052">
            <w:pPr>
              <w:pStyle w:val="TableText0"/>
              <w:rPr>
                <w:kern w:val="24"/>
              </w:rPr>
            </w:pPr>
            <w:r w:rsidRPr="00C34520">
              <w:rPr>
                <w:kern w:val="24"/>
              </w:rPr>
              <w:t>13vPCV: 1,189</w:t>
            </w:r>
          </w:p>
        </w:tc>
        <w:tc>
          <w:tcPr>
            <w:tcW w:w="3461" w:type="pct"/>
            <w:gridSpan w:val="4"/>
            <w:tcBorders>
              <w:top w:val="single" w:sz="4" w:space="0" w:color="auto"/>
              <w:left w:val="single" w:sz="4" w:space="0" w:color="auto"/>
              <w:bottom w:val="single" w:sz="4" w:space="0" w:color="auto"/>
              <w:right w:val="single" w:sz="4" w:space="0" w:color="auto"/>
            </w:tcBorders>
            <w:vAlign w:val="center"/>
          </w:tcPr>
          <w:p w14:paraId="0F94CB59" w14:textId="77777777" w:rsidR="00826D3B" w:rsidRPr="00C34520" w:rsidRDefault="00826D3B" w:rsidP="00DE0052">
            <w:pPr>
              <w:pStyle w:val="TableText0"/>
            </w:pPr>
            <w:r w:rsidRPr="00C34520">
              <w:t xml:space="preserve">Included </w:t>
            </w:r>
            <w:r w:rsidRPr="00C34520">
              <w:rPr>
                <w:rFonts w:eastAsia="Arial"/>
                <w:kern w:val="24"/>
                <w:szCs w:val="20"/>
              </w:rPr>
              <w:t>PNEU-PED-EU-1 and PNEU-PED-EU-2; assessed GMR toddler dose.</w:t>
            </w:r>
          </w:p>
        </w:tc>
      </w:tr>
    </w:tbl>
    <w:p w14:paraId="5AA6CA82" w14:textId="77777777" w:rsidR="00826D3B" w:rsidRPr="00C34520" w:rsidRDefault="00826D3B" w:rsidP="00826D3B">
      <w:pPr>
        <w:pStyle w:val="FooterTableFigure"/>
      </w:pPr>
      <w:r w:rsidRPr="00C34520">
        <w:t>Source: Compiled from Section 2 of the submission.</w:t>
      </w:r>
    </w:p>
    <w:p w14:paraId="4BB3D03E" w14:textId="77777777" w:rsidR="00826D3B" w:rsidRPr="00C34520" w:rsidRDefault="00826D3B" w:rsidP="00826D3B">
      <w:pPr>
        <w:pStyle w:val="FooterTableFigure"/>
      </w:pPr>
      <w:r w:rsidRPr="00C34520">
        <w:t>13vPCV = 13 valent pneumococcal conjugate vaccine; 15vPCV = 15 valent pneumococcal conjugate vaccine; 20vPCV= 20 valent pneumococcal conjugate vaccine; DB = double blind; IgG = Immunoglobulin G; GMFR = geometric mean fold rise; GMR = geometric mean ratio; MC = multi centre; OL = open label; OPA = opsonophagocytic activity; R = randomised.</w:t>
      </w:r>
    </w:p>
    <w:p w14:paraId="4C48AD65" w14:textId="77777777" w:rsidR="00826D3B" w:rsidRPr="00C34520" w:rsidRDefault="00826D3B" w:rsidP="00826D3B">
      <w:pPr>
        <w:pStyle w:val="FooterTableFigure"/>
      </w:pPr>
      <w:r w:rsidRPr="00C34520">
        <w:t>Text in italics was sourced in the evaluation.</w:t>
      </w:r>
    </w:p>
    <w:p w14:paraId="1B30D17D" w14:textId="77777777" w:rsidR="00826D3B" w:rsidRPr="00C34520" w:rsidRDefault="00826D3B" w:rsidP="00826D3B">
      <w:pPr>
        <w:pStyle w:val="FooterTableFigure"/>
      </w:pPr>
      <w:r w:rsidRPr="00C34520">
        <w:rPr>
          <w:vertAlign w:val="superscript"/>
        </w:rPr>
        <w:t>a</w:t>
      </w:r>
      <w:r w:rsidRPr="00C34520">
        <w:t xml:space="preserve"> Common comparator.</w:t>
      </w:r>
    </w:p>
    <w:p w14:paraId="3AE15B10" w14:textId="77777777" w:rsidR="00826D3B" w:rsidRPr="00C34520" w:rsidRDefault="00826D3B" w:rsidP="00826D3B">
      <w:pPr>
        <w:pStyle w:val="FooterTableFigure"/>
      </w:pPr>
      <w:r w:rsidRPr="00C34520">
        <w:rPr>
          <w:vertAlign w:val="superscript"/>
        </w:rPr>
        <w:t>b</w:t>
      </w:r>
      <w:r w:rsidRPr="00C34520">
        <w:t xml:space="preserve"> Defined in the submission as a percentage of participants with predefined pneumococcal serotype-specific IgG concentrations.</w:t>
      </w:r>
    </w:p>
    <w:p w14:paraId="726F468E" w14:textId="77777777" w:rsidR="00826D3B" w:rsidRPr="00C34520" w:rsidRDefault="00826D3B" w:rsidP="00826D3B">
      <w:pPr>
        <w:pStyle w:val="FooterTableFigure"/>
      </w:pPr>
      <w:r w:rsidRPr="00C34520">
        <w:rPr>
          <w:vertAlign w:val="superscript"/>
        </w:rPr>
        <w:t>c</w:t>
      </w:r>
      <w:r w:rsidRPr="00C34520">
        <w:t xml:space="preserve"> The B7471013 trial was a safety trial. No immunogenicity outcomes were evaluated.</w:t>
      </w:r>
    </w:p>
    <w:p w14:paraId="31F2BC4F" w14:textId="77777777" w:rsidR="00826D3B" w:rsidRPr="00C34520" w:rsidRDefault="00826D3B" w:rsidP="00826D3B">
      <w:pPr>
        <w:pStyle w:val="FooterTableFigure"/>
      </w:pPr>
      <w:r w:rsidRPr="00C34520">
        <w:rPr>
          <w:vertAlign w:val="superscript"/>
        </w:rPr>
        <w:t>d</w:t>
      </w:r>
      <w:r w:rsidRPr="00C34520">
        <w:t xml:space="preserve"> The B7471003 trial was a phase II trial not powered to assess non-inferiority for immunogenicity outcomes. Therefore, immunogenicity outcomes were deemed as secondary.</w:t>
      </w:r>
    </w:p>
    <w:p w14:paraId="482EECF4" w14:textId="77777777" w:rsidR="00826D3B" w:rsidRDefault="00826D3B" w:rsidP="00826D3B">
      <w:pPr>
        <w:pStyle w:val="FooterTableFigure"/>
      </w:pPr>
      <w:r w:rsidRPr="00C34520">
        <w:rPr>
          <w:vertAlign w:val="superscript"/>
        </w:rPr>
        <w:t xml:space="preserve">e </w:t>
      </w:r>
      <w:r w:rsidRPr="00C34520">
        <w:t>Assessed with Risk Of Bias In Non-randomised Studies - of Interventions tool (ROBINS-I).</w:t>
      </w:r>
    </w:p>
    <w:p w14:paraId="45A313E2" w14:textId="77777777" w:rsidR="00A03ED5" w:rsidRDefault="00A03ED5" w:rsidP="00826D3B">
      <w:pPr>
        <w:pStyle w:val="FooterTableFigure"/>
      </w:pPr>
    </w:p>
    <w:p w14:paraId="0866884C" w14:textId="77777777" w:rsidR="00A03ED5" w:rsidRPr="00C34520" w:rsidRDefault="00A03ED5" w:rsidP="00F625A4">
      <w:pPr>
        <w:pStyle w:val="3-BodyText"/>
      </w:pPr>
      <w:r w:rsidRPr="00C34520">
        <w:lastRenderedPageBreak/>
        <w:t xml:space="preserve">The submission conducted a meta-analysis of two RCTs comparing 15vPCV and 13vPCV, 2+1 schedule: PNEU-PED-EU-1, PNEU-PED-EU-2. </w:t>
      </w:r>
    </w:p>
    <w:p w14:paraId="60878261" w14:textId="77777777" w:rsidR="00A03ED5" w:rsidRPr="00C34520" w:rsidRDefault="00A03ED5" w:rsidP="00F625A4">
      <w:pPr>
        <w:pStyle w:val="3-BodyText"/>
      </w:pPr>
      <w:r w:rsidRPr="00C34520">
        <w:t xml:space="preserve">The submission presented two indirect comparisons of 20vPCV and 15vPCV using 13vPCV as the common comparator: </w:t>
      </w:r>
    </w:p>
    <w:p w14:paraId="49A1BAF9" w14:textId="5D32D3F4" w:rsidR="00A03ED5" w:rsidRPr="00C34520" w:rsidRDefault="00A03ED5" w:rsidP="00F625A4">
      <w:pPr>
        <w:pStyle w:val="3-BodyText"/>
        <w:numPr>
          <w:ilvl w:val="0"/>
          <w:numId w:val="18"/>
        </w:numPr>
      </w:pPr>
      <w:r w:rsidRPr="00C34520">
        <w:t>Indirect comparison 1 (2+1 schedule): trial B7471012 compared with a meta</w:t>
      </w:r>
      <w:r w:rsidRPr="00C34520">
        <w:noBreakHyphen/>
        <w:t>analysis of trials PNEU</w:t>
      </w:r>
      <w:r w:rsidRPr="00C34520">
        <w:noBreakHyphen/>
        <w:t>PED</w:t>
      </w:r>
      <w:r w:rsidRPr="00C34520">
        <w:noBreakHyphen/>
        <w:t>EU</w:t>
      </w:r>
      <w:r w:rsidRPr="00C34520">
        <w:noBreakHyphen/>
        <w:t>1 and PNEU</w:t>
      </w:r>
      <w:r w:rsidRPr="00C34520">
        <w:noBreakHyphen/>
        <w:t>PED-EU-2.</w:t>
      </w:r>
    </w:p>
    <w:p w14:paraId="5C8EC656" w14:textId="6280E2A3" w:rsidR="00A03ED5" w:rsidRPr="00C34520" w:rsidRDefault="00A03ED5" w:rsidP="00F625A4">
      <w:pPr>
        <w:pStyle w:val="3-BodyText"/>
        <w:numPr>
          <w:ilvl w:val="0"/>
          <w:numId w:val="18"/>
        </w:numPr>
      </w:pPr>
      <w:r w:rsidRPr="00C34520">
        <w:t xml:space="preserve">Indirect comparison 2 (3+1 schedule): trial B7471011 vs PNEU-PED. </w:t>
      </w:r>
    </w:p>
    <w:p w14:paraId="6C5BAFF3" w14:textId="77777777" w:rsidR="00A03ED5" w:rsidRPr="00D15D0C" w:rsidRDefault="00A03ED5" w:rsidP="00F625A4">
      <w:pPr>
        <w:pStyle w:val="3-BodyText"/>
        <w:rPr>
          <w:snapToGrid/>
        </w:rPr>
      </w:pPr>
      <w:r w:rsidRPr="00D15D0C">
        <w:t>It was unclear why trial B7471003 was not considered for indirect comparison 2 given it was also an RCT studying the 3+1 schedule.</w:t>
      </w:r>
    </w:p>
    <w:p w14:paraId="36EAADF8" w14:textId="6484F2FE" w:rsidR="00826D3B" w:rsidRPr="00C34520" w:rsidRDefault="00826D3B" w:rsidP="00F625A4">
      <w:pPr>
        <w:pStyle w:val="3-BodyText"/>
      </w:pPr>
      <w:r w:rsidRPr="00C34520">
        <w:t>The trials were not analysed on an intent-to-treat basis, rather they were analysed based on the evaluable immunogenicity populations, defined as:</w:t>
      </w:r>
    </w:p>
    <w:p w14:paraId="6420D01E" w14:textId="77777777" w:rsidR="00826D3B" w:rsidRPr="00C34520" w:rsidRDefault="00826D3B" w:rsidP="00F625A4">
      <w:pPr>
        <w:pStyle w:val="3-BodyText"/>
        <w:numPr>
          <w:ilvl w:val="0"/>
          <w:numId w:val="20"/>
        </w:numPr>
      </w:pPr>
      <w:r w:rsidRPr="00C34520">
        <w:t>All eligible randomised participants.</w:t>
      </w:r>
    </w:p>
    <w:p w14:paraId="59DD049C" w14:textId="77777777" w:rsidR="00826D3B" w:rsidRPr="00C34520" w:rsidRDefault="00826D3B" w:rsidP="00F625A4">
      <w:pPr>
        <w:pStyle w:val="3-BodyText"/>
        <w:numPr>
          <w:ilvl w:val="0"/>
          <w:numId w:val="20"/>
        </w:numPr>
      </w:pPr>
      <w:r w:rsidRPr="00C34520">
        <w:t>Within the protocol-defined window for dose 1 (not B7471014).</w:t>
      </w:r>
    </w:p>
    <w:p w14:paraId="0F06BC3A" w14:textId="77777777" w:rsidR="00826D3B" w:rsidRPr="00C34520" w:rsidRDefault="00826D3B" w:rsidP="00F625A4">
      <w:pPr>
        <w:pStyle w:val="3-BodyText"/>
        <w:numPr>
          <w:ilvl w:val="0"/>
          <w:numId w:val="20"/>
        </w:numPr>
      </w:pPr>
      <w:r w:rsidRPr="00C34520">
        <w:t>Received the randomised vaccine.</w:t>
      </w:r>
    </w:p>
    <w:p w14:paraId="106FB199" w14:textId="77777777" w:rsidR="00826D3B" w:rsidRPr="00C34520" w:rsidRDefault="00826D3B" w:rsidP="00F625A4">
      <w:pPr>
        <w:pStyle w:val="3-BodyText"/>
        <w:numPr>
          <w:ilvl w:val="0"/>
          <w:numId w:val="20"/>
        </w:numPr>
      </w:pPr>
      <w:r w:rsidRPr="00C34520">
        <w:t>One valid immunogenicity result one month after evaluation dose.</w:t>
      </w:r>
    </w:p>
    <w:p w14:paraId="27FCFAB9" w14:textId="77777777" w:rsidR="00826D3B" w:rsidRPr="00C34520" w:rsidRDefault="00826D3B" w:rsidP="00F625A4">
      <w:pPr>
        <w:pStyle w:val="3-BodyText"/>
        <w:numPr>
          <w:ilvl w:val="0"/>
          <w:numId w:val="20"/>
        </w:numPr>
      </w:pPr>
      <w:r w:rsidRPr="00C34520">
        <w:t>Blood collection appropriate window for a visit.</w:t>
      </w:r>
    </w:p>
    <w:p w14:paraId="2F2B5144" w14:textId="77777777" w:rsidR="00826D3B" w:rsidRPr="00C34520" w:rsidRDefault="00826D3B" w:rsidP="00F625A4">
      <w:pPr>
        <w:pStyle w:val="3-BodyText"/>
        <w:numPr>
          <w:ilvl w:val="0"/>
          <w:numId w:val="20"/>
        </w:numPr>
      </w:pPr>
      <w:r w:rsidRPr="00C34520">
        <w:t>No major protocol deviations.</w:t>
      </w:r>
    </w:p>
    <w:p w14:paraId="2BD9712D" w14:textId="6A652A99" w:rsidR="00826D3B" w:rsidRPr="00D15D0C" w:rsidRDefault="00826D3B" w:rsidP="00F625A4">
      <w:pPr>
        <w:pStyle w:val="3-BodyText"/>
      </w:pPr>
      <w:r w:rsidRPr="00D15D0C">
        <w:t xml:space="preserve">The percentage of participants analysed was similar between trial arms but differed between trials. The B7471012 trial analysed between 82.4% and 83.4% </w:t>
      </w:r>
      <w:r w:rsidR="004547D7" w:rsidRPr="00D15D0C">
        <w:t xml:space="preserve">of participants </w:t>
      </w:r>
      <w:r w:rsidRPr="00D15D0C">
        <w:t xml:space="preserve">after the toddler dose. Whereas the B7471011 trial </w:t>
      </w:r>
      <w:r w:rsidR="002B271D" w:rsidRPr="00D15D0C">
        <w:t xml:space="preserve">analysed </w:t>
      </w:r>
      <w:r w:rsidRPr="00D15D0C">
        <w:t xml:space="preserve">between 75.0% and 75.2%, and the B7471003 trial </w:t>
      </w:r>
      <w:r w:rsidR="002B271D" w:rsidRPr="00D15D0C">
        <w:t xml:space="preserve">analysed </w:t>
      </w:r>
      <w:r w:rsidR="003220A4" w:rsidRPr="00D15D0C">
        <w:t xml:space="preserve">between </w:t>
      </w:r>
      <w:r w:rsidRPr="00D15D0C">
        <w:t xml:space="preserve">72.4% and 72.8%. </w:t>
      </w:r>
    </w:p>
    <w:p w14:paraId="1B28DF4F" w14:textId="4069BDDB" w:rsidR="00826D3B" w:rsidRPr="00902DEA" w:rsidRDefault="00826D3B" w:rsidP="00CC548D">
      <w:pPr>
        <w:pStyle w:val="ExecSumBodyText"/>
        <w:numPr>
          <w:ilvl w:val="1"/>
          <w:numId w:val="1"/>
        </w:numPr>
        <w:rPr>
          <w:iCs/>
        </w:rPr>
      </w:pPr>
      <w:r w:rsidRPr="00D15D0C">
        <w:t xml:space="preserve">Overall, the risk of bias was considered low for all 20vPCV </w:t>
      </w:r>
      <w:r w:rsidR="009041D8">
        <w:t xml:space="preserve">randomised </w:t>
      </w:r>
      <w:r w:rsidRPr="00D15D0C">
        <w:t>trials (B7471012, B7471011, B7471013,</w:t>
      </w:r>
      <w:r w:rsidR="009F3686" w:rsidRPr="00D15D0C">
        <w:t xml:space="preserve"> and</w:t>
      </w:r>
      <w:r w:rsidRPr="00D15D0C">
        <w:t xml:space="preserve"> B7471003</w:t>
      </w:r>
      <w:r w:rsidR="009F3686" w:rsidRPr="00D15D0C">
        <w:t>)</w:t>
      </w:r>
      <w:r w:rsidRPr="00D15D0C">
        <w:t xml:space="preserve"> and</w:t>
      </w:r>
      <w:r w:rsidR="009F3686" w:rsidRPr="00D15D0C">
        <w:t xml:space="preserve"> </w:t>
      </w:r>
      <w:r w:rsidR="009041D8">
        <w:t xml:space="preserve">the single arm </w:t>
      </w:r>
      <w:r w:rsidR="009F3686" w:rsidRPr="00D15D0C">
        <w:t>study</w:t>
      </w:r>
      <w:r w:rsidRPr="00D15D0C">
        <w:t xml:space="preserve"> B7471014. The 15vPCV trials (PNEU-PED-EU-1, PNEU</w:t>
      </w:r>
      <w:r w:rsidRPr="00D15D0C">
        <w:noBreakHyphen/>
        <w:t>PED</w:t>
      </w:r>
      <w:r w:rsidRPr="00D15D0C">
        <w:noBreakHyphen/>
        <w:t>EU-2, and PNEU-PED) were previously considered by the PBAC and were reported to have a low risk of bias (</w:t>
      </w:r>
      <w:r w:rsidR="003220A4" w:rsidRPr="00D15D0C">
        <w:t>Table 3</w:t>
      </w:r>
      <w:r w:rsidRPr="00D15D0C">
        <w:t xml:space="preserve">, pneumococcal conjugate vaccine, 15 valent adsorbed, PSD, March 2023 PBAC meeting). </w:t>
      </w:r>
      <w:r w:rsidR="00CC548D" w:rsidRPr="00902DEA">
        <w:rPr>
          <w:iCs/>
        </w:rPr>
        <w:t>The ESC considered the trial evidence pr</w:t>
      </w:r>
      <w:r w:rsidR="008F0254" w:rsidRPr="00902DEA">
        <w:rPr>
          <w:iCs/>
        </w:rPr>
        <w:t>esented</w:t>
      </w:r>
      <w:r w:rsidR="00CC548D" w:rsidRPr="00902DEA">
        <w:rPr>
          <w:iCs/>
        </w:rPr>
        <w:t xml:space="preserve"> in the submission was reliable and had a low risk of bias, however noted that the evidence did not include the Aboriginal and Torres Strait Islander population or children with risk conditions. </w:t>
      </w:r>
    </w:p>
    <w:p w14:paraId="0A0B8815" w14:textId="2077AAA0" w:rsidR="00826D3B" w:rsidRPr="00D15D0C" w:rsidRDefault="00826D3B" w:rsidP="00F625A4">
      <w:pPr>
        <w:pStyle w:val="3-BodyText"/>
      </w:pPr>
      <w:r w:rsidRPr="00D15D0C">
        <w:t>The trials were similar in terms of trial design. The submission identified several sources of heterogeneity across the trials, such as countries included in the trials, assay methods, statistical methods, ethnicity, and concomitant vaccines. Additionally, minor differences were observed in recruitment age, inclusion of preterm infants, and age at administration of infant and toddler doses.</w:t>
      </w:r>
    </w:p>
    <w:p w14:paraId="777051D0" w14:textId="77777777" w:rsidR="00826D3B" w:rsidRPr="00C34520" w:rsidRDefault="00826D3B" w:rsidP="00F625A4">
      <w:pPr>
        <w:pStyle w:val="3-BodyText"/>
      </w:pPr>
      <w:r w:rsidRPr="00C34520">
        <w:t>Key efficacy outcomes in the trials were immunological responses and included:</w:t>
      </w:r>
    </w:p>
    <w:p w14:paraId="2AFF7DA4" w14:textId="77777777" w:rsidR="00826D3B" w:rsidRPr="00C34520" w:rsidRDefault="00826D3B" w:rsidP="00574E84">
      <w:pPr>
        <w:pStyle w:val="ListParagraph"/>
        <w:numPr>
          <w:ilvl w:val="0"/>
          <w:numId w:val="20"/>
        </w:numPr>
      </w:pPr>
      <w:r w:rsidRPr="00C34520">
        <w:lastRenderedPageBreak/>
        <w:t>Serotype-specific immunoglobulin G (IgG) geometric mean concentrations (GMC) and geometric mean ratios (GMRs) one month after the infant and toddler doses.</w:t>
      </w:r>
    </w:p>
    <w:p w14:paraId="2683D7C5" w14:textId="6EB447D7" w:rsidR="00826D3B" w:rsidRPr="00C34520" w:rsidRDefault="00826D3B" w:rsidP="00574E84">
      <w:pPr>
        <w:pStyle w:val="ListParagraph"/>
        <w:numPr>
          <w:ilvl w:val="0"/>
          <w:numId w:val="20"/>
        </w:numPr>
      </w:pPr>
      <w:r w:rsidRPr="00C34520">
        <w:t>Percentages of participants with predefined pneumococcal IgG levels (response rate) one month after the infant and toddler doses, where the 20vPCV trials used ≥</w:t>
      </w:r>
      <w:r w:rsidR="009D5662">
        <w:t> </w:t>
      </w:r>
      <w:r w:rsidRPr="00C34520">
        <w:t>0.35</w:t>
      </w:r>
      <w:r w:rsidR="009D5662">
        <w:t> </w:t>
      </w:r>
      <w:r w:rsidRPr="00C34520">
        <w:t>μg/ml for all serotypes except serotype 5 ≥</w:t>
      </w:r>
      <w:r w:rsidR="009D5662">
        <w:t> </w:t>
      </w:r>
      <w:r w:rsidRPr="00C34520">
        <w:t>0.23</w:t>
      </w:r>
      <w:r w:rsidR="009D5662">
        <w:t> </w:t>
      </w:r>
      <w:r w:rsidRPr="00C34520">
        <w:t>μg/ml, serotype 6B</w:t>
      </w:r>
      <w:r w:rsidR="009D5662">
        <w:t xml:space="preserve"> </w:t>
      </w:r>
      <w:r w:rsidRPr="00C34520">
        <w:t>≥ 0.1 μg/ml and serotype 19A ≥</w:t>
      </w:r>
      <w:r w:rsidR="009D5662">
        <w:t> </w:t>
      </w:r>
      <w:r w:rsidRPr="00C34520">
        <w:t>0.12</w:t>
      </w:r>
      <w:r w:rsidR="009D5662">
        <w:t> </w:t>
      </w:r>
      <w:r w:rsidRPr="00C34520">
        <w:t>μg/ml; and the 15vPCV trials used ≥ 0.35 μg/ml for all serotypes.</w:t>
      </w:r>
    </w:p>
    <w:p w14:paraId="2AF95637" w14:textId="15E32F8D" w:rsidR="00826D3B" w:rsidRPr="00C34520" w:rsidRDefault="00826D3B" w:rsidP="005020B3">
      <w:pPr>
        <w:pStyle w:val="ListParagraph"/>
        <w:numPr>
          <w:ilvl w:val="0"/>
          <w:numId w:val="20"/>
        </w:numPr>
      </w:pPr>
      <w:r w:rsidRPr="00C34520">
        <w:t xml:space="preserve">Opsonophagocytic activity (OPA) geometric mean titre (GMT) in a subset of patients one month after the infant and toddler doses. </w:t>
      </w:r>
      <w:r w:rsidR="00E647B7" w:rsidRPr="00E647B7">
        <w:t>OPA was not a primary outcome in the key 20vPCV trials (B7471012 and B7471011), it was only collected for a subset of patients (approximately between 10% to 20%) and was not used in the indirect comparisons.</w:t>
      </w:r>
    </w:p>
    <w:p w14:paraId="5185F1CC" w14:textId="0C6480E0" w:rsidR="00826D3B" w:rsidRPr="00D15D0C" w:rsidRDefault="00826D3B" w:rsidP="00F625A4">
      <w:pPr>
        <w:pStyle w:val="3-BodyText"/>
      </w:pPr>
      <w:r w:rsidRPr="00C34520">
        <w:t>Non-inferiority margins from the B7471012, B7471011, PNEU-PED-EU-1, PNEU</w:t>
      </w:r>
      <w:r w:rsidRPr="00C34520">
        <w:noBreakHyphen/>
        <w:t>PED</w:t>
      </w:r>
      <w:r w:rsidRPr="00C34520">
        <w:noBreakHyphen/>
        <w:t xml:space="preserve">EU-2, and PNEU-PED trials are presented in </w:t>
      </w:r>
      <w:r w:rsidRPr="00C34520">
        <w:fldChar w:fldCharType="begin"/>
      </w:r>
      <w:r w:rsidRPr="00C34520">
        <w:instrText xml:space="preserve"> REF _Ref144217862 \h </w:instrText>
      </w:r>
      <w:r w:rsidRPr="00C34520">
        <w:fldChar w:fldCharType="separate"/>
      </w:r>
      <w:r w:rsidR="009523CC" w:rsidRPr="00C34520">
        <w:t xml:space="preserve">Table </w:t>
      </w:r>
      <w:r w:rsidR="009523CC">
        <w:rPr>
          <w:noProof/>
        </w:rPr>
        <w:t>8</w:t>
      </w:r>
      <w:r w:rsidRPr="00C34520">
        <w:fldChar w:fldCharType="end"/>
      </w:r>
      <w:r w:rsidRPr="00C34520">
        <w:t>.</w:t>
      </w:r>
      <w:r w:rsidR="001631A8">
        <w:t xml:space="preserve"> </w:t>
      </w:r>
    </w:p>
    <w:p w14:paraId="1A9A0E15" w14:textId="223E01EE" w:rsidR="00826D3B" w:rsidRPr="00C34520" w:rsidRDefault="00826D3B" w:rsidP="00D132A0">
      <w:pPr>
        <w:pStyle w:val="Caption"/>
      </w:pPr>
      <w:bookmarkStart w:id="37" w:name="_Ref144217862"/>
      <w:r w:rsidRPr="00C34520">
        <w:lastRenderedPageBreak/>
        <w:t xml:space="preserve">Table </w:t>
      </w:r>
      <w:fldSimple w:instr=" SEQ Table \* ARABIC ">
        <w:r w:rsidR="009523CC">
          <w:rPr>
            <w:noProof/>
          </w:rPr>
          <w:t>8</w:t>
        </w:r>
      </w:fldSimple>
      <w:bookmarkEnd w:id="37"/>
      <w:r w:rsidRPr="00C34520">
        <w:t>: Non-inferiority margins proposed in the submission</w:t>
      </w:r>
    </w:p>
    <w:tbl>
      <w:tblPr>
        <w:tblStyle w:val="TableGrid"/>
        <w:tblW w:w="5000" w:type="pct"/>
        <w:tblLook w:val="04A0" w:firstRow="1" w:lastRow="0" w:firstColumn="1" w:lastColumn="0" w:noHBand="0" w:noVBand="1"/>
      </w:tblPr>
      <w:tblGrid>
        <w:gridCol w:w="2280"/>
        <w:gridCol w:w="2380"/>
        <w:gridCol w:w="2272"/>
        <w:gridCol w:w="2085"/>
      </w:tblGrid>
      <w:tr w:rsidR="00826D3B" w:rsidRPr="00C34520" w14:paraId="5C064986" w14:textId="77777777" w:rsidTr="00667D81">
        <w:tc>
          <w:tcPr>
            <w:tcW w:w="1264" w:type="pct"/>
            <w:vMerge w:val="restart"/>
          </w:tcPr>
          <w:p w14:paraId="231AEF7B" w14:textId="77777777" w:rsidR="00826D3B" w:rsidRPr="00C34520" w:rsidRDefault="00826D3B" w:rsidP="00DE0052">
            <w:pPr>
              <w:pStyle w:val="In-tableHeading"/>
              <w:jc w:val="center"/>
              <w:rPr>
                <w:lang w:val="en-AU"/>
              </w:rPr>
            </w:pPr>
            <w:bookmarkStart w:id="38" w:name="_Hlk144477388"/>
          </w:p>
        </w:tc>
        <w:tc>
          <w:tcPr>
            <w:tcW w:w="3736" w:type="pct"/>
            <w:gridSpan w:val="3"/>
          </w:tcPr>
          <w:p w14:paraId="5B620FD5" w14:textId="77777777" w:rsidR="00826D3B" w:rsidRPr="00C34520" w:rsidRDefault="00826D3B" w:rsidP="00DE0052">
            <w:pPr>
              <w:pStyle w:val="In-tableHeading"/>
              <w:jc w:val="center"/>
              <w:rPr>
                <w:lang w:val="en-AU"/>
              </w:rPr>
            </w:pPr>
            <w:r w:rsidRPr="00C34520">
              <w:rPr>
                <w:lang w:val="en-AU"/>
              </w:rPr>
              <w:t>Outcome</w:t>
            </w:r>
          </w:p>
        </w:tc>
      </w:tr>
      <w:tr w:rsidR="00826D3B" w:rsidRPr="00C34520" w14:paraId="62BD8062" w14:textId="77777777" w:rsidTr="00667D81">
        <w:tc>
          <w:tcPr>
            <w:tcW w:w="1264" w:type="pct"/>
            <w:vMerge/>
          </w:tcPr>
          <w:p w14:paraId="783F9023" w14:textId="77777777" w:rsidR="00826D3B" w:rsidRPr="00C34520" w:rsidRDefault="00826D3B" w:rsidP="00DE0052">
            <w:pPr>
              <w:pStyle w:val="In-tableHeading"/>
              <w:jc w:val="center"/>
              <w:rPr>
                <w:lang w:val="en-AU"/>
              </w:rPr>
            </w:pPr>
          </w:p>
        </w:tc>
        <w:tc>
          <w:tcPr>
            <w:tcW w:w="1320" w:type="pct"/>
          </w:tcPr>
          <w:p w14:paraId="39899596" w14:textId="77777777" w:rsidR="00826D3B" w:rsidRPr="00C34520" w:rsidRDefault="00826D3B" w:rsidP="00DE0052">
            <w:pPr>
              <w:pStyle w:val="In-tableHeading"/>
              <w:jc w:val="center"/>
              <w:rPr>
                <w:lang w:val="en-AU"/>
              </w:rPr>
            </w:pPr>
            <w:r w:rsidRPr="00C34520">
              <w:rPr>
                <w:lang w:val="en-AU"/>
              </w:rPr>
              <w:t>GMR one month after infant dose</w:t>
            </w:r>
          </w:p>
        </w:tc>
        <w:tc>
          <w:tcPr>
            <w:tcW w:w="1260" w:type="pct"/>
          </w:tcPr>
          <w:p w14:paraId="6E3C7388" w14:textId="77777777" w:rsidR="00826D3B" w:rsidRPr="00C34520" w:rsidRDefault="00826D3B" w:rsidP="00DE0052">
            <w:pPr>
              <w:pStyle w:val="In-tableHeading"/>
              <w:jc w:val="center"/>
              <w:rPr>
                <w:lang w:val="en-AU"/>
              </w:rPr>
            </w:pPr>
            <w:r w:rsidRPr="00C34520">
              <w:rPr>
                <w:lang w:val="en-AU"/>
              </w:rPr>
              <w:t>GMR one month after toddler dose</w:t>
            </w:r>
          </w:p>
        </w:tc>
        <w:tc>
          <w:tcPr>
            <w:tcW w:w="1156" w:type="pct"/>
          </w:tcPr>
          <w:p w14:paraId="202912A8" w14:textId="77777777" w:rsidR="00826D3B" w:rsidRPr="00C34520" w:rsidRDefault="00826D3B" w:rsidP="00DE0052">
            <w:pPr>
              <w:pStyle w:val="In-tableHeading"/>
              <w:jc w:val="center"/>
              <w:rPr>
                <w:lang w:val="en-AU"/>
              </w:rPr>
            </w:pPr>
            <w:r w:rsidRPr="00C34520">
              <w:rPr>
                <w:lang w:val="en-AU"/>
              </w:rPr>
              <w:t>Response rate one month after infant dose</w:t>
            </w:r>
          </w:p>
        </w:tc>
      </w:tr>
      <w:tr w:rsidR="00826D3B" w:rsidRPr="00C34520" w14:paraId="43883894" w14:textId="77777777" w:rsidTr="00667D81">
        <w:tc>
          <w:tcPr>
            <w:tcW w:w="1264" w:type="pct"/>
          </w:tcPr>
          <w:p w14:paraId="1AF32923" w14:textId="77777777" w:rsidR="00826D3B" w:rsidRPr="00C34520" w:rsidRDefault="00826D3B" w:rsidP="00DE0052">
            <w:pPr>
              <w:pStyle w:val="TableText0"/>
            </w:pPr>
            <w:r w:rsidRPr="00C34520">
              <w:t>Non-inferiority margin</w:t>
            </w:r>
          </w:p>
        </w:tc>
        <w:tc>
          <w:tcPr>
            <w:tcW w:w="2580" w:type="pct"/>
            <w:gridSpan w:val="2"/>
          </w:tcPr>
          <w:p w14:paraId="7D7DEF04" w14:textId="77777777" w:rsidR="00826D3B" w:rsidRPr="00C34520" w:rsidRDefault="00826D3B" w:rsidP="00DE0052">
            <w:pPr>
              <w:pStyle w:val="TableText0"/>
            </w:pPr>
            <w:r w:rsidRPr="00C34520">
              <w:t>The lower bound of the 2-sided 95% CI for the IgG GMR of 20vPCV to 13vPCV was greater than 0.5 (2-fold non-inferiority margin)</w:t>
            </w:r>
          </w:p>
        </w:tc>
        <w:tc>
          <w:tcPr>
            <w:tcW w:w="1156" w:type="pct"/>
          </w:tcPr>
          <w:p w14:paraId="63475B58" w14:textId="77777777" w:rsidR="00826D3B" w:rsidRPr="00C34520" w:rsidRDefault="00826D3B" w:rsidP="00DE0052">
            <w:pPr>
              <w:pStyle w:val="TableText0"/>
            </w:pPr>
            <w:r w:rsidRPr="00C34520">
              <w:t xml:space="preserve">The lower bound of the 2-sided 95% CI for the difference (20vPCV – 13vPCV) in percentages, computed using the Miettinen and Nurminen method, was greater than </w:t>
            </w:r>
            <w:r w:rsidRPr="00C34520">
              <w:noBreakHyphen/>
              <w:t>10%</w:t>
            </w:r>
          </w:p>
        </w:tc>
      </w:tr>
      <w:tr w:rsidR="00826D3B" w:rsidRPr="00C34520" w14:paraId="68308D25" w14:textId="77777777" w:rsidTr="00667D81">
        <w:tc>
          <w:tcPr>
            <w:tcW w:w="1264" w:type="pct"/>
          </w:tcPr>
          <w:p w14:paraId="5BEF5809" w14:textId="77777777" w:rsidR="00826D3B" w:rsidRPr="00C34520" w:rsidRDefault="00826D3B" w:rsidP="00DE0052">
            <w:pPr>
              <w:pStyle w:val="TableText0"/>
            </w:pPr>
            <w:r w:rsidRPr="00C34520">
              <w:t>Method of comparing non</w:t>
            </w:r>
            <w:r w:rsidRPr="00C34520">
              <w:noBreakHyphen/>
              <w:t>13vPCV serotypes</w:t>
            </w:r>
          </w:p>
        </w:tc>
        <w:tc>
          <w:tcPr>
            <w:tcW w:w="3736" w:type="pct"/>
            <w:gridSpan w:val="3"/>
          </w:tcPr>
          <w:p w14:paraId="08113C0C" w14:textId="77777777" w:rsidR="00826D3B" w:rsidRPr="00C34520" w:rsidRDefault="00826D3B" w:rsidP="00DE0052">
            <w:pPr>
              <w:pStyle w:val="TableText0"/>
            </w:pPr>
            <w:r w:rsidRPr="00C34520">
              <w:t xml:space="preserve">B7471012, B7471011, and PNEU-PED: compared non-13vPCV serotypes of the 20vPCV arm to the lowest GMR or response rate of 13vPCV serotypes from the 13vPCV arm, except for serotype 3. </w:t>
            </w:r>
          </w:p>
          <w:p w14:paraId="1839459E" w14:textId="77777777" w:rsidR="00826D3B" w:rsidRPr="00C34520" w:rsidRDefault="00826D3B" w:rsidP="00DE0052">
            <w:pPr>
              <w:pStyle w:val="TableText0"/>
            </w:pPr>
            <w:r w:rsidRPr="00C34520">
              <w:t>PNEU-PED-EU-1, and PNEU PED-EU-2: compared non-13vPCV serotypes of the 20vPCV arm GMR or response rate to matched serotypes from the 13vPCV arm</w:t>
            </w:r>
          </w:p>
        </w:tc>
      </w:tr>
      <w:tr w:rsidR="00826D3B" w:rsidRPr="00C34520" w14:paraId="635784CA" w14:textId="77777777" w:rsidTr="00667D81">
        <w:tc>
          <w:tcPr>
            <w:tcW w:w="1264" w:type="pct"/>
          </w:tcPr>
          <w:p w14:paraId="29A3C0F9" w14:textId="77777777" w:rsidR="00826D3B" w:rsidRPr="00C34520" w:rsidRDefault="00826D3B" w:rsidP="00DE0052">
            <w:pPr>
              <w:pStyle w:val="TableText0"/>
            </w:pPr>
            <w:r w:rsidRPr="00C34520">
              <w:t>ATAGI Advice to the PBAC</w:t>
            </w:r>
          </w:p>
        </w:tc>
        <w:tc>
          <w:tcPr>
            <w:tcW w:w="2580" w:type="pct"/>
            <w:gridSpan w:val="2"/>
          </w:tcPr>
          <w:p w14:paraId="0A2EE5F4" w14:textId="77777777" w:rsidR="00826D3B" w:rsidRPr="00C34520" w:rsidRDefault="00826D3B" w:rsidP="00574E84">
            <w:pPr>
              <w:pStyle w:val="TableText0"/>
              <w:numPr>
                <w:ilvl w:val="0"/>
                <w:numId w:val="21"/>
              </w:numPr>
            </w:pPr>
            <w:r w:rsidRPr="00C34520">
              <w:t xml:space="preserve">WHO guidelines suggest a lower bound of 0.67, and authorities may consider 0.5 (p46 of the ATAGI Advice to the PBAC). </w:t>
            </w:r>
          </w:p>
          <w:p w14:paraId="44387EC8" w14:textId="77777777" w:rsidR="00826D3B" w:rsidRPr="00C34520" w:rsidRDefault="00826D3B" w:rsidP="00574E84">
            <w:pPr>
              <w:pStyle w:val="TableText0"/>
              <w:numPr>
                <w:ilvl w:val="0"/>
                <w:numId w:val="21"/>
              </w:numPr>
            </w:pPr>
            <w:r w:rsidRPr="00C34520">
              <w:t>Comparisons at a margin of 0.5 make interpretation of the clinical relevance of immunological measures increasingly difficult, i.e., ‘by approving vaccines based on non-inferiority to a prior vaccine, which itself was justified based on non</w:t>
            </w:r>
            <w:r w:rsidRPr="00C34520">
              <w:noBreakHyphen/>
              <w:t>inferiority, it is possible that subsequent vaccines could be accepted despite having inferior immunogenicity to an originally licensed vaccine’ (p46 of the ATAGI Advice to the PBAC).</w:t>
            </w:r>
          </w:p>
          <w:p w14:paraId="4664A0E3" w14:textId="77777777" w:rsidR="00826D3B" w:rsidRPr="00C34520" w:rsidRDefault="00826D3B" w:rsidP="00574E84">
            <w:pPr>
              <w:pStyle w:val="TableText0"/>
              <w:numPr>
                <w:ilvl w:val="0"/>
                <w:numId w:val="21"/>
              </w:numPr>
            </w:pPr>
            <w:r w:rsidRPr="00C34520">
              <w:t xml:space="preserve">The WHO guidelines raise the concern of potential downward drift for sequential non-inferiority evaluations (p46 of the ATAGI Advice to the PBAC). </w:t>
            </w:r>
          </w:p>
          <w:p w14:paraId="1D7D0354" w14:textId="77777777" w:rsidR="00826D3B" w:rsidRPr="00C34520" w:rsidRDefault="00826D3B" w:rsidP="00574E84">
            <w:pPr>
              <w:pStyle w:val="TableText0"/>
              <w:numPr>
                <w:ilvl w:val="0"/>
                <w:numId w:val="21"/>
              </w:numPr>
            </w:pPr>
            <w:r w:rsidRPr="00C34520">
              <w:t>For listing 13vPCV ‘serotype 3 did not meet non-inferiority for IgG Responders or IgG GMCs, and OPA GMTs’, showing the potential of downward drift’ (p47 of the ATAGI Advice to the PBAC).</w:t>
            </w:r>
          </w:p>
        </w:tc>
        <w:tc>
          <w:tcPr>
            <w:tcW w:w="1156" w:type="pct"/>
          </w:tcPr>
          <w:p w14:paraId="5FF55F57" w14:textId="77777777" w:rsidR="00826D3B" w:rsidRPr="00C34520" w:rsidRDefault="00826D3B" w:rsidP="00DE0052">
            <w:pPr>
              <w:pStyle w:val="TableText0"/>
            </w:pPr>
            <w:r w:rsidRPr="00C34520">
              <w:t>‘WHO documents indicate that there are concerns regarding uncertain applicability across all serotypes (correlates of protection for children vary by serotype), and in different populations, and that this level should not be taken alone as the sole consideration for licensure’ (p46 of the ATAGI Advice to the PBAC).</w:t>
            </w:r>
          </w:p>
        </w:tc>
      </w:tr>
    </w:tbl>
    <w:p w14:paraId="01065880" w14:textId="77777777" w:rsidR="00826D3B" w:rsidRPr="00C34520" w:rsidRDefault="00826D3B" w:rsidP="00826D3B">
      <w:pPr>
        <w:pStyle w:val="TableFigureFooter"/>
      </w:pPr>
      <w:r w:rsidRPr="00C34520">
        <w:t>Source: Compiled from Section 2.4 of the submission; PNEU-PED-EU-1, PNEU-PED-EU-2, &amp; PNEU-PED study protocols.</w:t>
      </w:r>
    </w:p>
    <w:p w14:paraId="6B7DD028" w14:textId="77777777" w:rsidR="00826D3B" w:rsidRPr="00C34520" w:rsidRDefault="00826D3B" w:rsidP="00826D3B">
      <w:pPr>
        <w:pStyle w:val="TableFigureFooter"/>
      </w:pPr>
      <w:r w:rsidRPr="00C34520">
        <w:t>13vPCV = 13 valent pneumococcal conjugate vaccine; 20vPCV = 20 valent pneumococcal conjugate vaccine; ATAGI = Australian Technical Advisory Group on Immunisation; CI = confidence interval; GMC = geometric mean concentration; GMR = geometric mean ratio; GMT = geometric mean titre; IgG = immunoglobulin G; OPA = opsonophagocytic activity; PBAC = Pharmaceutical Benefits Advisory Committee; Public Summary Document = PSD.</w:t>
      </w:r>
    </w:p>
    <w:p w14:paraId="3B10201A" w14:textId="77777777" w:rsidR="00826D3B" w:rsidRPr="00C34520" w:rsidRDefault="00826D3B" w:rsidP="00826D3B">
      <w:pPr>
        <w:pStyle w:val="4-SubsectionHeading"/>
      </w:pPr>
      <w:bookmarkStart w:id="39" w:name="_Toc22897641"/>
      <w:bookmarkStart w:id="40" w:name="_Toc145498617"/>
      <w:bookmarkEnd w:id="38"/>
      <w:r w:rsidRPr="00C34520">
        <w:t>Comparative effectiveness</w:t>
      </w:r>
      <w:bookmarkEnd w:id="39"/>
      <w:bookmarkEnd w:id="40"/>
    </w:p>
    <w:p w14:paraId="74AC4EDF" w14:textId="076D7685" w:rsidR="00826D3B" w:rsidRPr="00C34520" w:rsidRDefault="00826D3B" w:rsidP="00F625A4">
      <w:pPr>
        <w:pStyle w:val="3-BodyText"/>
      </w:pPr>
      <w:r w:rsidRPr="00C34520">
        <w:fldChar w:fldCharType="begin"/>
      </w:r>
      <w:r w:rsidRPr="00C34520">
        <w:instrText xml:space="preserve"> REF _Ref143773600 \h </w:instrText>
      </w:r>
      <w:r w:rsidRPr="00C34520">
        <w:fldChar w:fldCharType="separate"/>
      </w:r>
      <w:r w:rsidR="009523CC" w:rsidRPr="00C34520">
        <w:t xml:space="preserve">Table </w:t>
      </w:r>
      <w:r w:rsidR="009523CC">
        <w:rPr>
          <w:noProof/>
        </w:rPr>
        <w:t>9</w:t>
      </w:r>
      <w:r w:rsidRPr="00C34520">
        <w:fldChar w:fldCharType="end"/>
      </w:r>
      <w:r w:rsidRPr="00C34520">
        <w:t xml:space="preserve"> shows GMRs one month after the toddler dose for the evaluable immunogenicity population in the 20vPCV and 15vPCV trials presented by the submission. GMR after the toddler dose was used for the indirect comparisons. </w:t>
      </w:r>
    </w:p>
    <w:p w14:paraId="115AC184" w14:textId="1EBC79B7" w:rsidR="00826D3B" w:rsidRPr="00C34520" w:rsidRDefault="00826D3B" w:rsidP="00826D3B">
      <w:pPr>
        <w:pStyle w:val="TableFigureHeading"/>
      </w:pPr>
      <w:bookmarkStart w:id="41" w:name="_Ref143773600"/>
      <w:r w:rsidRPr="00C34520">
        <w:lastRenderedPageBreak/>
        <w:t xml:space="preserve">Table </w:t>
      </w:r>
      <w:fldSimple w:instr=" SEQ Table \* ARABIC ">
        <w:r w:rsidR="009523CC">
          <w:rPr>
            <w:noProof/>
          </w:rPr>
          <w:t>9</w:t>
        </w:r>
      </w:fldSimple>
      <w:bookmarkEnd w:id="41"/>
      <w:r w:rsidRPr="00C34520">
        <w:t>:</w:t>
      </w:r>
      <w:r w:rsidRPr="00C34520">
        <w:rPr>
          <w:rStyle w:val="CommentReference"/>
          <w:b/>
          <w:szCs w:val="24"/>
        </w:rPr>
        <w:t xml:space="preserve"> </w:t>
      </w:r>
      <w:r w:rsidRPr="00C34520">
        <w:t>Pneumococcal IgG GMRs (95%CI) – 1 month after toddler dose –evaluable immunogenicity population</w:t>
      </w:r>
      <w:r w:rsidRPr="00C34520">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596"/>
        <w:gridCol w:w="1540"/>
        <w:gridCol w:w="1710"/>
        <w:gridCol w:w="1692"/>
        <w:gridCol w:w="1546"/>
      </w:tblGrid>
      <w:tr w:rsidR="00826D3B" w:rsidRPr="00C34520" w14:paraId="5758DB5A" w14:textId="77777777" w:rsidTr="00667D81">
        <w:trPr>
          <w:trHeight w:val="20"/>
        </w:trPr>
        <w:tc>
          <w:tcPr>
            <w:tcW w:w="518" w:type="pct"/>
            <w:vMerge w:val="restart"/>
            <w:shd w:val="clear" w:color="auto" w:fill="auto"/>
            <w:noWrap/>
            <w:vAlign w:val="center"/>
            <w:hideMark/>
          </w:tcPr>
          <w:p w14:paraId="61BEAC35" w14:textId="77777777" w:rsidR="00826D3B" w:rsidRPr="00C34520" w:rsidRDefault="00826D3B" w:rsidP="00DE0052">
            <w:pPr>
              <w:pStyle w:val="TableFigureHeading"/>
              <w:jc w:val="center"/>
            </w:pPr>
            <w:r w:rsidRPr="00C34520">
              <w:t>Serotype</w:t>
            </w:r>
          </w:p>
        </w:tc>
        <w:tc>
          <w:tcPr>
            <w:tcW w:w="1739" w:type="pct"/>
            <w:gridSpan w:val="2"/>
            <w:shd w:val="clear" w:color="auto" w:fill="auto"/>
            <w:noWrap/>
            <w:vAlign w:val="center"/>
            <w:hideMark/>
          </w:tcPr>
          <w:p w14:paraId="6AE1637D" w14:textId="77777777" w:rsidR="00826D3B" w:rsidRPr="00C34520" w:rsidRDefault="00826D3B" w:rsidP="00DE0052">
            <w:pPr>
              <w:pStyle w:val="TableFigureHeading"/>
              <w:jc w:val="center"/>
            </w:pPr>
            <w:r w:rsidRPr="00C34520">
              <w:t>20vPCV/13vPCV</w:t>
            </w:r>
          </w:p>
        </w:tc>
        <w:tc>
          <w:tcPr>
            <w:tcW w:w="2743" w:type="pct"/>
            <w:gridSpan w:val="3"/>
            <w:shd w:val="clear" w:color="auto" w:fill="auto"/>
            <w:noWrap/>
            <w:vAlign w:val="center"/>
            <w:hideMark/>
          </w:tcPr>
          <w:p w14:paraId="63B2A460" w14:textId="77777777" w:rsidR="00826D3B" w:rsidRPr="00C34520" w:rsidRDefault="00826D3B" w:rsidP="00DE0052">
            <w:pPr>
              <w:pStyle w:val="TableFigureHeading"/>
              <w:jc w:val="center"/>
            </w:pPr>
            <w:r w:rsidRPr="00C34520">
              <w:t>15vPCV/13vPCV</w:t>
            </w:r>
          </w:p>
        </w:tc>
      </w:tr>
      <w:tr w:rsidR="00D132A0" w:rsidRPr="00C34520" w14:paraId="73FB2B15" w14:textId="77777777" w:rsidTr="00667D81">
        <w:trPr>
          <w:trHeight w:val="20"/>
        </w:trPr>
        <w:tc>
          <w:tcPr>
            <w:tcW w:w="518" w:type="pct"/>
            <w:vMerge/>
            <w:shd w:val="clear" w:color="auto" w:fill="auto"/>
            <w:noWrap/>
            <w:vAlign w:val="center"/>
            <w:hideMark/>
          </w:tcPr>
          <w:p w14:paraId="06E3FBCB" w14:textId="77777777" w:rsidR="00826D3B" w:rsidRPr="00C34520" w:rsidRDefault="00826D3B" w:rsidP="00DE0052">
            <w:pPr>
              <w:pStyle w:val="TableFigureHeading"/>
              <w:jc w:val="center"/>
            </w:pPr>
          </w:p>
        </w:tc>
        <w:tc>
          <w:tcPr>
            <w:tcW w:w="885" w:type="pct"/>
            <w:shd w:val="clear" w:color="auto" w:fill="auto"/>
            <w:noWrap/>
            <w:vAlign w:val="center"/>
            <w:hideMark/>
          </w:tcPr>
          <w:p w14:paraId="733F4407" w14:textId="77777777" w:rsidR="00826D3B" w:rsidRPr="00C34520" w:rsidRDefault="00826D3B" w:rsidP="00DE0052">
            <w:pPr>
              <w:pStyle w:val="TableFigureHeading"/>
              <w:jc w:val="center"/>
            </w:pPr>
            <w:r w:rsidRPr="00C34520">
              <w:t>B7471012</w:t>
            </w:r>
          </w:p>
          <w:p w14:paraId="5D21C3F7" w14:textId="77777777" w:rsidR="00826D3B" w:rsidRPr="00C34520" w:rsidRDefault="00826D3B" w:rsidP="00DE0052">
            <w:pPr>
              <w:pStyle w:val="In-tableHeading"/>
              <w:jc w:val="center"/>
              <w:rPr>
                <w:lang w:val="en-AU"/>
              </w:rPr>
            </w:pPr>
            <w:r w:rsidRPr="00C34520">
              <w:rPr>
                <w:lang w:val="en-AU"/>
              </w:rPr>
              <w:t>(2+1)</w:t>
            </w:r>
          </w:p>
        </w:tc>
        <w:tc>
          <w:tcPr>
            <w:tcW w:w="854" w:type="pct"/>
            <w:shd w:val="clear" w:color="auto" w:fill="auto"/>
            <w:noWrap/>
            <w:vAlign w:val="center"/>
            <w:hideMark/>
          </w:tcPr>
          <w:p w14:paraId="7367CBA5" w14:textId="77777777" w:rsidR="00826D3B" w:rsidRPr="00C34520" w:rsidRDefault="00826D3B" w:rsidP="00DE0052">
            <w:pPr>
              <w:pStyle w:val="TableFigureHeading"/>
              <w:jc w:val="center"/>
            </w:pPr>
            <w:r w:rsidRPr="00C34520">
              <w:t>B7471011</w:t>
            </w:r>
          </w:p>
          <w:p w14:paraId="6FFC6EE0" w14:textId="77777777" w:rsidR="00826D3B" w:rsidRPr="00C34520" w:rsidRDefault="00826D3B" w:rsidP="00DE0052">
            <w:pPr>
              <w:pStyle w:val="In-tableHeading"/>
              <w:jc w:val="center"/>
              <w:rPr>
                <w:lang w:val="en-AU"/>
              </w:rPr>
            </w:pPr>
            <w:r w:rsidRPr="00C34520">
              <w:rPr>
                <w:lang w:val="en-AU"/>
              </w:rPr>
              <w:t>(3+1)</w:t>
            </w:r>
          </w:p>
        </w:tc>
        <w:tc>
          <w:tcPr>
            <w:tcW w:w="948" w:type="pct"/>
            <w:shd w:val="clear" w:color="auto" w:fill="auto"/>
            <w:noWrap/>
            <w:vAlign w:val="center"/>
            <w:hideMark/>
          </w:tcPr>
          <w:p w14:paraId="423683FB" w14:textId="77777777" w:rsidR="00826D3B" w:rsidRPr="00C34520" w:rsidRDefault="00826D3B" w:rsidP="00DE0052">
            <w:pPr>
              <w:pStyle w:val="TableFigureHeading"/>
              <w:jc w:val="center"/>
            </w:pPr>
            <w:r w:rsidRPr="00C34520">
              <w:t>PNEU-PED-EU-1</w:t>
            </w:r>
          </w:p>
          <w:p w14:paraId="407210B8" w14:textId="77777777" w:rsidR="00826D3B" w:rsidRPr="00C34520" w:rsidRDefault="00826D3B" w:rsidP="00DE0052">
            <w:pPr>
              <w:pStyle w:val="In-tableHeading"/>
              <w:jc w:val="center"/>
              <w:rPr>
                <w:lang w:val="en-AU"/>
              </w:rPr>
            </w:pPr>
            <w:r w:rsidRPr="00C34520">
              <w:rPr>
                <w:lang w:val="en-AU"/>
              </w:rPr>
              <w:t>(2+1)</w:t>
            </w:r>
          </w:p>
        </w:tc>
        <w:tc>
          <w:tcPr>
            <w:tcW w:w="938" w:type="pct"/>
            <w:shd w:val="clear" w:color="auto" w:fill="auto"/>
            <w:noWrap/>
            <w:vAlign w:val="center"/>
            <w:hideMark/>
          </w:tcPr>
          <w:p w14:paraId="72F84931" w14:textId="77777777" w:rsidR="00826D3B" w:rsidRPr="00C34520" w:rsidRDefault="00826D3B" w:rsidP="00DE0052">
            <w:pPr>
              <w:pStyle w:val="TableFigureHeading"/>
              <w:jc w:val="center"/>
            </w:pPr>
            <w:r w:rsidRPr="00C34520">
              <w:t>PNEU-PED-EU-2</w:t>
            </w:r>
          </w:p>
          <w:p w14:paraId="3A1CE1A6" w14:textId="77777777" w:rsidR="00826D3B" w:rsidRPr="00C34520" w:rsidRDefault="00826D3B" w:rsidP="00DE0052">
            <w:pPr>
              <w:pStyle w:val="In-tableHeading"/>
              <w:jc w:val="center"/>
              <w:rPr>
                <w:lang w:val="en-AU"/>
              </w:rPr>
            </w:pPr>
            <w:r w:rsidRPr="00C34520">
              <w:rPr>
                <w:lang w:val="en-AU"/>
              </w:rPr>
              <w:t>(2+1)</w:t>
            </w:r>
          </w:p>
        </w:tc>
        <w:tc>
          <w:tcPr>
            <w:tcW w:w="856" w:type="pct"/>
            <w:shd w:val="clear" w:color="auto" w:fill="auto"/>
            <w:noWrap/>
            <w:vAlign w:val="center"/>
            <w:hideMark/>
          </w:tcPr>
          <w:p w14:paraId="01097919" w14:textId="77777777" w:rsidR="00826D3B" w:rsidRPr="00C34520" w:rsidRDefault="00826D3B" w:rsidP="00DE0052">
            <w:pPr>
              <w:pStyle w:val="TableFigureHeading"/>
              <w:jc w:val="center"/>
            </w:pPr>
            <w:r w:rsidRPr="00C34520">
              <w:t>PNEU-PED</w:t>
            </w:r>
          </w:p>
          <w:p w14:paraId="637754C0" w14:textId="77777777" w:rsidR="00826D3B" w:rsidRPr="00C34520" w:rsidRDefault="00826D3B" w:rsidP="00DE0052">
            <w:pPr>
              <w:pStyle w:val="In-tableHeading"/>
              <w:jc w:val="center"/>
              <w:rPr>
                <w:lang w:val="en-AU"/>
              </w:rPr>
            </w:pPr>
            <w:r w:rsidRPr="00C34520">
              <w:rPr>
                <w:lang w:val="en-AU"/>
              </w:rPr>
              <w:t>(3+1)</w:t>
            </w:r>
          </w:p>
        </w:tc>
      </w:tr>
      <w:tr w:rsidR="00826D3B" w:rsidRPr="00C34520" w14:paraId="652C22C9" w14:textId="77777777" w:rsidTr="00667D81">
        <w:trPr>
          <w:trHeight w:val="20"/>
        </w:trPr>
        <w:tc>
          <w:tcPr>
            <w:tcW w:w="5000" w:type="pct"/>
            <w:gridSpan w:val="6"/>
            <w:shd w:val="clear" w:color="auto" w:fill="auto"/>
            <w:noWrap/>
            <w:vAlign w:val="center"/>
          </w:tcPr>
          <w:p w14:paraId="05B0A810" w14:textId="77777777" w:rsidR="00826D3B" w:rsidRPr="00C34520" w:rsidRDefault="00826D3B" w:rsidP="00DE0052">
            <w:pPr>
              <w:pStyle w:val="TableFigureHeading"/>
            </w:pPr>
            <w:r w:rsidRPr="00C34520">
              <w:t>13vPCV</w:t>
            </w:r>
          </w:p>
        </w:tc>
      </w:tr>
      <w:tr w:rsidR="00D132A0" w:rsidRPr="00C34520" w14:paraId="0F54AAD6" w14:textId="77777777" w:rsidTr="00667D81">
        <w:trPr>
          <w:trHeight w:val="20"/>
        </w:trPr>
        <w:tc>
          <w:tcPr>
            <w:tcW w:w="518" w:type="pct"/>
            <w:shd w:val="clear" w:color="auto" w:fill="auto"/>
            <w:hideMark/>
          </w:tcPr>
          <w:p w14:paraId="693F62F7" w14:textId="77777777" w:rsidR="00826D3B" w:rsidRPr="00C34520" w:rsidRDefault="00826D3B" w:rsidP="00DE0052">
            <w:pPr>
              <w:pStyle w:val="TableText0"/>
            </w:pPr>
            <w:r w:rsidRPr="00C34520">
              <w:t>1</w:t>
            </w:r>
          </w:p>
        </w:tc>
        <w:tc>
          <w:tcPr>
            <w:tcW w:w="885" w:type="pct"/>
            <w:shd w:val="clear" w:color="auto" w:fill="auto"/>
          </w:tcPr>
          <w:p w14:paraId="3FC497CA" w14:textId="77777777" w:rsidR="00826D3B" w:rsidRPr="00C34520" w:rsidRDefault="00826D3B" w:rsidP="00DE0052">
            <w:pPr>
              <w:pStyle w:val="TableText0"/>
              <w:jc w:val="center"/>
            </w:pPr>
            <w:r w:rsidRPr="00C34520">
              <w:t>0.67 (0.60, 0.75)</w:t>
            </w:r>
          </w:p>
        </w:tc>
        <w:tc>
          <w:tcPr>
            <w:tcW w:w="854" w:type="pct"/>
            <w:shd w:val="clear" w:color="auto" w:fill="auto"/>
          </w:tcPr>
          <w:p w14:paraId="73FFF619" w14:textId="77777777" w:rsidR="00826D3B" w:rsidRPr="00C34520" w:rsidRDefault="00826D3B" w:rsidP="00DE0052">
            <w:pPr>
              <w:pStyle w:val="TableText0"/>
              <w:jc w:val="center"/>
            </w:pPr>
            <w:r w:rsidRPr="00C34520">
              <w:t>0.69 (0.63, 0.76)</w:t>
            </w:r>
          </w:p>
        </w:tc>
        <w:tc>
          <w:tcPr>
            <w:tcW w:w="948" w:type="pct"/>
            <w:shd w:val="clear" w:color="auto" w:fill="B8CCE4" w:themeFill="accent1" w:themeFillTint="66"/>
          </w:tcPr>
          <w:p w14:paraId="3D91157E" w14:textId="77777777" w:rsidR="00826D3B" w:rsidRPr="00C34520" w:rsidRDefault="00826D3B" w:rsidP="00DE0052">
            <w:pPr>
              <w:pStyle w:val="TableText0"/>
              <w:jc w:val="center"/>
            </w:pPr>
            <w:r w:rsidRPr="00C34520">
              <w:t>0.62 (0.57, 0.68)</w:t>
            </w:r>
          </w:p>
        </w:tc>
        <w:tc>
          <w:tcPr>
            <w:tcW w:w="938" w:type="pct"/>
            <w:shd w:val="clear" w:color="auto" w:fill="B8CCE4" w:themeFill="accent1" w:themeFillTint="66"/>
          </w:tcPr>
          <w:p w14:paraId="01F258B8" w14:textId="77777777" w:rsidR="00826D3B" w:rsidRPr="00C34520" w:rsidRDefault="00826D3B" w:rsidP="00DE0052">
            <w:pPr>
              <w:pStyle w:val="TableText0"/>
              <w:jc w:val="center"/>
            </w:pPr>
            <w:r w:rsidRPr="00C34520">
              <w:t>0.58 (0.54, 0.63)</w:t>
            </w:r>
          </w:p>
        </w:tc>
        <w:tc>
          <w:tcPr>
            <w:tcW w:w="856" w:type="pct"/>
            <w:shd w:val="clear" w:color="auto" w:fill="B8CCE4" w:themeFill="accent1" w:themeFillTint="66"/>
          </w:tcPr>
          <w:p w14:paraId="49424B6F" w14:textId="77777777" w:rsidR="00826D3B" w:rsidRPr="00C34520" w:rsidRDefault="00826D3B" w:rsidP="00DE0052">
            <w:pPr>
              <w:pStyle w:val="TableText0"/>
              <w:jc w:val="center"/>
            </w:pPr>
            <w:r w:rsidRPr="00C34520">
              <w:t>0.66 (0.62, 0.72)</w:t>
            </w:r>
          </w:p>
        </w:tc>
      </w:tr>
      <w:tr w:rsidR="00D132A0" w:rsidRPr="00C34520" w14:paraId="44A2E37B" w14:textId="77777777" w:rsidTr="00667D81">
        <w:trPr>
          <w:trHeight w:val="20"/>
        </w:trPr>
        <w:tc>
          <w:tcPr>
            <w:tcW w:w="518" w:type="pct"/>
            <w:shd w:val="clear" w:color="auto" w:fill="auto"/>
            <w:hideMark/>
          </w:tcPr>
          <w:p w14:paraId="3E2A7F20" w14:textId="77777777" w:rsidR="00826D3B" w:rsidRPr="00C34520" w:rsidRDefault="00826D3B" w:rsidP="00DE0052">
            <w:pPr>
              <w:pStyle w:val="TableText0"/>
            </w:pPr>
            <w:r w:rsidRPr="00C34520">
              <w:t>3</w:t>
            </w:r>
          </w:p>
        </w:tc>
        <w:tc>
          <w:tcPr>
            <w:tcW w:w="885" w:type="pct"/>
            <w:shd w:val="clear" w:color="auto" w:fill="auto"/>
          </w:tcPr>
          <w:p w14:paraId="7F5BCEFB" w14:textId="77777777" w:rsidR="00826D3B" w:rsidRPr="00C34520" w:rsidRDefault="00826D3B" w:rsidP="00DE0052">
            <w:pPr>
              <w:pStyle w:val="TableText0"/>
              <w:jc w:val="center"/>
            </w:pPr>
            <w:r w:rsidRPr="00C34520">
              <w:t>0.66 (0.59, 0.73)</w:t>
            </w:r>
          </w:p>
        </w:tc>
        <w:tc>
          <w:tcPr>
            <w:tcW w:w="854" w:type="pct"/>
            <w:shd w:val="clear" w:color="auto" w:fill="auto"/>
          </w:tcPr>
          <w:p w14:paraId="002063A8" w14:textId="77777777" w:rsidR="00826D3B" w:rsidRPr="00C34520" w:rsidRDefault="00826D3B" w:rsidP="00DE0052">
            <w:pPr>
              <w:pStyle w:val="TableText0"/>
              <w:jc w:val="center"/>
            </w:pPr>
            <w:r w:rsidRPr="00C34520">
              <w:t>0.66 (0.61, 0.73)</w:t>
            </w:r>
          </w:p>
        </w:tc>
        <w:tc>
          <w:tcPr>
            <w:tcW w:w="948" w:type="pct"/>
            <w:shd w:val="clear" w:color="auto" w:fill="B8CCE4" w:themeFill="accent1" w:themeFillTint="66"/>
          </w:tcPr>
          <w:p w14:paraId="759BC9DE" w14:textId="77777777" w:rsidR="00826D3B" w:rsidRPr="00C34520" w:rsidRDefault="00826D3B" w:rsidP="00DE0052">
            <w:pPr>
              <w:pStyle w:val="TableText0"/>
              <w:jc w:val="center"/>
            </w:pPr>
            <w:r w:rsidRPr="00C34520">
              <w:t>1.28 (1.17, 1.39)</w:t>
            </w:r>
          </w:p>
        </w:tc>
        <w:tc>
          <w:tcPr>
            <w:tcW w:w="938" w:type="pct"/>
            <w:shd w:val="clear" w:color="auto" w:fill="B8CCE4" w:themeFill="accent1" w:themeFillTint="66"/>
          </w:tcPr>
          <w:p w14:paraId="749C3F6F" w14:textId="77777777" w:rsidR="00826D3B" w:rsidRPr="00C34520" w:rsidRDefault="00826D3B" w:rsidP="00DE0052">
            <w:pPr>
              <w:pStyle w:val="TableText0"/>
              <w:jc w:val="center"/>
            </w:pPr>
            <w:r w:rsidRPr="00C34520">
              <w:t>1.31 (1.2, 1.43)</w:t>
            </w:r>
          </w:p>
        </w:tc>
        <w:tc>
          <w:tcPr>
            <w:tcW w:w="856" w:type="pct"/>
            <w:shd w:val="clear" w:color="auto" w:fill="B8CCE4" w:themeFill="accent1" w:themeFillTint="66"/>
          </w:tcPr>
          <w:p w14:paraId="293A823B" w14:textId="77777777" w:rsidR="00826D3B" w:rsidRPr="00C34520" w:rsidRDefault="00826D3B" w:rsidP="00DE0052">
            <w:pPr>
              <w:pStyle w:val="TableText0"/>
              <w:jc w:val="center"/>
            </w:pPr>
            <w:r w:rsidRPr="00C34520">
              <w:t>1.35 (1.25, 1.46)</w:t>
            </w:r>
          </w:p>
        </w:tc>
      </w:tr>
      <w:tr w:rsidR="00D132A0" w:rsidRPr="00C34520" w14:paraId="1C89D426" w14:textId="77777777" w:rsidTr="00667D81">
        <w:trPr>
          <w:trHeight w:val="20"/>
        </w:trPr>
        <w:tc>
          <w:tcPr>
            <w:tcW w:w="518" w:type="pct"/>
            <w:shd w:val="clear" w:color="auto" w:fill="auto"/>
            <w:hideMark/>
          </w:tcPr>
          <w:p w14:paraId="37FDBB8D" w14:textId="77777777" w:rsidR="00826D3B" w:rsidRPr="00C34520" w:rsidRDefault="00826D3B" w:rsidP="00DE0052">
            <w:pPr>
              <w:pStyle w:val="TableText0"/>
            </w:pPr>
            <w:r w:rsidRPr="00C34520">
              <w:t>4</w:t>
            </w:r>
          </w:p>
        </w:tc>
        <w:tc>
          <w:tcPr>
            <w:tcW w:w="885" w:type="pct"/>
            <w:shd w:val="clear" w:color="auto" w:fill="auto"/>
          </w:tcPr>
          <w:p w14:paraId="1C10F035" w14:textId="77777777" w:rsidR="00826D3B" w:rsidRPr="00C34520" w:rsidRDefault="00826D3B" w:rsidP="00DE0052">
            <w:pPr>
              <w:pStyle w:val="TableText0"/>
              <w:jc w:val="center"/>
            </w:pPr>
            <w:r w:rsidRPr="00C34520">
              <w:t>0.77 (0.68, 0.87)</w:t>
            </w:r>
          </w:p>
        </w:tc>
        <w:tc>
          <w:tcPr>
            <w:tcW w:w="854" w:type="pct"/>
            <w:shd w:val="clear" w:color="auto" w:fill="auto"/>
          </w:tcPr>
          <w:p w14:paraId="50DBEEE1" w14:textId="77777777" w:rsidR="00826D3B" w:rsidRPr="00C34520" w:rsidRDefault="00826D3B" w:rsidP="00DE0052">
            <w:pPr>
              <w:pStyle w:val="TableText0"/>
              <w:jc w:val="center"/>
            </w:pPr>
            <w:r w:rsidRPr="00C34520">
              <w:t>0.78 (0.70, 0.86)</w:t>
            </w:r>
          </w:p>
        </w:tc>
        <w:tc>
          <w:tcPr>
            <w:tcW w:w="948" w:type="pct"/>
            <w:shd w:val="clear" w:color="auto" w:fill="B8CCE4" w:themeFill="accent1" w:themeFillTint="66"/>
          </w:tcPr>
          <w:p w14:paraId="20680E79" w14:textId="77777777" w:rsidR="00826D3B" w:rsidRPr="00C34520" w:rsidRDefault="00826D3B" w:rsidP="00DE0052">
            <w:pPr>
              <w:pStyle w:val="TableText0"/>
              <w:jc w:val="center"/>
            </w:pPr>
            <w:r w:rsidRPr="00C34520">
              <w:t>0.75 (0.68, 0.82)</w:t>
            </w:r>
          </w:p>
        </w:tc>
        <w:tc>
          <w:tcPr>
            <w:tcW w:w="938" w:type="pct"/>
            <w:shd w:val="clear" w:color="auto" w:fill="B8CCE4" w:themeFill="accent1" w:themeFillTint="66"/>
          </w:tcPr>
          <w:p w14:paraId="52FFFE8A" w14:textId="77777777" w:rsidR="00826D3B" w:rsidRPr="00C34520" w:rsidRDefault="00826D3B" w:rsidP="00DE0052">
            <w:pPr>
              <w:pStyle w:val="TableText0"/>
              <w:jc w:val="center"/>
            </w:pPr>
            <w:r w:rsidRPr="00C34520">
              <w:t>0.7 (0.63, 0.78)</w:t>
            </w:r>
          </w:p>
        </w:tc>
        <w:tc>
          <w:tcPr>
            <w:tcW w:w="856" w:type="pct"/>
            <w:shd w:val="clear" w:color="auto" w:fill="B8CCE4" w:themeFill="accent1" w:themeFillTint="66"/>
          </w:tcPr>
          <w:p w14:paraId="41D4D205" w14:textId="77777777" w:rsidR="00826D3B" w:rsidRPr="00C34520" w:rsidRDefault="00826D3B" w:rsidP="00DE0052">
            <w:pPr>
              <w:pStyle w:val="TableText0"/>
              <w:jc w:val="center"/>
            </w:pPr>
            <w:r w:rsidRPr="00C34520">
              <w:t>0.77 (0.71, 0.84)</w:t>
            </w:r>
          </w:p>
        </w:tc>
      </w:tr>
      <w:tr w:rsidR="00D132A0" w:rsidRPr="00C34520" w14:paraId="02CCF42C" w14:textId="77777777" w:rsidTr="00667D81">
        <w:trPr>
          <w:trHeight w:val="20"/>
        </w:trPr>
        <w:tc>
          <w:tcPr>
            <w:tcW w:w="518" w:type="pct"/>
            <w:shd w:val="clear" w:color="auto" w:fill="auto"/>
            <w:hideMark/>
          </w:tcPr>
          <w:p w14:paraId="6E9C7079" w14:textId="77777777" w:rsidR="00826D3B" w:rsidRPr="00C34520" w:rsidRDefault="00826D3B" w:rsidP="00DE0052">
            <w:pPr>
              <w:pStyle w:val="TableText0"/>
            </w:pPr>
            <w:r w:rsidRPr="00C34520">
              <w:t>5</w:t>
            </w:r>
          </w:p>
        </w:tc>
        <w:tc>
          <w:tcPr>
            <w:tcW w:w="885" w:type="pct"/>
            <w:shd w:val="clear" w:color="auto" w:fill="auto"/>
          </w:tcPr>
          <w:p w14:paraId="0293B46B" w14:textId="77777777" w:rsidR="00826D3B" w:rsidRPr="00C34520" w:rsidRDefault="00826D3B" w:rsidP="00DE0052">
            <w:pPr>
              <w:pStyle w:val="TableText0"/>
              <w:jc w:val="center"/>
            </w:pPr>
            <w:r w:rsidRPr="00C34520">
              <w:t>0.72 (0.64, 0.81)</w:t>
            </w:r>
          </w:p>
        </w:tc>
        <w:tc>
          <w:tcPr>
            <w:tcW w:w="854" w:type="pct"/>
            <w:shd w:val="clear" w:color="auto" w:fill="auto"/>
          </w:tcPr>
          <w:p w14:paraId="777D140E" w14:textId="77777777" w:rsidR="00826D3B" w:rsidRPr="00C34520" w:rsidRDefault="00826D3B" w:rsidP="00DE0052">
            <w:pPr>
              <w:pStyle w:val="TableText0"/>
              <w:jc w:val="center"/>
            </w:pPr>
            <w:r w:rsidRPr="00C34520">
              <w:t>0.74 (0.67, 0.82)</w:t>
            </w:r>
          </w:p>
        </w:tc>
        <w:tc>
          <w:tcPr>
            <w:tcW w:w="948" w:type="pct"/>
            <w:shd w:val="clear" w:color="auto" w:fill="B8CCE4" w:themeFill="accent1" w:themeFillTint="66"/>
          </w:tcPr>
          <w:p w14:paraId="14775D38" w14:textId="77777777" w:rsidR="00826D3B" w:rsidRPr="00C34520" w:rsidRDefault="00826D3B" w:rsidP="00DE0052">
            <w:pPr>
              <w:pStyle w:val="TableText0"/>
              <w:jc w:val="center"/>
            </w:pPr>
            <w:r w:rsidRPr="00C34520">
              <w:t>0.64 (0.59, 0.7)</w:t>
            </w:r>
          </w:p>
        </w:tc>
        <w:tc>
          <w:tcPr>
            <w:tcW w:w="938" w:type="pct"/>
            <w:shd w:val="clear" w:color="auto" w:fill="B8CCE4" w:themeFill="accent1" w:themeFillTint="66"/>
          </w:tcPr>
          <w:p w14:paraId="423FE8C3" w14:textId="77777777" w:rsidR="00826D3B" w:rsidRPr="00C34520" w:rsidRDefault="00826D3B" w:rsidP="00DE0052">
            <w:pPr>
              <w:pStyle w:val="TableText0"/>
              <w:jc w:val="center"/>
            </w:pPr>
            <w:r w:rsidRPr="00C34520">
              <w:t>0.62 (0.56, 0.68)</w:t>
            </w:r>
          </w:p>
        </w:tc>
        <w:tc>
          <w:tcPr>
            <w:tcW w:w="856" w:type="pct"/>
            <w:shd w:val="clear" w:color="auto" w:fill="B8CCE4" w:themeFill="accent1" w:themeFillTint="66"/>
          </w:tcPr>
          <w:p w14:paraId="28D15C41" w14:textId="77777777" w:rsidR="00826D3B" w:rsidRPr="00C34520" w:rsidRDefault="00826D3B" w:rsidP="00DE0052">
            <w:pPr>
              <w:pStyle w:val="TableText0"/>
              <w:jc w:val="center"/>
            </w:pPr>
            <w:r w:rsidRPr="00C34520">
              <w:t>0.63 (0.58, 0.69)</w:t>
            </w:r>
          </w:p>
        </w:tc>
      </w:tr>
      <w:tr w:rsidR="00D132A0" w:rsidRPr="00C34520" w14:paraId="772602E4" w14:textId="77777777" w:rsidTr="00667D81">
        <w:trPr>
          <w:trHeight w:val="20"/>
        </w:trPr>
        <w:tc>
          <w:tcPr>
            <w:tcW w:w="518" w:type="pct"/>
            <w:shd w:val="clear" w:color="auto" w:fill="auto"/>
            <w:hideMark/>
          </w:tcPr>
          <w:p w14:paraId="0BBFE533" w14:textId="77777777" w:rsidR="00826D3B" w:rsidRPr="00C34520" w:rsidRDefault="00826D3B" w:rsidP="00DE0052">
            <w:pPr>
              <w:pStyle w:val="TableText0"/>
            </w:pPr>
            <w:r w:rsidRPr="00C34520">
              <w:t>6A</w:t>
            </w:r>
          </w:p>
        </w:tc>
        <w:tc>
          <w:tcPr>
            <w:tcW w:w="885" w:type="pct"/>
            <w:shd w:val="clear" w:color="auto" w:fill="auto"/>
          </w:tcPr>
          <w:p w14:paraId="5BC88542" w14:textId="77777777" w:rsidR="00826D3B" w:rsidRPr="00C34520" w:rsidRDefault="00826D3B" w:rsidP="00DE0052">
            <w:pPr>
              <w:pStyle w:val="TableText0"/>
              <w:jc w:val="center"/>
            </w:pPr>
            <w:r w:rsidRPr="00C34520">
              <w:t>0.66 (0.57, 0.75)</w:t>
            </w:r>
          </w:p>
        </w:tc>
        <w:tc>
          <w:tcPr>
            <w:tcW w:w="854" w:type="pct"/>
            <w:shd w:val="clear" w:color="auto" w:fill="auto"/>
          </w:tcPr>
          <w:p w14:paraId="36AD1A7F" w14:textId="77777777" w:rsidR="00826D3B" w:rsidRPr="00C34520" w:rsidRDefault="00826D3B" w:rsidP="00DE0052">
            <w:pPr>
              <w:pStyle w:val="TableText0"/>
              <w:jc w:val="center"/>
            </w:pPr>
            <w:r w:rsidRPr="00C34520">
              <w:t>0.77 (0.70, 0.85)</w:t>
            </w:r>
          </w:p>
        </w:tc>
        <w:tc>
          <w:tcPr>
            <w:tcW w:w="948" w:type="pct"/>
            <w:shd w:val="clear" w:color="auto" w:fill="B8CCE4" w:themeFill="accent1" w:themeFillTint="66"/>
          </w:tcPr>
          <w:p w14:paraId="29DE496A" w14:textId="77777777" w:rsidR="00826D3B" w:rsidRPr="00C34520" w:rsidRDefault="00826D3B" w:rsidP="00DE0052">
            <w:pPr>
              <w:pStyle w:val="TableText0"/>
              <w:jc w:val="center"/>
            </w:pPr>
            <w:r w:rsidRPr="00C34520">
              <w:t>0.68 (0.61, 0.76)</w:t>
            </w:r>
          </w:p>
        </w:tc>
        <w:tc>
          <w:tcPr>
            <w:tcW w:w="938" w:type="pct"/>
            <w:shd w:val="clear" w:color="auto" w:fill="B8CCE4" w:themeFill="accent1" w:themeFillTint="66"/>
          </w:tcPr>
          <w:p w14:paraId="4FB321BA" w14:textId="77777777" w:rsidR="00826D3B" w:rsidRPr="00C34520" w:rsidRDefault="00826D3B" w:rsidP="00DE0052">
            <w:pPr>
              <w:pStyle w:val="TableText0"/>
              <w:jc w:val="center"/>
            </w:pPr>
            <w:r w:rsidRPr="00C34520">
              <w:t>0.6 (0.54, 0.67)</w:t>
            </w:r>
          </w:p>
        </w:tc>
        <w:tc>
          <w:tcPr>
            <w:tcW w:w="856" w:type="pct"/>
            <w:shd w:val="clear" w:color="auto" w:fill="B8CCE4" w:themeFill="accent1" w:themeFillTint="66"/>
          </w:tcPr>
          <w:p w14:paraId="2621BB95" w14:textId="77777777" w:rsidR="00826D3B" w:rsidRPr="00C34520" w:rsidRDefault="00826D3B" w:rsidP="00DE0052">
            <w:pPr>
              <w:pStyle w:val="TableText0"/>
              <w:jc w:val="center"/>
            </w:pPr>
            <w:r w:rsidRPr="00C34520">
              <w:t>0.6 (0.54, 0.65)</w:t>
            </w:r>
          </w:p>
        </w:tc>
      </w:tr>
      <w:tr w:rsidR="00D132A0" w:rsidRPr="00C34520" w14:paraId="0CC7D42A" w14:textId="77777777" w:rsidTr="00667D81">
        <w:trPr>
          <w:trHeight w:val="20"/>
        </w:trPr>
        <w:tc>
          <w:tcPr>
            <w:tcW w:w="518" w:type="pct"/>
            <w:shd w:val="clear" w:color="auto" w:fill="auto"/>
            <w:hideMark/>
          </w:tcPr>
          <w:p w14:paraId="0849D4C6" w14:textId="77777777" w:rsidR="00826D3B" w:rsidRPr="00C34520" w:rsidRDefault="00826D3B" w:rsidP="00DE0052">
            <w:pPr>
              <w:pStyle w:val="TableText0"/>
            </w:pPr>
            <w:r w:rsidRPr="00C34520">
              <w:t>6B</w:t>
            </w:r>
          </w:p>
        </w:tc>
        <w:tc>
          <w:tcPr>
            <w:tcW w:w="885" w:type="pct"/>
            <w:shd w:val="clear" w:color="auto" w:fill="FF0000"/>
          </w:tcPr>
          <w:p w14:paraId="137471CB" w14:textId="77777777" w:rsidR="00826D3B" w:rsidRPr="00C34520" w:rsidRDefault="00826D3B" w:rsidP="00DE0052">
            <w:pPr>
              <w:pStyle w:val="TableText0"/>
              <w:jc w:val="center"/>
            </w:pPr>
            <w:r w:rsidRPr="00C34520">
              <w:t>0.57 (0.48, 0.67)</w:t>
            </w:r>
          </w:p>
        </w:tc>
        <w:tc>
          <w:tcPr>
            <w:tcW w:w="854" w:type="pct"/>
            <w:shd w:val="clear" w:color="auto" w:fill="auto"/>
          </w:tcPr>
          <w:p w14:paraId="753E459F" w14:textId="77777777" w:rsidR="00826D3B" w:rsidRPr="00C34520" w:rsidRDefault="00826D3B" w:rsidP="00DE0052">
            <w:pPr>
              <w:pStyle w:val="TableText0"/>
              <w:jc w:val="center"/>
            </w:pPr>
            <w:r w:rsidRPr="00C34520">
              <w:t>0.7 (0.62, 0.79)</w:t>
            </w:r>
          </w:p>
        </w:tc>
        <w:tc>
          <w:tcPr>
            <w:tcW w:w="948" w:type="pct"/>
            <w:shd w:val="clear" w:color="auto" w:fill="B8CCE4" w:themeFill="accent1" w:themeFillTint="66"/>
          </w:tcPr>
          <w:p w14:paraId="7101CC89" w14:textId="77777777" w:rsidR="00826D3B" w:rsidRPr="00C34520" w:rsidRDefault="00826D3B" w:rsidP="00DE0052">
            <w:pPr>
              <w:pStyle w:val="TableText0"/>
              <w:jc w:val="center"/>
            </w:pPr>
            <w:r w:rsidRPr="00C34520">
              <w:t>0.95 (0.85, 1.07)</w:t>
            </w:r>
          </w:p>
        </w:tc>
        <w:tc>
          <w:tcPr>
            <w:tcW w:w="938" w:type="pct"/>
            <w:shd w:val="clear" w:color="auto" w:fill="B8CCE4" w:themeFill="accent1" w:themeFillTint="66"/>
          </w:tcPr>
          <w:p w14:paraId="6D1093A3" w14:textId="77777777" w:rsidR="00826D3B" w:rsidRPr="00C34520" w:rsidRDefault="00826D3B" w:rsidP="00DE0052">
            <w:pPr>
              <w:pStyle w:val="TableText0"/>
              <w:jc w:val="center"/>
            </w:pPr>
            <w:r w:rsidRPr="00C34520">
              <w:t>0.89 (0.79, 1)</w:t>
            </w:r>
          </w:p>
        </w:tc>
        <w:tc>
          <w:tcPr>
            <w:tcW w:w="856" w:type="pct"/>
            <w:shd w:val="clear" w:color="auto" w:fill="B8CCE4" w:themeFill="accent1" w:themeFillTint="66"/>
          </w:tcPr>
          <w:p w14:paraId="2FFCB566" w14:textId="77777777" w:rsidR="00826D3B" w:rsidRPr="00C34520" w:rsidRDefault="00826D3B" w:rsidP="00DE0052">
            <w:pPr>
              <w:pStyle w:val="TableText0"/>
              <w:jc w:val="center"/>
            </w:pPr>
            <w:r w:rsidRPr="00C34520">
              <w:t>0.74 (0.67, 0.81)</w:t>
            </w:r>
          </w:p>
        </w:tc>
      </w:tr>
      <w:tr w:rsidR="00D132A0" w:rsidRPr="00C34520" w14:paraId="28EC107D" w14:textId="77777777" w:rsidTr="00667D81">
        <w:trPr>
          <w:trHeight w:val="20"/>
        </w:trPr>
        <w:tc>
          <w:tcPr>
            <w:tcW w:w="518" w:type="pct"/>
            <w:shd w:val="clear" w:color="auto" w:fill="auto"/>
            <w:hideMark/>
          </w:tcPr>
          <w:p w14:paraId="6922F505" w14:textId="77777777" w:rsidR="00826D3B" w:rsidRPr="00C34520" w:rsidRDefault="00826D3B" w:rsidP="00DE0052">
            <w:pPr>
              <w:pStyle w:val="TableText0"/>
            </w:pPr>
            <w:r w:rsidRPr="00C34520">
              <w:t>7F</w:t>
            </w:r>
          </w:p>
        </w:tc>
        <w:tc>
          <w:tcPr>
            <w:tcW w:w="885" w:type="pct"/>
            <w:shd w:val="clear" w:color="auto" w:fill="auto"/>
          </w:tcPr>
          <w:p w14:paraId="7D1EAFA2" w14:textId="77777777" w:rsidR="00826D3B" w:rsidRPr="00C34520" w:rsidRDefault="00826D3B" w:rsidP="00DE0052">
            <w:pPr>
              <w:pStyle w:val="TableText0"/>
              <w:jc w:val="center"/>
            </w:pPr>
            <w:r w:rsidRPr="00C34520">
              <w:t>0.73 (0.67, 0.80)</w:t>
            </w:r>
          </w:p>
        </w:tc>
        <w:tc>
          <w:tcPr>
            <w:tcW w:w="854" w:type="pct"/>
            <w:shd w:val="clear" w:color="auto" w:fill="auto"/>
          </w:tcPr>
          <w:p w14:paraId="1D44CC7F" w14:textId="77777777" w:rsidR="00826D3B" w:rsidRPr="00C34520" w:rsidRDefault="00826D3B" w:rsidP="00DE0052">
            <w:pPr>
              <w:pStyle w:val="TableText0"/>
              <w:jc w:val="center"/>
            </w:pPr>
            <w:r w:rsidRPr="00C34520">
              <w:t>0.76 (0.70, 0.82)</w:t>
            </w:r>
          </w:p>
        </w:tc>
        <w:tc>
          <w:tcPr>
            <w:tcW w:w="948" w:type="pct"/>
            <w:shd w:val="clear" w:color="auto" w:fill="B8CCE4" w:themeFill="accent1" w:themeFillTint="66"/>
          </w:tcPr>
          <w:p w14:paraId="7365D450" w14:textId="77777777" w:rsidR="00826D3B" w:rsidRPr="00C34520" w:rsidRDefault="00826D3B" w:rsidP="00DE0052">
            <w:pPr>
              <w:pStyle w:val="TableText0"/>
              <w:jc w:val="center"/>
            </w:pPr>
            <w:r w:rsidRPr="00C34520">
              <w:t>0.79 (0.72, 0.85)</w:t>
            </w:r>
          </w:p>
        </w:tc>
        <w:tc>
          <w:tcPr>
            <w:tcW w:w="938" w:type="pct"/>
            <w:shd w:val="clear" w:color="auto" w:fill="B8CCE4" w:themeFill="accent1" w:themeFillTint="66"/>
          </w:tcPr>
          <w:p w14:paraId="248EF966" w14:textId="77777777" w:rsidR="00826D3B" w:rsidRPr="00C34520" w:rsidRDefault="00826D3B" w:rsidP="00DE0052">
            <w:pPr>
              <w:pStyle w:val="TableText0"/>
              <w:jc w:val="center"/>
            </w:pPr>
            <w:r w:rsidRPr="00C34520">
              <w:t>0.74 (0.69, 0.81)</w:t>
            </w:r>
          </w:p>
        </w:tc>
        <w:tc>
          <w:tcPr>
            <w:tcW w:w="856" w:type="pct"/>
            <w:shd w:val="clear" w:color="auto" w:fill="B8CCE4" w:themeFill="accent1" w:themeFillTint="66"/>
          </w:tcPr>
          <w:p w14:paraId="1C028D1B" w14:textId="77777777" w:rsidR="00826D3B" w:rsidRPr="00C34520" w:rsidRDefault="00826D3B" w:rsidP="00DE0052">
            <w:pPr>
              <w:pStyle w:val="TableText0"/>
              <w:jc w:val="center"/>
            </w:pPr>
            <w:r w:rsidRPr="00C34520">
              <w:t>0.7 (0.65, 0.77)</w:t>
            </w:r>
          </w:p>
        </w:tc>
      </w:tr>
      <w:tr w:rsidR="00D132A0" w:rsidRPr="00C34520" w14:paraId="05B56ECF" w14:textId="77777777" w:rsidTr="00667D81">
        <w:trPr>
          <w:trHeight w:val="20"/>
        </w:trPr>
        <w:tc>
          <w:tcPr>
            <w:tcW w:w="518" w:type="pct"/>
            <w:shd w:val="clear" w:color="auto" w:fill="auto"/>
            <w:hideMark/>
          </w:tcPr>
          <w:p w14:paraId="0341506C" w14:textId="77777777" w:rsidR="00826D3B" w:rsidRPr="00C34520" w:rsidRDefault="00826D3B" w:rsidP="00DE0052">
            <w:pPr>
              <w:pStyle w:val="TableText0"/>
            </w:pPr>
            <w:r w:rsidRPr="00C34520">
              <w:t>9V</w:t>
            </w:r>
          </w:p>
        </w:tc>
        <w:tc>
          <w:tcPr>
            <w:tcW w:w="885" w:type="pct"/>
            <w:shd w:val="clear" w:color="auto" w:fill="auto"/>
          </w:tcPr>
          <w:p w14:paraId="7BB6FDDF" w14:textId="77777777" w:rsidR="00826D3B" w:rsidRPr="00C34520" w:rsidRDefault="00826D3B" w:rsidP="00DE0052">
            <w:pPr>
              <w:pStyle w:val="TableText0"/>
              <w:jc w:val="center"/>
            </w:pPr>
            <w:r w:rsidRPr="00C34520">
              <w:t>0.73 (0.66, 0.81)</w:t>
            </w:r>
          </w:p>
        </w:tc>
        <w:tc>
          <w:tcPr>
            <w:tcW w:w="854" w:type="pct"/>
            <w:shd w:val="clear" w:color="auto" w:fill="auto"/>
          </w:tcPr>
          <w:p w14:paraId="36364E86" w14:textId="77777777" w:rsidR="00826D3B" w:rsidRPr="00C34520" w:rsidRDefault="00826D3B" w:rsidP="00DE0052">
            <w:pPr>
              <w:pStyle w:val="TableText0"/>
              <w:jc w:val="center"/>
            </w:pPr>
            <w:r w:rsidRPr="00C34520">
              <w:t>0.8 (0.73, 0.88)</w:t>
            </w:r>
          </w:p>
        </w:tc>
        <w:tc>
          <w:tcPr>
            <w:tcW w:w="948" w:type="pct"/>
            <w:shd w:val="clear" w:color="auto" w:fill="B8CCE4" w:themeFill="accent1" w:themeFillTint="66"/>
          </w:tcPr>
          <w:p w14:paraId="5C6F347C" w14:textId="77777777" w:rsidR="00826D3B" w:rsidRPr="00C34520" w:rsidRDefault="00826D3B" w:rsidP="00DE0052">
            <w:pPr>
              <w:pStyle w:val="TableText0"/>
              <w:jc w:val="center"/>
            </w:pPr>
            <w:r w:rsidRPr="00C34520">
              <w:t>0.72 (0.66, 0.76)</w:t>
            </w:r>
          </w:p>
        </w:tc>
        <w:tc>
          <w:tcPr>
            <w:tcW w:w="938" w:type="pct"/>
            <w:shd w:val="clear" w:color="auto" w:fill="B8CCE4" w:themeFill="accent1" w:themeFillTint="66"/>
          </w:tcPr>
          <w:p w14:paraId="313D4FAA" w14:textId="77777777" w:rsidR="00826D3B" w:rsidRPr="00C34520" w:rsidRDefault="00826D3B" w:rsidP="00DE0052">
            <w:pPr>
              <w:pStyle w:val="TableText0"/>
              <w:jc w:val="center"/>
            </w:pPr>
            <w:r w:rsidRPr="00C34520">
              <w:t>0.7 (0.64, 0.76)</w:t>
            </w:r>
          </w:p>
        </w:tc>
        <w:tc>
          <w:tcPr>
            <w:tcW w:w="856" w:type="pct"/>
            <w:shd w:val="clear" w:color="auto" w:fill="B8CCE4" w:themeFill="accent1" w:themeFillTint="66"/>
          </w:tcPr>
          <w:p w14:paraId="182605B3" w14:textId="77777777" w:rsidR="00826D3B" w:rsidRPr="00C34520" w:rsidRDefault="00826D3B" w:rsidP="00DE0052">
            <w:pPr>
              <w:pStyle w:val="TableText0"/>
              <w:jc w:val="center"/>
            </w:pPr>
            <w:r w:rsidRPr="00C34520">
              <w:t>0.73 (0.67, 0.80)</w:t>
            </w:r>
          </w:p>
        </w:tc>
      </w:tr>
      <w:tr w:rsidR="00D132A0" w:rsidRPr="00C34520" w14:paraId="64A88D46" w14:textId="77777777" w:rsidTr="00667D81">
        <w:trPr>
          <w:trHeight w:val="20"/>
        </w:trPr>
        <w:tc>
          <w:tcPr>
            <w:tcW w:w="518" w:type="pct"/>
            <w:shd w:val="clear" w:color="auto" w:fill="auto"/>
            <w:hideMark/>
          </w:tcPr>
          <w:p w14:paraId="1C68B951" w14:textId="77777777" w:rsidR="00826D3B" w:rsidRPr="00C34520" w:rsidRDefault="00826D3B" w:rsidP="00DE0052">
            <w:pPr>
              <w:pStyle w:val="TableText0"/>
            </w:pPr>
            <w:r w:rsidRPr="00C34520">
              <w:t>14</w:t>
            </w:r>
          </w:p>
        </w:tc>
        <w:tc>
          <w:tcPr>
            <w:tcW w:w="885" w:type="pct"/>
            <w:shd w:val="clear" w:color="auto" w:fill="auto"/>
          </w:tcPr>
          <w:p w14:paraId="789A2227" w14:textId="77777777" w:rsidR="00826D3B" w:rsidRPr="00C34520" w:rsidRDefault="00826D3B" w:rsidP="00DE0052">
            <w:pPr>
              <w:pStyle w:val="TableText0"/>
              <w:jc w:val="center"/>
            </w:pPr>
            <w:r w:rsidRPr="00C34520">
              <w:t>0.8 (0.69, 0.92)</w:t>
            </w:r>
          </w:p>
        </w:tc>
        <w:tc>
          <w:tcPr>
            <w:tcW w:w="854" w:type="pct"/>
            <w:shd w:val="clear" w:color="auto" w:fill="auto"/>
          </w:tcPr>
          <w:p w14:paraId="4C1D282E" w14:textId="77777777" w:rsidR="00826D3B" w:rsidRPr="00C34520" w:rsidRDefault="00826D3B" w:rsidP="00DE0052">
            <w:pPr>
              <w:pStyle w:val="TableText0"/>
              <w:jc w:val="center"/>
            </w:pPr>
            <w:r w:rsidRPr="00C34520">
              <w:t>0.9 (0.81, 1.00)</w:t>
            </w:r>
          </w:p>
        </w:tc>
        <w:tc>
          <w:tcPr>
            <w:tcW w:w="948" w:type="pct"/>
            <w:shd w:val="clear" w:color="auto" w:fill="B8CCE4" w:themeFill="accent1" w:themeFillTint="66"/>
          </w:tcPr>
          <w:p w14:paraId="159B49DA" w14:textId="77777777" w:rsidR="00826D3B" w:rsidRPr="00C34520" w:rsidRDefault="00826D3B" w:rsidP="00DE0052">
            <w:pPr>
              <w:pStyle w:val="TableText0"/>
              <w:jc w:val="center"/>
            </w:pPr>
            <w:r w:rsidRPr="00C34520">
              <w:t>0.75 (0.67, 0.83)</w:t>
            </w:r>
          </w:p>
        </w:tc>
        <w:tc>
          <w:tcPr>
            <w:tcW w:w="938" w:type="pct"/>
            <w:shd w:val="clear" w:color="auto" w:fill="B8CCE4" w:themeFill="accent1" w:themeFillTint="66"/>
          </w:tcPr>
          <w:p w14:paraId="016CDB35" w14:textId="77777777" w:rsidR="00826D3B" w:rsidRPr="00C34520" w:rsidRDefault="00826D3B" w:rsidP="00DE0052">
            <w:pPr>
              <w:pStyle w:val="TableText0"/>
              <w:jc w:val="center"/>
            </w:pPr>
            <w:r w:rsidRPr="00C34520">
              <w:t>0.78 (0.7, 0.87)</w:t>
            </w:r>
          </w:p>
        </w:tc>
        <w:tc>
          <w:tcPr>
            <w:tcW w:w="856" w:type="pct"/>
            <w:shd w:val="clear" w:color="auto" w:fill="B8CCE4" w:themeFill="accent1" w:themeFillTint="66"/>
          </w:tcPr>
          <w:p w14:paraId="48223DC5" w14:textId="77777777" w:rsidR="00826D3B" w:rsidRPr="00C34520" w:rsidRDefault="00826D3B" w:rsidP="00DE0052">
            <w:pPr>
              <w:pStyle w:val="TableText0"/>
              <w:jc w:val="center"/>
            </w:pPr>
            <w:r w:rsidRPr="00C34520">
              <w:t>0.81 (0.73, 0.89)</w:t>
            </w:r>
          </w:p>
        </w:tc>
      </w:tr>
      <w:tr w:rsidR="00D132A0" w:rsidRPr="00C34520" w14:paraId="183D3593" w14:textId="77777777" w:rsidTr="00667D81">
        <w:trPr>
          <w:trHeight w:val="20"/>
        </w:trPr>
        <w:tc>
          <w:tcPr>
            <w:tcW w:w="518" w:type="pct"/>
            <w:shd w:val="clear" w:color="auto" w:fill="auto"/>
            <w:hideMark/>
          </w:tcPr>
          <w:p w14:paraId="3140B283" w14:textId="77777777" w:rsidR="00826D3B" w:rsidRPr="00C34520" w:rsidRDefault="00826D3B" w:rsidP="00DE0052">
            <w:pPr>
              <w:pStyle w:val="TableText0"/>
            </w:pPr>
            <w:r w:rsidRPr="00C34520">
              <w:t>18C</w:t>
            </w:r>
          </w:p>
        </w:tc>
        <w:tc>
          <w:tcPr>
            <w:tcW w:w="885" w:type="pct"/>
            <w:shd w:val="clear" w:color="auto" w:fill="auto"/>
          </w:tcPr>
          <w:p w14:paraId="1A0D1DA4" w14:textId="77777777" w:rsidR="00826D3B" w:rsidRPr="00C34520" w:rsidRDefault="00826D3B" w:rsidP="00DE0052">
            <w:pPr>
              <w:pStyle w:val="TableText0"/>
              <w:jc w:val="center"/>
            </w:pPr>
            <w:r w:rsidRPr="00C34520">
              <w:t>0.75 (0.67, 0.84)</w:t>
            </w:r>
          </w:p>
        </w:tc>
        <w:tc>
          <w:tcPr>
            <w:tcW w:w="854" w:type="pct"/>
            <w:shd w:val="clear" w:color="auto" w:fill="auto"/>
          </w:tcPr>
          <w:p w14:paraId="0436CC16" w14:textId="77777777" w:rsidR="00826D3B" w:rsidRPr="00C34520" w:rsidRDefault="00826D3B" w:rsidP="00DE0052">
            <w:pPr>
              <w:pStyle w:val="TableText0"/>
              <w:jc w:val="center"/>
            </w:pPr>
            <w:r w:rsidRPr="00C34520">
              <w:t>0.74 (0.67, 0.82)</w:t>
            </w:r>
          </w:p>
        </w:tc>
        <w:tc>
          <w:tcPr>
            <w:tcW w:w="948" w:type="pct"/>
            <w:shd w:val="clear" w:color="auto" w:fill="B8CCE4" w:themeFill="accent1" w:themeFillTint="66"/>
          </w:tcPr>
          <w:p w14:paraId="4540219D" w14:textId="77777777" w:rsidR="00826D3B" w:rsidRPr="00C34520" w:rsidRDefault="00826D3B" w:rsidP="00DE0052">
            <w:pPr>
              <w:pStyle w:val="TableText0"/>
              <w:jc w:val="center"/>
            </w:pPr>
            <w:r w:rsidRPr="00C34520">
              <w:t>0.88 (0.8, 0.95)</w:t>
            </w:r>
          </w:p>
        </w:tc>
        <w:tc>
          <w:tcPr>
            <w:tcW w:w="938" w:type="pct"/>
            <w:shd w:val="clear" w:color="auto" w:fill="B8CCE4" w:themeFill="accent1" w:themeFillTint="66"/>
          </w:tcPr>
          <w:p w14:paraId="485651A9" w14:textId="77777777" w:rsidR="00826D3B" w:rsidRPr="00C34520" w:rsidRDefault="00826D3B" w:rsidP="00DE0052">
            <w:pPr>
              <w:pStyle w:val="TableText0"/>
              <w:jc w:val="center"/>
            </w:pPr>
            <w:r w:rsidRPr="00C34520">
              <w:t>0.85 (0.77, 0.92)</w:t>
            </w:r>
          </w:p>
        </w:tc>
        <w:tc>
          <w:tcPr>
            <w:tcW w:w="856" w:type="pct"/>
            <w:shd w:val="clear" w:color="auto" w:fill="B8CCE4" w:themeFill="accent1" w:themeFillTint="66"/>
          </w:tcPr>
          <w:p w14:paraId="3287A121" w14:textId="77777777" w:rsidR="00826D3B" w:rsidRPr="00C34520" w:rsidRDefault="00826D3B" w:rsidP="00DE0052">
            <w:pPr>
              <w:pStyle w:val="TableText0"/>
              <w:jc w:val="center"/>
            </w:pPr>
            <w:r w:rsidRPr="00C34520">
              <w:t>0.85 (0.78, 0.93)</w:t>
            </w:r>
          </w:p>
        </w:tc>
      </w:tr>
      <w:tr w:rsidR="00D132A0" w:rsidRPr="00C34520" w14:paraId="43B3F98F" w14:textId="77777777" w:rsidTr="00667D81">
        <w:trPr>
          <w:trHeight w:val="20"/>
        </w:trPr>
        <w:tc>
          <w:tcPr>
            <w:tcW w:w="518" w:type="pct"/>
            <w:shd w:val="clear" w:color="auto" w:fill="auto"/>
            <w:hideMark/>
          </w:tcPr>
          <w:p w14:paraId="7F3CFFEC" w14:textId="77777777" w:rsidR="00826D3B" w:rsidRPr="00C34520" w:rsidRDefault="00826D3B" w:rsidP="00DE0052">
            <w:pPr>
              <w:pStyle w:val="TableText0"/>
            </w:pPr>
            <w:r w:rsidRPr="00C34520">
              <w:t>19A</w:t>
            </w:r>
          </w:p>
        </w:tc>
        <w:tc>
          <w:tcPr>
            <w:tcW w:w="885" w:type="pct"/>
            <w:shd w:val="clear" w:color="auto" w:fill="auto"/>
          </w:tcPr>
          <w:p w14:paraId="6232F16D" w14:textId="77777777" w:rsidR="00826D3B" w:rsidRPr="00C34520" w:rsidRDefault="00826D3B" w:rsidP="00DE0052">
            <w:pPr>
              <w:pStyle w:val="TableText0"/>
              <w:jc w:val="center"/>
            </w:pPr>
            <w:r w:rsidRPr="00C34520">
              <w:t>0.82 (0.72, 0.93)</w:t>
            </w:r>
          </w:p>
        </w:tc>
        <w:tc>
          <w:tcPr>
            <w:tcW w:w="854" w:type="pct"/>
            <w:shd w:val="clear" w:color="auto" w:fill="auto"/>
          </w:tcPr>
          <w:p w14:paraId="5764C3A1" w14:textId="77777777" w:rsidR="00826D3B" w:rsidRPr="00C34520" w:rsidRDefault="00826D3B" w:rsidP="00DE0052">
            <w:pPr>
              <w:pStyle w:val="TableText0"/>
              <w:jc w:val="center"/>
            </w:pPr>
            <w:r w:rsidRPr="00C34520">
              <w:t>0.85 (0.77, 0.94)</w:t>
            </w:r>
          </w:p>
        </w:tc>
        <w:tc>
          <w:tcPr>
            <w:tcW w:w="948" w:type="pct"/>
            <w:shd w:val="clear" w:color="auto" w:fill="B8CCE4" w:themeFill="accent1" w:themeFillTint="66"/>
          </w:tcPr>
          <w:p w14:paraId="4FB1D9F2" w14:textId="77777777" w:rsidR="00826D3B" w:rsidRPr="00C34520" w:rsidRDefault="00826D3B" w:rsidP="00DE0052">
            <w:pPr>
              <w:pStyle w:val="TableText0"/>
              <w:jc w:val="center"/>
            </w:pPr>
            <w:r w:rsidRPr="00C34520">
              <w:t>0.83 (0.75, 0.91)</w:t>
            </w:r>
          </w:p>
        </w:tc>
        <w:tc>
          <w:tcPr>
            <w:tcW w:w="938" w:type="pct"/>
            <w:shd w:val="clear" w:color="auto" w:fill="B8CCE4" w:themeFill="accent1" w:themeFillTint="66"/>
          </w:tcPr>
          <w:p w14:paraId="7502E650" w14:textId="77777777" w:rsidR="00826D3B" w:rsidRPr="00C34520" w:rsidRDefault="00826D3B" w:rsidP="00DE0052">
            <w:pPr>
              <w:pStyle w:val="TableText0"/>
              <w:jc w:val="center"/>
            </w:pPr>
            <w:r w:rsidRPr="00C34520">
              <w:t>0.74 (0.68, 0.82)</w:t>
            </w:r>
          </w:p>
        </w:tc>
        <w:tc>
          <w:tcPr>
            <w:tcW w:w="856" w:type="pct"/>
            <w:shd w:val="clear" w:color="auto" w:fill="B8CCE4" w:themeFill="accent1" w:themeFillTint="66"/>
          </w:tcPr>
          <w:p w14:paraId="0B4A7D42" w14:textId="77777777" w:rsidR="00826D3B" w:rsidRPr="00C34520" w:rsidRDefault="00826D3B" w:rsidP="00DE0052">
            <w:pPr>
              <w:pStyle w:val="TableText0"/>
              <w:jc w:val="center"/>
            </w:pPr>
            <w:r w:rsidRPr="00C34520">
              <w:t>0.74 (0.68, 0.80)</w:t>
            </w:r>
          </w:p>
        </w:tc>
      </w:tr>
      <w:tr w:rsidR="00D132A0" w:rsidRPr="00C34520" w14:paraId="4835DE12" w14:textId="77777777" w:rsidTr="00667D81">
        <w:trPr>
          <w:trHeight w:val="20"/>
        </w:trPr>
        <w:tc>
          <w:tcPr>
            <w:tcW w:w="518" w:type="pct"/>
            <w:shd w:val="clear" w:color="auto" w:fill="auto"/>
            <w:hideMark/>
          </w:tcPr>
          <w:p w14:paraId="6A79BFB5" w14:textId="77777777" w:rsidR="00826D3B" w:rsidRPr="00C34520" w:rsidRDefault="00826D3B" w:rsidP="00DE0052">
            <w:pPr>
              <w:pStyle w:val="TableText0"/>
            </w:pPr>
            <w:r w:rsidRPr="00C34520">
              <w:t>19F</w:t>
            </w:r>
          </w:p>
        </w:tc>
        <w:tc>
          <w:tcPr>
            <w:tcW w:w="885" w:type="pct"/>
            <w:shd w:val="clear" w:color="auto" w:fill="auto"/>
          </w:tcPr>
          <w:p w14:paraId="5BBC7E02" w14:textId="77777777" w:rsidR="00826D3B" w:rsidRPr="00C34520" w:rsidRDefault="00826D3B" w:rsidP="00DE0052">
            <w:pPr>
              <w:pStyle w:val="TableText0"/>
              <w:jc w:val="center"/>
            </w:pPr>
            <w:r w:rsidRPr="00C34520">
              <w:t>0.77 (0.68, 0.87)</w:t>
            </w:r>
          </w:p>
        </w:tc>
        <w:tc>
          <w:tcPr>
            <w:tcW w:w="854" w:type="pct"/>
            <w:shd w:val="clear" w:color="auto" w:fill="auto"/>
          </w:tcPr>
          <w:p w14:paraId="693B0B36" w14:textId="77777777" w:rsidR="00826D3B" w:rsidRPr="00C34520" w:rsidRDefault="00826D3B" w:rsidP="00DE0052">
            <w:pPr>
              <w:pStyle w:val="TableText0"/>
              <w:jc w:val="center"/>
            </w:pPr>
            <w:r w:rsidRPr="00C34520">
              <w:t>0.86 (0.78, 0.96)</w:t>
            </w:r>
          </w:p>
        </w:tc>
        <w:tc>
          <w:tcPr>
            <w:tcW w:w="948" w:type="pct"/>
            <w:shd w:val="clear" w:color="auto" w:fill="B8CCE4" w:themeFill="accent1" w:themeFillTint="66"/>
          </w:tcPr>
          <w:p w14:paraId="1929F375" w14:textId="77777777" w:rsidR="00826D3B" w:rsidRPr="00C34520" w:rsidRDefault="00826D3B" w:rsidP="00DE0052">
            <w:pPr>
              <w:pStyle w:val="TableText0"/>
              <w:jc w:val="center"/>
            </w:pPr>
            <w:r w:rsidRPr="00C34520">
              <w:t>0.88 (0.8, 0.97)</w:t>
            </w:r>
          </w:p>
        </w:tc>
        <w:tc>
          <w:tcPr>
            <w:tcW w:w="938" w:type="pct"/>
            <w:shd w:val="clear" w:color="auto" w:fill="B8CCE4" w:themeFill="accent1" w:themeFillTint="66"/>
          </w:tcPr>
          <w:p w14:paraId="796D8500" w14:textId="77777777" w:rsidR="00826D3B" w:rsidRPr="00C34520" w:rsidRDefault="00826D3B" w:rsidP="00DE0052">
            <w:pPr>
              <w:pStyle w:val="TableText0"/>
              <w:jc w:val="center"/>
            </w:pPr>
            <w:r w:rsidRPr="00C34520">
              <w:t>0.79 (0.72, 0.87)</w:t>
            </w:r>
          </w:p>
        </w:tc>
        <w:tc>
          <w:tcPr>
            <w:tcW w:w="856" w:type="pct"/>
            <w:shd w:val="clear" w:color="auto" w:fill="B8CCE4" w:themeFill="accent1" w:themeFillTint="66"/>
          </w:tcPr>
          <w:p w14:paraId="7994455C" w14:textId="77777777" w:rsidR="00826D3B" w:rsidRPr="00C34520" w:rsidRDefault="00826D3B" w:rsidP="00DE0052">
            <w:pPr>
              <w:pStyle w:val="TableText0"/>
              <w:jc w:val="center"/>
            </w:pPr>
            <w:r w:rsidRPr="00C34520">
              <w:t>0.79 (0.74, 0.86)</w:t>
            </w:r>
          </w:p>
        </w:tc>
      </w:tr>
      <w:tr w:rsidR="00D132A0" w:rsidRPr="00C34520" w14:paraId="4CB84F26" w14:textId="77777777" w:rsidTr="00667D81">
        <w:trPr>
          <w:trHeight w:val="20"/>
        </w:trPr>
        <w:tc>
          <w:tcPr>
            <w:tcW w:w="518" w:type="pct"/>
            <w:shd w:val="clear" w:color="auto" w:fill="auto"/>
            <w:hideMark/>
          </w:tcPr>
          <w:p w14:paraId="559537EC" w14:textId="77777777" w:rsidR="00826D3B" w:rsidRPr="00C34520" w:rsidRDefault="00826D3B" w:rsidP="00DE0052">
            <w:pPr>
              <w:pStyle w:val="TableText0"/>
            </w:pPr>
            <w:r w:rsidRPr="00C34520">
              <w:t>23F</w:t>
            </w:r>
          </w:p>
        </w:tc>
        <w:tc>
          <w:tcPr>
            <w:tcW w:w="885" w:type="pct"/>
            <w:shd w:val="clear" w:color="auto" w:fill="auto"/>
          </w:tcPr>
          <w:p w14:paraId="588F3B57" w14:textId="77777777" w:rsidR="00826D3B" w:rsidRPr="00C34520" w:rsidRDefault="00826D3B" w:rsidP="00DE0052">
            <w:pPr>
              <w:pStyle w:val="TableText0"/>
              <w:jc w:val="center"/>
            </w:pPr>
            <w:r w:rsidRPr="00C34520">
              <w:t>0.6 (0.52, 0.69)</w:t>
            </w:r>
          </w:p>
        </w:tc>
        <w:tc>
          <w:tcPr>
            <w:tcW w:w="854" w:type="pct"/>
            <w:shd w:val="clear" w:color="auto" w:fill="auto"/>
          </w:tcPr>
          <w:p w14:paraId="09E453F2" w14:textId="77777777" w:rsidR="00826D3B" w:rsidRPr="00C34520" w:rsidRDefault="00826D3B" w:rsidP="00DE0052">
            <w:pPr>
              <w:pStyle w:val="TableText0"/>
              <w:jc w:val="center"/>
            </w:pPr>
            <w:r w:rsidRPr="00C34520">
              <w:t>0.64 (0.57, 0.72)</w:t>
            </w:r>
          </w:p>
        </w:tc>
        <w:tc>
          <w:tcPr>
            <w:tcW w:w="948" w:type="pct"/>
            <w:shd w:val="clear" w:color="auto" w:fill="B8CCE4" w:themeFill="accent1" w:themeFillTint="66"/>
          </w:tcPr>
          <w:p w14:paraId="17752E81" w14:textId="77777777" w:rsidR="00826D3B" w:rsidRPr="00C34520" w:rsidRDefault="00826D3B" w:rsidP="00DE0052">
            <w:pPr>
              <w:pStyle w:val="TableText0"/>
              <w:jc w:val="center"/>
            </w:pPr>
            <w:r w:rsidRPr="00C34520">
              <w:t>0.87 (0.79, 0.97)</w:t>
            </w:r>
          </w:p>
        </w:tc>
        <w:tc>
          <w:tcPr>
            <w:tcW w:w="938" w:type="pct"/>
            <w:shd w:val="clear" w:color="auto" w:fill="B8CCE4" w:themeFill="accent1" w:themeFillTint="66"/>
          </w:tcPr>
          <w:p w14:paraId="0585B833" w14:textId="77777777" w:rsidR="00826D3B" w:rsidRPr="00C34520" w:rsidRDefault="00826D3B" w:rsidP="00DE0052">
            <w:pPr>
              <w:pStyle w:val="TableText0"/>
              <w:jc w:val="center"/>
            </w:pPr>
            <w:r w:rsidRPr="00C34520">
              <w:t>0.9 (0.81, 1)</w:t>
            </w:r>
          </w:p>
        </w:tc>
        <w:tc>
          <w:tcPr>
            <w:tcW w:w="856" w:type="pct"/>
            <w:shd w:val="clear" w:color="auto" w:fill="B8CCE4" w:themeFill="accent1" w:themeFillTint="66"/>
          </w:tcPr>
          <w:p w14:paraId="75F82BE1" w14:textId="77777777" w:rsidR="00826D3B" w:rsidRPr="00C34520" w:rsidRDefault="00826D3B" w:rsidP="00DE0052">
            <w:pPr>
              <w:pStyle w:val="TableText0"/>
              <w:jc w:val="center"/>
            </w:pPr>
            <w:r w:rsidRPr="00C34520">
              <w:t>0.61 (0.56, 0.68)</w:t>
            </w:r>
          </w:p>
        </w:tc>
      </w:tr>
      <w:tr w:rsidR="00826D3B" w:rsidRPr="00C34520" w14:paraId="70F79856" w14:textId="77777777" w:rsidTr="00667D81">
        <w:trPr>
          <w:trHeight w:val="20"/>
        </w:trPr>
        <w:tc>
          <w:tcPr>
            <w:tcW w:w="5000" w:type="pct"/>
            <w:gridSpan w:val="6"/>
            <w:shd w:val="clear" w:color="auto" w:fill="auto"/>
          </w:tcPr>
          <w:p w14:paraId="55C13ABF" w14:textId="77777777" w:rsidR="00826D3B" w:rsidRPr="00C34520" w:rsidRDefault="00826D3B" w:rsidP="00DE0052">
            <w:pPr>
              <w:pStyle w:val="In-tableHeading"/>
              <w:rPr>
                <w:lang w:val="en-AU"/>
              </w:rPr>
            </w:pPr>
            <w:r w:rsidRPr="00C34520">
              <w:rPr>
                <w:lang w:val="en-AU"/>
              </w:rPr>
              <w:t>Additional</w:t>
            </w:r>
          </w:p>
        </w:tc>
      </w:tr>
      <w:tr w:rsidR="00826D3B" w:rsidRPr="00C34520" w14:paraId="19667E88" w14:textId="77777777" w:rsidTr="00667D81">
        <w:trPr>
          <w:trHeight w:val="20"/>
        </w:trPr>
        <w:tc>
          <w:tcPr>
            <w:tcW w:w="518" w:type="pct"/>
            <w:shd w:val="clear" w:color="auto" w:fill="auto"/>
            <w:hideMark/>
          </w:tcPr>
          <w:p w14:paraId="659C0B1C" w14:textId="77777777" w:rsidR="00826D3B" w:rsidRPr="00C34520" w:rsidRDefault="00826D3B" w:rsidP="00DE0052">
            <w:pPr>
              <w:pStyle w:val="TableText0"/>
            </w:pPr>
            <w:r w:rsidRPr="00C34520">
              <w:t>8</w:t>
            </w:r>
          </w:p>
        </w:tc>
        <w:tc>
          <w:tcPr>
            <w:tcW w:w="885" w:type="pct"/>
            <w:shd w:val="clear" w:color="auto" w:fill="auto"/>
          </w:tcPr>
          <w:p w14:paraId="2E63125B" w14:textId="77777777" w:rsidR="00826D3B" w:rsidRPr="00C34520" w:rsidRDefault="00826D3B" w:rsidP="00DE0052">
            <w:pPr>
              <w:pStyle w:val="TableText0"/>
              <w:jc w:val="center"/>
            </w:pPr>
            <w:r w:rsidRPr="00C34520">
              <w:t>1.48 (1.32, 1.66)</w:t>
            </w:r>
          </w:p>
        </w:tc>
        <w:tc>
          <w:tcPr>
            <w:tcW w:w="854" w:type="pct"/>
            <w:shd w:val="clear" w:color="auto" w:fill="auto"/>
          </w:tcPr>
          <w:p w14:paraId="29C3F717" w14:textId="77777777" w:rsidR="00826D3B" w:rsidRPr="00C34520" w:rsidRDefault="00826D3B" w:rsidP="00DE0052">
            <w:pPr>
              <w:pStyle w:val="TableText0"/>
              <w:jc w:val="center"/>
            </w:pPr>
            <w:r w:rsidRPr="00C34520">
              <w:t>1.87 (1.71, 2.06)</w:t>
            </w:r>
          </w:p>
        </w:tc>
        <w:tc>
          <w:tcPr>
            <w:tcW w:w="2743" w:type="pct"/>
            <w:gridSpan w:val="3"/>
            <w:vMerge w:val="restart"/>
            <w:shd w:val="clear" w:color="auto" w:fill="auto"/>
            <w:vAlign w:val="center"/>
          </w:tcPr>
          <w:p w14:paraId="5DEAF283" w14:textId="77777777" w:rsidR="00826D3B" w:rsidRPr="00C34520" w:rsidRDefault="00826D3B" w:rsidP="00DE0052">
            <w:pPr>
              <w:pStyle w:val="TableText0"/>
              <w:jc w:val="center"/>
            </w:pPr>
            <w:r w:rsidRPr="00C34520">
              <w:t>Not applicable</w:t>
            </w:r>
          </w:p>
        </w:tc>
      </w:tr>
      <w:tr w:rsidR="00826D3B" w:rsidRPr="00C34520" w14:paraId="303A3CF7" w14:textId="77777777" w:rsidTr="00667D81">
        <w:trPr>
          <w:trHeight w:val="20"/>
        </w:trPr>
        <w:tc>
          <w:tcPr>
            <w:tcW w:w="518" w:type="pct"/>
            <w:shd w:val="clear" w:color="auto" w:fill="auto"/>
            <w:hideMark/>
          </w:tcPr>
          <w:p w14:paraId="0C10F350" w14:textId="77777777" w:rsidR="00826D3B" w:rsidRPr="00C34520" w:rsidRDefault="00826D3B" w:rsidP="00DE0052">
            <w:pPr>
              <w:pStyle w:val="TableText0"/>
            </w:pPr>
            <w:r w:rsidRPr="00C34520">
              <w:t>10A</w:t>
            </w:r>
          </w:p>
        </w:tc>
        <w:tc>
          <w:tcPr>
            <w:tcW w:w="885" w:type="pct"/>
            <w:shd w:val="clear" w:color="auto" w:fill="auto"/>
          </w:tcPr>
          <w:p w14:paraId="0152F79E" w14:textId="77777777" w:rsidR="00826D3B" w:rsidRPr="00C34520" w:rsidRDefault="00826D3B" w:rsidP="00DE0052">
            <w:pPr>
              <w:pStyle w:val="TableText0"/>
              <w:jc w:val="center"/>
            </w:pPr>
            <w:r w:rsidRPr="00C34520">
              <w:t>2.02 (1.77, 2.30)</w:t>
            </w:r>
          </w:p>
        </w:tc>
        <w:tc>
          <w:tcPr>
            <w:tcW w:w="854" w:type="pct"/>
            <w:shd w:val="clear" w:color="auto" w:fill="D6E3BC" w:themeFill="accent3" w:themeFillTint="66"/>
          </w:tcPr>
          <w:p w14:paraId="66F21AAC" w14:textId="77777777" w:rsidR="00826D3B" w:rsidRPr="00C34520" w:rsidRDefault="00826D3B" w:rsidP="00DE0052">
            <w:pPr>
              <w:pStyle w:val="TableText0"/>
              <w:jc w:val="center"/>
            </w:pPr>
            <w:r w:rsidRPr="00C34520">
              <w:t>2.94 (2.64, 3.26)</w:t>
            </w:r>
          </w:p>
        </w:tc>
        <w:tc>
          <w:tcPr>
            <w:tcW w:w="2743" w:type="pct"/>
            <w:gridSpan w:val="3"/>
            <w:vMerge/>
            <w:shd w:val="clear" w:color="auto" w:fill="auto"/>
          </w:tcPr>
          <w:p w14:paraId="70F6341D" w14:textId="77777777" w:rsidR="00826D3B" w:rsidRPr="00C34520" w:rsidRDefault="00826D3B" w:rsidP="00DE0052">
            <w:pPr>
              <w:pStyle w:val="TableText0"/>
            </w:pPr>
          </w:p>
        </w:tc>
      </w:tr>
      <w:tr w:rsidR="00826D3B" w:rsidRPr="00C34520" w14:paraId="73CE534D" w14:textId="77777777" w:rsidTr="00667D81">
        <w:trPr>
          <w:trHeight w:val="20"/>
        </w:trPr>
        <w:tc>
          <w:tcPr>
            <w:tcW w:w="518" w:type="pct"/>
            <w:shd w:val="clear" w:color="auto" w:fill="auto"/>
            <w:hideMark/>
          </w:tcPr>
          <w:p w14:paraId="45419018" w14:textId="77777777" w:rsidR="00826D3B" w:rsidRPr="00C34520" w:rsidRDefault="00826D3B" w:rsidP="00DE0052">
            <w:pPr>
              <w:pStyle w:val="TableText0"/>
            </w:pPr>
            <w:r w:rsidRPr="00C34520">
              <w:t>11A</w:t>
            </w:r>
          </w:p>
        </w:tc>
        <w:tc>
          <w:tcPr>
            <w:tcW w:w="885" w:type="pct"/>
            <w:shd w:val="clear" w:color="auto" w:fill="auto"/>
          </w:tcPr>
          <w:p w14:paraId="7F41C3AE" w14:textId="77777777" w:rsidR="00826D3B" w:rsidRPr="00C34520" w:rsidRDefault="00826D3B" w:rsidP="00DE0052">
            <w:pPr>
              <w:pStyle w:val="TableText0"/>
              <w:jc w:val="center"/>
            </w:pPr>
            <w:r w:rsidRPr="00C34520">
              <w:t>1.55 (1.37, 1.75)</w:t>
            </w:r>
          </w:p>
        </w:tc>
        <w:tc>
          <w:tcPr>
            <w:tcW w:w="854" w:type="pct"/>
            <w:shd w:val="clear" w:color="auto" w:fill="auto"/>
          </w:tcPr>
          <w:p w14:paraId="18FCD7AF" w14:textId="77777777" w:rsidR="00826D3B" w:rsidRPr="00C34520" w:rsidRDefault="00826D3B" w:rsidP="00DE0052">
            <w:pPr>
              <w:pStyle w:val="TableText0"/>
              <w:jc w:val="center"/>
            </w:pPr>
            <w:r w:rsidRPr="00C34520">
              <w:t>1.67 (1.51, 1.84)</w:t>
            </w:r>
          </w:p>
        </w:tc>
        <w:tc>
          <w:tcPr>
            <w:tcW w:w="2743" w:type="pct"/>
            <w:gridSpan w:val="3"/>
            <w:vMerge/>
            <w:shd w:val="clear" w:color="auto" w:fill="auto"/>
          </w:tcPr>
          <w:p w14:paraId="36EB1696" w14:textId="77777777" w:rsidR="00826D3B" w:rsidRPr="00C34520" w:rsidRDefault="00826D3B" w:rsidP="00DE0052">
            <w:pPr>
              <w:pStyle w:val="TableText0"/>
            </w:pPr>
          </w:p>
        </w:tc>
      </w:tr>
      <w:tr w:rsidR="00826D3B" w:rsidRPr="00C34520" w14:paraId="53184FAF" w14:textId="77777777" w:rsidTr="00667D81">
        <w:trPr>
          <w:trHeight w:val="20"/>
        </w:trPr>
        <w:tc>
          <w:tcPr>
            <w:tcW w:w="518" w:type="pct"/>
            <w:shd w:val="clear" w:color="auto" w:fill="auto"/>
            <w:hideMark/>
          </w:tcPr>
          <w:p w14:paraId="4D5EB6DE" w14:textId="77777777" w:rsidR="00826D3B" w:rsidRPr="00C34520" w:rsidRDefault="00826D3B" w:rsidP="00DE0052">
            <w:pPr>
              <w:pStyle w:val="TableText0"/>
            </w:pPr>
            <w:r w:rsidRPr="00C34520">
              <w:t>12F</w:t>
            </w:r>
          </w:p>
        </w:tc>
        <w:tc>
          <w:tcPr>
            <w:tcW w:w="885" w:type="pct"/>
            <w:shd w:val="clear" w:color="auto" w:fill="auto"/>
          </w:tcPr>
          <w:p w14:paraId="459A5344" w14:textId="77777777" w:rsidR="00826D3B" w:rsidRPr="00C34520" w:rsidRDefault="00826D3B" w:rsidP="00DE0052">
            <w:pPr>
              <w:pStyle w:val="TableText0"/>
              <w:jc w:val="center"/>
            </w:pPr>
            <w:r w:rsidRPr="00C34520">
              <w:t>0.77 (0.68, 0.87)</w:t>
            </w:r>
          </w:p>
        </w:tc>
        <w:tc>
          <w:tcPr>
            <w:tcW w:w="854" w:type="pct"/>
            <w:shd w:val="clear" w:color="auto" w:fill="auto"/>
          </w:tcPr>
          <w:p w14:paraId="4C7931C4" w14:textId="77777777" w:rsidR="00826D3B" w:rsidRPr="00C34520" w:rsidRDefault="00826D3B" w:rsidP="00DE0052">
            <w:pPr>
              <w:pStyle w:val="TableText0"/>
              <w:jc w:val="center"/>
            </w:pPr>
            <w:r w:rsidRPr="00C34520">
              <w:t>0.88 (0.79, 0.97)</w:t>
            </w:r>
          </w:p>
        </w:tc>
        <w:tc>
          <w:tcPr>
            <w:tcW w:w="2743" w:type="pct"/>
            <w:gridSpan w:val="3"/>
            <w:vMerge/>
            <w:shd w:val="clear" w:color="auto" w:fill="auto"/>
          </w:tcPr>
          <w:p w14:paraId="607712C7" w14:textId="77777777" w:rsidR="00826D3B" w:rsidRPr="00C34520" w:rsidRDefault="00826D3B" w:rsidP="00DE0052">
            <w:pPr>
              <w:pStyle w:val="TableText0"/>
            </w:pPr>
          </w:p>
        </w:tc>
      </w:tr>
      <w:tr w:rsidR="00826D3B" w:rsidRPr="00C34520" w14:paraId="6FDA2993" w14:textId="77777777" w:rsidTr="00667D81">
        <w:trPr>
          <w:trHeight w:val="20"/>
        </w:trPr>
        <w:tc>
          <w:tcPr>
            <w:tcW w:w="518" w:type="pct"/>
            <w:shd w:val="clear" w:color="auto" w:fill="auto"/>
            <w:hideMark/>
          </w:tcPr>
          <w:p w14:paraId="66B5BBEC" w14:textId="77777777" w:rsidR="00826D3B" w:rsidRPr="00C34520" w:rsidRDefault="00826D3B" w:rsidP="00DE0052">
            <w:pPr>
              <w:pStyle w:val="TableText0"/>
            </w:pPr>
            <w:r w:rsidRPr="00C34520">
              <w:t>15B</w:t>
            </w:r>
          </w:p>
        </w:tc>
        <w:tc>
          <w:tcPr>
            <w:tcW w:w="885" w:type="pct"/>
            <w:shd w:val="clear" w:color="auto" w:fill="D6E3BC" w:themeFill="accent3" w:themeFillTint="66"/>
          </w:tcPr>
          <w:p w14:paraId="64F73449" w14:textId="77777777" w:rsidR="00826D3B" w:rsidRPr="00C34520" w:rsidRDefault="00826D3B" w:rsidP="00DE0052">
            <w:pPr>
              <w:pStyle w:val="TableText0"/>
              <w:jc w:val="center"/>
            </w:pPr>
            <w:r w:rsidRPr="00C34520">
              <w:t>5.42 (4.82, 6.10)</w:t>
            </w:r>
          </w:p>
        </w:tc>
        <w:tc>
          <w:tcPr>
            <w:tcW w:w="854" w:type="pct"/>
            <w:shd w:val="clear" w:color="auto" w:fill="D6E3BC" w:themeFill="accent3" w:themeFillTint="66"/>
          </w:tcPr>
          <w:p w14:paraId="7A9DAF68" w14:textId="77777777" w:rsidR="00826D3B" w:rsidRPr="00C34520" w:rsidRDefault="00826D3B" w:rsidP="00DE0052">
            <w:pPr>
              <w:pStyle w:val="TableText0"/>
              <w:jc w:val="center"/>
            </w:pPr>
            <w:r w:rsidRPr="00C34520">
              <w:t>5.95 (5.39, 6.55)</w:t>
            </w:r>
          </w:p>
        </w:tc>
        <w:tc>
          <w:tcPr>
            <w:tcW w:w="2743" w:type="pct"/>
            <w:gridSpan w:val="3"/>
            <w:vMerge/>
            <w:shd w:val="clear" w:color="auto" w:fill="EAF1DD" w:themeFill="accent3" w:themeFillTint="33"/>
          </w:tcPr>
          <w:p w14:paraId="0E5F0F49" w14:textId="77777777" w:rsidR="00826D3B" w:rsidRPr="00C34520" w:rsidRDefault="00826D3B" w:rsidP="00DE0052">
            <w:pPr>
              <w:pStyle w:val="TableText0"/>
            </w:pPr>
          </w:p>
        </w:tc>
      </w:tr>
      <w:tr w:rsidR="00D132A0" w:rsidRPr="00C34520" w14:paraId="74209847" w14:textId="77777777" w:rsidTr="00667D81">
        <w:trPr>
          <w:trHeight w:val="20"/>
        </w:trPr>
        <w:tc>
          <w:tcPr>
            <w:tcW w:w="518" w:type="pct"/>
            <w:shd w:val="clear" w:color="auto" w:fill="auto"/>
            <w:hideMark/>
          </w:tcPr>
          <w:p w14:paraId="1F79E63D" w14:textId="77777777" w:rsidR="00826D3B" w:rsidRPr="00C34520" w:rsidRDefault="00826D3B" w:rsidP="00DE0052">
            <w:pPr>
              <w:pStyle w:val="TableText0"/>
              <w:rPr>
                <w:vertAlign w:val="superscript"/>
              </w:rPr>
            </w:pPr>
            <w:r w:rsidRPr="00C34520">
              <w:t xml:space="preserve">22F </w:t>
            </w:r>
            <w:r w:rsidRPr="00C34520">
              <w:rPr>
                <w:vertAlign w:val="superscript"/>
              </w:rPr>
              <w:t>b</w:t>
            </w:r>
          </w:p>
        </w:tc>
        <w:tc>
          <w:tcPr>
            <w:tcW w:w="885" w:type="pct"/>
            <w:shd w:val="clear" w:color="auto" w:fill="D6E3BC" w:themeFill="accent3" w:themeFillTint="66"/>
          </w:tcPr>
          <w:p w14:paraId="22827320" w14:textId="77777777" w:rsidR="00826D3B" w:rsidRPr="00C34520" w:rsidRDefault="00826D3B" w:rsidP="00DE0052">
            <w:pPr>
              <w:pStyle w:val="TableText0"/>
              <w:jc w:val="center"/>
            </w:pPr>
            <w:r w:rsidRPr="00C34520">
              <w:t>3.84 (3.40, 4.34)</w:t>
            </w:r>
          </w:p>
        </w:tc>
        <w:tc>
          <w:tcPr>
            <w:tcW w:w="854" w:type="pct"/>
            <w:shd w:val="clear" w:color="auto" w:fill="D6E3BC" w:themeFill="accent3" w:themeFillTint="66"/>
          </w:tcPr>
          <w:p w14:paraId="0187589D" w14:textId="77777777" w:rsidR="00826D3B" w:rsidRPr="00C34520" w:rsidRDefault="00826D3B" w:rsidP="00DE0052">
            <w:pPr>
              <w:pStyle w:val="TableText0"/>
              <w:jc w:val="center"/>
            </w:pPr>
            <w:r w:rsidRPr="00C34520">
              <w:t>5.01 (4.54, 5.52)</w:t>
            </w:r>
          </w:p>
        </w:tc>
        <w:tc>
          <w:tcPr>
            <w:tcW w:w="948" w:type="pct"/>
            <w:shd w:val="clear" w:color="auto" w:fill="C6D9F1" w:themeFill="text2" w:themeFillTint="33"/>
          </w:tcPr>
          <w:p w14:paraId="405F252D" w14:textId="77777777" w:rsidR="00826D3B" w:rsidRPr="00C34520" w:rsidRDefault="00826D3B" w:rsidP="00DE0052">
            <w:pPr>
              <w:pStyle w:val="TableText0"/>
              <w:jc w:val="center"/>
            </w:pPr>
            <w:r w:rsidRPr="00C34520">
              <w:t>71.79 (65.16, 79.1)</w:t>
            </w:r>
          </w:p>
        </w:tc>
        <w:tc>
          <w:tcPr>
            <w:tcW w:w="938" w:type="pct"/>
            <w:shd w:val="clear" w:color="auto" w:fill="C6D9F1" w:themeFill="text2" w:themeFillTint="33"/>
          </w:tcPr>
          <w:p w14:paraId="1D21F449" w14:textId="77777777" w:rsidR="00826D3B" w:rsidRPr="00C34520" w:rsidRDefault="00826D3B" w:rsidP="00DE0052">
            <w:pPr>
              <w:pStyle w:val="TableText0"/>
              <w:jc w:val="center"/>
            </w:pPr>
            <w:r w:rsidRPr="00C34520">
              <w:t>68.34 (61.73, 75.65)</w:t>
            </w:r>
          </w:p>
        </w:tc>
        <w:tc>
          <w:tcPr>
            <w:tcW w:w="856" w:type="pct"/>
            <w:shd w:val="clear" w:color="auto" w:fill="C6D9F1" w:themeFill="text2" w:themeFillTint="33"/>
          </w:tcPr>
          <w:p w14:paraId="3AA557A8" w14:textId="77777777" w:rsidR="00826D3B" w:rsidRPr="00C34520" w:rsidRDefault="00826D3B" w:rsidP="00DE0052">
            <w:pPr>
              <w:pStyle w:val="TableText0"/>
              <w:jc w:val="center"/>
            </w:pPr>
            <w:r w:rsidRPr="00C34520">
              <w:t>4.69 (4.30, 5.11)</w:t>
            </w:r>
          </w:p>
        </w:tc>
      </w:tr>
      <w:tr w:rsidR="00D132A0" w:rsidRPr="00C34520" w14:paraId="2207555B" w14:textId="77777777" w:rsidTr="00667D81">
        <w:trPr>
          <w:trHeight w:val="20"/>
        </w:trPr>
        <w:tc>
          <w:tcPr>
            <w:tcW w:w="518" w:type="pct"/>
            <w:shd w:val="clear" w:color="auto" w:fill="auto"/>
          </w:tcPr>
          <w:p w14:paraId="217ECA3D" w14:textId="77777777" w:rsidR="00826D3B" w:rsidRPr="00C34520" w:rsidRDefault="00826D3B" w:rsidP="00DE0052">
            <w:pPr>
              <w:pStyle w:val="TableText0"/>
              <w:rPr>
                <w:vertAlign w:val="superscript"/>
              </w:rPr>
            </w:pPr>
            <w:r w:rsidRPr="00C34520">
              <w:t xml:space="preserve">33F </w:t>
            </w:r>
            <w:r w:rsidRPr="00C34520">
              <w:rPr>
                <w:vertAlign w:val="superscript"/>
              </w:rPr>
              <w:t>b</w:t>
            </w:r>
          </w:p>
        </w:tc>
        <w:tc>
          <w:tcPr>
            <w:tcW w:w="885" w:type="pct"/>
            <w:shd w:val="clear" w:color="auto" w:fill="D6E3BC" w:themeFill="accent3" w:themeFillTint="66"/>
          </w:tcPr>
          <w:p w14:paraId="1821561D" w14:textId="77777777" w:rsidR="00826D3B" w:rsidRPr="00C34520" w:rsidRDefault="00826D3B" w:rsidP="00DE0052">
            <w:pPr>
              <w:pStyle w:val="TableText0"/>
              <w:jc w:val="center"/>
            </w:pPr>
            <w:r w:rsidRPr="00C34520">
              <w:t>2.64 (2.33, 2.99)</w:t>
            </w:r>
          </w:p>
        </w:tc>
        <w:tc>
          <w:tcPr>
            <w:tcW w:w="854" w:type="pct"/>
            <w:shd w:val="clear" w:color="auto" w:fill="D6E3BC" w:themeFill="accent3" w:themeFillTint="66"/>
          </w:tcPr>
          <w:p w14:paraId="51F142BE" w14:textId="77777777" w:rsidR="00826D3B" w:rsidRPr="00C34520" w:rsidRDefault="00826D3B" w:rsidP="00DE0052">
            <w:pPr>
              <w:pStyle w:val="TableText0"/>
              <w:jc w:val="center"/>
            </w:pPr>
            <w:r w:rsidRPr="00C34520">
              <w:t>4.4 (3.99, 4.85)</w:t>
            </w:r>
          </w:p>
        </w:tc>
        <w:tc>
          <w:tcPr>
            <w:tcW w:w="948" w:type="pct"/>
            <w:shd w:val="clear" w:color="auto" w:fill="C6D9F1" w:themeFill="text2" w:themeFillTint="33"/>
          </w:tcPr>
          <w:p w14:paraId="2F9A534F" w14:textId="77777777" w:rsidR="00826D3B" w:rsidRPr="00C34520" w:rsidRDefault="00826D3B" w:rsidP="00DE0052">
            <w:pPr>
              <w:pStyle w:val="TableText0"/>
              <w:jc w:val="center"/>
            </w:pPr>
            <w:r w:rsidRPr="00C34520">
              <w:t>46.58 (42.19, 51.42)</w:t>
            </w:r>
          </w:p>
        </w:tc>
        <w:tc>
          <w:tcPr>
            <w:tcW w:w="938" w:type="pct"/>
            <w:shd w:val="clear" w:color="auto" w:fill="C6D9F1" w:themeFill="text2" w:themeFillTint="33"/>
          </w:tcPr>
          <w:p w14:paraId="4E7AC0D6" w14:textId="77777777" w:rsidR="00826D3B" w:rsidRPr="00C34520" w:rsidRDefault="00826D3B" w:rsidP="00DE0052">
            <w:pPr>
              <w:pStyle w:val="TableText0"/>
              <w:jc w:val="center"/>
            </w:pPr>
            <w:r w:rsidRPr="00C34520">
              <w:t>48.99 (44.45, 54.01)</w:t>
            </w:r>
          </w:p>
        </w:tc>
        <w:tc>
          <w:tcPr>
            <w:tcW w:w="856" w:type="pct"/>
            <w:shd w:val="clear" w:color="auto" w:fill="C6D9F1" w:themeFill="text2" w:themeFillTint="33"/>
          </w:tcPr>
          <w:p w14:paraId="5644A1FD" w14:textId="77777777" w:rsidR="00826D3B" w:rsidRPr="00C34520" w:rsidRDefault="00826D3B" w:rsidP="00DE0052">
            <w:pPr>
              <w:pStyle w:val="TableText0"/>
              <w:jc w:val="center"/>
            </w:pPr>
            <w:r w:rsidRPr="00C34520">
              <w:t>2.59 (2.36, 2.83)</w:t>
            </w:r>
          </w:p>
        </w:tc>
      </w:tr>
    </w:tbl>
    <w:p w14:paraId="0E6253DC" w14:textId="77777777" w:rsidR="00826D3B" w:rsidRPr="00902DEA" w:rsidRDefault="00826D3B" w:rsidP="00826D3B">
      <w:pPr>
        <w:pStyle w:val="FooterTableFigure"/>
        <w:rPr>
          <w:bCs/>
          <w:iCs/>
          <w:sz w:val="16"/>
          <w:szCs w:val="16"/>
        </w:rPr>
      </w:pPr>
      <w:r w:rsidRPr="00C34520">
        <w:t>Source: Compiled from Section 2.5 of the submission.</w:t>
      </w:r>
    </w:p>
    <w:p w14:paraId="6D37E38E" w14:textId="77777777" w:rsidR="00826D3B" w:rsidRPr="00C34520" w:rsidRDefault="00826D3B" w:rsidP="00826D3B">
      <w:pPr>
        <w:pStyle w:val="FooterTableFigure"/>
      </w:pPr>
      <w:r w:rsidRPr="00C34520">
        <w:t xml:space="preserve">13vPCV = 13 valent pneumococcal conjugate vaccine; 15vPCV = 15 valent pneumococcal conjugate vaccine; 20vPCV = 20 valent pneumococcal conjugate vaccine; CI = confidence interval; </w:t>
      </w:r>
      <w:r w:rsidRPr="00C34520">
        <w:softHyphen/>
        <w:t>GMR = geometric mean ratio; IgG = immunoglobulin G.</w:t>
      </w:r>
    </w:p>
    <w:p w14:paraId="1421A71D" w14:textId="753AD3FA" w:rsidR="00826D3B" w:rsidRPr="00C34520" w:rsidRDefault="00826D3B" w:rsidP="00826D3B">
      <w:pPr>
        <w:pStyle w:val="FooterTableFigure"/>
      </w:pPr>
      <w:r w:rsidRPr="00C34520">
        <w:rPr>
          <w:color w:val="FF0000"/>
        </w:rPr>
        <w:t xml:space="preserve">Red </w:t>
      </w:r>
      <w:r w:rsidRPr="00C34520">
        <w:t xml:space="preserve">indicates that non-inferiority criteria was not met (&lt;0.5), </w:t>
      </w:r>
      <w:r w:rsidR="00FA3DFD">
        <w:rPr>
          <w:color w:val="76923C" w:themeColor="accent3" w:themeShade="BF"/>
        </w:rPr>
        <w:t xml:space="preserve">green </w:t>
      </w:r>
      <w:r w:rsidR="00FA3DFD" w:rsidRPr="00FA3DFD">
        <w:t>indicates superiority with a lower CI limit &gt;2</w:t>
      </w:r>
      <w:r w:rsidRPr="00C34520">
        <w:t xml:space="preserve">. </w:t>
      </w:r>
      <w:r w:rsidRPr="00C34520">
        <w:rPr>
          <w:color w:val="8DB3E2" w:themeColor="text2" w:themeTint="66"/>
        </w:rPr>
        <w:t xml:space="preserve">Blue </w:t>
      </w:r>
      <w:r w:rsidRPr="00C34520">
        <w:t>indicates already seen by the PBAC.</w:t>
      </w:r>
    </w:p>
    <w:p w14:paraId="6A14C5FF" w14:textId="77777777" w:rsidR="00826D3B" w:rsidRPr="00C34520" w:rsidRDefault="00826D3B" w:rsidP="00826D3B">
      <w:pPr>
        <w:pStyle w:val="FooterTableFigure"/>
      </w:pPr>
      <w:r w:rsidRPr="00C34520">
        <w:rPr>
          <w:vertAlign w:val="superscript"/>
        </w:rPr>
        <w:t>a</w:t>
      </w:r>
      <w:r w:rsidRPr="00C34520">
        <w:t xml:space="preserve"> Trials B7471013 and B7471003 are not presented as the trials did not present GMRs or evaluate non-inferiority.</w:t>
      </w:r>
    </w:p>
    <w:p w14:paraId="39FCA5E6" w14:textId="77777777" w:rsidR="00826D3B" w:rsidRPr="00C34520" w:rsidRDefault="00826D3B" w:rsidP="00826D3B">
      <w:pPr>
        <w:pStyle w:val="FooterTableFigure"/>
      </w:pPr>
      <w:r w:rsidRPr="00C34520">
        <w:rPr>
          <w:vertAlign w:val="superscript"/>
        </w:rPr>
        <w:t>b</w:t>
      </w:r>
      <w:r w:rsidRPr="00C34520">
        <w:t xml:space="preserve"> Trials PNEU-PED-EU-1 and PNEU-PED-EU-2 made 20vPCV comparisons against matched 13vPCV serotypes. Other trials made the comparison against the lowest GMC of shared 13vPCV serotype, except for serotype 3.</w:t>
      </w:r>
    </w:p>
    <w:p w14:paraId="2C752F5D" w14:textId="23BBC5C6" w:rsidR="00826D3B" w:rsidRPr="009B4E91" w:rsidRDefault="0041578B" w:rsidP="00F625A4">
      <w:pPr>
        <w:pStyle w:val="3-BodyText"/>
      </w:pPr>
      <w:r w:rsidRPr="00902DEA">
        <w:t>The ESC noted that i</w:t>
      </w:r>
      <w:r w:rsidR="00826D3B" w:rsidRPr="00902DEA">
        <w:t>n the B7471012 trial (2+1 schedule) serotype 6B (included in 13vPCV) did not meet the non-inferiority criteria after the toddler dose for the GMR.</w:t>
      </w:r>
      <w:r w:rsidR="00826D3B" w:rsidRPr="00C34520">
        <w:t xml:space="preserve"> </w:t>
      </w:r>
      <w:r w:rsidR="00913651">
        <w:t>The additional s</w:t>
      </w:r>
      <w:r w:rsidR="00826D3B" w:rsidRPr="00C34520">
        <w:t>erotypes 15B, 22F and 33F had a confidence interval (CI) lower bound greater than two, indicating superiority. In addition, in the B7471012 trial serotypes 6A, 6B, 9V and 23F (included in 13vPCV) did not meet the non</w:t>
      </w:r>
      <w:r w:rsidR="00826D3B" w:rsidRPr="00C34520">
        <w:noBreakHyphen/>
        <w:t>inferiority criteria after the infant doses for the GMR and response rate (results not shown). Serotypes 1, 3, 4, and 5 did not meet the non-inferiority criteria after the infant dose for the response rate (results not shown). Serotypes 8, 10A, 11A, 12F, and 33F did not meet the superiority criteria in a primary outcome. Serotypes 10A (2+1 schedule) and 12F (2+1 and 3+1 schedules) (unique to 20vPCV) also did not meet the non</w:t>
      </w:r>
      <w:r w:rsidR="00826D3B" w:rsidRPr="00C34520">
        <w:noBreakHyphen/>
        <w:t xml:space="preserve">inferiority criteria for the response rate (results not shown). </w:t>
      </w:r>
      <w:r w:rsidR="00522045" w:rsidRPr="00902DEA">
        <w:t>The ESC considered the d</w:t>
      </w:r>
      <w:r w:rsidR="00826D3B" w:rsidRPr="00902DEA">
        <w:t xml:space="preserve">ifferences in response rates were minor for most serotypes, except serotype 3, with a difference of -10.6% (95%CI </w:t>
      </w:r>
      <w:r w:rsidR="00826D3B" w:rsidRPr="00902DEA">
        <w:noBreakHyphen/>
        <w:t xml:space="preserve">14.7%, </w:t>
      </w:r>
      <w:r w:rsidR="00826D3B" w:rsidRPr="00902DEA">
        <w:noBreakHyphen/>
        <w:t>6.7%).</w:t>
      </w:r>
      <w:r w:rsidR="009B4E91">
        <w:t xml:space="preserve"> </w:t>
      </w:r>
    </w:p>
    <w:p w14:paraId="68682EF2" w14:textId="70DD27C4" w:rsidR="00826D3B" w:rsidRPr="00522045" w:rsidRDefault="00826D3B" w:rsidP="00F625A4">
      <w:pPr>
        <w:pStyle w:val="3-BodyText"/>
      </w:pPr>
      <w:r w:rsidRPr="00C34520">
        <w:lastRenderedPageBreak/>
        <w:t>In the B7471011 trial (3+1 schedule) all serotypes met the non</w:t>
      </w:r>
      <w:r w:rsidRPr="00C34520">
        <w:noBreakHyphen/>
        <w:t>inferiority criteria after the toddler and infant doses for the GMR. However, serotypes 1, 3, 4, 9V, and 23F (included in 13vPCV) and serotype 12F (unique to 20vPCV) did not meet the non</w:t>
      </w:r>
      <w:r w:rsidRPr="00C34520">
        <w:noBreakHyphen/>
        <w:t xml:space="preserve">inferiority criteria for the response rate after the infant doses (results not shown). </w:t>
      </w:r>
      <w:r w:rsidR="00522045" w:rsidRPr="00902DEA">
        <w:rPr>
          <w:iCs/>
        </w:rPr>
        <w:t>The ESC noted that s</w:t>
      </w:r>
      <w:r w:rsidRPr="00902DEA">
        <w:rPr>
          <w:iCs/>
        </w:rPr>
        <w:t xml:space="preserve">erotype 3 had the largest difference in the response rate for the toddler dose with </w:t>
      </w:r>
      <w:r w:rsidRPr="00902DEA">
        <w:rPr>
          <w:iCs/>
        </w:rPr>
        <w:noBreakHyphen/>
        <w:t>12.1% (95%CI -16.2%, -8.1%).</w:t>
      </w:r>
      <w:r w:rsidR="00547BC0" w:rsidRPr="00902DEA">
        <w:rPr>
          <w:iCs/>
        </w:rPr>
        <w:t xml:space="preserve"> </w:t>
      </w:r>
    </w:p>
    <w:p w14:paraId="7FDDDC11" w14:textId="6F5AE9FB" w:rsidR="00826D3B" w:rsidRDefault="00A66D36" w:rsidP="00522BF9">
      <w:pPr>
        <w:pStyle w:val="3-BodyText"/>
      </w:pPr>
      <w:r w:rsidRPr="00C34520">
        <w:t>The submission provided supporting evidence for serotypes that did not meet the non</w:t>
      </w:r>
      <w:r w:rsidRPr="00C34520">
        <w:noBreakHyphen/>
        <w:t>inferiority criteria. The submission noted that based on the supportive data, the immune responses of 20vPCV were expected to be similarly protective as serotypes that met non</w:t>
      </w:r>
      <w:r w:rsidRPr="00C34520">
        <w:noBreakHyphen/>
        <w:t>inferiority</w:t>
      </w:r>
      <w:r w:rsidR="0051309C">
        <w:t xml:space="preserve"> </w:t>
      </w:r>
      <w:r w:rsidR="0051309C" w:rsidRPr="00C34520">
        <w:t>using the totality of data</w:t>
      </w:r>
      <w:r w:rsidRPr="00C34520">
        <w:t>. The ATAGI Advice to the PBAC noted that there may be a risk window relative to 13vPCV between infant and toddler doses (p66 of the ATAGI Advice to the PBAC). Although real-world evidence exists for 13vPCV indicating protection between the infant and toddler doses, it was uncertain if this evidence would apply to 20vPCV (p66 of the ATAGI Advice to the PBAC).</w:t>
      </w:r>
    </w:p>
    <w:p w14:paraId="58DC763C" w14:textId="079E5C26" w:rsidR="001F1127" w:rsidRDefault="009B4E91" w:rsidP="00F625A4">
      <w:pPr>
        <w:pStyle w:val="3-BodyText"/>
      </w:pPr>
      <w:r w:rsidRPr="00902DEA">
        <w:t>The</w:t>
      </w:r>
      <w:r w:rsidR="0042716D">
        <w:t xml:space="preserve"> </w:t>
      </w:r>
      <w:r w:rsidR="0042716D" w:rsidRPr="0042716D">
        <w:t>Pre-Sub-Committee Response</w:t>
      </w:r>
      <w:r w:rsidRPr="00902DEA">
        <w:t xml:space="preserve"> </w:t>
      </w:r>
      <w:r w:rsidR="0042716D">
        <w:t>(</w:t>
      </w:r>
      <w:r w:rsidRPr="00902DEA">
        <w:t>PSCR</w:t>
      </w:r>
      <w:r w:rsidR="0042716D">
        <w:t>)</w:t>
      </w:r>
      <w:r w:rsidRPr="00902DEA">
        <w:t xml:space="preserve"> acknowledged that several serotypes did not meet the non</w:t>
      </w:r>
      <w:r w:rsidRPr="00902DEA">
        <w:noBreakHyphen/>
        <w:t>inferiority criteria after the second infant dose in the B7471012 pivotal trial for both primary parameters.</w:t>
      </w:r>
      <w:r>
        <w:t xml:space="preserve"> </w:t>
      </w:r>
      <w:r w:rsidRPr="00902DEA">
        <w:t xml:space="preserve">However, the PSCR argued that following the toddler booster dose, the difference between treatment groups decreased and non-inferiority was met for most of the serotypes. The PSCR emphasised </w:t>
      </w:r>
      <w:r w:rsidR="003D7622" w:rsidRPr="00902DEA">
        <w:t xml:space="preserve">the importance of the toddler dose, in addition to the infant series, </w:t>
      </w:r>
      <w:r w:rsidR="00F04C14" w:rsidRPr="00902DEA">
        <w:t>for</w:t>
      </w:r>
      <w:r w:rsidR="003D7622" w:rsidRPr="00902DEA">
        <w:t xml:space="preserve"> the overall suppression of pneumococcal disease in children</w:t>
      </w:r>
      <w:r w:rsidR="004A54BF" w:rsidRPr="00902DEA">
        <w:t xml:space="preserve"> of all ages</w:t>
      </w:r>
      <w:r w:rsidR="003D7622" w:rsidRPr="00902DEA">
        <w:t>.</w:t>
      </w:r>
      <w:r w:rsidR="003D7622">
        <w:t xml:space="preserve"> </w:t>
      </w:r>
      <w:r w:rsidR="003D7622" w:rsidRPr="00902DEA">
        <w:t>However, the PSCR</w:t>
      </w:r>
      <w:r w:rsidR="00A66D36">
        <w:t xml:space="preserve"> </w:t>
      </w:r>
      <w:r w:rsidR="00A66D36" w:rsidRPr="00902DEA">
        <w:t xml:space="preserve">acknowledged the concerns that lower immunogenicity after </w:t>
      </w:r>
      <w:r w:rsidR="002E3E11" w:rsidRPr="00902DEA">
        <w:t>dose 2</w:t>
      </w:r>
      <w:r w:rsidR="00A66D36" w:rsidRPr="00902DEA">
        <w:t xml:space="preserve"> could result in lower vaccine efficacy</w:t>
      </w:r>
      <w:r w:rsidR="003D7622" w:rsidRPr="00902DEA">
        <w:t xml:space="preserve"> in the window between the last infant dose and the toddler dose</w:t>
      </w:r>
      <w:r w:rsidR="00A66D36" w:rsidRPr="00902DEA">
        <w:t xml:space="preserve">. </w:t>
      </w:r>
    </w:p>
    <w:p w14:paraId="1E4EA03C" w14:textId="28AA74F3" w:rsidR="00073AD1" w:rsidRPr="00BA2603" w:rsidRDefault="00073AD1" w:rsidP="00F625A4">
      <w:pPr>
        <w:pStyle w:val="3-BodyText"/>
      </w:pPr>
      <w:r w:rsidRPr="00902DEA">
        <w:t>In response to these concerns, the sponsor conducted trade-off analyses</w:t>
      </w:r>
      <w:r w:rsidR="001F1127">
        <w:t xml:space="preserve">. </w:t>
      </w:r>
      <w:r w:rsidR="001F1127" w:rsidRPr="00602BFD">
        <w:t>The analys</w:t>
      </w:r>
      <w:r w:rsidR="001F1127">
        <w:t>e</w:t>
      </w:r>
      <w:r w:rsidR="001F1127" w:rsidRPr="00602BFD">
        <w:t>s sought to determine the minimum vaccine effectiveness (VE) for the 7 additional 20vPCV serotypes that would be required to offset any potential increase in breakthrough cases that could occur for the shared serotypes that did not meet the non-inferiority criteria on one or more endpoints after dose 2. The analysis assumed 50-75% less vaccine efficacy for the serotypes that did not meet a non-inferiority endpoint. The base case analysis estimated that a minimum vaccine efficacy of 10-22% would be required for the 7 additional serotypes to offset potential breakthrough cases due to a reduction of 50-75% in vaccine efficacy for the serotypes that did not meet a non-inferiority endpoint. The PSCR concluded that even with conservative assumptions of low vaccine efficacy and increased probability of breakthrough disease, the number of cases predicted to be averted by 20vPCV is still likely to exceed the number of cases that could re-emerge due to lowered vaccine efficacy associated with the serotypes that did not meet a non-inferiority endpoint</w:t>
      </w:r>
      <w:r w:rsidRPr="00902DEA">
        <w:t>.</w:t>
      </w:r>
    </w:p>
    <w:p w14:paraId="6A22B31E" w14:textId="480A8771" w:rsidR="00BA2603" w:rsidRPr="00073AD1" w:rsidRDefault="00BA2603" w:rsidP="00F625A4">
      <w:pPr>
        <w:pStyle w:val="3-BodyText"/>
      </w:pPr>
      <w:r w:rsidRPr="00902DEA">
        <w:t xml:space="preserve">The ESC </w:t>
      </w:r>
      <w:r w:rsidR="008F1C83" w:rsidRPr="00902DEA">
        <w:rPr>
          <w:rFonts w:cstheme="minorHAnsi"/>
        </w:rPr>
        <w:t xml:space="preserve">considered the trade-off analysis presented in the PSCR appeared clinically and mathematically reasonable. However, </w:t>
      </w:r>
      <w:r w:rsidR="008F1C83" w:rsidRPr="00902DEA">
        <w:t>considered that based on the clinical trial evidence there</w:t>
      </w:r>
      <w:r w:rsidRPr="00902DEA">
        <w:t xml:space="preserve"> </w:t>
      </w:r>
      <w:r w:rsidR="008F1C83" w:rsidRPr="00902DEA">
        <w:t xml:space="preserve">remained a </w:t>
      </w:r>
      <w:r w:rsidRPr="00902DEA">
        <w:t>risk window of lower vaccine efficacy relative to 13vPCV between the last infant dose and the toddler booster dose.</w:t>
      </w:r>
      <w:r w:rsidR="001F1127" w:rsidRPr="001F1127">
        <w:rPr>
          <w:rFonts w:cstheme="minorHAnsi"/>
        </w:rPr>
        <w:t xml:space="preserve"> </w:t>
      </w:r>
      <w:r w:rsidR="001F1127">
        <w:rPr>
          <w:rFonts w:eastAsia="Calibri"/>
        </w:rPr>
        <w:t>T</w:t>
      </w:r>
      <w:r w:rsidR="001F1127" w:rsidRPr="00602BFD">
        <w:rPr>
          <w:rFonts w:eastAsia="Calibri"/>
        </w:rPr>
        <w:t xml:space="preserve">he ESC considered the </w:t>
      </w:r>
      <w:r w:rsidR="001F1127" w:rsidRPr="00602BFD">
        <w:rPr>
          <w:rFonts w:eastAsia="Calibri"/>
        </w:rPr>
        <w:lastRenderedPageBreak/>
        <w:t>data provided in the PSCR for the observed cases of IPD in Australia suggested that the potential clinical impact associated with serotype 3 was meaningful.</w:t>
      </w:r>
      <w:r w:rsidR="001F1127" w:rsidRPr="00602BFD">
        <w:rPr>
          <w:rFonts w:cstheme="minorHAnsi"/>
        </w:rPr>
        <w:t xml:space="preserve"> The ESC considered the number of additional serotype 3 infections that could emerge in children as a result of lower vaccine efficacy was uncertain but had the potential to be important.</w:t>
      </w:r>
    </w:p>
    <w:p w14:paraId="6BB34BE6" w14:textId="618563DC" w:rsidR="00826D3B" w:rsidRPr="00C34520" w:rsidRDefault="00826D3B" w:rsidP="00522BF9">
      <w:pPr>
        <w:pStyle w:val="3-BodyText"/>
      </w:pPr>
      <w:r w:rsidRPr="00C34520">
        <w:t xml:space="preserve">The single-arm study B7471014 showed that 20vPCV </w:t>
      </w:r>
      <w:r w:rsidR="00C266A0" w:rsidRPr="00C266A0">
        <w:t xml:space="preserve">improved </w:t>
      </w:r>
      <w:r w:rsidR="00C266A0" w:rsidRPr="00C34520">
        <w:t>primary outcomes in all cohorts</w:t>
      </w:r>
      <w:r w:rsidR="00C266A0" w:rsidRPr="00C266A0">
        <w:t xml:space="preserve"> compared to baseline (prior vaccination with 13vPCV)</w:t>
      </w:r>
      <w:r w:rsidRPr="00C34520">
        <w:t xml:space="preserve">. </w:t>
      </w:r>
    </w:p>
    <w:p w14:paraId="66A7CB4B" w14:textId="6488FA05" w:rsidR="00826D3B" w:rsidRPr="00C34520" w:rsidRDefault="0010575E" w:rsidP="00826D3B">
      <w:pPr>
        <w:rPr>
          <w:b/>
          <w:bCs/>
        </w:rPr>
      </w:pPr>
      <w:r>
        <w:rPr>
          <w:b/>
          <w:bCs/>
        </w:rPr>
        <w:t>I</w:t>
      </w:r>
      <w:r w:rsidR="00826D3B" w:rsidRPr="00C34520">
        <w:rPr>
          <w:b/>
          <w:bCs/>
        </w:rPr>
        <w:t>ndirect comparisons</w:t>
      </w:r>
    </w:p>
    <w:p w14:paraId="782AE0E4" w14:textId="33C30729" w:rsidR="00826D3B" w:rsidRPr="00D15D0C" w:rsidRDefault="00826D3B" w:rsidP="00F625A4">
      <w:pPr>
        <w:pStyle w:val="3-BodyText"/>
        <w:rPr>
          <w:rFonts w:eastAsia="Calibri"/>
        </w:rPr>
      </w:pPr>
      <w:r w:rsidRPr="00C34520">
        <w:t xml:space="preserve">The submission conducted a meta-analysis of GMRs in the 15vPCV (2+1 schedule) trials: PNEU-PED-EU-1 and PNEU-PED-EU-2. The meta-analysis showed all shared serotypes had GMRs less than one, favouring 13vPCV, except for serotypes 3 and 6B. Serotype 6B had an upper CI bound of one, meaning no vaccine was favoured. Serotype 3 had a GMR and a lower bound CI greater than one, favouring 15vPCV, but clinical significance was not supported (lower CI bound greater than two). </w:t>
      </w:r>
      <w:r w:rsidRPr="00D15D0C">
        <w:t>Substantial heterogeneity was observed for serotypes 6A and 19A with I</w:t>
      </w:r>
      <w:r w:rsidRPr="00D15D0C">
        <w:rPr>
          <w:vertAlign w:val="superscript"/>
        </w:rPr>
        <w:t>2</w:t>
      </w:r>
      <w:r w:rsidRPr="00D15D0C">
        <w:t xml:space="preserve"> of 61% and 64% and chi</w:t>
      </w:r>
      <w:r w:rsidRPr="00D15D0C">
        <w:noBreakHyphen/>
        <w:t>square p-values of 0.11 and 0.09, respectively. Moderate heterogeneity was observed for serotype 19F, with an I</w:t>
      </w:r>
      <w:r w:rsidRPr="00D15D0C">
        <w:rPr>
          <w:vertAlign w:val="superscript"/>
        </w:rPr>
        <w:t>2</w:t>
      </w:r>
      <w:r w:rsidRPr="00D15D0C">
        <w:t xml:space="preserve"> of 59% and a chi-square p-value of 0.12.</w:t>
      </w:r>
    </w:p>
    <w:p w14:paraId="20028184" w14:textId="77777777" w:rsidR="00826D3B" w:rsidRPr="00C34520" w:rsidRDefault="00826D3B" w:rsidP="00F625A4">
      <w:pPr>
        <w:pStyle w:val="3-BodyText"/>
      </w:pPr>
      <w:r w:rsidRPr="00C34520">
        <w:t>The submission presented two indirect comparisons between 20vPCV and 15vPCV using 13vPCV as the common comparator using the Bucher method.</w:t>
      </w:r>
      <w:r w:rsidRPr="00902DEA">
        <w:rPr>
          <w:iCs/>
        </w:rPr>
        <w:t xml:space="preserve"> </w:t>
      </w:r>
    </w:p>
    <w:p w14:paraId="1B2F7401" w14:textId="20AC017A" w:rsidR="00826D3B" w:rsidRPr="00C34520" w:rsidRDefault="00826D3B" w:rsidP="00F625A4">
      <w:pPr>
        <w:pStyle w:val="3-BodyText"/>
        <w:rPr>
          <w:rFonts w:eastAsia="Calibri"/>
        </w:rPr>
      </w:pPr>
      <w:r w:rsidRPr="00C34520">
        <w:t xml:space="preserve">Indirect comparison results for the 2+1 schedule with the B7471012 20vPCV trial and the PNEU-PED-EU-1 and PNEU-PED-EU-2 15vPCV trials using GMR after the toddler dose for evaluable immunogenicity populations are presented in </w:t>
      </w:r>
      <w:r w:rsidRPr="00C34520">
        <w:fldChar w:fldCharType="begin"/>
      </w:r>
      <w:r w:rsidRPr="00C34520">
        <w:instrText xml:space="preserve"> REF _Ref143773696 \h </w:instrText>
      </w:r>
      <w:r w:rsidRPr="00C34520">
        <w:fldChar w:fldCharType="separate"/>
      </w:r>
      <w:r w:rsidR="009523CC" w:rsidRPr="00C34520">
        <w:t xml:space="preserve">Figure </w:t>
      </w:r>
      <w:r w:rsidR="009523CC">
        <w:rPr>
          <w:noProof/>
        </w:rPr>
        <w:t>1</w:t>
      </w:r>
      <w:r w:rsidRPr="00C34520">
        <w:fldChar w:fldCharType="end"/>
      </w:r>
      <w:r w:rsidRPr="00C34520">
        <w:t>.</w:t>
      </w:r>
      <w:r w:rsidR="003369D4">
        <w:t xml:space="preserve"> </w:t>
      </w:r>
    </w:p>
    <w:p w14:paraId="0682160B" w14:textId="002803F1" w:rsidR="00826D3B" w:rsidRPr="00C34520" w:rsidRDefault="00826D3B" w:rsidP="00D132A0">
      <w:pPr>
        <w:pStyle w:val="Caption"/>
      </w:pPr>
      <w:bookmarkStart w:id="42" w:name="_Ref143773696"/>
      <w:r w:rsidRPr="00C34520">
        <w:lastRenderedPageBreak/>
        <w:t xml:space="preserve">Figure </w:t>
      </w:r>
      <w:fldSimple w:instr=" SEQ Figure \* ARABIC ">
        <w:r w:rsidR="009523CC">
          <w:rPr>
            <w:noProof/>
          </w:rPr>
          <w:t>1</w:t>
        </w:r>
      </w:fldSimple>
      <w:bookmarkEnd w:id="42"/>
      <w:r w:rsidRPr="00C34520">
        <w:t>: Indirect comparison results of GMR one month after the toddler dose for 2+1 schedule – evaluable immunogenicity population</w:t>
      </w:r>
    </w:p>
    <w:p w14:paraId="47946901" w14:textId="77777777" w:rsidR="00826D3B" w:rsidRPr="00C34520" w:rsidRDefault="00826D3B" w:rsidP="00826D3B">
      <w:pPr>
        <w:pStyle w:val="In-tableHeading"/>
        <w:rPr>
          <w:lang w:val="en-AU"/>
        </w:rPr>
      </w:pPr>
      <w:r w:rsidRPr="00C34520">
        <w:rPr>
          <w:noProof/>
          <w:lang w:val="en-AU"/>
        </w:rPr>
        <w:drawing>
          <wp:inline distT="0" distB="0" distL="0" distR="0" wp14:anchorId="4FE251AF" wp14:editId="36FCBEA8">
            <wp:extent cx="5588128" cy="3751580"/>
            <wp:effectExtent l="0" t="0" r="0" b="1270"/>
            <wp:docPr id="1833013109" name="Picture 1833013109" descr="Figure 1: Indirect comparison results of GMR one month after the toddler dose for 2+1 schedule – evaluable immunogenici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13109" name="Picture 1833013109" descr="Figure 1: Indirect comparison results of GMR one month after the toddler dose for 2+1 schedule – evaluable immunogenicity population"/>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590980" cy="3753495"/>
                    </a:xfrm>
                    <a:prstGeom prst="rect">
                      <a:avLst/>
                    </a:prstGeom>
                    <a:noFill/>
                    <a:ln>
                      <a:noFill/>
                    </a:ln>
                    <a:extLst>
                      <a:ext uri="{53640926-AAD7-44D8-BBD7-CCE9431645EC}">
                        <a14:shadowObscured xmlns:a14="http://schemas.microsoft.com/office/drawing/2010/main"/>
                      </a:ext>
                    </a:extLst>
                  </pic:spPr>
                </pic:pic>
              </a:graphicData>
            </a:graphic>
          </wp:inline>
        </w:drawing>
      </w:r>
    </w:p>
    <w:p w14:paraId="238D305E" w14:textId="77777777" w:rsidR="00826D3B" w:rsidRPr="00C34520" w:rsidRDefault="00826D3B" w:rsidP="00826D3B">
      <w:pPr>
        <w:pStyle w:val="TableFigureFooter"/>
      </w:pPr>
      <w:r w:rsidRPr="00C34520">
        <w:t>Source: Figure 2.6.5, p309 of the submission.</w:t>
      </w:r>
    </w:p>
    <w:p w14:paraId="7A855A4A" w14:textId="77777777" w:rsidR="00826D3B" w:rsidRPr="00C34520" w:rsidRDefault="00826D3B" w:rsidP="00826D3B">
      <w:pPr>
        <w:pStyle w:val="TableFigureFooter"/>
      </w:pPr>
      <w:r w:rsidRPr="00C34520">
        <w:t>13vPCV = 13 valent pneumococcal conjugate vaccine; 15vPCV = 15 valent pneumococcal conjugate vaccine; 20vPCV = 20 valent pneumococcal conjugate vaccine; CI = confidence interval; GMR = geometric mean ratio; SE = standard error.</w:t>
      </w:r>
    </w:p>
    <w:p w14:paraId="68E5C869" w14:textId="5446971D" w:rsidR="00826D3B" w:rsidRPr="00C34520" w:rsidRDefault="00826D3B" w:rsidP="00F625A4">
      <w:pPr>
        <w:pStyle w:val="3-BodyText"/>
        <w:rPr>
          <w:rFonts w:eastAsia="Calibri"/>
        </w:rPr>
      </w:pPr>
      <w:r w:rsidRPr="00C34520">
        <w:t>Indirect comparison results for the 3+1 schedule with the B747101</w:t>
      </w:r>
      <w:r w:rsidR="006D66B3" w:rsidRPr="00C34520">
        <w:t>1</w:t>
      </w:r>
      <w:r w:rsidRPr="00C34520">
        <w:t xml:space="preserve"> 20vPCV trial and the PNEU-PED 15vPCV trial using GMR after the toddler dose for evaluable immunogenicity populations are presented </w:t>
      </w:r>
      <w:r w:rsidRPr="00C34520">
        <w:fldChar w:fldCharType="begin"/>
      </w:r>
      <w:r w:rsidRPr="00C34520">
        <w:instrText xml:space="preserve"> REF _Ref143773708 \h </w:instrText>
      </w:r>
      <w:r w:rsidRPr="00C34520">
        <w:fldChar w:fldCharType="separate"/>
      </w:r>
      <w:r w:rsidR="009523CC" w:rsidRPr="00C34520">
        <w:t xml:space="preserve">Figure </w:t>
      </w:r>
      <w:r w:rsidR="009523CC">
        <w:rPr>
          <w:noProof/>
        </w:rPr>
        <w:t>2</w:t>
      </w:r>
      <w:r w:rsidRPr="00C34520">
        <w:fldChar w:fldCharType="end"/>
      </w:r>
      <w:r w:rsidRPr="00C34520">
        <w:t>.</w:t>
      </w:r>
      <w:r w:rsidR="003369D4">
        <w:t xml:space="preserve"> </w:t>
      </w:r>
    </w:p>
    <w:p w14:paraId="524643FA" w14:textId="1FA19B3E" w:rsidR="00826D3B" w:rsidRPr="00C34520" w:rsidRDefault="00826D3B" w:rsidP="00D132A0">
      <w:pPr>
        <w:pStyle w:val="Caption"/>
      </w:pPr>
      <w:bookmarkStart w:id="43" w:name="_Ref143773708"/>
      <w:r w:rsidRPr="00C34520">
        <w:lastRenderedPageBreak/>
        <w:t xml:space="preserve">Figure </w:t>
      </w:r>
      <w:fldSimple w:instr=" SEQ Figure \* ARABIC ">
        <w:r w:rsidR="009523CC">
          <w:rPr>
            <w:noProof/>
          </w:rPr>
          <w:t>2</w:t>
        </w:r>
      </w:fldSimple>
      <w:bookmarkEnd w:id="43"/>
      <w:r w:rsidRPr="00C34520">
        <w:t>: Indirect comparison results of GMR one month after the toddler dose for 3+1 schedule – evaluable immunogenicity population</w:t>
      </w:r>
    </w:p>
    <w:p w14:paraId="6CAAB3DF" w14:textId="77777777" w:rsidR="00826D3B" w:rsidRPr="00C34520" w:rsidRDefault="00826D3B" w:rsidP="00826D3B">
      <w:r w:rsidRPr="00C34520">
        <w:rPr>
          <w:noProof/>
        </w:rPr>
        <w:drawing>
          <wp:inline distT="0" distB="0" distL="0" distR="0" wp14:anchorId="03C746DD" wp14:editId="026BD331">
            <wp:extent cx="5644128" cy="3807456"/>
            <wp:effectExtent l="0" t="0" r="0" b="3175"/>
            <wp:docPr id="1833013110" name="Picture 1833013110" descr="Figure 2: Indirect comparison results of GMR one month after the toddler dose for 3+1 schedule – evaluable immunogenici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13110" name="Picture 1833013110" descr="Figure 2: Indirect comparison results of GMR one month after the toddler dose for 3+1 schedule – evaluable immunogenicity population"/>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646668" cy="3809170"/>
                    </a:xfrm>
                    <a:prstGeom prst="rect">
                      <a:avLst/>
                    </a:prstGeom>
                    <a:noFill/>
                    <a:ln>
                      <a:noFill/>
                    </a:ln>
                    <a:extLst>
                      <a:ext uri="{53640926-AAD7-44D8-BBD7-CCE9431645EC}">
                        <a14:shadowObscured xmlns:a14="http://schemas.microsoft.com/office/drawing/2010/main"/>
                      </a:ext>
                    </a:extLst>
                  </pic:spPr>
                </pic:pic>
              </a:graphicData>
            </a:graphic>
          </wp:inline>
        </w:drawing>
      </w:r>
    </w:p>
    <w:p w14:paraId="6BC35AFC" w14:textId="77777777" w:rsidR="00826D3B" w:rsidRPr="00C34520" w:rsidRDefault="00826D3B" w:rsidP="00826D3B">
      <w:pPr>
        <w:pStyle w:val="TableFigureFooter"/>
      </w:pPr>
      <w:r w:rsidRPr="00C34520">
        <w:t>Source: Figure 2.6.6, p311 of the submission.</w:t>
      </w:r>
    </w:p>
    <w:p w14:paraId="408661D2" w14:textId="77777777" w:rsidR="00826D3B" w:rsidRPr="00C34520" w:rsidRDefault="00826D3B" w:rsidP="00826D3B">
      <w:pPr>
        <w:pStyle w:val="TableFigureFooter"/>
      </w:pPr>
      <w:r w:rsidRPr="00C34520">
        <w:t>13vPCV = 13 valent pneumococcal conjugate vaccine; 15vPCV = 15 valent pneumococcal conjugate vaccine; 20vPCV = 20 valent pneumococcal conjugate vaccine; CI = confidence interval; GMR = geometric mean ratio; SE = standard error.</w:t>
      </w:r>
    </w:p>
    <w:p w14:paraId="7E637AE5" w14:textId="0EA24194" w:rsidR="00826D3B" w:rsidRPr="00D15D0C" w:rsidRDefault="00826D3B" w:rsidP="00F625A4">
      <w:pPr>
        <w:pStyle w:val="3-BodyText"/>
        <w:rPr>
          <w:rFonts w:eastAsia="Calibri"/>
        </w:rPr>
      </w:pPr>
      <w:r w:rsidRPr="00D15D0C">
        <w:t xml:space="preserve">The submission claimed that both indirect comparisons showed non-inferiority of 20vPCV to 15vPCV for every 13vPCV serotype, except serotype 3. </w:t>
      </w:r>
      <w:bookmarkStart w:id="44" w:name="_Hlk144477577"/>
      <w:r w:rsidR="0041578B" w:rsidRPr="00902DEA">
        <w:rPr>
          <w:iCs/>
        </w:rPr>
        <w:t>The ESC considered that this was reasonable.</w:t>
      </w:r>
      <w:r w:rsidR="0041578B">
        <w:t xml:space="preserve"> </w:t>
      </w:r>
      <w:bookmarkEnd w:id="44"/>
    </w:p>
    <w:p w14:paraId="496E9994" w14:textId="020122BB" w:rsidR="00826D3B" w:rsidRPr="00D15D0C" w:rsidRDefault="00826D3B" w:rsidP="00F625A4">
      <w:pPr>
        <w:pStyle w:val="3-BodyText"/>
        <w:rPr>
          <w:rFonts w:eastAsia="Calibri"/>
        </w:rPr>
      </w:pPr>
      <w:r w:rsidRPr="00C34520">
        <w:t>The submission claimed that 20vPCV was superior to 15vPCV</w:t>
      </w:r>
      <w:r w:rsidR="00A66B18" w:rsidRPr="00902DEA">
        <w:t xml:space="preserve"> in the additional 5 serotypes as well as the 2 serotypes contained in 15vPCV but not</w:t>
      </w:r>
      <w:r w:rsidRPr="00C34520">
        <w:t xml:space="preserve"> 13vPCV</w:t>
      </w:r>
      <w:r w:rsidR="00A66B18">
        <w:t xml:space="preserve"> </w:t>
      </w:r>
      <w:r w:rsidR="003B768C" w:rsidRPr="00902DEA">
        <w:t>(22F and 33F)</w:t>
      </w:r>
      <w:r w:rsidRPr="00902DEA">
        <w:t>. Th</w:t>
      </w:r>
      <w:r w:rsidR="00C3399D" w:rsidRPr="00902DEA">
        <w:t>e</w:t>
      </w:r>
      <w:r w:rsidR="000F421E" w:rsidRPr="00902DEA">
        <w:t xml:space="preserve"> </w:t>
      </w:r>
      <w:r w:rsidR="00C3399D" w:rsidRPr="00902DEA">
        <w:t>ESC</w:t>
      </w:r>
      <w:r w:rsidR="00646DE4" w:rsidRPr="00902DEA">
        <w:t xml:space="preserve"> considered that this was </w:t>
      </w:r>
      <w:r w:rsidRPr="00902DEA">
        <w:t>reasonable.</w:t>
      </w:r>
    </w:p>
    <w:p w14:paraId="401928C4" w14:textId="146EF4CD" w:rsidR="00826D3B" w:rsidRPr="00902DEA" w:rsidRDefault="00826D3B" w:rsidP="00F625A4">
      <w:pPr>
        <w:pStyle w:val="3-BodyText"/>
        <w:rPr>
          <w:rFonts w:eastAsia="Calibri"/>
          <w:iCs/>
        </w:rPr>
      </w:pPr>
      <w:r w:rsidRPr="00C34520">
        <w:rPr>
          <w:rFonts w:eastAsia="Calibri"/>
        </w:rPr>
        <w:t>The submission acknowledged that not meeting the non-inferiority criteria in the indirect comparisons for serotype 3 or the observed superiority for serotypes 22F and 33F might be due to transitivity issues</w:t>
      </w:r>
      <w:r w:rsidRPr="00902DEA">
        <w:rPr>
          <w:rFonts w:eastAsia="Calibri"/>
          <w:iCs/>
        </w:rPr>
        <w:t xml:space="preserve">. </w:t>
      </w:r>
    </w:p>
    <w:p w14:paraId="203DB8E1" w14:textId="51BB9DEE" w:rsidR="00826D3B" w:rsidRPr="00C34520" w:rsidRDefault="00826D3B" w:rsidP="00F625A4">
      <w:pPr>
        <w:pStyle w:val="3-BodyText"/>
        <w:rPr>
          <w:rFonts w:eastAsia="Calibri"/>
        </w:rPr>
      </w:pPr>
      <w:r w:rsidRPr="00C34520">
        <w:rPr>
          <w:rFonts w:eastAsia="Calibri"/>
        </w:rPr>
        <w:fldChar w:fldCharType="begin"/>
      </w:r>
      <w:r w:rsidRPr="00C34520">
        <w:rPr>
          <w:rFonts w:eastAsia="Calibri"/>
        </w:rPr>
        <w:instrText xml:space="preserve"> REF _Ref143773722 \h </w:instrText>
      </w:r>
      <w:r w:rsidRPr="00C34520">
        <w:rPr>
          <w:rFonts w:eastAsia="Calibri"/>
        </w:rPr>
      </w:r>
      <w:r w:rsidRPr="00C34520">
        <w:rPr>
          <w:rFonts w:eastAsia="Calibri"/>
        </w:rPr>
        <w:fldChar w:fldCharType="separate"/>
      </w:r>
      <w:r w:rsidR="009523CC" w:rsidRPr="00C34520">
        <w:t xml:space="preserve">Table </w:t>
      </w:r>
      <w:r w:rsidR="009523CC">
        <w:rPr>
          <w:noProof/>
        </w:rPr>
        <w:t>10</w:t>
      </w:r>
      <w:r w:rsidRPr="00C34520">
        <w:rPr>
          <w:rFonts w:eastAsia="Calibri"/>
        </w:rPr>
        <w:fldChar w:fldCharType="end"/>
      </w:r>
      <w:r w:rsidRPr="00C34520">
        <w:rPr>
          <w:rFonts w:eastAsia="Calibri"/>
        </w:rPr>
        <w:t xml:space="preserve"> presents a summary of evidence in the submission regarding GMR one month after the toddler dose indicating if the non</w:t>
      </w:r>
      <w:r w:rsidRPr="00C34520">
        <w:rPr>
          <w:rFonts w:eastAsia="Calibri"/>
        </w:rPr>
        <w:noBreakHyphen/>
        <w:t>inferiority criteria were met comparing 20vPCV against 13vPCV or 15vPCV.</w:t>
      </w:r>
    </w:p>
    <w:p w14:paraId="7AEA42C3" w14:textId="6FBF0155" w:rsidR="00826D3B" w:rsidRPr="00C34520" w:rsidRDefault="00826D3B" w:rsidP="00D132A0">
      <w:pPr>
        <w:pStyle w:val="Caption"/>
      </w:pPr>
      <w:bookmarkStart w:id="45" w:name="_Ref143773722"/>
      <w:r w:rsidRPr="00C34520">
        <w:lastRenderedPageBreak/>
        <w:t xml:space="preserve">Table </w:t>
      </w:r>
      <w:fldSimple w:instr=" SEQ Table \* ARABIC ">
        <w:r w:rsidR="009523CC">
          <w:rPr>
            <w:noProof/>
          </w:rPr>
          <w:t>10</w:t>
        </w:r>
      </w:fldSimple>
      <w:bookmarkEnd w:id="45"/>
      <w:r w:rsidRPr="00C34520">
        <w:t>:</w:t>
      </w:r>
      <w:r w:rsidRPr="00C34520">
        <w:rPr>
          <w:rStyle w:val="CommentReference"/>
          <w:b/>
          <w:szCs w:val="24"/>
        </w:rPr>
        <w:t xml:space="preserve"> </w:t>
      </w:r>
      <w:r w:rsidRPr="00C34520">
        <w:t>Summary demonstrating if non-inferiority criteria were met across serotypes evaluated for GMR one month after the toddler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292"/>
        <w:gridCol w:w="2290"/>
        <w:gridCol w:w="1733"/>
        <w:gridCol w:w="1766"/>
      </w:tblGrid>
      <w:tr w:rsidR="00826D3B" w:rsidRPr="00C34520" w14:paraId="3D3B4389" w14:textId="77777777" w:rsidTr="00667D81">
        <w:trPr>
          <w:trHeight w:val="20"/>
        </w:trPr>
        <w:tc>
          <w:tcPr>
            <w:tcW w:w="519" w:type="pct"/>
            <w:vMerge w:val="restart"/>
            <w:shd w:val="clear" w:color="auto" w:fill="auto"/>
            <w:noWrap/>
            <w:vAlign w:val="center"/>
            <w:hideMark/>
          </w:tcPr>
          <w:p w14:paraId="0810276F" w14:textId="77777777" w:rsidR="00826D3B" w:rsidRPr="00C34520" w:rsidRDefault="00826D3B" w:rsidP="00DE0052">
            <w:pPr>
              <w:pStyle w:val="TableFigureHeading"/>
              <w:jc w:val="center"/>
            </w:pPr>
            <w:r w:rsidRPr="00C34520">
              <w:t>Serotype</w:t>
            </w:r>
          </w:p>
        </w:tc>
        <w:tc>
          <w:tcPr>
            <w:tcW w:w="2541" w:type="pct"/>
            <w:gridSpan w:val="2"/>
            <w:shd w:val="clear" w:color="auto" w:fill="auto"/>
            <w:noWrap/>
            <w:vAlign w:val="center"/>
            <w:hideMark/>
          </w:tcPr>
          <w:p w14:paraId="6EC572B6" w14:textId="77777777" w:rsidR="00826D3B" w:rsidRPr="00C34520" w:rsidRDefault="00826D3B" w:rsidP="00DE0052">
            <w:pPr>
              <w:pStyle w:val="TableFigureHeading"/>
              <w:jc w:val="center"/>
            </w:pPr>
            <w:r w:rsidRPr="00C34520">
              <w:t>20vPCV vs 13vPCV</w:t>
            </w:r>
          </w:p>
        </w:tc>
        <w:tc>
          <w:tcPr>
            <w:tcW w:w="1940" w:type="pct"/>
            <w:gridSpan w:val="2"/>
            <w:shd w:val="clear" w:color="auto" w:fill="auto"/>
            <w:noWrap/>
            <w:vAlign w:val="center"/>
            <w:hideMark/>
          </w:tcPr>
          <w:p w14:paraId="27CEA276" w14:textId="77777777" w:rsidR="00826D3B" w:rsidRPr="00C34520" w:rsidRDefault="00826D3B" w:rsidP="00DE0052">
            <w:pPr>
              <w:pStyle w:val="TableFigureHeading"/>
              <w:jc w:val="center"/>
            </w:pPr>
            <w:r w:rsidRPr="00C34520">
              <w:t>20vPCV vs 15vPCV (indirect comparison)</w:t>
            </w:r>
          </w:p>
        </w:tc>
      </w:tr>
      <w:tr w:rsidR="00826D3B" w:rsidRPr="00C34520" w14:paraId="69237BAA" w14:textId="77777777" w:rsidTr="00667D81">
        <w:trPr>
          <w:trHeight w:val="20"/>
        </w:trPr>
        <w:tc>
          <w:tcPr>
            <w:tcW w:w="519" w:type="pct"/>
            <w:vMerge/>
            <w:shd w:val="clear" w:color="auto" w:fill="auto"/>
            <w:noWrap/>
            <w:vAlign w:val="center"/>
            <w:hideMark/>
          </w:tcPr>
          <w:p w14:paraId="259AC13A" w14:textId="77777777" w:rsidR="00826D3B" w:rsidRPr="00C34520" w:rsidRDefault="00826D3B" w:rsidP="00DE0052">
            <w:pPr>
              <w:pStyle w:val="TableFigureHeading"/>
              <w:jc w:val="center"/>
            </w:pPr>
          </w:p>
        </w:tc>
        <w:tc>
          <w:tcPr>
            <w:tcW w:w="1271" w:type="pct"/>
            <w:shd w:val="clear" w:color="auto" w:fill="auto"/>
            <w:noWrap/>
            <w:vAlign w:val="center"/>
            <w:hideMark/>
          </w:tcPr>
          <w:p w14:paraId="3CF39B79" w14:textId="77777777" w:rsidR="00826D3B" w:rsidRPr="00C34520" w:rsidRDefault="00826D3B" w:rsidP="00DE0052">
            <w:pPr>
              <w:pStyle w:val="TableFigureHeading"/>
              <w:jc w:val="center"/>
            </w:pPr>
            <w:r w:rsidRPr="00C34520">
              <w:t>B7471012 (2+1 schedule)</w:t>
            </w:r>
          </w:p>
        </w:tc>
        <w:tc>
          <w:tcPr>
            <w:tcW w:w="1270" w:type="pct"/>
            <w:shd w:val="clear" w:color="auto" w:fill="auto"/>
            <w:noWrap/>
            <w:vAlign w:val="center"/>
            <w:hideMark/>
          </w:tcPr>
          <w:p w14:paraId="68A03CC8" w14:textId="77777777" w:rsidR="00826D3B" w:rsidRPr="00C34520" w:rsidRDefault="00826D3B" w:rsidP="00DE0052">
            <w:pPr>
              <w:pStyle w:val="TableFigureHeading"/>
              <w:jc w:val="center"/>
            </w:pPr>
            <w:r w:rsidRPr="00C34520">
              <w:t>B7471011 (3+1 schedule)</w:t>
            </w:r>
          </w:p>
        </w:tc>
        <w:tc>
          <w:tcPr>
            <w:tcW w:w="961" w:type="pct"/>
            <w:shd w:val="clear" w:color="auto" w:fill="auto"/>
            <w:noWrap/>
            <w:vAlign w:val="center"/>
            <w:hideMark/>
          </w:tcPr>
          <w:p w14:paraId="6648BDF7" w14:textId="77777777" w:rsidR="00826D3B" w:rsidRPr="00C34520" w:rsidRDefault="00826D3B" w:rsidP="00DE0052">
            <w:pPr>
              <w:pStyle w:val="TableFigureHeading"/>
              <w:jc w:val="center"/>
            </w:pPr>
            <w:r w:rsidRPr="00C34520">
              <w:t>2+1 schedule</w:t>
            </w:r>
          </w:p>
        </w:tc>
        <w:tc>
          <w:tcPr>
            <w:tcW w:w="980" w:type="pct"/>
            <w:shd w:val="clear" w:color="auto" w:fill="auto"/>
            <w:noWrap/>
            <w:vAlign w:val="center"/>
            <w:hideMark/>
          </w:tcPr>
          <w:p w14:paraId="0FAC897F" w14:textId="77777777" w:rsidR="00826D3B" w:rsidRPr="00C34520" w:rsidRDefault="00826D3B" w:rsidP="00DE0052">
            <w:pPr>
              <w:pStyle w:val="TableFigureHeading"/>
              <w:jc w:val="center"/>
            </w:pPr>
            <w:r w:rsidRPr="00C34520">
              <w:t>3+1 schedule</w:t>
            </w:r>
          </w:p>
        </w:tc>
      </w:tr>
      <w:tr w:rsidR="00826D3B" w:rsidRPr="00C34520" w14:paraId="30A4245C" w14:textId="77777777" w:rsidTr="00667D81">
        <w:trPr>
          <w:trHeight w:val="20"/>
        </w:trPr>
        <w:tc>
          <w:tcPr>
            <w:tcW w:w="5000" w:type="pct"/>
            <w:gridSpan w:val="5"/>
            <w:shd w:val="clear" w:color="auto" w:fill="auto"/>
            <w:noWrap/>
            <w:vAlign w:val="center"/>
          </w:tcPr>
          <w:p w14:paraId="114C213F" w14:textId="77777777" w:rsidR="00826D3B" w:rsidRPr="00C34520" w:rsidRDefault="00826D3B" w:rsidP="00DE0052">
            <w:pPr>
              <w:pStyle w:val="TableFigureHeading"/>
            </w:pPr>
            <w:r w:rsidRPr="00C34520">
              <w:t>13vPCV</w:t>
            </w:r>
          </w:p>
        </w:tc>
      </w:tr>
      <w:tr w:rsidR="00826D3B" w:rsidRPr="00C34520" w14:paraId="7384E0A7" w14:textId="77777777" w:rsidTr="00667D81">
        <w:trPr>
          <w:trHeight w:val="20"/>
        </w:trPr>
        <w:tc>
          <w:tcPr>
            <w:tcW w:w="519" w:type="pct"/>
            <w:shd w:val="clear" w:color="auto" w:fill="auto"/>
            <w:hideMark/>
          </w:tcPr>
          <w:p w14:paraId="2413B949" w14:textId="77777777" w:rsidR="00826D3B" w:rsidRPr="00C34520" w:rsidRDefault="00826D3B" w:rsidP="00DE0052">
            <w:pPr>
              <w:pStyle w:val="TableText0"/>
            </w:pPr>
            <w:r w:rsidRPr="00C34520">
              <w:t>1</w:t>
            </w:r>
          </w:p>
        </w:tc>
        <w:tc>
          <w:tcPr>
            <w:tcW w:w="1271" w:type="pct"/>
            <w:shd w:val="clear" w:color="auto" w:fill="auto"/>
            <w:vAlign w:val="center"/>
          </w:tcPr>
          <w:p w14:paraId="23B7F386" w14:textId="77777777" w:rsidR="00826D3B" w:rsidRPr="00C34520" w:rsidRDefault="00826D3B" w:rsidP="00DE0052">
            <w:pPr>
              <w:pStyle w:val="TableText0"/>
              <w:jc w:val="center"/>
            </w:pPr>
            <w:r w:rsidRPr="00C34520">
              <w:t>Y (13v)</w:t>
            </w:r>
          </w:p>
        </w:tc>
        <w:tc>
          <w:tcPr>
            <w:tcW w:w="1270" w:type="pct"/>
            <w:shd w:val="clear" w:color="auto" w:fill="auto"/>
          </w:tcPr>
          <w:p w14:paraId="63061286" w14:textId="77777777" w:rsidR="00826D3B" w:rsidRPr="00C34520" w:rsidRDefault="00826D3B" w:rsidP="00DE0052">
            <w:pPr>
              <w:pStyle w:val="TableText0"/>
              <w:jc w:val="center"/>
            </w:pPr>
            <w:r w:rsidRPr="00C34520">
              <w:t>Y (13v)</w:t>
            </w:r>
          </w:p>
        </w:tc>
        <w:tc>
          <w:tcPr>
            <w:tcW w:w="961" w:type="pct"/>
            <w:shd w:val="clear" w:color="auto" w:fill="auto"/>
            <w:vAlign w:val="center"/>
          </w:tcPr>
          <w:p w14:paraId="7B019D61" w14:textId="77777777" w:rsidR="00826D3B" w:rsidRPr="00C34520" w:rsidRDefault="00826D3B" w:rsidP="00DE0052">
            <w:pPr>
              <w:pStyle w:val="TableText0"/>
              <w:jc w:val="center"/>
            </w:pPr>
            <w:r w:rsidRPr="00C34520">
              <w:t>Y</w:t>
            </w:r>
          </w:p>
        </w:tc>
        <w:tc>
          <w:tcPr>
            <w:tcW w:w="980" w:type="pct"/>
            <w:shd w:val="clear" w:color="auto" w:fill="auto"/>
            <w:vAlign w:val="center"/>
          </w:tcPr>
          <w:p w14:paraId="07FF985D" w14:textId="77777777" w:rsidR="00826D3B" w:rsidRPr="00C34520" w:rsidRDefault="00826D3B" w:rsidP="00DE0052">
            <w:pPr>
              <w:pStyle w:val="TableText0"/>
              <w:jc w:val="center"/>
            </w:pPr>
            <w:r w:rsidRPr="00C34520">
              <w:t>Y</w:t>
            </w:r>
          </w:p>
        </w:tc>
      </w:tr>
      <w:tr w:rsidR="00826D3B" w:rsidRPr="00C34520" w14:paraId="5ED99BA5" w14:textId="77777777" w:rsidTr="00667D81">
        <w:trPr>
          <w:trHeight w:val="20"/>
        </w:trPr>
        <w:tc>
          <w:tcPr>
            <w:tcW w:w="519" w:type="pct"/>
            <w:shd w:val="clear" w:color="auto" w:fill="auto"/>
            <w:hideMark/>
          </w:tcPr>
          <w:p w14:paraId="4BAB61B3" w14:textId="77777777" w:rsidR="00826D3B" w:rsidRPr="00C34520" w:rsidRDefault="00826D3B" w:rsidP="00DE0052">
            <w:pPr>
              <w:pStyle w:val="TableText0"/>
            </w:pPr>
            <w:r w:rsidRPr="00C34520">
              <w:t>3</w:t>
            </w:r>
          </w:p>
        </w:tc>
        <w:tc>
          <w:tcPr>
            <w:tcW w:w="1271" w:type="pct"/>
            <w:shd w:val="clear" w:color="auto" w:fill="auto"/>
          </w:tcPr>
          <w:p w14:paraId="08CFF3C3" w14:textId="77777777" w:rsidR="00826D3B" w:rsidRPr="00C34520" w:rsidRDefault="00826D3B" w:rsidP="00DE0052">
            <w:pPr>
              <w:pStyle w:val="TableText0"/>
              <w:jc w:val="center"/>
            </w:pPr>
            <w:r w:rsidRPr="00C34520">
              <w:t>Y (13v)</w:t>
            </w:r>
          </w:p>
        </w:tc>
        <w:tc>
          <w:tcPr>
            <w:tcW w:w="1270" w:type="pct"/>
            <w:shd w:val="clear" w:color="auto" w:fill="auto"/>
          </w:tcPr>
          <w:p w14:paraId="2CC72A40" w14:textId="77777777" w:rsidR="00826D3B" w:rsidRPr="00C34520" w:rsidRDefault="00826D3B" w:rsidP="00DE0052">
            <w:pPr>
              <w:pStyle w:val="TableText0"/>
              <w:jc w:val="center"/>
            </w:pPr>
            <w:r w:rsidRPr="00C34520">
              <w:t>Y (13v)</w:t>
            </w:r>
          </w:p>
        </w:tc>
        <w:tc>
          <w:tcPr>
            <w:tcW w:w="961" w:type="pct"/>
            <w:shd w:val="clear" w:color="auto" w:fill="FF0000"/>
            <w:vAlign w:val="center"/>
          </w:tcPr>
          <w:p w14:paraId="6FACABBE" w14:textId="77777777" w:rsidR="00826D3B" w:rsidRPr="00C34520" w:rsidRDefault="00826D3B" w:rsidP="00DE0052">
            <w:pPr>
              <w:pStyle w:val="TableText0"/>
              <w:jc w:val="center"/>
            </w:pPr>
            <w:r w:rsidRPr="00C34520">
              <w:t>N</w:t>
            </w:r>
          </w:p>
        </w:tc>
        <w:tc>
          <w:tcPr>
            <w:tcW w:w="980" w:type="pct"/>
            <w:shd w:val="clear" w:color="auto" w:fill="FF0000"/>
            <w:vAlign w:val="center"/>
          </w:tcPr>
          <w:p w14:paraId="4E4597B3" w14:textId="77777777" w:rsidR="00826D3B" w:rsidRPr="00C34520" w:rsidRDefault="00826D3B" w:rsidP="00DE0052">
            <w:pPr>
              <w:pStyle w:val="TableText0"/>
              <w:jc w:val="center"/>
            </w:pPr>
            <w:r w:rsidRPr="00C34520">
              <w:t>N</w:t>
            </w:r>
          </w:p>
        </w:tc>
      </w:tr>
      <w:tr w:rsidR="00826D3B" w:rsidRPr="00C34520" w14:paraId="1934B593" w14:textId="77777777" w:rsidTr="00667D81">
        <w:trPr>
          <w:trHeight w:val="20"/>
        </w:trPr>
        <w:tc>
          <w:tcPr>
            <w:tcW w:w="519" w:type="pct"/>
            <w:shd w:val="clear" w:color="auto" w:fill="auto"/>
            <w:hideMark/>
          </w:tcPr>
          <w:p w14:paraId="5D34FF2D" w14:textId="77777777" w:rsidR="00826D3B" w:rsidRPr="00C34520" w:rsidRDefault="00826D3B" w:rsidP="00DE0052">
            <w:pPr>
              <w:pStyle w:val="TableText0"/>
            </w:pPr>
            <w:r w:rsidRPr="00C34520">
              <w:t>4</w:t>
            </w:r>
          </w:p>
        </w:tc>
        <w:tc>
          <w:tcPr>
            <w:tcW w:w="1271" w:type="pct"/>
            <w:shd w:val="clear" w:color="auto" w:fill="auto"/>
          </w:tcPr>
          <w:p w14:paraId="552E5350" w14:textId="77777777" w:rsidR="00826D3B" w:rsidRPr="00C34520" w:rsidRDefault="00826D3B" w:rsidP="00DE0052">
            <w:pPr>
              <w:pStyle w:val="TableText0"/>
              <w:jc w:val="center"/>
            </w:pPr>
            <w:r w:rsidRPr="00C34520">
              <w:t>Y (13v)</w:t>
            </w:r>
          </w:p>
        </w:tc>
        <w:tc>
          <w:tcPr>
            <w:tcW w:w="1270" w:type="pct"/>
            <w:shd w:val="clear" w:color="auto" w:fill="auto"/>
          </w:tcPr>
          <w:p w14:paraId="6D3F0877" w14:textId="77777777" w:rsidR="00826D3B" w:rsidRPr="00C34520" w:rsidRDefault="00826D3B" w:rsidP="00DE0052">
            <w:pPr>
              <w:pStyle w:val="TableText0"/>
              <w:jc w:val="center"/>
            </w:pPr>
            <w:r w:rsidRPr="00C34520">
              <w:t>Y (13v)</w:t>
            </w:r>
          </w:p>
        </w:tc>
        <w:tc>
          <w:tcPr>
            <w:tcW w:w="961" w:type="pct"/>
            <w:shd w:val="clear" w:color="auto" w:fill="auto"/>
            <w:vAlign w:val="center"/>
          </w:tcPr>
          <w:p w14:paraId="2634A65B" w14:textId="77777777" w:rsidR="00826D3B" w:rsidRPr="00C34520" w:rsidRDefault="00826D3B" w:rsidP="00DE0052">
            <w:pPr>
              <w:pStyle w:val="TableText0"/>
              <w:jc w:val="center"/>
            </w:pPr>
            <w:r w:rsidRPr="00C34520">
              <w:t>Y</w:t>
            </w:r>
          </w:p>
        </w:tc>
        <w:tc>
          <w:tcPr>
            <w:tcW w:w="980" w:type="pct"/>
            <w:shd w:val="clear" w:color="auto" w:fill="auto"/>
            <w:vAlign w:val="center"/>
          </w:tcPr>
          <w:p w14:paraId="4CDEC4E7" w14:textId="77777777" w:rsidR="00826D3B" w:rsidRPr="00C34520" w:rsidRDefault="00826D3B" w:rsidP="00DE0052">
            <w:pPr>
              <w:pStyle w:val="TableText0"/>
              <w:jc w:val="center"/>
            </w:pPr>
            <w:r w:rsidRPr="00C34520">
              <w:t>Y</w:t>
            </w:r>
          </w:p>
        </w:tc>
      </w:tr>
      <w:tr w:rsidR="00826D3B" w:rsidRPr="00C34520" w14:paraId="3CEDC26D" w14:textId="77777777" w:rsidTr="00667D81">
        <w:trPr>
          <w:trHeight w:val="20"/>
        </w:trPr>
        <w:tc>
          <w:tcPr>
            <w:tcW w:w="519" w:type="pct"/>
            <w:shd w:val="clear" w:color="auto" w:fill="auto"/>
            <w:hideMark/>
          </w:tcPr>
          <w:p w14:paraId="16269236" w14:textId="77777777" w:rsidR="00826D3B" w:rsidRPr="00C34520" w:rsidRDefault="00826D3B" w:rsidP="00DE0052">
            <w:pPr>
              <w:pStyle w:val="TableText0"/>
            </w:pPr>
            <w:r w:rsidRPr="00C34520">
              <w:t>5</w:t>
            </w:r>
          </w:p>
        </w:tc>
        <w:tc>
          <w:tcPr>
            <w:tcW w:w="1271" w:type="pct"/>
            <w:shd w:val="clear" w:color="auto" w:fill="auto"/>
          </w:tcPr>
          <w:p w14:paraId="60C3D1DF" w14:textId="77777777" w:rsidR="00826D3B" w:rsidRPr="00C34520" w:rsidRDefault="00826D3B" w:rsidP="00DE0052">
            <w:pPr>
              <w:pStyle w:val="TableText0"/>
              <w:jc w:val="center"/>
            </w:pPr>
            <w:r w:rsidRPr="00C34520">
              <w:t>Y (13v)</w:t>
            </w:r>
          </w:p>
        </w:tc>
        <w:tc>
          <w:tcPr>
            <w:tcW w:w="1270" w:type="pct"/>
            <w:shd w:val="clear" w:color="auto" w:fill="auto"/>
          </w:tcPr>
          <w:p w14:paraId="535730F3" w14:textId="77777777" w:rsidR="00826D3B" w:rsidRPr="00C34520" w:rsidRDefault="00826D3B" w:rsidP="00DE0052">
            <w:pPr>
              <w:pStyle w:val="TableText0"/>
              <w:jc w:val="center"/>
            </w:pPr>
            <w:r w:rsidRPr="00C34520">
              <w:t>Y (13v)</w:t>
            </w:r>
          </w:p>
        </w:tc>
        <w:tc>
          <w:tcPr>
            <w:tcW w:w="961" w:type="pct"/>
            <w:shd w:val="clear" w:color="auto" w:fill="auto"/>
            <w:vAlign w:val="center"/>
          </w:tcPr>
          <w:p w14:paraId="52FDCB6B" w14:textId="77777777" w:rsidR="00826D3B" w:rsidRPr="00C34520" w:rsidRDefault="00826D3B" w:rsidP="00DE0052">
            <w:pPr>
              <w:pStyle w:val="TableText0"/>
              <w:jc w:val="center"/>
            </w:pPr>
            <w:r w:rsidRPr="00C34520">
              <w:t>Y (20v)</w:t>
            </w:r>
          </w:p>
        </w:tc>
        <w:tc>
          <w:tcPr>
            <w:tcW w:w="980" w:type="pct"/>
            <w:shd w:val="clear" w:color="auto" w:fill="auto"/>
            <w:vAlign w:val="center"/>
          </w:tcPr>
          <w:p w14:paraId="6D71AC59" w14:textId="77777777" w:rsidR="00826D3B" w:rsidRPr="00C34520" w:rsidRDefault="00826D3B" w:rsidP="00DE0052">
            <w:pPr>
              <w:pStyle w:val="TableText0"/>
              <w:jc w:val="center"/>
            </w:pPr>
            <w:r w:rsidRPr="00C34520">
              <w:t>Y (20v)</w:t>
            </w:r>
          </w:p>
        </w:tc>
      </w:tr>
      <w:tr w:rsidR="00826D3B" w:rsidRPr="00C34520" w14:paraId="08DB91E2" w14:textId="77777777" w:rsidTr="00667D81">
        <w:trPr>
          <w:trHeight w:val="20"/>
        </w:trPr>
        <w:tc>
          <w:tcPr>
            <w:tcW w:w="519" w:type="pct"/>
            <w:shd w:val="clear" w:color="auto" w:fill="auto"/>
            <w:hideMark/>
          </w:tcPr>
          <w:p w14:paraId="08489F40" w14:textId="77777777" w:rsidR="00826D3B" w:rsidRPr="00C34520" w:rsidRDefault="00826D3B" w:rsidP="00DE0052">
            <w:pPr>
              <w:pStyle w:val="TableText0"/>
            </w:pPr>
            <w:r w:rsidRPr="00C34520">
              <w:t>6A</w:t>
            </w:r>
          </w:p>
        </w:tc>
        <w:tc>
          <w:tcPr>
            <w:tcW w:w="1271" w:type="pct"/>
            <w:shd w:val="clear" w:color="auto" w:fill="auto"/>
          </w:tcPr>
          <w:p w14:paraId="651210F2" w14:textId="77777777" w:rsidR="00826D3B" w:rsidRPr="00C34520" w:rsidRDefault="00826D3B" w:rsidP="00DE0052">
            <w:pPr>
              <w:pStyle w:val="TableText0"/>
              <w:jc w:val="center"/>
            </w:pPr>
            <w:r w:rsidRPr="00C34520">
              <w:t>Y (13v)</w:t>
            </w:r>
          </w:p>
        </w:tc>
        <w:tc>
          <w:tcPr>
            <w:tcW w:w="1270" w:type="pct"/>
            <w:shd w:val="clear" w:color="auto" w:fill="auto"/>
          </w:tcPr>
          <w:p w14:paraId="012104AF" w14:textId="77777777" w:rsidR="00826D3B" w:rsidRPr="00C34520" w:rsidRDefault="00826D3B" w:rsidP="00DE0052">
            <w:pPr>
              <w:pStyle w:val="TableText0"/>
              <w:jc w:val="center"/>
            </w:pPr>
            <w:r w:rsidRPr="00C34520">
              <w:t>Y (13v)</w:t>
            </w:r>
          </w:p>
        </w:tc>
        <w:tc>
          <w:tcPr>
            <w:tcW w:w="961" w:type="pct"/>
            <w:shd w:val="clear" w:color="auto" w:fill="auto"/>
            <w:vAlign w:val="center"/>
          </w:tcPr>
          <w:p w14:paraId="6ABD6F36" w14:textId="77777777" w:rsidR="00826D3B" w:rsidRPr="00C34520" w:rsidRDefault="00826D3B" w:rsidP="00DE0052">
            <w:pPr>
              <w:pStyle w:val="TableText0"/>
              <w:jc w:val="center"/>
            </w:pPr>
            <w:r w:rsidRPr="00C34520">
              <w:t>Y</w:t>
            </w:r>
          </w:p>
        </w:tc>
        <w:tc>
          <w:tcPr>
            <w:tcW w:w="980" w:type="pct"/>
            <w:shd w:val="clear" w:color="auto" w:fill="auto"/>
            <w:vAlign w:val="center"/>
          </w:tcPr>
          <w:p w14:paraId="006048F5" w14:textId="77777777" w:rsidR="00826D3B" w:rsidRPr="00C34520" w:rsidRDefault="00826D3B" w:rsidP="00DE0052">
            <w:pPr>
              <w:pStyle w:val="TableText0"/>
              <w:jc w:val="center"/>
            </w:pPr>
            <w:r w:rsidRPr="00C34520">
              <w:t>Y (20v)</w:t>
            </w:r>
          </w:p>
        </w:tc>
      </w:tr>
      <w:tr w:rsidR="00826D3B" w:rsidRPr="00C34520" w14:paraId="5C1CF2BE" w14:textId="77777777" w:rsidTr="00667D81">
        <w:trPr>
          <w:trHeight w:val="20"/>
        </w:trPr>
        <w:tc>
          <w:tcPr>
            <w:tcW w:w="519" w:type="pct"/>
            <w:shd w:val="clear" w:color="auto" w:fill="auto"/>
            <w:hideMark/>
          </w:tcPr>
          <w:p w14:paraId="6A784B64" w14:textId="77777777" w:rsidR="00826D3B" w:rsidRPr="00C34520" w:rsidRDefault="00826D3B" w:rsidP="00DE0052">
            <w:pPr>
              <w:pStyle w:val="TableText0"/>
            </w:pPr>
            <w:r w:rsidRPr="00C34520">
              <w:t>6B</w:t>
            </w:r>
          </w:p>
        </w:tc>
        <w:tc>
          <w:tcPr>
            <w:tcW w:w="1271" w:type="pct"/>
            <w:shd w:val="clear" w:color="auto" w:fill="FF0000"/>
            <w:vAlign w:val="center"/>
          </w:tcPr>
          <w:p w14:paraId="23F11DB4" w14:textId="77777777" w:rsidR="00826D3B" w:rsidRPr="00C34520" w:rsidRDefault="00826D3B" w:rsidP="00DE0052">
            <w:pPr>
              <w:pStyle w:val="TableText0"/>
              <w:jc w:val="center"/>
            </w:pPr>
            <w:r w:rsidRPr="00C34520">
              <w:t>N</w:t>
            </w:r>
          </w:p>
        </w:tc>
        <w:tc>
          <w:tcPr>
            <w:tcW w:w="1270" w:type="pct"/>
            <w:shd w:val="clear" w:color="auto" w:fill="auto"/>
          </w:tcPr>
          <w:p w14:paraId="740D3989" w14:textId="77777777" w:rsidR="00826D3B" w:rsidRPr="00C34520" w:rsidRDefault="00826D3B" w:rsidP="00DE0052">
            <w:pPr>
              <w:pStyle w:val="TableText0"/>
              <w:jc w:val="center"/>
            </w:pPr>
            <w:r w:rsidRPr="00C34520">
              <w:t>Y (13v)</w:t>
            </w:r>
          </w:p>
        </w:tc>
        <w:tc>
          <w:tcPr>
            <w:tcW w:w="961" w:type="pct"/>
            <w:shd w:val="clear" w:color="auto" w:fill="auto"/>
            <w:vAlign w:val="center"/>
          </w:tcPr>
          <w:p w14:paraId="3A6530FC" w14:textId="77777777" w:rsidR="00826D3B" w:rsidRPr="00C34520" w:rsidRDefault="00826D3B" w:rsidP="00DE0052">
            <w:pPr>
              <w:pStyle w:val="TableText0"/>
              <w:jc w:val="center"/>
            </w:pPr>
            <w:r w:rsidRPr="00C34520">
              <w:t>Y (15v)</w:t>
            </w:r>
          </w:p>
        </w:tc>
        <w:tc>
          <w:tcPr>
            <w:tcW w:w="980" w:type="pct"/>
            <w:shd w:val="clear" w:color="auto" w:fill="auto"/>
            <w:vAlign w:val="center"/>
          </w:tcPr>
          <w:p w14:paraId="571502E5" w14:textId="77777777" w:rsidR="00826D3B" w:rsidRPr="00C34520" w:rsidRDefault="00826D3B" w:rsidP="00DE0052">
            <w:pPr>
              <w:pStyle w:val="TableText0"/>
              <w:jc w:val="center"/>
            </w:pPr>
            <w:r w:rsidRPr="00C34520">
              <w:t>Y</w:t>
            </w:r>
          </w:p>
        </w:tc>
      </w:tr>
      <w:tr w:rsidR="00826D3B" w:rsidRPr="00C34520" w14:paraId="7DB9424A" w14:textId="77777777" w:rsidTr="00667D81">
        <w:trPr>
          <w:trHeight w:val="20"/>
        </w:trPr>
        <w:tc>
          <w:tcPr>
            <w:tcW w:w="519" w:type="pct"/>
            <w:shd w:val="clear" w:color="auto" w:fill="auto"/>
            <w:hideMark/>
          </w:tcPr>
          <w:p w14:paraId="5D993DE9" w14:textId="77777777" w:rsidR="00826D3B" w:rsidRPr="00C34520" w:rsidRDefault="00826D3B" w:rsidP="00DE0052">
            <w:pPr>
              <w:pStyle w:val="TableText0"/>
            </w:pPr>
            <w:r w:rsidRPr="00C34520">
              <w:t>7F</w:t>
            </w:r>
          </w:p>
        </w:tc>
        <w:tc>
          <w:tcPr>
            <w:tcW w:w="1271" w:type="pct"/>
            <w:shd w:val="clear" w:color="auto" w:fill="auto"/>
          </w:tcPr>
          <w:p w14:paraId="5AE8FA25" w14:textId="77777777" w:rsidR="00826D3B" w:rsidRPr="00C34520" w:rsidRDefault="00826D3B" w:rsidP="00DE0052">
            <w:pPr>
              <w:pStyle w:val="TableText0"/>
              <w:jc w:val="center"/>
            </w:pPr>
            <w:r w:rsidRPr="00C34520">
              <w:t>Y (13v)</w:t>
            </w:r>
          </w:p>
        </w:tc>
        <w:tc>
          <w:tcPr>
            <w:tcW w:w="1270" w:type="pct"/>
            <w:shd w:val="clear" w:color="auto" w:fill="auto"/>
          </w:tcPr>
          <w:p w14:paraId="36D149DD" w14:textId="77777777" w:rsidR="00826D3B" w:rsidRPr="00C34520" w:rsidRDefault="00826D3B" w:rsidP="00DE0052">
            <w:pPr>
              <w:pStyle w:val="TableText0"/>
              <w:jc w:val="center"/>
            </w:pPr>
            <w:r w:rsidRPr="00C34520">
              <w:t>Y (13v)</w:t>
            </w:r>
          </w:p>
        </w:tc>
        <w:tc>
          <w:tcPr>
            <w:tcW w:w="961" w:type="pct"/>
            <w:shd w:val="clear" w:color="auto" w:fill="auto"/>
            <w:vAlign w:val="center"/>
          </w:tcPr>
          <w:p w14:paraId="160B76C2" w14:textId="77777777" w:rsidR="00826D3B" w:rsidRPr="00C34520" w:rsidRDefault="00826D3B" w:rsidP="00DE0052">
            <w:pPr>
              <w:pStyle w:val="TableText0"/>
              <w:jc w:val="center"/>
            </w:pPr>
            <w:r w:rsidRPr="00C34520">
              <w:t>Y</w:t>
            </w:r>
          </w:p>
        </w:tc>
        <w:tc>
          <w:tcPr>
            <w:tcW w:w="980" w:type="pct"/>
            <w:shd w:val="clear" w:color="auto" w:fill="auto"/>
            <w:vAlign w:val="center"/>
          </w:tcPr>
          <w:p w14:paraId="50D7B14A" w14:textId="77777777" w:rsidR="00826D3B" w:rsidRPr="00C34520" w:rsidRDefault="00826D3B" w:rsidP="00DE0052">
            <w:pPr>
              <w:pStyle w:val="TableText0"/>
              <w:jc w:val="center"/>
            </w:pPr>
            <w:r w:rsidRPr="00C34520">
              <w:t>Y</w:t>
            </w:r>
          </w:p>
        </w:tc>
      </w:tr>
      <w:tr w:rsidR="00826D3B" w:rsidRPr="00C34520" w14:paraId="4CC0001A" w14:textId="77777777" w:rsidTr="00667D81">
        <w:trPr>
          <w:trHeight w:val="20"/>
        </w:trPr>
        <w:tc>
          <w:tcPr>
            <w:tcW w:w="519" w:type="pct"/>
            <w:shd w:val="clear" w:color="auto" w:fill="auto"/>
            <w:hideMark/>
          </w:tcPr>
          <w:p w14:paraId="47310BFD" w14:textId="77777777" w:rsidR="00826D3B" w:rsidRPr="00C34520" w:rsidRDefault="00826D3B" w:rsidP="00DE0052">
            <w:pPr>
              <w:pStyle w:val="TableText0"/>
            </w:pPr>
            <w:r w:rsidRPr="00C34520">
              <w:t>9V</w:t>
            </w:r>
          </w:p>
        </w:tc>
        <w:tc>
          <w:tcPr>
            <w:tcW w:w="1271" w:type="pct"/>
            <w:shd w:val="clear" w:color="auto" w:fill="auto"/>
          </w:tcPr>
          <w:p w14:paraId="3FA5D389" w14:textId="77777777" w:rsidR="00826D3B" w:rsidRPr="00C34520" w:rsidRDefault="00826D3B" w:rsidP="00DE0052">
            <w:pPr>
              <w:pStyle w:val="TableText0"/>
              <w:jc w:val="center"/>
            </w:pPr>
            <w:r w:rsidRPr="00C34520">
              <w:t>Y (13v)</w:t>
            </w:r>
          </w:p>
        </w:tc>
        <w:tc>
          <w:tcPr>
            <w:tcW w:w="1270" w:type="pct"/>
            <w:shd w:val="clear" w:color="auto" w:fill="auto"/>
          </w:tcPr>
          <w:p w14:paraId="57B0F474" w14:textId="77777777" w:rsidR="00826D3B" w:rsidRPr="00C34520" w:rsidRDefault="00826D3B" w:rsidP="00DE0052">
            <w:pPr>
              <w:pStyle w:val="TableText0"/>
              <w:jc w:val="center"/>
            </w:pPr>
            <w:r w:rsidRPr="00C34520">
              <w:t>Y (13v)</w:t>
            </w:r>
          </w:p>
        </w:tc>
        <w:tc>
          <w:tcPr>
            <w:tcW w:w="961" w:type="pct"/>
            <w:shd w:val="clear" w:color="auto" w:fill="auto"/>
            <w:vAlign w:val="center"/>
          </w:tcPr>
          <w:p w14:paraId="3A9EDD22" w14:textId="77777777" w:rsidR="00826D3B" w:rsidRPr="00C34520" w:rsidRDefault="00826D3B" w:rsidP="00DE0052">
            <w:pPr>
              <w:pStyle w:val="TableText0"/>
              <w:jc w:val="center"/>
            </w:pPr>
            <w:r w:rsidRPr="00C34520">
              <w:t>Y</w:t>
            </w:r>
          </w:p>
        </w:tc>
        <w:tc>
          <w:tcPr>
            <w:tcW w:w="980" w:type="pct"/>
            <w:shd w:val="clear" w:color="auto" w:fill="auto"/>
            <w:vAlign w:val="center"/>
          </w:tcPr>
          <w:p w14:paraId="7B9636C4" w14:textId="77777777" w:rsidR="00826D3B" w:rsidRPr="00C34520" w:rsidRDefault="00826D3B" w:rsidP="00DE0052">
            <w:pPr>
              <w:pStyle w:val="TableText0"/>
              <w:jc w:val="center"/>
            </w:pPr>
            <w:r w:rsidRPr="00C34520">
              <w:t>Y</w:t>
            </w:r>
          </w:p>
        </w:tc>
      </w:tr>
      <w:tr w:rsidR="00826D3B" w:rsidRPr="00C34520" w14:paraId="3BB27A09" w14:textId="77777777" w:rsidTr="00667D81">
        <w:trPr>
          <w:trHeight w:val="20"/>
        </w:trPr>
        <w:tc>
          <w:tcPr>
            <w:tcW w:w="519" w:type="pct"/>
            <w:shd w:val="clear" w:color="auto" w:fill="auto"/>
            <w:hideMark/>
          </w:tcPr>
          <w:p w14:paraId="7CD0CBDE" w14:textId="77777777" w:rsidR="00826D3B" w:rsidRPr="00C34520" w:rsidRDefault="00826D3B" w:rsidP="00DE0052">
            <w:pPr>
              <w:pStyle w:val="TableText0"/>
            </w:pPr>
            <w:r w:rsidRPr="00C34520">
              <w:t>14</w:t>
            </w:r>
          </w:p>
        </w:tc>
        <w:tc>
          <w:tcPr>
            <w:tcW w:w="1271" w:type="pct"/>
            <w:shd w:val="clear" w:color="auto" w:fill="auto"/>
          </w:tcPr>
          <w:p w14:paraId="712A0F76" w14:textId="77777777" w:rsidR="00826D3B" w:rsidRPr="00C34520" w:rsidRDefault="00826D3B" w:rsidP="00DE0052">
            <w:pPr>
              <w:pStyle w:val="TableText0"/>
              <w:jc w:val="center"/>
            </w:pPr>
            <w:r w:rsidRPr="00C34520">
              <w:t>Y (13v)</w:t>
            </w:r>
          </w:p>
        </w:tc>
        <w:tc>
          <w:tcPr>
            <w:tcW w:w="1270" w:type="pct"/>
            <w:shd w:val="clear" w:color="auto" w:fill="auto"/>
          </w:tcPr>
          <w:p w14:paraId="75A01FF8" w14:textId="77777777" w:rsidR="00826D3B" w:rsidRPr="00C34520" w:rsidRDefault="00826D3B" w:rsidP="00DE0052">
            <w:pPr>
              <w:pStyle w:val="TableText0"/>
              <w:jc w:val="center"/>
            </w:pPr>
            <w:r w:rsidRPr="00C34520">
              <w:t xml:space="preserve">Y </w:t>
            </w:r>
          </w:p>
        </w:tc>
        <w:tc>
          <w:tcPr>
            <w:tcW w:w="961" w:type="pct"/>
            <w:shd w:val="clear" w:color="auto" w:fill="auto"/>
            <w:vAlign w:val="center"/>
          </w:tcPr>
          <w:p w14:paraId="1AF761E9" w14:textId="77777777" w:rsidR="00826D3B" w:rsidRPr="00C34520" w:rsidRDefault="00826D3B" w:rsidP="00DE0052">
            <w:pPr>
              <w:pStyle w:val="TableText0"/>
              <w:jc w:val="center"/>
            </w:pPr>
            <w:r w:rsidRPr="00C34520">
              <w:t>Y</w:t>
            </w:r>
          </w:p>
        </w:tc>
        <w:tc>
          <w:tcPr>
            <w:tcW w:w="980" w:type="pct"/>
            <w:shd w:val="clear" w:color="auto" w:fill="auto"/>
            <w:vAlign w:val="center"/>
          </w:tcPr>
          <w:p w14:paraId="1F73E204" w14:textId="77777777" w:rsidR="00826D3B" w:rsidRPr="00C34520" w:rsidRDefault="00826D3B" w:rsidP="00DE0052">
            <w:pPr>
              <w:pStyle w:val="TableText0"/>
              <w:jc w:val="center"/>
            </w:pPr>
            <w:r w:rsidRPr="00C34520">
              <w:t>Y</w:t>
            </w:r>
          </w:p>
        </w:tc>
      </w:tr>
      <w:tr w:rsidR="00826D3B" w:rsidRPr="00C34520" w14:paraId="2F31DCE0" w14:textId="77777777" w:rsidTr="00667D81">
        <w:trPr>
          <w:trHeight w:val="20"/>
        </w:trPr>
        <w:tc>
          <w:tcPr>
            <w:tcW w:w="519" w:type="pct"/>
            <w:shd w:val="clear" w:color="auto" w:fill="auto"/>
            <w:hideMark/>
          </w:tcPr>
          <w:p w14:paraId="49008928" w14:textId="77777777" w:rsidR="00826D3B" w:rsidRPr="00C34520" w:rsidRDefault="00826D3B" w:rsidP="00DE0052">
            <w:pPr>
              <w:pStyle w:val="TableText0"/>
            </w:pPr>
            <w:r w:rsidRPr="00C34520">
              <w:t>18C</w:t>
            </w:r>
          </w:p>
        </w:tc>
        <w:tc>
          <w:tcPr>
            <w:tcW w:w="1271" w:type="pct"/>
            <w:shd w:val="clear" w:color="auto" w:fill="auto"/>
          </w:tcPr>
          <w:p w14:paraId="349A8DDC" w14:textId="77777777" w:rsidR="00826D3B" w:rsidRPr="00C34520" w:rsidRDefault="00826D3B" w:rsidP="00DE0052">
            <w:pPr>
              <w:pStyle w:val="TableText0"/>
              <w:jc w:val="center"/>
            </w:pPr>
            <w:r w:rsidRPr="00C34520">
              <w:t>Y (13v)</w:t>
            </w:r>
          </w:p>
        </w:tc>
        <w:tc>
          <w:tcPr>
            <w:tcW w:w="1270" w:type="pct"/>
            <w:shd w:val="clear" w:color="auto" w:fill="auto"/>
          </w:tcPr>
          <w:p w14:paraId="284111F5" w14:textId="77777777" w:rsidR="00826D3B" w:rsidRPr="00C34520" w:rsidRDefault="00826D3B" w:rsidP="00DE0052">
            <w:pPr>
              <w:pStyle w:val="TableText0"/>
              <w:jc w:val="center"/>
            </w:pPr>
            <w:r w:rsidRPr="00C34520">
              <w:t>Y (13v)</w:t>
            </w:r>
          </w:p>
        </w:tc>
        <w:tc>
          <w:tcPr>
            <w:tcW w:w="961" w:type="pct"/>
            <w:shd w:val="clear" w:color="auto" w:fill="auto"/>
            <w:vAlign w:val="center"/>
          </w:tcPr>
          <w:p w14:paraId="635AA018" w14:textId="77777777" w:rsidR="00826D3B" w:rsidRPr="00C34520" w:rsidRDefault="00826D3B" w:rsidP="00DE0052">
            <w:pPr>
              <w:pStyle w:val="TableText0"/>
              <w:jc w:val="center"/>
            </w:pPr>
            <w:r w:rsidRPr="00C34520">
              <w:t>Y (15v)</w:t>
            </w:r>
          </w:p>
        </w:tc>
        <w:tc>
          <w:tcPr>
            <w:tcW w:w="980" w:type="pct"/>
            <w:shd w:val="clear" w:color="auto" w:fill="auto"/>
            <w:vAlign w:val="center"/>
          </w:tcPr>
          <w:p w14:paraId="26BCAC7C" w14:textId="77777777" w:rsidR="00826D3B" w:rsidRPr="00C34520" w:rsidRDefault="00826D3B" w:rsidP="00DE0052">
            <w:pPr>
              <w:pStyle w:val="TableText0"/>
              <w:jc w:val="center"/>
            </w:pPr>
            <w:r w:rsidRPr="00C34520">
              <w:t>Y</w:t>
            </w:r>
          </w:p>
        </w:tc>
      </w:tr>
      <w:tr w:rsidR="00826D3B" w:rsidRPr="00C34520" w14:paraId="5A520B9B" w14:textId="77777777" w:rsidTr="00667D81">
        <w:trPr>
          <w:trHeight w:val="20"/>
        </w:trPr>
        <w:tc>
          <w:tcPr>
            <w:tcW w:w="519" w:type="pct"/>
            <w:shd w:val="clear" w:color="auto" w:fill="auto"/>
            <w:hideMark/>
          </w:tcPr>
          <w:p w14:paraId="26F35053" w14:textId="77777777" w:rsidR="00826D3B" w:rsidRPr="00C34520" w:rsidRDefault="00826D3B" w:rsidP="00DE0052">
            <w:pPr>
              <w:pStyle w:val="TableText0"/>
            </w:pPr>
            <w:r w:rsidRPr="00C34520">
              <w:t>19A</w:t>
            </w:r>
          </w:p>
        </w:tc>
        <w:tc>
          <w:tcPr>
            <w:tcW w:w="1271" w:type="pct"/>
            <w:shd w:val="clear" w:color="auto" w:fill="auto"/>
          </w:tcPr>
          <w:p w14:paraId="5F5D368C" w14:textId="77777777" w:rsidR="00826D3B" w:rsidRPr="00C34520" w:rsidRDefault="00826D3B" w:rsidP="00DE0052">
            <w:pPr>
              <w:pStyle w:val="TableText0"/>
              <w:jc w:val="center"/>
            </w:pPr>
            <w:r w:rsidRPr="00C34520">
              <w:t>Y (13v)</w:t>
            </w:r>
          </w:p>
        </w:tc>
        <w:tc>
          <w:tcPr>
            <w:tcW w:w="1270" w:type="pct"/>
            <w:shd w:val="clear" w:color="auto" w:fill="auto"/>
          </w:tcPr>
          <w:p w14:paraId="1602941F" w14:textId="77777777" w:rsidR="00826D3B" w:rsidRPr="00C34520" w:rsidRDefault="00826D3B" w:rsidP="00DE0052">
            <w:pPr>
              <w:pStyle w:val="TableText0"/>
              <w:jc w:val="center"/>
            </w:pPr>
            <w:r w:rsidRPr="00C34520">
              <w:t>Y (13v)</w:t>
            </w:r>
          </w:p>
        </w:tc>
        <w:tc>
          <w:tcPr>
            <w:tcW w:w="961" w:type="pct"/>
            <w:shd w:val="clear" w:color="auto" w:fill="auto"/>
            <w:vAlign w:val="center"/>
          </w:tcPr>
          <w:p w14:paraId="7BF91504" w14:textId="77777777" w:rsidR="00826D3B" w:rsidRPr="00C34520" w:rsidRDefault="00826D3B" w:rsidP="00DE0052">
            <w:pPr>
              <w:pStyle w:val="TableText0"/>
              <w:jc w:val="center"/>
            </w:pPr>
            <w:r w:rsidRPr="00C34520">
              <w:t>Y</w:t>
            </w:r>
          </w:p>
        </w:tc>
        <w:tc>
          <w:tcPr>
            <w:tcW w:w="980" w:type="pct"/>
            <w:shd w:val="clear" w:color="auto" w:fill="auto"/>
            <w:vAlign w:val="center"/>
          </w:tcPr>
          <w:p w14:paraId="1DA83DA8" w14:textId="77777777" w:rsidR="00826D3B" w:rsidRPr="00C34520" w:rsidRDefault="00826D3B" w:rsidP="00DE0052">
            <w:pPr>
              <w:pStyle w:val="TableText0"/>
              <w:jc w:val="center"/>
            </w:pPr>
            <w:r w:rsidRPr="00C34520">
              <w:t>Y (20v)</w:t>
            </w:r>
          </w:p>
        </w:tc>
      </w:tr>
      <w:tr w:rsidR="00826D3B" w:rsidRPr="00C34520" w14:paraId="27D11290" w14:textId="77777777" w:rsidTr="00667D81">
        <w:trPr>
          <w:trHeight w:val="20"/>
        </w:trPr>
        <w:tc>
          <w:tcPr>
            <w:tcW w:w="519" w:type="pct"/>
            <w:shd w:val="clear" w:color="auto" w:fill="auto"/>
            <w:hideMark/>
          </w:tcPr>
          <w:p w14:paraId="18940E48" w14:textId="77777777" w:rsidR="00826D3B" w:rsidRPr="00C34520" w:rsidRDefault="00826D3B" w:rsidP="00DE0052">
            <w:pPr>
              <w:pStyle w:val="TableText0"/>
            </w:pPr>
            <w:r w:rsidRPr="00C34520">
              <w:t>19F</w:t>
            </w:r>
          </w:p>
        </w:tc>
        <w:tc>
          <w:tcPr>
            <w:tcW w:w="1271" w:type="pct"/>
            <w:shd w:val="clear" w:color="auto" w:fill="auto"/>
          </w:tcPr>
          <w:p w14:paraId="02F492E3" w14:textId="77777777" w:rsidR="00826D3B" w:rsidRPr="00C34520" w:rsidRDefault="00826D3B" w:rsidP="00DE0052">
            <w:pPr>
              <w:pStyle w:val="TableText0"/>
              <w:jc w:val="center"/>
            </w:pPr>
            <w:r w:rsidRPr="00C34520">
              <w:t>Y (13v)</w:t>
            </w:r>
          </w:p>
        </w:tc>
        <w:tc>
          <w:tcPr>
            <w:tcW w:w="1270" w:type="pct"/>
            <w:shd w:val="clear" w:color="auto" w:fill="auto"/>
          </w:tcPr>
          <w:p w14:paraId="7BB3C0D0" w14:textId="77777777" w:rsidR="00826D3B" w:rsidRPr="00C34520" w:rsidRDefault="00826D3B" w:rsidP="00DE0052">
            <w:pPr>
              <w:pStyle w:val="TableText0"/>
              <w:jc w:val="center"/>
            </w:pPr>
            <w:r w:rsidRPr="00C34520">
              <w:t>Y (13v)</w:t>
            </w:r>
          </w:p>
        </w:tc>
        <w:tc>
          <w:tcPr>
            <w:tcW w:w="961" w:type="pct"/>
            <w:shd w:val="clear" w:color="auto" w:fill="auto"/>
            <w:vAlign w:val="center"/>
          </w:tcPr>
          <w:p w14:paraId="39F8EE2A" w14:textId="77777777" w:rsidR="00826D3B" w:rsidRPr="00C34520" w:rsidRDefault="00826D3B" w:rsidP="00DE0052">
            <w:pPr>
              <w:pStyle w:val="TableText0"/>
              <w:jc w:val="center"/>
            </w:pPr>
            <w:r w:rsidRPr="00C34520">
              <w:t>Y</w:t>
            </w:r>
          </w:p>
        </w:tc>
        <w:tc>
          <w:tcPr>
            <w:tcW w:w="980" w:type="pct"/>
            <w:shd w:val="clear" w:color="auto" w:fill="auto"/>
            <w:vAlign w:val="center"/>
          </w:tcPr>
          <w:p w14:paraId="1DD5A2BE" w14:textId="77777777" w:rsidR="00826D3B" w:rsidRPr="00C34520" w:rsidRDefault="00826D3B" w:rsidP="00DE0052">
            <w:pPr>
              <w:pStyle w:val="TableText0"/>
              <w:jc w:val="center"/>
            </w:pPr>
            <w:r w:rsidRPr="00C34520">
              <w:t>Y</w:t>
            </w:r>
          </w:p>
        </w:tc>
      </w:tr>
      <w:tr w:rsidR="00826D3B" w:rsidRPr="00C34520" w14:paraId="2D1183B1" w14:textId="77777777" w:rsidTr="00667D81">
        <w:trPr>
          <w:trHeight w:val="20"/>
        </w:trPr>
        <w:tc>
          <w:tcPr>
            <w:tcW w:w="519" w:type="pct"/>
            <w:shd w:val="clear" w:color="auto" w:fill="auto"/>
            <w:hideMark/>
          </w:tcPr>
          <w:p w14:paraId="1AC1F95A" w14:textId="77777777" w:rsidR="00826D3B" w:rsidRPr="00C34520" w:rsidRDefault="00826D3B" w:rsidP="00DE0052">
            <w:pPr>
              <w:pStyle w:val="TableText0"/>
            </w:pPr>
            <w:r w:rsidRPr="00C34520">
              <w:t>23F</w:t>
            </w:r>
          </w:p>
        </w:tc>
        <w:tc>
          <w:tcPr>
            <w:tcW w:w="1271" w:type="pct"/>
            <w:shd w:val="clear" w:color="auto" w:fill="auto"/>
          </w:tcPr>
          <w:p w14:paraId="1E87BFC6" w14:textId="77777777" w:rsidR="00826D3B" w:rsidRPr="00C34520" w:rsidRDefault="00826D3B" w:rsidP="00DE0052">
            <w:pPr>
              <w:pStyle w:val="TableText0"/>
              <w:jc w:val="center"/>
            </w:pPr>
            <w:r w:rsidRPr="00C34520">
              <w:t>Y (13v)</w:t>
            </w:r>
          </w:p>
        </w:tc>
        <w:tc>
          <w:tcPr>
            <w:tcW w:w="1270" w:type="pct"/>
            <w:shd w:val="clear" w:color="auto" w:fill="auto"/>
          </w:tcPr>
          <w:p w14:paraId="58D4CCBF" w14:textId="77777777" w:rsidR="00826D3B" w:rsidRPr="00C34520" w:rsidRDefault="00826D3B" w:rsidP="00DE0052">
            <w:pPr>
              <w:pStyle w:val="TableText0"/>
              <w:jc w:val="center"/>
            </w:pPr>
            <w:r w:rsidRPr="00C34520">
              <w:t>Y (13v)</w:t>
            </w:r>
          </w:p>
        </w:tc>
        <w:tc>
          <w:tcPr>
            <w:tcW w:w="961" w:type="pct"/>
            <w:shd w:val="clear" w:color="auto" w:fill="auto"/>
            <w:vAlign w:val="center"/>
          </w:tcPr>
          <w:p w14:paraId="76BF8F9A" w14:textId="77777777" w:rsidR="00826D3B" w:rsidRPr="00C34520" w:rsidRDefault="00826D3B" w:rsidP="00DE0052">
            <w:pPr>
              <w:pStyle w:val="TableText0"/>
              <w:jc w:val="center"/>
            </w:pPr>
            <w:r w:rsidRPr="00C34520">
              <w:t>Y (15v)</w:t>
            </w:r>
          </w:p>
        </w:tc>
        <w:tc>
          <w:tcPr>
            <w:tcW w:w="980" w:type="pct"/>
            <w:shd w:val="clear" w:color="auto" w:fill="auto"/>
            <w:vAlign w:val="center"/>
          </w:tcPr>
          <w:p w14:paraId="2DF50D71" w14:textId="77777777" w:rsidR="00826D3B" w:rsidRPr="00C34520" w:rsidRDefault="00826D3B" w:rsidP="00DE0052">
            <w:pPr>
              <w:pStyle w:val="TableText0"/>
              <w:jc w:val="center"/>
            </w:pPr>
            <w:r w:rsidRPr="00C34520">
              <w:t>Y</w:t>
            </w:r>
          </w:p>
        </w:tc>
      </w:tr>
      <w:tr w:rsidR="00826D3B" w:rsidRPr="00C34520" w14:paraId="592ECA44" w14:textId="77777777" w:rsidTr="00667D81">
        <w:trPr>
          <w:trHeight w:val="20"/>
        </w:trPr>
        <w:tc>
          <w:tcPr>
            <w:tcW w:w="5000" w:type="pct"/>
            <w:gridSpan w:val="5"/>
            <w:shd w:val="clear" w:color="auto" w:fill="auto"/>
            <w:vAlign w:val="center"/>
          </w:tcPr>
          <w:p w14:paraId="13F5D666" w14:textId="77777777" w:rsidR="00826D3B" w:rsidRPr="00C34520" w:rsidRDefault="00826D3B" w:rsidP="00DE0052">
            <w:pPr>
              <w:pStyle w:val="In-tableHeading"/>
              <w:rPr>
                <w:lang w:val="en-AU"/>
              </w:rPr>
            </w:pPr>
            <w:r w:rsidRPr="00C34520">
              <w:rPr>
                <w:lang w:val="en-AU"/>
              </w:rPr>
              <w:t>Additional</w:t>
            </w:r>
          </w:p>
        </w:tc>
      </w:tr>
      <w:tr w:rsidR="00826D3B" w:rsidRPr="00C34520" w14:paraId="6133D127" w14:textId="77777777" w:rsidTr="00667D81">
        <w:trPr>
          <w:trHeight w:val="20"/>
        </w:trPr>
        <w:tc>
          <w:tcPr>
            <w:tcW w:w="519" w:type="pct"/>
            <w:shd w:val="clear" w:color="auto" w:fill="auto"/>
            <w:hideMark/>
          </w:tcPr>
          <w:p w14:paraId="731269EB" w14:textId="77777777" w:rsidR="00826D3B" w:rsidRPr="00C34520" w:rsidRDefault="00826D3B" w:rsidP="00DE0052">
            <w:pPr>
              <w:pStyle w:val="TableText0"/>
            </w:pPr>
            <w:r w:rsidRPr="00C34520">
              <w:t>8</w:t>
            </w:r>
          </w:p>
        </w:tc>
        <w:tc>
          <w:tcPr>
            <w:tcW w:w="1271" w:type="pct"/>
            <w:shd w:val="clear" w:color="auto" w:fill="auto"/>
            <w:vAlign w:val="center"/>
          </w:tcPr>
          <w:p w14:paraId="247646B2" w14:textId="77777777" w:rsidR="00826D3B" w:rsidRPr="00C34520" w:rsidRDefault="00826D3B" w:rsidP="00DE0052">
            <w:pPr>
              <w:pStyle w:val="TableText0"/>
              <w:jc w:val="center"/>
            </w:pPr>
            <w:r w:rsidRPr="00C34520">
              <w:t>Y (20v)</w:t>
            </w:r>
          </w:p>
        </w:tc>
        <w:tc>
          <w:tcPr>
            <w:tcW w:w="1270" w:type="pct"/>
            <w:shd w:val="clear" w:color="auto" w:fill="auto"/>
          </w:tcPr>
          <w:p w14:paraId="6882EAE9" w14:textId="77777777" w:rsidR="00826D3B" w:rsidRPr="00C34520" w:rsidRDefault="00826D3B" w:rsidP="00DE0052">
            <w:pPr>
              <w:pStyle w:val="TableText0"/>
              <w:jc w:val="center"/>
            </w:pPr>
            <w:r w:rsidRPr="00C34520">
              <w:t>Y (20v)</w:t>
            </w:r>
          </w:p>
        </w:tc>
        <w:tc>
          <w:tcPr>
            <w:tcW w:w="1940" w:type="pct"/>
            <w:gridSpan w:val="2"/>
            <w:vMerge w:val="restart"/>
            <w:shd w:val="clear" w:color="auto" w:fill="auto"/>
            <w:vAlign w:val="center"/>
          </w:tcPr>
          <w:p w14:paraId="017ADB18" w14:textId="77777777" w:rsidR="00826D3B" w:rsidRPr="00C34520" w:rsidRDefault="00826D3B" w:rsidP="00DE0052">
            <w:pPr>
              <w:pStyle w:val="TableText0"/>
              <w:jc w:val="center"/>
            </w:pPr>
            <w:r w:rsidRPr="00C34520">
              <w:t>Not applicable</w:t>
            </w:r>
          </w:p>
        </w:tc>
      </w:tr>
      <w:tr w:rsidR="00826D3B" w:rsidRPr="00C34520" w14:paraId="306783DB" w14:textId="77777777" w:rsidTr="00667D81">
        <w:trPr>
          <w:trHeight w:val="20"/>
        </w:trPr>
        <w:tc>
          <w:tcPr>
            <w:tcW w:w="519" w:type="pct"/>
            <w:shd w:val="clear" w:color="auto" w:fill="auto"/>
            <w:hideMark/>
          </w:tcPr>
          <w:p w14:paraId="1BEBB02B" w14:textId="77777777" w:rsidR="00826D3B" w:rsidRPr="00C34520" w:rsidRDefault="00826D3B" w:rsidP="00DE0052">
            <w:pPr>
              <w:pStyle w:val="TableText0"/>
            </w:pPr>
            <w:r w:rsidRPr="00C34520">
              <w:t>10A</w:t>
            </w:r>
          </w:p>
        </w:tc>
        <w:tc>
          <w:tcPr>
            <w:tcW w:w="1271" w:type="pct"/>
            <w:shd w:val="clear" w:color="auto" w:fill="auto"/>
            <w:vAlign w:val="center"/>
          </w:tcPr>
          <w:p w14:paraId="3BD22F3F" w14:textId="77777777" w:rsidR="00826D3B" w:rsidRPr="00C34520" w:rsidRDefault="00826D3B" w:rsidP="00DE0052">
            <w:pPr>
              <w:pStyle w:val="TableText0"/>
              <w:jc w:val="center"/>
            </w:pPr>
            <w:r w:rsidRPr="00C34520">
              <w:t>Y (20v)</w:t>
            </w:r>
          </w:p>
        </w:tc>
        <w:tc>
          <w:tcPr>
            <w:tcW w:w="1270" w:type="pct"/>
            <w:shd w:val="clear" w:color="auto" w:fill="D6E3BC" w:themeFill="accent3" w:themeFillTint="66"/>
          </w:tcPr>
          <w:p w14:paraId="096B649F" w14:textId="77777777" w:rsidR="00826D3B" w:rsidRPr="00C34520" w:rsidRDefault="00826D3B" w:rsidP="00DE0052">
            <w:pPr>
              <w:pStyle w:val="TableText0"/>
              <w:jc w:val="center"/>
            </w:pPr>
            <w:r w:rsidRPr="00C34520">
              <w:t>Y (20v)</w:t>
            </w:r>
          </w:p>
        </w:tc>
        <w:tc>
          <w:tcPr>
            <w:tcW w:w="1940" w:type="pct"/>
            <w:gridSpan w:val="2"/>
            <w:vMerge/>
            <w:shd w:val="clear" w:color="auto" w:fill="auto"/>
            <w:vAlign w:val="center"/>
          </w:tcPr>
          <w:p w14:paraId="77FFEE57" w14:textId="77777777" w:rsidR="00826D3B" w:rsidRPr="00C34520" w:rsidRDefault="00826D3B" w:rsidP="00DE0052">
            <w:pPr>
              <w:pStyle w:val="TableText0"/>
              <w:jc w:val="center"/>
            </w:pPr>
          </w:p>
        </w:tc>
      </w:tr>
      <w:tr w:rsidR="00826D3B" w:rsidRPr="00C34520" w14:paraId="68EE3FF5" w14:textId="77777777" w:rsidTr="00667D81">
        <w:trPr>
          <w:trHeight w:val="20"/>
        </w:trPr>
        <w:tc>
          <w:tcPr>
            <w:tcW w:w="519" w:type="pct"/>
            <w:shd w:val="clear" w:color="auto" w:fill="auto"/>
            <w:hideMark/>
          </w:tcPr>
          <w:p w14:paraId="0E3A32F7" w14:textId="77777777" w:rsidR="00826D3B" w:rsidRPr="00C34520" w:rsidRDefault="00826D3B" w:rsidP="00DE0052">
            <w:pPr>
              <w:pStyle w:val="TableText0"/>
            </w:pPr>
            <w:r w:rsidRPr="00C34520">
              <w:t>11A</w:t>
            </w:r>
          </w:p>
        </w:tc>
        <w:tc>
          <w:tcPr>
            <w:tcW w:w="1271" w:type="pct"/>
            <w:shd w:val="clear" w:color="auto" w:fill="auto"/>
            <w:vAlign w:val="center"/>
          </w:tcPr>
          <w:p w14:paraId="69C1EF5E" w14:textId="77777777" w:rsidR="00826D3B" w:rsidRPr="00C34520" w:rsidRDefault="00826D3B" w:rsidP="00DE0052">
            <w:pPr>
              <w:pStyle w:val="TableText0"/>
              <w:jc w:val="center"/>
            </w:pPr>
            <w:r w:rsidRPr="00C34520">
              <w:t>Y (20v)</w:t>
            </w:r>
          </w:p>
        </w:tc>
        <w:tc>
          <w:tcPr>
            <w:tcW w:w="1270" w:type="pct"/>
            <w:shd w:val="clear" w:color="auto" w:fill="auto"/>
          </w:tcPr>
          <w:p w14:paraId="5008C77C" w14:textId="77777777" w:rsidR="00826D3B" w:rsidRPr="00C34520" w:rsidRDefault="00826D3B" w:rsidP="00DE0052">
            <w:pPr>
              <w:pStyle w:val="TableText0"/>
              <w:jc w:val="center"/>
            </w:pPr>
            <w:r w:rsidRPr="00C34520">
              <w:t>Y (20v)</w:t>
            </w:r>
          </w:p>
        </w:tc>
        <w:tc>
          <w:tcPr>
            <w:tcW w:w="1940" w:type="pct"/>
            <w:gridSpan w:val="2"/>
            <w:vMerge/>
            <w:shd w:val="clear" w:color="auto" w:fill="auto"/>
            <w:vAlign w:val="center"/>
          </w:tcPr>
          <w:p w14:paraId="7BD9ADD2" w14:textId="77777777" w:rsidR="00826D3B" w:rsidRPr="00C34520" w:rsidRDefault="00826D3B" w:rsidP="00DE0052">
            <w:pPr>
              <w:pStyle w:val="TableText0"/>
              <w:jc w:val="center"/>
            </w:pPr>
          </w:p>
        </w:tc>
      </w:tr>
      <w:tr w:rsidR="00826D3B" w:rsidRPr="00C34520" w14:paraId="40A19DEA" w14:textId="77777777" w:rsidTr="00667D81">
        <w:trPr>
          <w:trHeight w:val="20"/>
        </w:trPr>
        <w:tc>
          <w:tcPr>
            <w:tcW w:w="519" w:type="pct"/>
            <w:shd w:val="clear" w:color="auto" w:fill="auto"/>
            <w:hideMark/>
          </w:tcPr>
          <w:p w14:paraId="17187EC9" w14:textId="77777777" w:rsidR="00826D3B" w:rsidRPr="00C34520" w:rsidRDefault="00826D3B" w:rsidP="00DE0052">
            <w:pPr>
              <w:pStyle w:val="TableText0"/>
            </w:pPr>
            <w:r w:rsidRPr="00C34520">
              <w:t>12F</w:t>
            </w:r>
          </w:p>
        </w:tc>
        <w:tc>
          <w:tcPr>
            <w:tcW w:w="1271" w:type="pct"/>
            <w:shd w:val="clear" w:color="auto" w:fill="auto"/>
            <w:vAlign w:val="center"/>
          </w:tcPr>
          <w:p w14:paraId="21C4A443" w14:textId="77777777" w:rsidR="00826D3B" w:rsidRPr="00C34520" w:rsidRDefault="00826D3B" w:rsidP="00DE0052">
            <w:pPr>
              <w:pStyle w:val="TableText0"/>
              <w:jc w:val="center"/>
            </w:pPr>
            <w:r w:rsidRPr="00C34520">
              <w:t>Y (13v)</w:t>
            </w:r>
          </w:p>
        </w:tc>
        <w:tc>
          <w:tcPr>
            <w:tcW w:w="1270" w:type="pct"/>
            <w:shd w:val="clear" w:color="auto" w:fill="auto"/>
            <w:vAlign w:val="center"/>
          </w:tcPr>
          <w:p w14:paraId="0FDE5D82" w14:textId="77777777" w:rsidR="00826D3B" w:rsidRPr="00C34520" w:rsidRDefault="00826D3B" w:rsidP="00DE0052">
            <w:pPr>
              <w:pStyle w:val="TableText0"/>
              <w:jc w:val="center"/>
            </w:pPr>
            <w:r w:rsidRPr="00C34520">
              <w:t>Y (13v)</w:t>
            </w:r>
          </w:p>
        </w:tc>
        <w:tc>
          <w:tcPr>
            <w:tcW w:w="1940" w:type="pct"/>
            <w:gridSpan w:val="2"/>
            <w:vMerge/>
            <w:shd w:val="clear" w:color="auto" w:fill="auto"/>
            <w:vAlign w:val="center"/>
          </w:tcPr>
          <w:p w14:paraId="60B5FC6C" w14:textId="77777777" w:rsidR="00826D3B" w:rsidRPr="00C34520" w:rsidRDefault="00826D3B" w:rsidP="00DE0052">
            <w:pPr>
              <w:pStyle w:val="TableText0"/>
              <w:jc w:val="center"/>
            </w:pPr>
          </w:p>
        </w:tc>
      </w:tr>
      <w:tr w:rsidR="00826D3B" w:rsidRPr="00C34520" w14:paraId="6179C28E" w14:textId="77777777" w:rsidTr="00667D81">
        <w:trPr>
          <w:trHeight w:val="20"/>
        </w:trPr>
        <w:tc>
          <w:tcPr>
            <w:tcW w:w="519" w:type="pct"/>
            <w:shd w:val="clear" w:color="auto" w:fill="auto"/>
            <w:hideMark/>
          </w:tcPr>
          <w:p w14:paraId="1333FC51" w14:textId="77777777" w:rsidR="00826D3B" w:rsidRPr="00C34520" w:rsidRDefault="00826D3B" w:rsidP="00DE0052">
            <w:pPr>
              <w:pStyle w:val="TableText0"/>
            </w:pPr>
            <w:r w:rsidRPr="00C34520">
              <w:t>15B</w:t>
            </w:r>
          </w:p>
        </w:tc>
        <w:tc>
          <w:tcPr>
            <w:tcW w:w="1271" w:type="pct"/>
            <w:shd w:val="clear" w:color="auto" w:fill="D6E3BC" w:themeFill="accent3" w:themeFillTint="66"/>
            <w:vAlign w:val="center"/>
          </w:tcPr>
          <w:p w14:paraId="4C636EE4" w14:textId="77777777" w:rsidR="00826D3B" w:rsidRPr="00C34520" w:rsidRDefault="00826D3B" w:rsidP="00DE0052">
            <w:pPr>
              <w:pStyle w:val="TableText0"/>
              <w:jc w:val="center"/>
            </w:pPr>
            <w:r w:rsidRPr="00C34520">
              <w:t>Y (20v)</w:t>
            </w:r>
          </w:p>
        </w:tc>
        <w:tc>
          <w:tcPr>
            <w:tcW w:w="1270" w:type="pct"/>
            <w:shd w:val="clear" w:color="auto" w:fill="D6E3BC" w:themeFill="accent3" w:themeFillTint="66"/>
          </w:tcPr>
          <w:p w14:paraId="1DA1F4E6" w14:textId="77777777" w:rsidR="00826D3B" w:rsidRPr="00C34520" w:rsidRDefault="00826D3B" w:rsidP="00DE0052">
            <w:pPr>
              <w:pStyle w:val="TableText0"/>
              <w:jc w:val="center"/>
            </w:pPr>
            <w:r w:rsidRPr="00C34520">
              <w:t>Y (20v)</w:t>
            </w:r>
          </w:p>
        </w:tc>
        <w:tc>
          <w:tcPr>
            <w:tcW w:w="1940" w:type="pct"/>
            <w:gridSpan w:val="2"/>
            <w:vMerge/>
            <w:shd w:val="clear" w:color="auto" w:fill="auto"/>
            <w:vAlign w:val="center"/>
          </w:tcPr>
          <w:p w14:paraId="693CEDC0" w14:textId="77777777" w:rsidR="00826D3B" w:rsidRPr="00C34520" w:rsidRDefault="00826D3B" w:rsidP="00DE0052">
            <w:pPr>
              <w:pStyle w:val="TableText0"/>
              <w:jc w:val="center"/>
            </w:pPr>
          </w:p>
        </w:tc>
      </w:tr>
      <w:tr w:rsidR="00826D3B" w:rsidRPr="00C34520" w14:paraId="42EB9389" w14:textId="77777777" w:rsidTr="00667D81">
        <w:trPr>
          <w:trHeight w:val="20"/>
        </w:trPr>
        <w:tc>
          <w:tcPr>
            <w:tcW w:w="519" w:type="pct"/>
            <w:shd w:val="clear" w:color="auto" w:fill="auto"/>
            <w:hideMark/>
          </w:tcPr>
          <w:p w14:paraId="17299954" w14:textId="77777777" w:rsidR="00826D3B" w:rsidRPr="00C34520" w:rsidRDefault="00826D3B" w:rsidP="00DE0052">
            <w:pPr>
              <w:pStyle w:val="TableText0"/>
              <w:rPr>
                <w:vertAlign w:val="superscript"/>
              </w:rPr>
            </w:pPr>
            <w:r w:rsidRPr="00C34520">
              <w:t>22F</w:t>
            </w:r>
          </w:p>
        </w:tc>
        <w:tc>
          <w:tcPr>
            <w:tcW w:w="1271" w:type="pct"/>
            <w:shd w:val="clear" w:color="auto" w:fill="D6E3BC" w:themeFill="accent3" w:themeFillTint="66"/>
            <w:vAlign w:val="center"/>
          </w:tcPr>
          <w:p w14:paraId="31EBF9E4" w14:textId="77777777" w:rsidR="00826D3B" w:rsidRPr="00C34520" w:rsidRDefault="00826D3B" w:rsidP="00DE0052">
            <w:pPr>
              <w:pStyle w:val="TableText0"/>
              <w:jc w:val="center"/>
            </w:pPr>
            <w:r w:rsidRPr="00C34520">
              <w:t>Y (20v)</w:t>
            </w:r>
          </w:p>
        </w:tc>
        <w:tc>
          <w:tcPr>
            <w:tcW w:w="1270" w:type="pct"/>
            <w:shd w:val="clear" w:color="auto" w:fill="D6E3BC" w:themeFill="accent3" w:themeFillTint="66"/>
          </w:tcPr>
          <w:p w14:paraId="44DE7984" w14:textId="77777777" w:rsidR="00826D3B" w:rsidRPr="00C34520" w:rsidRDefault="00826D3B" w:rsidP="00DE0052">
            <w:pPr>
              <w:pStyle w:val="TableText0"/>
              <w:jc w:val="center"/>
            </w:pPr>
            <w:r w:rsidRPr="00C34520">
              <w:t>Y (20v)</w:t>
            </w:r>
          </w:p>
        </w:tc>
        <w:tc>
          <w:tcPr>
            <w:tcW w:w="961" w:type="pct"/>
            <w:shd w:val="clear" w:color="auto" w:fill="D6E3BC" w:themeFill="accent3" w:themeFillTint="66"/>
            <w:vAlign w:val="center"/>
          </w:tcPr>
          <w:p w14:paraId="25E8A70E" w14:textId="77777777" w:rsidR="00826D3B" w:rsidRPr="00C34520" w:rsidRDefault="00826D3B" w:rsidP="00DE0052">
            <w:pPr>
              <w:pStyle w:val="TableText0"/>
              <w:jc w:val="center"/>
            </w:pPr>
            <w:r w:rsidRPr="00C34520">
              <w:t>Y (20v)</w:t>
            </w:r>
          </w:p>
        </w:tc>
        <w:tc>
          <w:tcPr>
            <w:tcW w:w="980" w:type="pct"/>
            <w:shd w:val="clear" w:color="auto" w:fill="D6E3BC" w:themeFill="accent3" w:themeFillTint="66"/>
            <w:vAlign w:val="center"/>
          </w:tcPr>
          <w:p w14:paraId="695D7F5A" w14:textId="77777777" w:rsidR="00826D3B" w:rsidRPr="00C34520" w:rsidRDefault="00826D3B" w:rsidP="00DE0052">
            <w:pPr>
              <w:pStyle w:val="TableText0"/>
              <w:jc w:val="center"/>
            </w:pPr>
            <w:r w:rsidRPr="00C34520">
              <w:t>Y (20v)</w:t>
            </w:r>
          </w:p>
        </w:tc>
      </w:tr>
      <w:tr w:rsidR="00826D3B" w:rsidRPr="00C34520" w14:paraId="2CDEAC39" w14:textId="77777777" w:rsidTr="00667D81">
        <w:trPr>
          <w:trHeight w:val="20"/>
        </w:trPr>
        <w:tc>
          <w:tcPr>
            <w:tcW w:w="519" w:type="pct"/>
            <w:shd w:val="clear" w:color="auto" w:fill="auto"/>
          </w:tcPr>
          <w:p w14:paraId="6287C190" w14:textId="77777777" w:rsidR="00826D3B" w:rsidRPr="00C34520" w:rsidRDefault="00826D3B" w:rsidP="00DE0052">
            <w:pPr>
              <w:pStyle w:val="TableText0"/>
              <w:rPr>
                <w:vertAlign w:val="superscript"/>
              </w:rPr>
            </w:pPr>
            <w:r w:rsidRPr="00C34520">
              <w:t>33F</w:t>
            </w:r>
          </w:p>
        </w:tc>
        <w:tc>
          <w:tcPr>
            <w:tcW w:w="1271" w:type="pct"/>
            <w:shd w:val="clear" w:color="auto" w:fill="D6E3BC" w:themeFill="accent3" w:themeFillTint="66"/>
            <w:vAlign w:val="center"/>
          </w:tcPr>
          <w:p w14:paraId="0D19A681" w14:textId="77777777" w:rsidR="00826D3B" w:rsidRPr="00C34520" w:rsidRDefault="00826D3B" w:rsidP="00DE0052">
            <w:pPr>
              <w:pStyle w:val="TableText0"/>
              <w:jc w:val="center"/>
            </w:pPr>
            <w:r w:rsidRPr="00C34520">
              <w:t>Y (20v)</w:t>
            </w:r>
          </w:p>
        </w:tc>
        <w:tc>
          <w:tcPr>
            <w:tcW w:w="1270" w:type="pct"/>
            <w:shd w:val="clear" w:color="auto" w:fill="D6E3BC" w:themeFill="accent3" w:themeFillTint="66"/>
          </w:tcPr>
          <w:p w14:paraId="2C1559A3" w14:textId="77777777" w:rsidR="00826D3B" w:rsidRPr="00C34520" w:rsidRDefault="00826D3B" w:rsidP="00DE0052">
            <w:pPr>
              <w:pStyle w:val="TableText0"/>
              <w:jc w:val="center"/>
            </w:pPr>
            <w:r w:rsidRPr="00C34520">
              <w:t>Y (20v)</w:t>
            </w:r>
          </w:p>
        </w:tc>
        <w:tc>
          <w:tcPr>
            <w:tcW w:w="961" w:type="pct"/>
            <w:shd w:val="clear" w:color="auto" w:fill="D6E3BC" w:themeFill="accent3" w:themeFillTint="66"/>
            <w:vAlign w:val="center"/>
          </w:tcPr>
          <w:p w14:paraId="4A1C9396" w14:textId="77777777" w:rsidR="00826D3B" w:rsidRPr="00C34520" w:rsidRDefault="00826D3B" w:rsidP="00DE0052">
            <w:pPr>
              <w:pStyle w:val="TableText0"/>
              <w:jc w:val="center"/>
            </w:pPr>
            <w:r w:rsidRPr="00C34520">
              <w:t>Y (20v)</w:t>
            </w:r>
          </w:p>
        </w:tc>
        <w:tc>
          <w:tcPr>
            <w:tcW w:w="980" w:type="pct"/>
            <w:shd w:val="clear" w:color="auto" w:fill="D6E3BC" w:themeFill="accent3" w:themeFillTint="66"/>
            <w:vAlign w:val="center"/>
          </w:tcPr>
          <w:p w14:paraId="4556C55F" w14:textId="77777777" w:rsidR="00826D3B" w:rsidRPr="00C34520" w:rsidRDefault="00826D3B" w:rsidP="00DE0052">
            <w:pPr>
              <w:pStyle w:val="TableText0"/>
              <w:jc w:val="center"/>
            </w:pPr>
            <w:r w:rsidRPr="00C34520">
              <w:t>Y (20v)</w:t>
            </w:r>
          </w:p>
        </w:tc>
      </w:tr>
    </w:tbl>
    <w:p w14:paraId="7581D0F5" w14:textId="77777777" w:rsidR="00826D3B" w:rsidRPr="00C34520" w:rsidRDefault="00826D3B" w:rsidP="00826D3B">
      <w:pPr>
        <w:pStyle w:val="TableFigureFooter"/>
      </w:pPr>
      <w:r w:rsidRPr="00C34520">
        <w:t>Source: Compiled from Section 2.5 of the submission.</w:t>
      </w:r>
    </w:p>
    <w:p w14:paraId="103A476F" w14:textId="77777777" w:rsidR="00826D3B" w:rsidRPr="00C34520" w:rsidRDefault="00826D3B" w:rsidP="00826D3B">
      <w:pPr>
        <w:pStyle w:val="TableFigureFooter"/>
      </w:pPr>
      <w:r w:rsidRPr="00C34520">
        <w:t>13vPCV = 13 valent pneumococcal conjugate vaccine; 15vPCV = 15 valent pneumococcal conjugate vaccine; 20vPCV = 20 valent pneumococcal conjugate vaccine; vs = versus.</w:t>
      </w:r>
    </w:p>
    <w:p w14:paraId="26D32DB1" w14:textId="20D28BEA" w:rsidR="00826D3B" w:rsidRPr="00C34520" w:rsidRDefault="00826D3B" w:rsidP="00826D3B">
      <w:pPr>
        <w:pStyle w:val="TableFigureFooter"/>
      </w:pPr>
      <w:r w:rsidRPr="00C34520">
        <w:rPr>
          <w:color w:val="FF0000"/>
        </w:rPr>
        <w:t xml:space="preserve">Red </w:t>
      </w:r>
      <w:r w:rsidRPr="00C34520">
        <w:t xml:space="preserve">indicates that non-inferiority criteria was not met (&lt;0.5), </w:t>
      </w:r>
      <w:r w:rsidR="00FA3DFD">
        <w:rPr>
          <w:color w:val="76923C" w:themeColor="accent3" w:themeShade="BF"/>
        </w:rPr>
        <w:t xml:space="preserve">green </w:t>
      </w:r>
      <w:r w:rsidR="00FA3DFD" w:rsidRPr="00FA3DFD">
        <w:t>indicates superiority with a lower CI limit &gt;2</w:t>
      </w:r>
      <w:r w:rsidRPr="00C34520">
        <w:t>.</w:t>
      </w:r>
    </w:p>
    <w:p w14:paraId="0E8C93E7" w14:textId="77777777" w:rsidR="00826D3B" w:rsidRPr="00C34520" w:rsidRDefault="00826D3B" w:rsidP="00826D3B">
      <w:pPr>
        <w:pStyle w:val="TableFigureFooter"/>
      </w:pPr>
      <w:r w:rsidRPr="00C34520">
        <w:t>(13v) or (15v) Favours 13vPCV or 15vPCV as the upper bound of the 95% CI were &lt;1.</w:t>
      </w:r>
    </w:p>
    <w:p w14:paraId="4212CC06" w14:textId="77777777" w:rsidR="00826D3B" w:rsidRPr="00C34520" w:rsidRDefault="00826D3B" w:rsidP="00826D3B">
      <w:pPr>
        <w:pStyle w:val="TableFigureFooter"/>
      </w:pPr>
      <w:r w:rsidRPr="00C34520">
        <w:t>(20v) Favours 20vPCV as lower bound of the 95% CI were &gt;1.</w:t>
      </w:r>
      <w:bookmarkStart w:id="46" w:name="_Toc22897642"/>
    </w:p>
    <w:p w14:paraId="6629EA7A" w14:textId="34D7C94E" w:rsidR="00826D3B" w:rsidRPr="00C34520" w:rsidRDefault="00826D3B" w:rsidP="00826D3B">
      <w:pPr>
        <w:pStyle w:val="4-SubsectionHeading"/>
      </w:pPr>
      <w:bookmarkStart w:id="47" w:name="_Toc145498618"/>
      <w:r w:rsidRPr="00C34520">
        <w:t>Comparative harms</w:t>
      </w:r>
      <w:bookmarkEnd w:id="46"/>
      <w:bookmarkEnd w:id="47"/>
    </w:p>
    <w:p w14:paraId="71154487" w14:textId="58F40664" w:rsidR="00826D3B" w:rsidRPr="00C34520" w:rsidRDefault="00826D3B" w:rsidP="00F625A4">
      <w:pPr>
        <w:pStyle w:val="3-BodyText"/>
      </w:pPr>
      <w:r w:rsidRPr="00C34520">
        <w:t xml:space="preserve">A summary of adverse events is presented in </w:t>
      </w:r>
      <w:r w:rsidRPr="00C34520">
        <w:fldChar w:fldCharType="begin"/>
      </w:r>
      <w:r w:rsidRPr="00C34520">
        <w:instrText xml:space="preserve"> REF _Ref143773737 \h </w:instrText>
      </w:r>
      <w:r w:rsidRPr="00C34520">
        <w:fldChar w:fldCharType="separate"/>
      </w:r>
      <w:r w:rsidR="009523CC" w:rsidRPr="00C34520">
        <w:t xml:space="preserve">Table </w:t>
      </w:r>
      <w:r w:rsidR="009523CC">
        <w:rPr>
          <w:noProof/>
        </w:rPr>
        <w:t>11</w:t>
      </w:r>
      <w:r w:rsidRPr="00C34520">
        <w:fldChar w:fldCharType="end"/>
      </w:r>
      <w:r w:rsidRPr="00C34520">
        <w:t>.</w:t>
      </w:r>
    </w:p>
    <w:p w14:paraId="57F2D2B2" w14:textId="47CD0CB7" w:rsidR="00826D3B" w:rsidRPr="00C34520" w:rsidRDefault="00826D3B" w:rsidP="00D132A0">
      <w:pPr>
        <w:pStyle w:val="Caption"/>
      </w:pPr>
      <w:bookmarkStart w:id="48" w:name="_Ref143773737"/>
      <w:r w:rsidRPr="00C34520">
        <w:lastRenderedPageBreak/>
        <w:t xml:space="preserve">Table </w:t>
      </w:r>
      <w:fldSimple w:instr=" SEQ Table \* ARABIC ">
        <w:r w:rsidR="009523CC">
          <w:rPr>
            <w:noProof/>
          </w:rPr>
          <w:t>11</w:t>
        </w:r>
      </w:fldSimple>
      <w:bookmarkEnd w:id="48"/>
      <w:r w:rsidRPr="00C34520">
        <w:t>: Summary of key adverse events in the trials</w:t>
      </w:r>
    </w:p>
    <w:tbl>
      <w:tblPr>
        <w:tblStyle w:val="TableGrid"/>
        <w:tblW w:w="5000" w:type="pct"/>
        <w:tblLook w:val="04A0" w:firstRow="1" w:lastRow="0" w:firstColumn="1" w:lastColumn="0" w:noHBand="0" w:noVBand="1"/>
      </w:tblPr>
      <w:tblGrid>
        <w:gridCol w:w="1647"/>
        <w:gridCol w:w="1318"/>
        <w:gridCol w:w="2330"/>
        <w:gridCol w:w="1868"/>
        <w:gridCol w:w="7"/>
        <w:gridCol w:w="1847"/>
      </w:tblGrid>
      <w:tr w:rsidR="00826D3B" w:rsidRPr="000B6735" w14:paraId="0795205E" w14:textId="77777777" w:rsidTr="00667D81">
        <w:trPr>
          <w:tblHeader/>
        </w:trPr>
        <w:tc>
          <w:tcPr>
            <w:tcW w:w="913" w:type="pct"/>
          </w:tcPr>
          <w:p w14:paraId="1989E6FC" w14:textId="77777777" w:rsidR="00826D3B" w:rsidRPr="000B6735" w:rsidRDefault="00826D3B" w:rsidP="00FA3DFD">
            <w:pPr>
              <w:pStyle w:val="In-tableHeading"/>
              <w:jc w:val="center"/>
              <w:rPr>
                <w:lang w:val="en-AU"/>
              </w:rPr>
            </w:pPr>
            <w:r w:rsidRPr="000B6735">
              <w:rPr>
                <w:lang w:val="en-AU"/>
              </w:rPr>
              <w:t>Trial</w:t>
            </w:r>
          </w:p>
        </w:tc>
        <w:tc>
          <w:tcPr>
            <w:tcW w:w="731" w:type="pct"/>
          </w:tcPr>
          <w:p w14:paraId="5A6F0FBC" w14:textId="77777777" w:rsidR="00826D3B" w:rsidRPr="000B6735" w:rsidRDefault="00826D3B" w:rsidP="00FA3DFD">
            <w:pPr>
              <w:pStyle w:val="In-tableHeading"/>
              <w:jc w:val="center"/>
              <w:rPr>
                <w:lang w:val="en-AU"/>
              </w:rPr>
            </w:pPr>
            <w:r w:rsidRPr="000B6735">
              <w:rPr>
                <w:lang w:val="en-AU"/>
              </w:rPr>
              <w:t>Dose</w:t>
            </w:r>
          </w:p>
        </w:tc>
        <w:tc>
          <w:tcPr>
            <w:tcW w:w="1292" w:type="pct"/>
          </w:tcPr>
          <w:p w14:paraId="71BB965B" w14:textId="77777777" w:rsidR="00826D3B" w:rsidRPr="000B6735" w:rsidRDefault="00826D3B" w:rsidP="00FA3DFD">
            <w:pPr>
              <w:pStyle w:val="In-tableHeading"/>
              <w:jc w:val="center"/>
              <w:rPr>
                <w:lang w:val="en-AU"/>
              </w:rPr>
            </w:pPr>
            <w:r w:rsidRPr="000B6735">
              <w:rPr>
                <w:lang w:val="en-AU"/>
              </w:rPr>
              <w:t>20vPCV or 15vPCV, n/N (%)</w:t>
            </w:r>
          </w:p>
        </w:tc>
        <w:tc>
          <w:tcPr>
            <w:tcW w:w="1036" w:type="pct"/>
          </w:tcPr>
          <w:p w14:paraId="448412F3" w14:textId="77777777" w:rsidR="00826D3B" w:rsidRPr="000B6735" w:rsidRDefault="00826D3B" w:rsidP="00FA3DFD">
            <w:pPr>
              <w:pStyle w:val="In-tableHeading"/>
              <w:jc w:val="center"/>
              <w:rPr>
                <w:lang w:val="en-AU"/>
              </w:rPr>
            </w:pPr>
            <w:r w:rsidRPr="000B6735">
              <w:rPr>
                <w:lang w:val="en-AU"/>
              </w:rPr>
              <w:t>13vPCV, n/N (%)</w:t>
            </w:r>
          </w:p>
        </w:tc>
        <w:tc>
          <w:tcPr>
            <w:tcW w:w="1028" w:type="pct"/>
            <w:gridSpan w:val="2"/>
          </w:tcPr>
          <w:p w14:paraId="19D7D1B7" w14:textId="77777777" w:rsidR="00826D3B" w:rsidRPr="000B6735" w:rsidRDefault="00826D3B" w:rsidP="00FA3DFD">
            <w:pPr>
              <w:pStyle w:val="In-tableHeading"/>
              <w:jc w:val="center"/>
              <w:rPr>
                <w:lang w:val="en-AU"/>
              </w:rPr>
            </w:pPr>
            <w:r w:rsidRPr="000B6735">
              <w:rPr>
                <w:lang w:val="en-AU"/>
              </w:rPr>
              <w:t>Difference (95% CI)</w:t>
            </w:r>
          </w:p>
        </w:tc>
      </w:tr>
      <w:tr w:rsidR="00826D3B" w:rsidRPr="000B6735" w14:paraId="639C5F44" w14:textId="77777777" w:rsidTr="00667D81">
        <w:tc>
          <w:tcPr>
            <w:tcW w:w="5000" w:type="pct"/>
            <w:gridSpan w:val="6"/>
            <w:vAlign w:val="center"/>
          </w:tcPr>
          <w:p w14:paraId="0C318A89" w14:textId="77777777" w:rsidR="00826D3B" w:rsidRPr="000B6735" w:rsidRDefault="00826D3B" w:rsidP="00FA3DFD">
            <w:pPr>
              <w:pStyle w:val="TableText0"/>
              <w:rPr>
                <w:b/>
                <w:bCs w:val="0"/>
              </w:rPr>
            </w:pPr>
            <w:r w:rsidRPr="000B6735">
              <w:rPr>
                <w:b/>
                <w:bCs w:val="0"/>
              </w:rPr>
              <w:t>Any AE, Dose 1 to one month after dose 2</w:t>
            </w:r>
          </w:p>
        </w:tc>
      </w:tr>
      <w:tr w:rsidR="00826D3B" w:rsidRPr="000B6735" w14:paraId="5768B49F" w14:textId="77777777" w:rsidTr="00667D81">
        <w:tc>
          <w:tcPr>
            <w:tcW w:w="913" w:type="pct"/>
            <w:vAlign w:val="center"/>
          </w:tcPr>
          <w:p w14:paraId="00FFA812" w14:textId="77777777" w:rsidR="00826D3B" w:rsidRPr="000B6735" w:rsidRDefault="00826D3B" w:rsidP="00FA3DFD">
            <w:pPr>
              <w:pStyle w:val="TableText0"/>
            </w:pPr>
            <w:r w:rsidRPr="000B6735">
              <w:t>B7471012</w:t>
            </w:r>
          </w:p>
        </w:tc>
        <w:tc>
          <w:tcPr>
            <w:tcW w:w="731" w:type="pct"/>
            <w:vAlign w:val="center"/>
          </w:tcPr>
          <w:p w14:paraId="6ADF7162" w14:textId="77777777" w:rsidR="00826D3B" w:rsidRPr="008B7AC3" w:rsidRDefault="00826D3B" w:rsidP="00FA3DFD">
            <w:pPr>
              <w:pStyle w:val="TableText0"/>
            </w:pPr>
            <w:r w:rsidRPr="000B6735">
              <w:t>Any</w:t>
            </w:r>
          </w:p>
        </w:tc>
        <w:tc>
          <w:tcPr>
            <w:tcW w:w="1292" w:type="pct"/>
          </w:tcPr>
          <w:p w14:paraId="190DBB4F" w14:textId="77777777" w:rsidR="00826D3B" w:rsidRPr="008B7AC3" w:rsidRDefault="00826D3B" w:rsidP="00FA3DFD">
            <w:pPr>
              <w:pStyle w:val="TableText0"/>
              <w:jc w:val="center"/>
            </w:pPr>
            <w:r w:rsidRPr="008B7AC3">
              <w:t>83/601 (13.8)</w:t>
            </w:r>
          </w:p>
        </w:tc>
        <w:tc>
          <w:tcPr>
            <w:tcW w:w="1036" w:type="pct"/>
          </w:tcPr>
          <w:p w14:paraId="3ED78AB5" w14:textId="77777777" w:rsidR="00826D3B" w:rsidRPr="008B7AC3" w:rsidRDefault="00826D3B" w:rsidP="00FA3DFD">
            <w:pPr>
              <w:pStyle w:val="TableText0"/>
              <w:jc w:val="center"/>
            </w:pPr>
            <w:r w:rsidRPr="008B7AC3">
              <w:t>87/603 (14.4)</w:t>
            </w:r>
          </w:p>
        </w:tc>
        <w:tc>
          <w:tcPr>
            <w:tcW w:w="1028" w:type="pct"/>
            <w:gridSpan w:val="2"/>
          </w:tcPr>
          <w:p w14:paraId="6DF126C1" w14:textId="77777777" w:rsidR="00826D3B" w:rsidRPr="008B7AC3" w:rsidRDefault="00826D3B" w:rsidP="00FA3DFD">
            <w:pPr>
              <w:pStyle w:val="TableText0"/>
              <w:jc w:val="center"/>
            </w:pPr>
            <w:r w:rsidRPr="008B7AC3">
              <w:t>NR</w:t>
            </w:r>
          </w:p>
        </w:tc>
      </w:tr>
      <w:tr w:rsidR="00826D3B" w:rsidRPr="000B6735" w14:paraId="232713A7" w14:textId="77777777" w:rsidTr="00667D81">
        <w:tc>
          <w:tcPr>
            <w:tcW w:w="5000" w:type="pct"/>
            <w:gridSpan w:val="6"/>
            <w:vAlign w:val="center"/>
          </w:tcPr>
          <w:p w14:paraId="66E61100" w14:textId="77777777" w:rsidR="00826D3B" w:rsidRPr="000B6735" w:rsidRDefault="00826D3B" w:rsidP="00FA3DFD">
            <w:pPr>
              <w:pStyle w:val="TableText0"/>
              <w:rPr>
                <w:b/>
                <w:bCs w:val="0"/>
              </w:rPr>
            </w:pPr>
            <w:r w:rsidRPr="000B6735">
              <w:rPr>
                <w:b/>
                <w:bCs w:val="0"/>
              </w:rPr>
              <w:t>Any AE, Dose 3 to one month after dose 3</w:t>
            </w:r>
          </w:p>
        </w:tc>
      </w:tr>
      <w:tr w:rsidR="00826D3B" w:rsidRPr="000B6735" w14:paraId="68C67D65" w14:textId="77777777" w:rsidTr="00667D81">
        <w:tc>
          <w:tcPr>
            <w:tcW w:w="913" w:type="pct"/>
            <w:vAlign w:val="center"/>
          </w:tcPr>
          <w:p w14:paraId="2D29C1AA" w14:textId="77777777" w:rsidR="00826D3B" w:rsidRPr="000B6735" w:rsidRDefault="00826D3B" w:rsidP="00FA3DFD">
            <w:pPr>
              <w:pStyle w:val="TableText0"/>
            </w:pPr>
            <w:r w:rsidRPr="000B6735">
              <w:t>B7471012</w:t>
            </w:r>
          </w:p>
        </w:tc>
        <w:tc>
          <w:tcPr>
            <w:tcW w:w="731" w:type="pct"/>
            <w:vAlign w:val="center"/>
          </w:tcPr>
          <w:p w14:paraId="35F761FD" w14:textId="77777777" w:rsidR="00826D3B" w:rsidRPr="008B7AC3" w:rsidRDefault="00826D3B" w:rsidP="00FA3DFD">
            <w:pPr>
              <w:pStyle w:val="TableText0"/>
            </w:pPr>
            <w:r w:rsidRPr="000B6735">
              <w:t>Any</w:t>
            </w:r>
          </w:p>
        </w:tc>
        <w:tc>
          <w:tcPr>
            <w:tcW w:w="1292" w:type="pct"/>
          </w:tcPr>
          <w:p w14:paraId="6E76E878" w14:textId="77777777" w:rsidR="00826D3B" w:rsidRPr="008B7AC3" w:rsidRDefault="00826D3B" w:rsidP="00FA3DFD">
            <w:pPr>
              <w:pStyle w:val="TableText0"/>
              <w:jc w:val="center"/>
            </w:pPr>
            <w:r w:rsidRPr="008B7AC3">
              <w:t>91/588 (15.5)</w:t>
            </w:r>
          </w:p>
        </w:tc>
        <w:tc>
          <w:tcPr>
            <w:tcW w:w="1036" w:type="pct"/>
          </w:tcPr>
          <w:p w14:paraId="62C14152" w14:textId="77777777" w:rsidR="00826D3B" w:rsidRPr="008B7AC3" w:rsidRDefault="00826D3B" w:rsidP="00FA3DFD">
            <w:pPr>
              <w:pStyle w:val="TableText0"/>
              <w:jc w:val="center"/>
            </w:pPr>
            <w:r w:rsidRPr="008B7AC3">
              <w:t>98/594 (16.5)</w:t>
            </w:r>
          </w:p>
        </w:tc>
        <w:tc>
          <w:tcPr>
            <w:tcW w:w="1028" w:type="pct"/>
            <w:gridSpan w:val="2"/>
          </w:tcPr>
          <w:p w14:paraId="2AF3DF33" w14:textId="77777777" w:rsidR="00826D3B" w:rsidRPr="008B7AC3" w:rsidRDefault="00826D3B" w:rsidP="00FA3DFD">
            <w:pPr>
              <w:pStyle w:val="TableText0"/>
              <w:jc w:val="center"/>
            </w:pPr>
            <w:r w:rsidRPr="008B7AC3">
              <w:t>NR</w:t>
            </w:r>
          </w:p>
        </w:tc>
      </w:tr>
      <w:tr w:rsidR="00826D3B" w:rsidRPr="000B6735" w14:paraId="2DC0997A" w14:textId="77777777" w:rsidTr="00667D81">
        <w:tc>
          <w:tcPr>
            <w:tcW w:w="5000" w:type="pct"/>
            <w:gridSpan w:val="6"/>
            <w:vAlign w:val="center"/>
          </w:tcPr>
          <w:p w14:paraId="21C56BAD" w14:textId="77777777" w:rsidR="00826D3B" w:rsidRPr="000B6735" w:rsidRDefault="00826D3B" w:rsidP="00FA3DFD">
            <w:pPr>
              <w:pStyle w:val="TableText0"/>
              <w:rPr>
                <w:b/>
                <w:bCs w:val="0"/>
              </w:rPr>
            </w:pPr>
            <w:r w:rsidRPr="000B6735">
              <w:rPr>
                <w:b/>
                <w:bCs w:val="0"/>
              </w:rPr>
              <w:t>Any AE, Dose 1 to one month after dose 3</w:t>
            </w:r>
          </w:p>
        </w:tc>
      </w:tr>
      <w:tr w:rsidR="00826D3B" w:rsidRPr="000B6735" w14:paraId="207BDD42" w14:textId="77777777" w:rsidTr="00667D81">
        <w:tc>
          <w:tcPr>
            <w:tcW w:w="913" w:type="pct"/>
            <w:vAlign w:val="center"/>
          </w:tcPr>
          <w:p w14:paraId="50CC97B0" w14:textId="77777777" w:rsidR="00826D3B" w:rsidRPr="000B6735" w:rsidRDefault="00826D3B" w:rsidP="00FA3DFD">
            <w:pPr>
              <w:pStyle w:val="TableText0"/>
            </w:pPr>
            <w:r w:rsidRPr="000B6735">
              <w:t>B7471011</w:t>
            </w:r>
          </w:p>
        </w:tc>
        <w:tc>
          <w:tcPr>
            <w:tcW w:w="731" w:type="pct"/>
            <w:vAlign w:val="center"/>
          </w:tcPr>
          <w:p w14:paraId="53E427E2" w14:textId="77777777" w:rsidR="00826D3B" w:rsidRPr="008B7AC3" w:rsidRDefault="00826D3B" w:rsidP="00FA3DFD">
            <w:pPr>
              <w:pStyle w:val="TableText0"/>
            </w:pPr>
            <w:r w:rsidRPr="000B6735">
              <w:t>Any</w:t>
            </w:r>
          </w:p>
        </w:tc>
        <w:tc>
          <w:tcPr>
            <w:tcW w:w="1292" w:type="pct"/>
          </w:tcPr>
          <w:p w14:paraId="72DAE6FC" w14:textId="77777777" w:rsidR="00826D3B" w:rsidRPr="008B7AC3" w:rsidRDefault="00826D3B" w:rsidP="00FA3DFD">
            <w:pPr>
              <w:pStyle w:val="TableText0"/>
              <w:jc w:val="center"/>
            </w:pPr>
            <w:r w:rsidRPr="008B7AC3">
              <w:t>366/1001 (36.6)</w:t>
            </w:r>
          </w:p>
        </w:tc>
        <w:tc>
          <w:tcPr>
            <w:tcW w:w="1036" w:type="pct"/>
          </w:tcPr>
          <w:p w14:paraId="52DC423D" w14:textId="77777777" w:rsidR="00826D3B" w:rsidRPr="008B7AC3" w:rsidRDefault="00826D3B" w:rsidP="00FA3DFD">
            <w:pPr>
              <w:pStyle w:val="TableText0"/>
              <w:jc w:val="center"/>
            </w:pPr>
            <w:r w:rsidRPr="008B7AC3">
              <w:t>389/988 (39.4)</w:t>
            </w:r>
          </w:p>
        </w:tc>
        <w:tc>
          <w:tcPr>
            <w:tcW w:w="1028" w:type="pct"/>
            <w:gridSpan w:val="2"/>
          </w:tcPr>
          <w:p w14:paraId="66E5FF31" w14:textId="77777777" w:rsidR="00826D3B" w:rsidRPr="008B7AC3" w:rsidRDefault="00826D3B" w:rsidP="00FA3DFD">
            <w:pPr>
              <w:pStyle w:val="TableText0"/>
              <w:jc w:val="center"/>
            </w:pPr>
            <w:r w:rsidRPr="008B7AC3">
              <w:t>NR</w:t>
            </w:r>
          </w:p>
        </w:tc>
      </w:tr>
      <w:tr w:rsidR="00826D3B" w:rsidRPr="000B6735" w14:paraId="68365E06" w14:textId="77777777" w:rsidTr="00667D81">
        <w:tc>
          <w:tcPr>
            <w:tcW w:w="913" w:type="pct"/>
            <w:vAlign w:val="center"/>
          </w:tcPr>
          <w:p w14:paraId="4AE3FA61" w14:textId="77777777" w:rsidR="00826D3B" w:rsidRPr="000B6735" w:rsidRDefault="00826D3B" w:rsidP="00FA3DFD">
            <w:pPr>
              <w:pStyle w:val="TableText0"/>
            </w:pPr>
            <w:r w:rsidRPr="000B6735">
              <w:t>B7471013</w:t>
            </w:r>
          </w:p>
        </w:tc>
        <w:tc>
          <w:tcPr>
            <w:tcW w:w="731" w:type="pct"/>
            <w:vAlign w:val="center"/>
          </w:tcPr>
          <w:p w14:paraId="27092711" w14:textId="77777777" w:rsidR="00826D3B" w:rsidRPr="008B7AC3" w:rsidRDefault="00826D3B" w:rsidP="00FA3DFD">
            <w:pPr>
              <w:pStyle w:val="TableText0"/>
            </w:pPr>
            <w:r w:rsidRPr="000B6735">
              <w:t>Any</w:t>
            </w:r>
          </w:p>
        </w:tc>
        <w:tc>
          <w:tcPr>
            <w:tcW w:w="1292" w:type="pct"/>
          </w:tcPr>
          <w:p w14:paraId="252C8A20" w14:textId="77777777" w:rsidR="00826D3B" w:rsidRPr="008B7AC3" w:rsidRDefault="00826D3B" w:rsidP="00FA3DFD">
            <w:pPr>
              <w:pStyle w:val="TableText0"/>
              <w:jc w:val="center"/>
            </w:pPr>
            <w:r w:rsidRPr="008B7AC3">
              <w:t>296/1,000 (29.6)</w:t>
            </w:r>
          </w:p>
        </w:tc>
        <w:tc>
          <w:tcPr>
            <w:tcW w:w="1036" w:type="pct"/>
          </w:tcPr>
          <w:p w14:paraId="38BBA406" w14:textId="77777777" w:rsidR="00826D3B" w:rsidRPr="008B7AC3" w:rsidRDefault="00826D3B" w:rsidP="00FA3DFD">
            <w:pPr>
              <w:pStyle w:val="TableText0"/>
              <w:jc w:val="center"/>
            </w:pPr>
            <w:r w:rsidRPr="008B7AC3">
              <w:t>139/503 (27.6)</w:t>
            </w:r>
          </w:p>
        </w:tc>
        <w:tc>
          <w:tcPr>
            <w:tcW w:w="1028" w:type="pct"/>
            <w:gridSpan w:val="2"/>
          </w:tcPr>
          <w:p w14:paraId="11904F14" w14:textId="77777777" w:rsidR="00826D3B" w:rsidRPr="008B7AC3" w:rsidRDefault="00826D3B" w:rsidP="00FA3DFD">
            <w:pPr>
              <w:pStyle w:val="TableText0"/>
              <w:jc w:val="center"/>
            </w:pPr>
            <w:r w:rsidRPr="008B7AC3">
              <w:t>NR</w:t>
            </w:r>
          </w:p>
        </w:tc>
      </w:tr>
      <w:tr w:rsidR="00826D3B" w:rsidRPr="000B6735" w14:paraId="12151A51" w14:textId="77777777" w:rsidTr="00667D81">
        <w:tc>
          <w:tcPr>
            <w:tcW w:w="5000" w:type="pct"/>
            <w:gridSpan w:val="6"/>
            <w:vAlign w:val="center"/>
          </w:tcPr>
          <w:p w14:paraId="08C1E905" w14:textId="77777777" w:rsidR="00826D3B" w:rsidRPr="000B6735" w:rsidRDefault="00826D3B" w:rsidP="00FA3DFD">
            <w:pPr>
              <w:pStyle w:val="TableText0"/>
              <w:rPr>
                <w:b/>
                <w:bCs w:val="0"/>
              </w:rPr>
            </w:pPr>
            <w:r w:rsidRPr="000B6735">
              <w:rPr>
                <w:b/>
                <w:bCs w:val="0"/>
              </w:rPr>
              <w:t>Any AE, Dose 4 to one month after dose 4</w:t>
            </w:r>
          </w:p>
        </w:tc>
      </w:tr>
      <w:tr w:rsidR="00826D3B" w:rsidRPr="000B6735" w14:paraId="71C69BBD" w14:textId="77777777" w:rsidTr="00667D81">
        <w:tc>
          <w:tcPr>
            <w:tcW w:w="913" w:type="pct"/>
            <w:vAlign w:val="center"/>
          </w:tcPr>
          <w:p w14:paraId="4E9F636D" w14:textId="77777777" w:rsidR="00826D3B" w:rsidRPr="000B6735" w:rsidRDefault="00826D3B" w:rsidP="00FA3DFD">
            <w:pPr>
              <w:pStyle w:val="TableText0"/>
              <w:rPr>
                <w:b/>
                <w:bCs w:val="0"/>
              </w:rPr>
            </w:pPr>
            <w:r w:rsidRPr="000B6735">
              <w:t>B7471011</w:t>
            </w:r>
          </w:p>
        </w:tc>
        <w:tc>
          <w:tcPr>
            <w:tcW w:w="731" w:type="pct"/>
            <w:vAlign w:val="center"/>
          </w:tcPr>
          <w:p w14:paraId="53B629CF" w14:textId="77777777" w:rsidR="00826D3B" w:rsidRPr="008B7AC3" w:rsidRDefault="00826D3B" w:rsidP="00FA3DFD">
            <w:pPr>
              <w:pStyle w:val="TableText0"/>
            </w:pPr>
            <w:r w:rsidRPr="000B6735">
              <w:t>Any</w:t>
            </w:r>
          </w:p>
        </w:tc>
        <w:tc>
          <w:tcPr>
            <w:tcW w:w="1292" w:type="pct"/>
          </w:tcPr>
          <w:p w14:paraId="0E6EC28B" w14:textId="77777777" w:rsidR="00826D3B" w:rsidRPr="008B7AC3" w:rsidRDefault="00826D3B" w:rsidP="00FA3DFD">
            <w:pPr>
              <w:pStyle w:val="TableText0"/>
              <w:jc w:val="center"/>
            </w:pPr>
            <w:r w:rsidRPr="008B7AC3">
              <w:t>129/853 (15.1)</w:t>
            </w:r>
          </w:p>
        </w:tc>
        <w:tc>
          <w:tcPr>
            <w:tcW w:w="1036" w:type="pct"/>
          </w:tcPr>
          <w:p w14:paraId="4A2A07E4" w14:textId="77777777" w:rsidR="00826D3B" w:rsidRPr="008B7AC3" w:rsidRDefault="00826D3B" w:rsidP="00FA3DFD">
            <w:pPr>
              <w:pStyle w:val="TableText0"/>
              <w:jc w:val="center"/>
            </w:pPr>
            <w:r w:rsidRPr="008B7AC3">
              <w:t>126/841 (15.0)</w:t>
            </w:r>
          </w:p>
        </w:tc>
        <w:tc>
          <w:tcPr>
            <w:tcW w:w="1028" w:type="pct"/>
            <w:gridSpan w:val="2"/>
          </w:tcPr>
          <w:p w14:paraId="497D94E9" w14:textId="77777777" w:rsidR="00826D3B" w:rsidRPr="008B7AC3" w:rsidRDefault="00826D3B" w:rsidP="00FA3DFD">
            <w:pPr>
              <w:pStyle w:val="TableText0"/>
              <w:jc w:val="center"/>
            </w:pPr>
            <w:r w:rsidRPr="008B7AC3">
              <w:t>NR</w:t>
            </w:r>
          </w:p>
        </w:tc>
      </w:tr>
      <w:tr w:rsidR="00826D3B" w:rsidRPr="000B6735" w14:paraId="69492B9F" w14:textId="77777777" w:rsidTr="00667D81">
        <w:tc>
          <w:tcPr>
            <w:tcW w:w="913" w:type="pct"/>
            <w:vAlign w:val="center"/>
          </w:tcPr>
          <w:p w14:paraId="6B518D7B" w14:textId="77777777" w:rsidR="00826D3B" w:rsidRPr="000B6735" w:rsidRDefault="00826D3B" w:rsidP="00FA3DFD">
            <w:pPr>
              <w:pStyle w:val="TableText0"/>
            </w:pPr>
            <w:r w:rsidRPr="000B6735">
              <w:t>B7471013</w:t>
            </w:r>
          </w:p>
        </w:tc>
        <w:tc>
          <w:tcPr>
            <w:tcW w:w="731" w:type="pct"/>
            <w:vAlign w:val="center"/>
          </w:tcPr>
          <w:p w14:paraId="32AD9036" w14:textId="77777777" w:rsidR="00826D3B" w:rsidRPr="008B7AC3" w:rsidRDefault="00826D3B" w:rsidP="00FA3DFD">
            <w:pPr>
              <w:pStyle w:val="TableText0"/>
            </w:pPr>
            <w:r w:rsidRPr="000B6735">
              <w:t>Any</w:t>
            </w:r>
          </w:p>
        </w:tc>
        <w:tc>
          <w:tcPr>
            <w:tcW w:w="1292" w:type="pct"/>
          </w:tcPr>
          <w:p w14:paraId="47822A14" w14:textId="77777777" w:rsidR="00826D3B" w:rsidRPr="008B7AC3" w:rsidRDefault="00826D3B" w:rsidP="00FA3DFD">
            <w:pPr>
              <w:pStyle w:val="TableText0"/>
              <w:jc w:val="center"/>
            </w:pPr>
            <w:r w:rsidRPr="008B7AC3">
              <w:t>139/923 (15.1)</w:t>
            </w:r>
          </w:p>
        </w:tc>
        <w:tc>
          <w:tcPr>
            <w:tcW w:w="1036" w:type="pct"/>
          </w:tcPr>
          <w:p w14:paraId="67951F86" w14:textId="77777777" w:rsidR="00826D3B" w:rsidRPr="008B7AC3" w:rsidRDefault="00826D3B" w:rsidP="00FA3DFD">
            <w:pPr>
              <w:pStyle w:val="TableText0"/>
              <w:jc w:val="center"/>
            </w:pPr>
            <w:r w:rsidRPr="008B7AC3">
              <w:t>73/461 (15.8)</w:t>
            </w:r>
          </w:p>
        </w:tc>
        <w:tc>
          <w:tcPr>
            <w:tcW w:w="1028" w:type="pct"/>
            <w:gridSpan w:val="2"/>
          </w:tcPr>
          <w:p w14:paraId="5EE744D9" w14:textId="77777777" w:rsidR="00826D3B" w:rsidRPr="008B7AC3" w:rsidRDefault="00826D3B" w:rsidP="00FA3DFD">
            <w:pPr>
              <w:pStyle w:val="TableText0"/>
              <w:jc w:val="center"/>
            </w:pPr>
            <w:r w:rsidRPr="008B7AC3">
              <w:t>NR</w:t>
            </w:r>
          </w:p>
        </w:tc>
      </w:tr>
      <w:tr w:rsidR="00826D3B" w:rsidRPr="000B6735" w14:paraId="2EE8EF83" w14:textId="77777777" w:rsidTr="00667D81">
        <w:tc>
          <w:tcPr>
            <w:tcW w:w="5000" w:type="pct"/>
            <w:gridSpan w:val="6"/>
            <w:vAlign w:val="center"/>
          </w:tcPr>
          <w:p w14:paraId="371B5717" w14:textId="77777777" w:rsidR="00826D3B" w:rsidRPr="000B6735" w:rsidRDefault="00826D3B" w:rsidP="00FA3DFD">
            <w:pPr>
              <w:pStyle w:val="TableText0"/>
              <w:rPr>
                <w:b/>
                <w:bCs w:val="0"/>
              </w:rPr>
            </w:pPr>
            <w:r w:rsidRPr="000B6735">
              <w:rPr>
                <w:b/>
                <w:bCs w:val="0"/>
              </w:rPr>
              <w:t>Any AE</w:t>
            </w:r>
          </w:p>
        </w:tc>
      </w:tr>
      <w:tr w:rsidR="00826D3B" w:rsidRPr="000B6735" w14:paraId="4F638D46" w14:textId="77777777" w:rsidTr="00667D81">
        <w:tc>
          <w:tcPr>
            <w:tcW w:w="913" w:type="pct"/>
            <w:vAlign w:val="center"/>
          </w:tcPr>
          <w:p w14:paraId="39394C7B" w14:textId="77777777" w:rsidR="00826D3B" w:rsidRPr="000B6735" w:rsidRDefault="00826D3B" w:rsidP="00FA3DFD">
            <w:pPr>
              <w:pStyle w:val="TableText0"/>
            </w:pPr>
            <w:r w:rsidRPr="000B6735">
              <w:t>B7471003</w:t>
            </w:r>
          </w:p>
        </w:tc>
        <w:tc>
          <w:tcPr>
            <w:tcW w:w="731" w:type="pct"/>
            <w:vAlign w:val="center"/>
          </w:tcPr>
          <w:p w14:paraId="6637E6FE" w14:textId="77777777" w:rsidR="00826D3B" w:rsidRPr="000B6735" w:rsidRDefault="00826D3B" w:rsidP="00FA3DFD">
            <w:pPr>
              <w:pStyle w:val="TableText0"/>
            </w:pPr>
            <w:r w:rsidRPr="000B6735">
              <w:t>Any</w:t>
            </w:r>
          </w:p>
        </w:tc>
        <w:tc>
          <w:tcPr>
            <w:tcW w:w="1292" w:type="pct"/>
          </w:tcPr>
          <w:p w14:paraId="09A59616" w14:textId="77777777" w:rsidR="00826D3B" w:rsidRPr="000B6735" w:rsidRDefault="00826D3B" w:rsidP="00FA3DFD">
            <w:pPr>
              <w:pStyle w:val="TableText0"/>
              <w:jc w:val="center"/>
            </w:pPr>
            <w:r w:rsidRPr="000B6735">
              <w:t>154/231 (66.7)</w:t>
            </w:r>
          </w:p>
        </w:tc>
        <w:tc>
          <w:tcPr>
            <w:tcW w:w="1036" w:type="pct"/>
          </w:tcPr>
          <w:p w14:paraId="307B8E7A" w14:textId="77777777" w:rsidR="00826D3B" w:rsidRPr="000B6735" w:rsidRDefault="00826D3B" w:rsidP="00FA3DFD">
            <w:pPr>
              <w:pStyle w:val="TableText0"/>
              <w:jc w:val="center"/>
            </w:pPr>
            <w:r w:rsidRPr="000B6735">
              <w:t>153/227 (67.4)</w:t>
            </w:r>
          </w:p>
        </w:tc>
        <w:tc>
          <w:tcPr>
            <w:tcW w:w="1028" w:type="pct"/>
            <w:gridSpan w:val="2"/>
          </w:tcPr>
          <w:p w14:paraId="0F15B8E9" w14:textId="77777777" w:rsidR="00826D3B" w:rsidRPr="000B6735" w:rsidRDefault="00826D3B" w:rsidP="00FA3DFD">
            <w:pPr>
              <w:pStyle w:val="TableText0"/>
              <w:jc w:val="center"/>
            </w:pPr>
            <w:r w:rsidRPr="008B7AC3">
              <w:t>NR</w:t>
            </w:r>
          </w:p>
        </w:tc>
      </w:tr>
      <w:tr w:rsidR="00826D3B" w:rsidRPr="000B6735" w14:paraId="4CF01AE4" w14:textId="77777777" w:rsidTr="00667D81">
        <w:tc>
          <w:tcPr>
            <w:tcW w:w="913" w:type="pct"/>
            <w:vAlign w:val="center"/>
          </w:tcPr>
          <w:p w14:paraId="392F8CF9" w14:textId="77777777" w:rsidR="00826D3B" w:rsidRPr="000B6735" w:rsidRDefault="00826D3B" w:rsidP="00FA3DFD">
            <w:pPr>
              <w:pStyle w:val="TableText0"/>
            </w:pPr>
            <w:r w:rsidRPr="000B6735">
              <w:t>PNEU-PED-EU-1</w:t>
            </w:r>
          </w:p>
        </w:tc>
        <w:tc>
          <w:tcPr>
            <w:tcW w:w="731" w:type="pct"/>
            <w:vAlign w:val="center"/>
          </w:tcPr>
          <w:p w14:paraId="703FFE6D" w14:textId="77777777" w:rsidR="00826D3B" w:rsidRPr="000B6735" w:rsidRDefault="00826D3B" w:rsidP="00FA3DFD">
            <w:pPr>
              <w:pStyle w:val="TableText0"/>
            </w:pPr>
            <w:r w:rsidRPr="000B6735">
              <w:t>Any</w:t>
            </w:r>
          </w:p>
        </w:tc>
        <w:tc>
          <w:tcPr>
            <w:tcW w:w="1292" w:type="pct"/>
            <w:shd w:val="clear" w:color="auto" w:fill="B8CCE4" w:themeFill="accent1" w:themeFillTint="66"/>
          </w:tcPr>
          <w:p w14:paraId="621090DC" w14:textId="77777777" w:rsidR="00826D3B" w:rsidRPr="000B6735" w:rsidRDefault="00826D3B" w:rsidP="00FA3DFD">
            <w:pPr>
              <w:pStyle w:val="TableText0"/>
              <w:jc w:val="center"/>
            </w:pPr>
            <w:r w:rsidRPr="000B6735">
              <w:t>138/587 (28.5)</w:t>
            </w:r>
          </w:p>
        </w:tc>
        <w:tc>
          <w:tcPr>
            <w:tcW w:w="1036" w:type="pct"/>
            <w:shd w:val="clear" w:color="auto" w:fill="B8CCE4" w:themeFill="accent1" w:themeFillTint="66"/>
          </w:tcPr>
          <w:p w14:paraId="30922C1A" w14:textId="77777777" w:rsidR="00826D3B" w:rsidRPr="000B6735" w:rsidRDefault="00826D3B" w:rsidP="00FA3DFD">
            <w:pPr>
              <w:pStyle w:val="TableText0"/>
              <w:jc w:val="center"/>
            </w:pPr>
            <w:r w:rsidRPr="000B6735">
              <w:t>81/591 (13.8)</w:t>
            </w:r>
          </w:p>
        </w:tc>
        <w:tc>
          <w:tcPr>
            <w:tcW w:w="1028" w:type="pct"/>
            <w:gridSpan w:val="2"/>
            <w:shd w:val="clear" w:color="auto" w:fill="B8CCE4" w:themeFill="accent1" w:themeFillTint="66"/>
          </w:tcPr>
          <w:p w14:paraId="72B2B5A9" w14:textId="77777777" w:rsidR="00826D3B" w:rsidRPr="000B6735" w:rsidRDefault="00826D3B" w:rsidP="00FA3DFD">
            <w:pPr>
              <w:pStyle w:val="TableText0"/>
              <w:jc w:val="center"/>
            </w:pPr>
            <w:r w:rsidRPr="000B6735">
              <w:t>14.7 (NR)</w:t>
            </w:r>
          </w:p>
        </w:tc>
      </w:tr>
      <w:tr w:rsidR="00826D3B" w:rsidRPr="000B6735" w14:paraId="0AB3AB25" w14:textId="77777777" w:rsidTr="00667D81">
        <w:tc>
          <w:tcPr>
            <w:tcW w:w="913" w:type="pct"/>
            <w:vAlign w:val="center"/>
          </w:tcPr>
          <w:p w14:paraId="32447877" w14:textId="77777777" w:rsidR="00826D3B" w:rsidRPr="000B6735" w:rsidRDefault="00826D3B" w:rsidP="00FA3DFD">
            <w:pPr>
              <w:pStyle w:val="TableText0"/>
            </w:pPr>
            <w:r w:rsidRPr="000B6735">
              <w:t>PNEU-PED-EU-2</w:t>
            </w:r>
          </w:p>
        </w:tc>
        <w:tc>
          <w:tcPr>
            <w:tcW w:w="731" w:type="pct"/>
            <w:vAlign w:val="center"/>
          </w:tcPr>
          <w:p w14:paraId="07CE4CB1" w14:textId="77777777" w:rsidR="00826D3B" w:rsidRPr="000B6735" w:rsidRDefault="00826D3B" w:rsidP="00FA3DFD">
            <w:pPr>
              <w:pStyle w:val="TableText0"/>
            </w:pPr>
            <w:r w:rsidRPr="000B6735">
              <w:t>Any</w:t>
            </w:r>
          </w:p>
        </w:tc>
        <w:tc>
          <w:tcPr>
            <w:tcW w:w="1292" w:type="pct"/>
            <w:shd w:val="clear" w:color="auto" w:fill="B8CCE4" w:themeFill="accent1" w:themeFillTint="66"/>
          </w:tcPr>
          <w:p w14:paraId="1060E584" w14:textId="77777777" w:rsidR="00826D3B" w:rsidRPr="000B6735" w:rsidRDefault="00826D3B" w:rsidP="00FA3DFD">
            <w:pPr>
              <w:pStyle w:val="TableText0"/>
              <w:jc w:val="center"/>
            </w:pPr>
            <w:r w:rsidRPr="000B6735">
              <w:t>236/595 (39.7)</w:t>
            </w:r>
          </w:p>
        </w:tc>
        <w:tc>
          <w:tcPr>
            <w:tcW w:w="1036" w:type="pct"/>
            <w:shd w:val="clear" w:color="auto" w:fill="B8CCE4" w:themeFill="accent1" w:themeFillTint="66"/>
          </w:tcPr>
          <w:p w14:paraId="7051A9CE" w14:textId="77777777" w:rsidR="00826D3B" w:rsidRPr="000B6735" w:rsidRDefault="00826D3B" w:rsidP="00FA3DFD">
            <w:pPr>
              <w:pStyle w:val="TableText0"/>
              <w:jc w:val="center"/>
            </w:pPr>
            <w:r w:rsidRPr="000B6735">
              <w:t>187/594 (31.5)</w:t>
            </w:r>
          </w:p>
        </w:tc>
        <w:tc>
          <w:tcPr>
            <w:tcW w:w="1028" w:type="pct"/>
            <w:gridSpan w:val="2"/>
            <w:shd w:val="clear" w:color="auto" w:fill="B8CCE4" w:themeFill="accent1" w:themeFillTint="66"/>
          </w:tcPr>
          <w:p w14:paraId="07EC2E2A" w14:textId="77777777" w:rsidR="00826D3B" w:rsidRPr="000B6735" w:rsidRDefault="00826D3B" w:rsidP="00FA3DFD">
            <w:pPr>
              <w:pStyle w:val="TableText0"/>
              <w:jc w:val="center"/>
            </w:pPr>
            <w:r w:rsidRPr="000B6735">
              <w:t>8.2 (NR)</w:t>
            </w:r>
          </w:p>
        </w:tc>
      </w:tr>
      <w:tr w:rsidR="00826D3B" w:rsidRPr="000B6735" w14:paraId="65845AFB" w14:textId="77777777" w:rsidTr="00667D81">
        <w:tc>
          <w:tcPr>
            <w:tcW w:w="913" w:type="pct"/>
            <w:vAlign w:val="center"/>
          </w:tcPr>
          <w:p w14:paraId="29B97286" w14:textId="77777777" w:rsidR="00826D3B" w:rsidRPr="000B6735" w:rsidRDefault="00826D3B" w:rsidP="00FA3DFD">
            <w:pPr>
              <w:pStyle w:val="TableText0"/>
            </w:pPr>
            <w:r w:rsidRPr="000B6735">
              <w:t>PNEU-PED</w:t>
            </w:r>
          </w:p>
        </w:tc>
        <w:tc>
          <w:tcPr>
            <w:tcW w:w="731" w:type="pct"/>
            <w:vAlign w:val="center"/>
          </w:tcPr>
          <w:p w14:paraId="4A6B4E7A" w14:textId="77777777" w:rsidR="00826D3B" w:rsidRPr="000B6735" w:rsidRDefault="00826D3B" w:rsidP="00FA3DFD">
            <w:pPr>
              <w:pStyle w:val="TableText0"/>
            </w:pPr>
            <w:r w:rsidRPr="000B6735">
              <w:t>Any</w:t>
            </w:r>
          </w:p>
        </w:tc>
        <w:tc>
          <w:tcPr>
            <w:tcW w:w="1292" w:type="pct"/>
            <w:shd w:val="clear" w:color="auto" w:fill="B8CCE4" w:themeFill="accent1" w:themeFillTint="66"/>
          </w:tcPr>
          <w:p w14:paraId="11AE8952" w14:textId="77777777" w:rsidR="00826D3B" w:rsidRPr="000B6735" w:rsidRDefault="00826D3B" w:rsidP="00FA3DFD">
            <w:pPr>
              <w:pStyle w:val="TableText0"/>
              <w:jc w:val="center"/>
            </w:pPr>
            <w:r w:rsidRPr="000B6735">
              <w:t>234/858 (27.3)</w:t>
            </w:r>
          </w:p>
        </w:tc>
        <w:tc>
          <w:tcPr>
            <w:tcW w:w="1036" w:type="pct"/>
            <w:shd w:val="clear" w:color="auto" w:fill="B8CCE4" w:themeFill="accent1" w:themeFillTint="66"/>
          </w:tcPr>
          <w:p w14:paraId="6FD6D0F3" w14:textId="77777777" w:rsidR="00826D3B" w:rsidRPr="000B6735" w:rsidRDefault="00826D3B" w:rsidP="00FA3DFD">
            <w:pPr>
              <w:pStyle w:val="TableText0"/>
              <w:jc w:val="center"/>
            </w:pPr>
            <w:r w:rsidRPr="000B6735">
              <w:t>214/855 (25.0)</w:t>
            </w:r>
          </w:p>
        </w:tc>
        <w:tc>
          <w:tcPr>
            <w:tcW w:w="1028" w:type="pct"/>
            <w:gridSpan w:val="2"/>
            <w:shd w:val="clear" w:color="auto" w:fill="B8CCE4" w:themeFill="accent1" w:themeFillTint="66"/>
          </w:tcPr>
          <w:p w14:paraId="1F1AE308" w14:textId="77777777" w:rsidR="00826D3B" w:rsidRPr="000B6735" w:rsidRDefault="00826D3B" w:rsidP="00FA3DFD">
            <w:pPr>
              <w:pStyle w:val="TableText0"/>
              <w:jc w:val="center"/>
            </w:pPr>
            <w:r w:rsidRPr="000B6735">
              <w:t>2.3 (NR)</w:t>
            </w:r>
          </w:p>
        </w:tc>
      </w:tr>
      <w:tr w:rsidR="00826D3B" w:rsidRPr="000B6735" w14:paraId="60F39806" w14:textId="77777777" w:rsidTr="00667D81">
        <w:tc>
          <w:tcPr>
            <w:tcW w:w="3976" w:type="pct"/>
            <w:gridSpan w:val="5"/>
            <w:vAlign w:val="center"/>
          </w:tcPr>
          <w:p w14:paraId="21A34E6A" w14:textId="77777777" w:rsidR="00826D3B" w:rsidRPr="000B6735" w:rsidRDefault="00826D3B" w:rsidP="00FA3DFD">
            <w:pPr>
              <w:pStyle w:val="TableText0"/>
            </w:pPr>
            <w:r w:rsidRPr="000B6735">
              <w:rPr>
                <w:b/>
                <w:bCs w:val="0"/>
              </w:rPr>
              <w:t>Any SAE</w:t>
            </w:r>
          </w:p>
        </w:tc>
        <w:tc>
          <w:tcPr>
            <w:tcW w:w="1024" w:type="pct"/>
          </w:tcPr>
          <w:p w14:paraId="1103FC52" w14:textId="77777777" w:rsidR="00826D3B" w:rsidRPr="000B6735" w:rsidRDefault="00826D3B" w:rsidP="00FA3DFD">
            <w:pPr>
              <w:pStyle w:val="TableText0"/>
              <w:rPr>
                <w:b/>
                <w:bCs w:val="0"/>
              </w:rPr>
            </w:pPr>
          </w:p>
        </w:tc>
      </w:tr>
      <w:tr w:rsidR="00826D3B" w:rsidRPr="000B6735" w14:paraId="41072EB8" w14:textId="77777777" w:rsidTr="00667D81">
        <w:tc>
          <w:tcPr>
            <w:tcW w:w="913" w:type="pct"/>
            <w:vAlign w:val="center"/>
          </w:tcPr>
          <w:p w14:paraId="7C1C0DE5" w14:textId="77777777" w:rsidR="00826D3B" w:rsidRPr="000B6735" w:rsidRDefault="00826D3B" w:rsidP="00FA3DFD">
            <w:pPr>
              <w:pStyle w:val="TableText0"/>
            </w:pPr>
            <w:r w:rsidRPr="000B6735">
              <w:t>B7471012</w:t>
            </w:r>
          </w:p>
        </w:tc>
        <w:tc>
          <w:tcPr>
            <w:tcW w:w="731" w:type="pct"/>
            <w:vAlign w:val="center"/>
          </w:tcPr>
          <w:p w14:paraId="5B4E03B9" w14:textId="77777777" w:rsidR="00826D3B" w:rsidRPr="000B6735" w:rsidRDefault="00826D3B" w:rsidP="00FA3DFD">
            <w:pPr>
              <w:pStyle w:val="TableText0"/>
            </w:pPr>
            <w:r w:rsidRPr="000B6735">
              <w:t>Any</w:t>
            </w:r>
          </w:p>
        </w:tc>
        <w:tc>
          <w:tcPr>
            <w:tcW w:w="1292" w:type="pct"/>
            <w:vAlign w:val="center"/>
          </w:tcPr>
          <w:p w14:paraId="5AF1C206" w14:textId="77777777" w:rsidR="00826D3B" w:rsidRPr="000B6735" w:rsidRDefault="00826D3B" w:rsidP="00FA3DFD">
            <w:pPr>
              <w:pStyle w:val="TableText0"/>
              <w:jc w:val="center"/>
            </w:pPr>
            <w:r w:rsidRPr="000B6735">
              <w:t>34/601 (5.7)</w:t>
            </w:r>
          </w:p>
        </w:tc>
        <w:tc>
          <w:tcPr>
            <w:tcW w:w="1036" w:type="pct"/>
            <w:vAlign w:val="center"/>
          </w:tcPr>
          <w:p w14:paraId="07AD36A7" w14:textId="77777777" w:rsidR="00826D3B" w:rsidRPr="000B6735" w:rsidRDefault="00826D3B" w:rsidP="00FA3DFD">
            <w:pPr>
              <w:pStyle w:val="TableText0"/>
              <w:jc w:val="center"/>
            </w:pPr>
            <w:r w:rsidRPr="000B6735">
              <w:t>40/603 (6.6)</w:t>
            </w:r>
          </w:p>
        </w:tc>
        <w:tc>
          <w:tcPr>
            <w:tcW w:w="1028" w:type="pct"/>
            <w:gridSpan w:val="2"/>
            <w:vAlign w:val="center"/>
          </w:tcPr>
          <w:p w14:paraId="1B16494F" w14:textId="77777777" w:rsidR="00826D3B" w:rsidRPr="000B6735" w:rsidRDefault="00826D3B" w:rsidP="00FA3DFD">
            <w:pPr>
              <w:pStyle w:val="TableText0"/>
              <w:jc w:val="center"/>
            </w:pPr>
            <w:r w:rsidRPr="000B6735">
              <w:t>NR</w:t>
            </w:r>
          </w:p>
        </w:tc>
      </w:tr>
      <w:tr w:rsidR="00826D3B" w:rsidRPr="000B6735" w14:paraId="695914AA" w14:textId="77777777" w:rsidTr="00667D81">
        <w:tc>
          <w:tcPr>
            <w:tcW w:w="913" w:type="pct"/>
          </w:tcPr>
          <w:p w14:paraId="4B982C93" w14:textId="77777777" w:rsidR="00826D3B" w:rsidRPr="000B6735" w:rsidRDefault="00826D3B" w:rsidP="00FA3DFD">
            <w:pPr>
              <w:pStyle w:val="TableText0"/>
            </w:pPr>
            <w:r w:rsidRPr="000B6735">
              <w:t>B7471011</w:t>
            </w:r>
          </w:p>
        </w:tc>
        <w:tc>
          <w:tcPr>
            <w:tcW w:w="731" w:type="pct"/>
            <w:vAlign w:val="center"/>
          </w:tcPr>
          <w:p w14:paraId="27F2D42D" w14:textId="77777777" w:rsidR="00826D3B" w:rsidRPr="000B6735" w:rsidRDefault="00826D3B" w:rsidP="00FA3DFD">
            <w:pPr>
              <w:pStyle w:val="TableText0"/>
            </w:pPr>
            <w:r w:rsidRPr="000B6735">
              <w:t>Any</w:t>
            </w:r>
          </w:p>
        </w:tc>
        <w:tc>
          <w:tcPr>
            <w:tcW w:w="1292" w:type="pct"/>
            <w:vAlign w:val="center"/>
          </w:tcPr>
          <w:p w14:paraId="29C294D8" w14:textId="77777777" w:rsidR="00826D3B" w:rsidRPr="000B6735" w:rsidRDefault="00826D3B" w:rsidP="00FA3DFD">
            <w:pPr>
              <w:pStyle w:val="TableText0"/>
              <w:jc w:val="center"/>
            </w:pPr>
            <w:r w:rsidRPr="000B6735">
              <w:t>45/1001 (4.5)</w:t>
            </w:r>
          </w:p>
        </w:tc>
        <w:tc>
          <w:tcPr>
            <w:tcW w:w="1036" w:type="pct"/>
            <w:vAlign w:val="center"/>
          </w:tcPr>
          <w:p w14:paraId="28D4FBC9" w14:textId="77777777" w:rsidR="00826D3B" w:rsidRPr="000B6735" w:rsidRDefault="00826D3B" w:rsidP="00FA3DFD">
            <w:pPr>
              <w:pStyle w:val="TableText0"/>
              <w:jc w:val="center"/>
            </w:pPr>
            <w:r w:rsidRPr="000B6735">
              <w:t>31/988 (3.1)</w:t>
            </w:r>
          </w:p>
        </w:tc>
        <w:tc>
          <w:tcPr>
            <w:tcW w:w="1028" w:type="pct"/>
            <w:gridSpan w:val="2"/>
            <w:vAlign w:val="center"/>
          </w:tcPr>
          <w:p w14:paraId="0DCC1548" w14:textId="77777777" w:rsidR="00826D3B" w:rsidRPr="000B6735" w:rsidRDefault="00826D3B" w:rsidP="00FA3DFD">
            <w:pPr>
              <w:pStyle w:val="TableText0"/>
              <w:jc w:val="center"/>
            </w:pPr>
            <w:r w:rsidRPr="000B6735">
              <w:t>NR</w:t>
            </w:r>
          </w:p>
        </w:tc>
      </w:tr>
      <w:tr w:rsidR="00826D3B" w:rsidRPr="000B6735" w14:paraId="6ECCD185" w14:textId="77777777" w:rsidTr="00667D81">
        <w:tc>
          <w:tcPr>
            <w:tcW w:w="913" w:type="pct"/>
          </w:tcPr>
          <w:p w14:paraId="197AAFBA" w14:textId="77777777" w:rsidR="00826D3B" w:rsidRPr="000B6735" w:rsidRDefault="00826D3B" w:rsidP="00FA3DFD">
            <w:pPr>
              <w:pStyle w:val="TableText0"/>
            </w:pPr>
            <w:r w:rsidRPr="000B6735">
              <w:t>B7471013</w:t>
            </w:r>
          </w:p>
        </w:tc>
        <w:tc>
          <w:tcPr>
            <w:tcW w:w="731" w:type="pct"/>
            <w:vAlign w:val="center"/>
          </w:tcPr>
          <w:p w14:paraId="12B4309D" w14:textId="77777777" w:rsidR="00826D3B" w:rsidRPr="000B6735" w:rsidRDefault="00826D3B" w:rsidP="00FA3DFD">
            <w:pPr>
              <w:pStyle w:val="TableText0"/>
            </w:pPr>
            <w:r w:rsidRPr="000B6735">
              <w:t>Any</w:t>
            </w:r>
          </w:p>
        </w:tc>
        <w:tc>
          <w:tcPr>
            <w:tcW w:w="1292" w:type="pct"/>
            <w:vAlign w:val="center"/>
          </w:tcPr>
          <w:p w14:paraId="25B9B9CC" w14:textId="77777777" w:rsidR="00826D3B" w:rsidRPr="000B6735" w:rsidRDefault="00826D3B" w:rsidP="00FA3DFD">
            <w:pPr>
              <w:pStyle w:val="TableText0"/>
              <w:jc w:val="center"/>
            </w:pPr>
            <w:r w:rsidRPr="000B6735">
              <w:t>44/1000 (4.4)</w:t>
            </w:r>
          </w:p>
        </w:tc>
        <w:tc>
          <w:tcPr>
            <w:tcW w:w="1036" w:type="pct"/>
            <w:vAlign w:val="center"/>
          </w:tcPr>
          <w:p w14:paraId="61199AE1" w14:textId="77777777" w:rsidR="00826D3B" w:rsidRPr="000B6735" w:rsidRDefault="00826D3B" w:rsidP="00FA3DFD">
            <w:pPr>
              <w:pStyle w:val="TableText0"/>
              <w:jc w:val="center"/>
            </w:pPr>
            <w:r w:rsidRPr="000B6735">
              <w:t>28/503 (5.6)</w:t>
            </w:r>
          </w:p>
        </w:tc>
        <w:tc>
          <w:tcPr>
            <w:tcW w:w="1028" w:type="pct"/>
            <w:gridSpan w:val="2"/>
            <w:vAlign w:val="center"/>
          </w:tcPr>
          <w:p w14:paraId="2E57866D" w14:textId="77777777" w:rsidR="00826D3B" w:rsidRPr="000B6735" w:rsidRDefault="00826D3B" w:rsidP="00FA3DFD">
            <w:pPr>
              <w:pStyle w:val="TableText0"/>
              <w:jc w:val="center"/>
            </w:pPr>
            <w:r w:rsidRPr="000B6735">
              <w:t>NR</w:t>
            </w:r>
          </w:p>
        </w:tc>
      </w:tr>
      <w:tr w:rsidR="00826D3B" w:rsidRPr="000B6735" w14:paraId="2E39FAC7" w14:textId="77777777" w:rsidTr="00667D81">
        <w:tc>
          <w:tcPr>
            <w:tcW w:w="913" w:type="pct"/>
          </w:tcPr>
          <w:p w14:paraId="428ED7EC" w14:textId="77777777" w:rsidR="00826D3B" w:rsidRPr="000B6735" w:rsidRDefault="00826D3B" w:rsidP="00FA3DFD">
            <w:pPr>
              <w:pStyle w:val="TableText0"/>
            </w:pPr>
            <w:r w:rsidRPr="000B6735">
              <w:t>B7471003</w:t>
            </w:r>
          </w:p>
        </w:tc>
        <w:tc>
          <w:tcPr>
            <w:tcW w:w="731" w:type="pct"/>
            <w:vAlign w:val="center"/>
          </w:tcPr>
          <w:p w14:paraId="7CFE5544" w14:textId="77777777" w:rsidR="00826D3B" w:rsidRPr="000B6735" w:rsidRDefault="00826D3B" w:rsidP="00FA3DFD">
            <w:pPr>
              <w:pStyle w:val="TableText0"/>
            </w:pPr>
            <w:r w:rsidRPr="000B6735">
              <w:t>Any</w:t>
            </w:r>
          </w:p>
        </w:tc>
        <w:tc>
          <w:tcPr>
            <w:tcW w:w="1292" w:type="pct"/>
            <w:vAlign w:val="center"/>
          </w:tcPr>
          <w:p w14:paraId="441A1E6B" w14:textId="77777777" w:rsidR="00826D3B" w:rsidRPr="000B6735" w:rsidRDefault="00826D3B" w:rsidP="00FA3DFD">
            <w:pPr>
              <w:pStyle w:val="TableText0"/>
              <w:jc w:val="center"/>
            </w:pPr>
            <w:r w:rsidRPr="000B6735">
              <w:t>12/231 (5.2)</w:t>
            </w:r>
          </w:p>
        </w:tc>
        <w:tc>
          <w:tcPr>
            <w:tcW w:w="1036" w:type="pct"/>
            <w:vAlign w:val="center"/>
          </w:tcPr>
          <w:p w14:paraId="390DCD82" w14:textId="77777777" w:rsidR="00826D3B" w:rsidRPr="000B6735" w:rsidRDefault="00826D3B" w:rsidP="00FA3DFD">
            <w:pPr>
              <w:pStyle w:val="TableText0"/>
              <w:jc w:val="center"/>
            </w:pPr>
            <w:r w:rsidRPr="000B6735">
              <w:t>5/227 (2.2)</w:t>
            </w:r>
          </w:p>
        </w:tc>
        <w:tc>
          <w:tcPr>
            <w:tcW w:w="1028" w:type="pct"/>
            <w:gridSpan w:val="2"/>
            <w:vAlign w:val="center"/>
          </w:tcPr>
          <w:p w14:paraId="6191B783" w14:textId="77777777" w:rsidR="00826D3B" w:rsidRPr="000B6735" w:rsidRDefault="00826D3B" w:rsidP="00FA3DFD">
            <w:pPr>
              <w:pStyle w:val="TableText0"/>
              <w:jc w:val="center"/>
            </w:pPr>
            <w:r w:rsidRPr="000B6735">
              <w:t>NR</w:t>
            </w:r>
          </w:p>
        </w:tc>
      </w:tr>
      <w:tr w:rsidR="00826D3B" w:rsidRPr="000B6735" w14:paraId="41A44B38" w14:textId="77777777" w:rsidTr="00667D81">
        <w:tc>
          <w:tcPr>
            <w:tcW w:w="913" w:type="pct"/>
          </w:tcPr>
          <w:p w14:paraId="01566423" w14:textId="77777777" w:rsidR="00826D3B" w:rsidRPr="000B6735" w:rsidRDefault="00826D3B" w:rsidP="00FA3DFD">
            <w:pPr>
              <w:pStyle w:val="TableText0"/>
            </w:pPr>
            <w:r w:rsidRPr="000B6735">
              <w:t>PNEU-PED-EU-1</w:t>
            </w:r>
          </w:p>
        </w:tc>
        <w:tc>
          <w:tcPr>
            <w:tcW w:w="731" w:type="pct"/>
            <w:vAlign w:val="center"/>
          </w:tcPr>
          <w:p w14:paraId="6A4C3CE6" w14:textId="77777777" w:rsidR="00826D3B" w:rsidRPr="000B6735" w:rsidRDefault="00826D3B" w:rsidP="00FA3DFD">
            <w:pPr>
              <w:pStyle w:val="TableText0"/>
            </w:pPr>
            <w:r w:rsidRPr="000B6735">
              <w:t>Any</w:t>
            </w:r>
          </w:p>
        </w:tc>
        <w:tc>
          <w:tcPr>
            <w:tcW w:w="1292" w:type="pct"/>
            <w:shd w:val="clear" w:color="auto" w:fill="B8CCE4" w:themeFill="accent1" w:themeFillTint="66"/>
            <w:vAlign w:val="center"/>
          </w:tcPr>
          <w:p w14:paraId="09C92784" w14:textId="77777777" w:rsidR="00826D3B" w:rsidRPr="000B6735" w:rsidRDefault="00826D3B" w:rsidP="00FA3DFD">
            <w:pPr>
              <w:pStyle w:val="TableText0"/>
              <w:jc w:val="center"/>
            </w:pPr>
            <w:r w:rsidRPr="000B6735">
              <w:t>57/587 (9.7%)</w:t>
            </w:r>
          </w:p>
        </w:tc>
        <w:tc>
          <w:tcPr>
            <w:tcW w:w="1036" w:type="pct"/>
            <w:shd w:val="clear" w:color="auto" w:fill="B8CCE4" w:themeFill="accent1" w:themeFillTint="66"/>
            <w:vAlign w:val="center"/>
          </w:tcPr>
          <w:p w14:paraId="04FD975F" w14:textId="77777777" w:rsidR="00826D3B" w:rsidRPr="000B6735" w:rsidRDefault="00826D3B" w:rsidP="00FA3DFD">
            <w:pPr>
              <w:pStyle w:val="TableText0"/>
              <w:jc w:val="center"/>
            </w:pPr>
            <w:r w:rsidRPr="000B6735">
              <w:t>70/591 (11.8%)</w:t>
            </w:r>
          </w:p>
        </w:tc>
        <w:tc>
          <w:tcPr>
            <w:tcW w:w="1028" w:type="pct"/>
            <w:gridSpan w:val="2"/>
            <w:shd w:val="clear" w:color="auto" w:fill="B8CCE4" w:themeFill="accent1" w:themeFillTint="66"/>
            <w:vAlign w:val="center"/>
          </w:tcPr>
          <w:p w14:paraId="0FA4D5A1" w14:textId="77777777" w:rsidR="00826D3B" w:rsidRPr="000B6735" w:rsidRDefault="00826D3B" w:rsidP="00FA3DFD">
            <w:pPr>
              <w:pStyle w:val="TableText0"/>
              <w:jc w:val="center"/>
            </w:pPr>
            <w:r w:rsidRPr="000B6735">
              <w:t>- 2.1 (-5.7, 1.4)</w:t>
            </w:r>
          </w:p>
        </w:tc>
      </w:tr>
      <w:tr w:rsidR="00826D3B" w:rsidRPr="000B6735" w14:paraId="234AD23E" w14:textId="77777777" w:rsidTr="00667D81">
        <w:tc>
          <w:tcPr>
            <w:tcW w:w="913" w:type="pct"/>
          </w:tcPr>
          <w:p w14:paraId="56E672FE" w14:textId="77777777" w:rsidR="00826D3B" w:rsidRPr="000B6735" w:rsidRDefault="00826D3B" w:rsidP="00FA3DFD">
            <w:pPr>
              <w:pStyle w:val="TableText0"/>
            </w:pPr>
            <w:r w:rsidRPr="000B6735">
              <w:t>PNEU-PED-EU-2</w:t>
            </w:r>
          </w:p>
        </w:tc>
        <w:tc>
          <w:tcPr>
            <w:tcW w:w="731" w:type="pct"/>
            <w:vAlign w:val="center"/>
          </w:tcPr>
          <w:p w14:paraId="61D65755" w14:textId="77777777" w:rsidR="00826D3B" w:rsidRPr="000B6735" w:rsidRDefault="00826D3B" w:rsidP="00FA3DFD">
            <w:pPr>
              <w:pStyle w:val="TableText0"/>
            </w:pPr>
            <w:r w:rsidRPr="000B6735">
              <w:t>Any</w:t>
            </w:r>
          </w:p>
        </w:tc>
        <w:tc>
          <w:tcPr>
            <w:tcW w:w="1292" w:type="pct"/>
            <w:shd w:val="clear" w:color="auto" w:fill="B8CCE4" w:themeFill="accent1" w:themeFillTint="66"/>
            <w:vAlign w:val="center"/>
          </w:tcPr>
          <w:p w14:paraId="76E148A5" w14:textId="77777777" w:rsidR="00826D3B" w:rsidRPr="000B6735" w:rsidRDefault="00826D3B" w:rsidP="00FA3DFD">
            <w:pPr>
              <w:pStyle w:val="TableText0"/>
              <w:jc w:val="center"/>
            </w:pPr>
            <w:r w:rsidRPr="000B6735">
              <w:t>30/595 (5.0%)</w:t>
            </w:r>
          </w:p>
        </w:tc>
        <w:tc>
          <w:tcPr>
            <w:tcW w:w="1036" w:type="pct"/>
            <w:shd w:val="clear" w:color="auto" w:fill="B8CCE4" w:themeFill="accent1" w:themeFillTint="66"/>
            <w:vAlign w:val="center"/>
          </w:tcPr>
          <w:p w14:paraId="3BACC9F1" w14:textId="77777777" w:rsidR="00826D3B" w:rsidRPr="000B6735" w:rsidRDefault="00826D3B" w:rsidP="00FA3DFD">
            <w:pPr>
              <w:pStyle w:val="TableText0"/>
              <w:jc w:val="center"/>
            </w:pPr>
            <w:r w:rsidRPr="000B6735">
              <w:t>28/594 (4.7%)</w:t>
            </w:r>
          </w:p>
        </w:tc>
        <w:tc>
          <w:tcPr>
            <w:tcW w:w="1028" w:type="pct"/>
            <w:gridSpan w:val="2"/>
            <w:shd w:val="clear" w:color="auto" w:fill="B8CCE4" w:themeFill="accent1" w:themeFillTint="66"/>
            <w:vAlign w:val="center"/>
          </w:tcPr>
          <w:p w14:paraId="6ECC00E2" w14:textId="77777777" w:rsidR="00826D3B" w:rsidRPr="000B6735" w:rsidRDefault="00826D3B" w:rsidP="00FA3DFD">
            <w:pPr>
              <w:pStyle w:val="TableText0"/>
              <w:jc w:val="center"/>
            </w:pPr>
            <w:r w:rsidRPr="000B6735">
              <w:t>0.3 (-2.2, 2.8)</w:t>
            </w:r>
          </w:p>
        </w:tc>
      </w:tr>
      <w:tr w:rsidR="00826D3B" w:rsidRPr="000B6735" w14:paraId="4207CACF" w14:textId="77777777" w:rsidTr="00667D81">
        <w:tc>
          <w:tcPr>
            <w:tcW w:w="913" w:type="pct"/>
          </w:tcPr>
          <w:p w14:paraId="08705CFC" w14:textId="77777777" w:rsidR="00826D3B" w:rsidRPr="000B6735" w:rsidRDefault="00826D3B" w:rsidP="00FA3DFD">
            <w:pPr>
              <w:pStyle w:val="TableText0"/>
              <w:rPr>
                <w:b/>
                <w:bCs w:val="0"/>
              </w:rPr>
            </w:pPr>
            <w:r w:rsidRPr="000B6735">
              <w:t>PNEU-PED</w:t>
            </w:r>
          </w:p>
        </w:tc>
        <w:tc>
          <w:tcPr>
            <w:tcW w:w="731" w:type="pct"/>
            <w:vAlign w:val="center"/>
          </w:tcPr>
          <w:p w14:paraId="59ABD576" w14:textId="77777777" w:rsidR="00826D3B" w:rsidRPr="000B6735" w:rsidRDefault="00826D3B" w:rsidP="00FA3DFD">
            <w:pPr>
              <w:pStyle w:val="TableText0"/>
            </w:pPr>
            <w:r w:rsidRPr="000B6735">
              <w:t>Any</w:t>
            </w:r>
          </w:p>
        </w:tc>
        <w:tc>
          <w:tcPr>
            <w:tcW w:w="1292" w:type="pct"/>
            <w:shd w:val="clear" w:color="auto" w:fill="B8CCE4" w:themeFill="accent1" w:themeFillTint="66"/>
            <w:vAlign w:val="center"/>
          </w:tcPr>
          <w:p w14:paraId="3028E643" w14:textId="77777777" w:rsidR="00826D3B" w:rsidRPr="000B6735" w:rsidRDefault="00826D3B" w:rsidP="00FA3DFD">
            <w:pPr>
              <w:pStyle w:val="TableText0"/>
              <w:jc w:val="center"/>
            </w:pPr>
            <w:r w:rsidRPr="000B6735">
              <w:t>88/858 (10.3%)</w:t>
            </w:r>
          </w:p>
        </w:tc>
        <w:tc>
          <w:tcPr>
            <w:tcW w:w="1036" w:type="pct"/>
            <w:shd w:val="clear" w:color="auto" w:fill="B8CCE4" w:themeFill="accent1" w:themeFillTint="66"/>
            <w:vAlign w:val="center"/>
          </w:tcPr>
          <w:p w14:paraId="2C165C60" w14:textId="77777777" w:rsidR="00826D3B" w:rsidRPr="000B6735" w:rsidRDefault="00826D3B" w:rsidP="00FA3DFD">
            <w:pPr>
              <w:pStyle w:val="TableText0"/>
              <w:jc w:val="center"/>
            </w:pPr>
            <w:r w:rsidRPr="000B6735">
              <w:t>81/855 (9.5%)</w:t>
            </w:r>
          </w:p>
        </w:tc>
        <w:tc>
          <w:tcPr>
            <w:tcW w:w="1028" w:type="pct"/>
            <w:gridSpan w:val="2"/>
            <w:shd w:val="clear" w:color="auto" w:fill="B8CCE4" w:themeFill="accent1" w:themeFillTint="66"/>
            <w:vAlign w:val="center"/>
          </w:tcPr>
          <w:p w14:paraId="70E2A604" w14:textId="77777777" w:rsidR="00826D3B" w:rsidRPr="000B6735" w:rsidRDefault="00826D3B" w:rsidP="00FA3DFD">
            <w:pPr>
              <w:pStyle w:val="TableText0"/>
              <w:jc w:val="center"/>
            </w:pPr>
            <w:r w:rsidRPr="000B6735">
              <w:t>0.8 (NR)</w:t>
            </w:r>
          </w:p>
        </w:tc>
      </w:tr>
      <w:tr w:rsidR="00826D3B" w:rsidRPr="000B6735" w14:paraId="4A88F79E" w14:textId="77777777" w:rsidTr="00667D81">
        <w:tc>
          <w:tcPr>
            <w:tcW w:w="5000" w:type="pct"/>
            <w:gridSpan w:val="6"/>
          </w:tcPr>
          <w:p w14:paraId="3FFC3BA5" w14:textId="77777777" w:rsidR="00826D3B" w:rsidRPr="000B6735" w:rsidRDefault="00826D3B" w:rsidP="00FA3DFD">
            <w:pPr>
              <w:pStyle w:val="TableText0"/>
              <w:rPr>
                <w:b/>
                <w:bCs w:val="0"/>
              </w:rPr>
            </w:pPr>
            <w:r w:rsidRPr="000B6735">
              <w:rPr>
                <w:b/>
                <w:bCs w:val="0"/>
              </w:rPr>
              <w:t>NDCMC</w:t>
            </w:r>
          </w:p>
        </w:tc>
      </w:tr>
      <w:tr w:rsidR="00826D3B" w:rsidRPr="000B6735" w14:paraId="744AF6C3" w14:textId="77777777" w:rsidTr="00667D81">
        <w:tc>
          <w:tcPr>
            <w:tcW w:w="913" w:type="pct"/>
          </w:tcPr>
          <w:p w14:paraId="0390379A" w14:textId="77777777" w:rsidR="00826D3B" w:rsidRPr="000B6735" w:rsidRDefault="00826D3B" w:rsidP="00FA3DFD">
            <w:pPr>
              <w:pStyle w:val="TableText0"/>
            </w:pPr>
            <w:r w:rsidRPr="000B6735">
              <w:t>B7471012</w:t>
            </w:r>
          </w:p>
        </w:tc>
        <w:tc>
          <w:tcPr>
            <w:tcW w:w="731" w:type="pct"/>
            <w:vAlign w:val="center"/>
          </w:tcPr>
          <w:p w14:paraId="4EB1C232" w14:textId="77777777" w:rsidR="00826D3B" w:rsidRPr="008B7AC3" w:rsidRDefault="00826D3B" w:rsidP="00FA3DFD">
            <w:pPr>
              <w:pStyle w:val="TableText0"/>
            </w:pPr>
            <w:r w:rsidRPr="000B6735">
              <w:t>Any</w:t>
            </w:r>
          </w:p>
        </w:tc>
        <w:tc>
          <w:tcPr>
            <w:tcW w:w="1292" w:type="pct"/>
            <w:vAlign w:val="center"/>
          </w:tcPr>
          <w:p w14:paraId="1473DB4C" w14:textId="77777777" w:rsidR="00826D3B" w:rsidRPr="008B7AC3" w:rsidRDefault="00826D3B" w:rsidP="00FA3DFD">
            <w:pPr>
              <w:pStyle w:val="TableText0"/>
              <w:jc w:val="center"/>
            </w:pPr>
            <w:r w:rsidRPr="008B7AC3">
              <w:t>6/601 (1.0)</w:t>
            </w:r>
          </w:p>
        </w:tc>
        <w:tc>
          <w:tcPr>
            <w:tcW w:w="1036" w:type="pct"/>
            <w:vAlign w:val="center"/>
          </w:tcPr>
          <w:p w14:paraId="3BB0B200" w14:textId="77777777" w:rsidR="00826D3B" w:rsidRPr="008B7AC3" w:rsidRDefault="00826D3B" w:rsidP="00FA3DFD">
            <w:pPr>
              <w:pStyle w:val="TableText0"/>
              <w:jc w:val="center"/>
            </w:pPr>
            <w:r w:rsidRPr="008B7AC3">
              <w:t>6/603 (1.0)</w:t>
            </w:r>
          </w:p>
        </w:tc>
        <w:tc>
          <w:tcPr>
            <w:tcW w:w="1028" w:type="pct"/>
            <w:gridSpan w:val="2"/>
            <w:vAlign w:val="center"/>
          </w:tcPr>
          <w:p w14:paraId="04A9771B" w14:textId="77777777" w:rsidR="00826D3B" w:rsidRPr="000B6735" w:rsidRDefault="00826D3B" w:rsidP="00FA3DFD">
            <w:pPr>
              <w:pStyle w:val="TableText0"/>
              <w:jc w:val="center"/>
            </w:pPr>
            <w:r w:rsidRPr="000B6735">
              <w:t>NR</w:t>
            </w:r>
          </w:p>
        </w:tc>
      </w:tr>
      <w:tr w:rsidR="00826D3B" w:rsidRPr="000B6735" w14:paraId="178BA9B1" w14:textId="77777777" w:rsidTr="00667D81">
        <w:tc>
          <w:tcPr>
            <w:tcW w:w="913" w:type="pct"/>
          </w:tcPr>
          <w:p w14:paraId="7AE97A44" w14:textId="77777777" w:rsidR="00826D3B" w:rsidRPr="000B6735" w:rsidRDefault="00826D3B" w:rsidP="00FA3DFD">
            <w:pPr>
              <w:pStyle w:val="TableText0"/>
            </w:pPr>
            <w:r w:rsidRPr="000B6735">
              <w:t>B7471011</w:t>
            </w:r>
          </w:p>
        </w:tc>
        <w:tc>
          <w:tcPr>
            <w:tcW w:w="731" w:type="pct"/>
            <w:vAlign w:val="center"/>
          </w:tcPr>
          <w:p w14:paraId="6A048467" w14:textId="77777777" w:rsidR="00826D3B" w:rsidRPr="008B7AC3" w:rsidRDefault="00826D3B" w:rsidP="00FA3DFD">
            <w:pPr>
              <w:pStyle w:val="TableText0"/>
            </w:pPr>
            <w:r w:rsidRPr="000B6735">
              <w:t>Any</w:t>
            </w:r>
          </w:p>
        </w:tc>
        <w:tc>
          <w:tcPr>
            <w:tcW w:w="1292" w:type="pct"/>
            <w:vAlign w:val="center"/>
          </w:tcPr>
          <w:p w14:paraId="4A584D71" w14:textId="77777777" w:rsidR="00826D3B" w:rsidRPr="008B7AC3" w:rsidRDefault="00826D3B" w:rsidP="00FA3DFD">
            <w:pPr>
              <w:pStyle w:val="TableText0"/>
              <w:jc w:val="center"/>
            </w:pPr>
            <w:r w:rsidRPr="008B7AC3">
              <w:t>50/1001 (5.0)</w:t>
            </w:r>
          </w:p>
        </w:tc>
        <w:tc>
          <w:tcPr>
            <w:tcW w:w="1036" w:type="pct"/>
            <w:vAlign w:val="center"/>
          </w:tcPr>
          <w:p w14:paraId="389FC2B7" w14:textId="77777777" w:rsidR="00826D3B" w:rsidRPr="008B7AC3" w:rsidRDefault="00826D3B" w:rsidP="00FA3DFD">
            <w:pPr>
              <w:pStyle w:val="TableText0"/>
              <w:jc w:val="center"/>
            </w:pPr>
            <w:r w:rsidRPr="008B7AC3">
              <w:t>58/988 (5.9)</w:t>
            </w:r>
          </w:p>
        </w:tc>
        <w:tc>
          <w:tcPr>
            <w:tcW w:w="1028" w:type="pct"/>
            <w:gridSpan w:val="2"/>
            <w:vAlign w:val="center"/>
          </w:tcPr>
          <w:p w14:paraId="63FDB813" w14:textId="77777777" w:rsidR="00826D3B" w:rsidRPr="000B6735" w:rsidRDefault="00826D3B" w:rsidP="00FA3DFD">
            <w:pPr>
              <w:pStyle w:val="TableText0"/>
              <w:jc w:val="center"/>
            </w:pPr>
            <w:r w:rsidRPr="000B6735">
              <w:t>NR</w:t>
            </w:r>
          </w:p>
        </w:tc>
      </w:tr>
      <w:tr w:rsidR="00826D3B" w:rsidRPr="000B6735" w14:paraId="54A45E7B" w14:textId="77777777" w:rsidTr="00667D81">
        <w:tc>
          <w:tcPr>
            <w:tcW w:w="913" w:type="pct"/>
          </w:tcPr>
          <w:p w14:paraId="63F99748" w14:textId="77777777" w:rsidR="00826D3B" w:rsidRPr="000B6735" w:rsidRDefault="00826D3B" w:rsidP="00FA3DFD">
            <w:pPr>
              <w:pStyle w:val="TableText0"/>
            </w:pPr>
            <w:r w:rsidRPr="000B6735">
              <w:t>B7471013</w:t>
            </w:r>
          </w:p>
        </w:tc>
        <w:tc>
          <w:tcPr>
            <w:tcW w:w="731" w:type="pct"/>
            <w:vAlign w:val="center"/>
          </w:tcPr>
          <w:p w14:paraId="792D96E5" w14:textId="77777777" w:rsidR="00826D3B" w:rsidRPr="008B7AC3" w:rsidRDefault="00826D3B" w:rsidP="00FA3DFD">
            <w:pPr>
              <w:pStyle w:val="TableText0"/>
            </w:pPr>
            <w:r w:rsidRPr="000B6735">
              <w:t>Any</w:t>
            </w:r>
          </w:p>
        </w:tc>
        <w:tc>
          <w:tcPr>
            <w:tcW w:w="1292" w:type="pct"/>
            <w:vAlign w:val="center"/>
          </w:tcPr>
          <w:p w14:paraId="6502C50D" w14:textId="77777777" w:rsidR="00826D3B" w:rsidRPr="008B7AC3" w:rsidRDefault="00826D3B" w:rsidP="00FA3DFD">
            <w:pPr>
              <w:pStyle w:val="TableText0"/>
              <w:jc w:val="center"/>
            </w:pPr>
            <w:r w:rsidRPr="008B7AC3">
              <w:t>28/1000 (2.8)</w:t>
            </w:r>
          </w:p>
        </w:tc>
        <w:tc>
          <w:tcPr>
            <w:tcW w:w="1036" w:type="pct"/>
            <w:vAlign w:val="center"/>
          </w:tcPr>
          <w:p w14:paraId="364E7949" w14:textId="77777777" w:rsidR="00826D3B" w:rsidRPr="008B7AC3" w:rsidRDefault="00826D3B" w:rsidP="00FA3DFD">
            <w:pPr>
              <w:pStyle w:val="TableText0"/>
              <w:jc w:val="center"/>
            </w:pPr>
            <w:r w:rsidRPr="008B7AC3">
              <w:t>14/503 (2.8)</w:t>
            </w:r>
          </w:p>
        </w:tc>
        <w:tc>
          <w:tcPr>
            <w:tcW w:w="1028" w:type="pct"/>
            <w:gridSpan w:val="2"/>
            <w:vAlign w:val="center"/>
          </w:tcPr>
          <w:p w14:paraId="7B8FBF21" w14:textId="77777777" w:rsidR="00826D3B" w:rsidRPr="000B6735" w:rsidRDefault="00826D3B" w:rsidP="00FA3DFD">
            <w:pPr>
              <w:pStyle w:val="TableText0"/>
              <w:jc w:val="center"/>
            </w:pPr>
            <w:r w:rsidRPr="000B6735">
              <w:t>NR</w:t>
            </w:r>
          </w:p>
        </w:tc>
      </w:tr>
      <w:tr w:rsidR="00826D3B" w:rsidRPr="000B6735" w14:paraId="29FF8017" w14:textId="77777777" w:rsidTr="00667D81">
        <w:tc>
          <w:tcPr>
            <w:tcW w:w="913" w:type="pct"/>
          </w:tcPr>
          <w:p w14:paraId="40C97A83" w14:textId="77777777" w:rsidR="00826D3B" w:rsidRPr="000B6735" w:rsidRDefault="00826D3B" w:rsidP="00FA3DFD">
            <w:pPr>
              <w:pStyle w:val="TableText0"/>
            </w:pPr>
            <w:r w:rsidRPr="000B6735">
              <w:t>B7471003</w:t>
            </w:r>
          </w:p>
        </w:tc>
        <w:tc>
          <w:tcPr>
            <w:tcW w:w="731" w:type="pct"/>
            <w:vAlign w:val="center"/>
          </w:tcPr>
          <w:p w14:paraId="0C6DC7AA" w14:textId="77777777" w:rsidR="00826D3B" w:rsidRPr="008B7AC3" w:rsidRDefault="00826D3B" w:rsidP="00FA3DFD">
            <w:pPr>
              <w:pStyle w:val="TableText0"/>
            </w:pPr>
            <w:r w:rsidRPr="000B6735">
              <w:t>Any</w:t>
            </w:r>
          </w:p>
        </w:tc>
        <w:tc>
          <w:tcPr>
            <w:tcW w:w="1292" w:type="pct"/>
            <w:vAlign w:val="center"/>
          </w:tcPr>
          <w:p w14:paraId="6A917097" w14:textId="77777777" w:rsidR="00826D3B" w:rsidRPr="008B7AC3" w:rsidRDefault="00826D3B" w:rsidP="00FA3DFD">
            <w:pPr>
              <w:pStyle w:val="TableText0"/>
              <w:jc w:val="center"/>
            </w:pPr>
            <w:r w:rsidRPr="008B7AC3">
              <w:t>12/231 (5.2)</w:t>
            </w:r>
          </w:p>
        </w:tc>
        <w:tc>
          <w:tcPr>
            <w:tcW w:w="1036" w:type="pct"/>
            <w:vAlign w:val="center"/>
          </w:tcPr>
          <w:p w14:paraId="689934A8" w14:textId="77777777" w:rsidR="00826D3B" w:rsidRPr="008B7AC3" w:rsidRDefault="00826D3B" w:rsidP="00FA3DFD">
            <w:pPr>
              <w:pStyle w:val="TableText0"/>
              <w:jc w:val="center"/>
            </w:pPr>
            <w:r w:rsidRPr="008B7AC3">
              <w:t>8/227 (3.5)</w:t>
            </w:r>
          </w:p>
        </w:tc>
        <w:tc>
          <w:tcPr>
            <w:tcW w:w="1028" w:type="pct"/>
            <w:gridSpan w:val="2"/>
            <w:vAlign w:val="center"/>
          </w:tcPr>
          <w:p w14:paraId="58860F22" w14:textId="77777777" w:rsidR="00826D3B" w:rsidRPr="000B6735" w:rsidRDefault="00826D3B" w:rsidP="00FA3DFD">
            <w:pPr>
              <w:pStyle w:val="TableText0"/>
              <w:jc w:val="center"/>
            </w:pPr>
            <w:r w:rsidRPr="000B6735">
              <w:t>NR</w:t>
            </w:r>
          </w:p>
        </w:tc>
      </w:tr>
      <w:tr w:rsidR="00826D3B" w:rsidRPr="000B6735" w14:paraId="6ED0B25F" w14:textId="77777777" w:rsidTr="00667D81">
        <w:tc>
          <w:tcPr>
            <w:tcW w:w="913" w:type="pct"/>
          </w:tcPr>
          <w:p w14:paraId="49E1CC0B" w14:textId="77777777" w:rsidR="00826D3B" w:rsidRPr="000B6735" w:rsidRDefault="00826D3B" w:rsidP="00FA3DFD">
            <w:pPr>
              <w:pStyle w:val="TableText0"/>
            </w:pPr>
            <w:r w:rsidRPr="000B6735">
              <w:t>PNEU-PED-EU-1</w:t>
            </w:r>
          </w:p>
        </w:tc>
        <w:tc>
          <w:tcPr>
            <w:tcW w:w="731" w:type="pct"/>
            <w:vAlign w:val="center"/>
          </w:tcPr>
          <w:p w14:paraId="765DAC17" w14:textId="77777777" w:rsidR="00826D3B" w:rsidRPr="000B6735" w:rsidRDefault="00826D3B" w:rsidP="00FA3DFD">
            <w:pPr>
              <w:pStyle w:val="TableText0"/>
            </w:pPr>
            <w:r w:rsidRPr="000B6735">
              <w:t>Any</w:t>
            </w:r>
          </w:p>
        </w:tc>
        <w:tc>
          <w:tcPr>
            <w:tcW w:w="1292" w:type="pct"/>
            <w:vAlign w:val="center"/>
          </w:tcPr>
          <w:p w14:paraId="029FF65B" w14:textId="77777777" w:rsidR="00826D3B" w:rsidRPr="000B6735" w:rsidRDefault="00826D3B" w:rsidP="00FA3DFD">
            <w:pPr>
              <w:pStyle w:val="TableText0"/>
              <w:jc w:val="center"/>
            </w:pPr>
            <w:r w:rsidRPr="000B6735">
              <w:t>NR</w:t>
            </w:r>
          </w:p>
        </w:tc>
        <w:tc>
          <w:tcPr>
            <w:tcW w:w="1036" w:type="pct"/>
            <w:vAlign w:val="center"/>
          </w:tcPr>
          <w:p w14:paraId="4DBAA83F" w14:textId="77777777" w:rsidR="00826D3B" w:rsidRPr="000B6735" w:rsidRDefault="00826D3B" w:rsidP="00FA3DFD">
            <w:pPr>
              <w:pStyle w:val="TableText0"/>
              <w:jc w:val="center"/>
            </w:pPr>
            <w:r w:rsidRPr="000B6735">
              <w:t>NR</w:t>
            </w:r>
          </w:p>
        </w:tc>
        <w:tc>
          <w:tcPr>
            <w:tcW w:w="1028" w:type="pct"/>
            <w:gridSpan w:val="2"/>
            <w:vAlign w:val="center"/>
          </w:tcPr>
          <w:p w14:paraId="0CD552A8" w14:textId="77777777" w:rsidR="00826D3B" w:rsidRPr="000B6735" w:rsidRDefault="00826D3B" w:rsidP="00FA3DFD">
            <w:pPr>
              <w:pStyle w:val="TableText0"/>
              <w:jc w:val="center"/>
            </w:pPr>
            <w:r w:rsidRPr="000B6735">
              <w:t>NR</w:t>
            </w:r>
          </w:p>
        </w:tc>
      </w:tr>
      <w:tr w:rsidR="00826D3B" w:rsidRPr="000B6735" w14:paraId="386B0211" w14:textId="77777777" w:rsidTr="00667D81">
        <w:tc>
          <w:tcPr>
            <w:tcW w:w="913" w:type="pct"/>
          </w:tcPr>
          <w:p w14:paraId="5757E151" w14:textId="77777777" w:rsidR="00826D3B" w:rsidRPr="000B6735" w:rsidRDefault="00826D3B" w:rsidP="00FA3DFD">
            <w:pPr>
              <w:pStyle w:val="TableText0"/>
            </w:pPr>
            <w:r w:rsidRPr="000B6735">
              <w:t>PNEU-PED-EU-2</w:t>
            </w:r>
          </w:p>
        </w:tc>
        <w:tc>
          <w:tcPr>
            <w:tcW w:w="731" w:type="pct"/>
            <w:vAlign w:val="center"/>
          </w:tcPr>
          <w:p w14:paraId="616BD589" w14:textId="77777777" w:rsidR="00826D3B" w:rsidRPr="000B6735" w:rsidRDefault="00826D3B" w:rsidP="00FA3DFD">
            <w:pPr>
              <w:pStyle w:val="TableText0"/>
            </w:pPr>
            <w:r w:rsidRPr="000B6735">
              <w:t>Any</w:t>
            </w:r>
          </w:p>
        </w:tc>
        <w:tc>
          <w:tcPr>
            <w:tcW w:w="1292" w:type="pct"/>
            <w:vAlign w:val="center"/>
          </w:tcPr>
          <w:p w14:paraId="00EBE54E" w14:textId="77777777" w:rsidR="00826D3B" w:rsidRPr="000B6735" w:rsidRDefault="00826D3B" w:rsidP="00FA3DFD">
            <w:pPr>
              <w:pStyle w:val="TableText0"/>
              <w:jc w:val="center"/>
            </w:pPr>
            <w:r w:rsidRPr="000B6735">
              <w:t>NR</w:t>
            </w:r>
          </w:p>
        </w:tc>
        <w:tc>
          <w:tcPr>
            <w:tcW w:w="1036" w:type="pct"/>
            <w:vAlign w:val="center"/>
          </w:tcPr>
          <w:p w14:paraId="74C89077" w14:textId="77777777" w:rsidR="00826D3B" w:rsidRPr="000B6735" w:rsidRDefault="00826D3B" w:rsidP="00FA3DFD">
            <w:pPr>
              <w:pStyle w:val="TableText0"/>
              <w:jc w:val="center"/>
            </w:pPr>
            <w:r w:rsidRPr="000B6735">
              <w:t>NR</w:t>
            </w:r>
          </w:p>
        </w:tc>
        <w:tc>
          <w:tcPr>
            <w:tcW w:w="1028" w:type="pct"/>
            <w:gridSpan w:val="2"/>
            <w:vAlign w:val="center"/>
          </w:tcPr>
          <w:p w14:paraId="4D5B08BC" w14:textId="77777777" w:rsidR="00826D3B" w:rsidRPr="000B6735" w:rsidRDefault="00826D3B" w:rsidP="00FA3DFD">
            <w:pPr>
              <w:pStyle w:val="TableText0"/>
              <w:jc w:val="center"/>
            </w:pPr>
            <w:r w:rsidRPr="000B6735">
              <w:t>NR</w:t>
            </w:r>
          </w:p>
        </w:tc>
      </w:tr>
      <w:tr w:rsidR="00826D3B" w:rsidRPr="000B6735" w14:paraId="12CBB2F4" w14:textId="77777777" w:rsidTr="00667D81">
        <w:tc>
          <w:tcPr>
            <w:tcW w:w="913" w:type="pct"/>
          </w:tcPr>
          <w:p w14:paraId="7C3B23FC" w14:textId="77777777" w:rsidR="00826D3B" w:rsidRPr="000B6735" w:rsidRDefault="00826D3B" w:rsidP="00FA3DFD">
            <w:pPr>
              <w:pStyle w:val="TableText0"/>
            </w:pPr>
            <w:r w:rsidRPr="000B6735">
              <w:t>PNEU-PED</w:t>
            </w:r>
          </w:p>
        </w:tc>
        <w:tc>
          <w:tcPr>
            <w:tcW w:w="731" w:type="pct"/>
            <w:vAlign w:val="center"/>
          </w:tcPr>
          <w:p w14:paraId="03E06446" w14:textId="77777777" w:rsidR="00826D3B" w:rsidRPr="000B6735" w:rsidRDefault="00826D3B" w:rsidP="00FA3DFD">
            <w:pPr>
              <w:pStyle w:val="TableText0"/>
            </w:pPr>
            <w:r w:rsidRPr="000B6735">
              <w:t>Any</w:t>
            </w:r>
          </w:p>
        </w:tc>
        <w:tc>
          <w:tcPr>
            <w:tcW w:w="1292" w:type="pct"/>
            <w:vAlign w:val="center"/>
          </w:tcPr>
          <w:p w14:paraId="5273904B" w14:textId="77777777" w:rsidR="00826D3B" w:rsidRPr="000B6735" w:rsidRDefault="00826D3B" w:rsidP="00FA3DFD">
            <w:pPr>
              <w:pStyle w:val="TableText0"/>
              <w:jc w:val="center"/>
            </w:pPr>
            <w:r w:rsidRPr="000B6735">
              <w:t>NR</w:t>
            </w:r>
          </w:p>
        </w:tc>
        <w:tc>
          <w:tcPr>
            <w:tcW w:w="1036" w:type="pct"/>
            <w:vAlign w:val="center"/>
          </w:tcPr>
          <w:p w14:paraId="3673764C" w14:textId="77777777" w:rsidR="00826D3B" w:rsidRPr="000B6735" w:rsidRDefault="00826D3B" w:rsidP="00FA3DFD">
            <w:pPr>
              <w:pStyle w:val="TableText0"/>
              <w:jc w:val="center"/>
            </w:pPr>
            <w:r w:rsidRPr="000B6735">
              <w:t>NR</w:t>
            </w:r>
          </w:p>
        </w:tc>
        <w:tc>
          <w:tcPr>
            <w:tcW w:w="1028" w:type="pct"/>
            <w:gridSpan w:val="2"/>
            <w:vAlign w:val="center"/>
          </w:tcPr>
          <w:p w14:paraId="068E0E6A" w14:textId="77777777" w:rsidR="00826D3B" w:rsidRPr="000B6735" w:rsidRDefault="00826D3B" w:rsidP="00FA3DFD">
            <w:pPr>
              <w:pStyle w:val="TableText0"/>
              <w:jc w:val="center"/>
            </w:pPr>
            <w:r w:rsidRPr="000B6735">
              <w:t>NR</w:t>
            </w:r>
          </w:p>
        </w:tc>
      </w:tr>
    </w:tbl>
    <w:p w14:paraId="2B9D0831" w14:textId="6A426A79" w:rsidR="00826D3B" w:rsidRPr="00C34520" w:rsidRDefault="00826D3B" w:rsidP="00826D3B">
      <w:pPr>
        <w:pStyle w:val="TableFigureFooter"/>
      </w:pPr>
      <w:r w:rsidRPr="00C34520">
        <w:t xml:space="preserve">Source: Compiled from Section 2.5 of the submission; trials B7471011, B7471012, B7471013, &amp; B7471003 clinical study reports; Table 6, paragraph 6.20, pneumococcal conjugate vaccine, 15 valent adsorbed, PSD, March 2023 PBAC meeting. </w:t>
      </w:r>
    </w:p>
    <w:p w14:paraId="42501991" w14:textId="7F7B4B3D" w:rsidR="00826D3B" w:rsidRPr="00C34520" w:rsidRDefault="00826D3B" w:rsidP="00826D3B">
      <w:pPr>
        <w:pStyle w:val="TableFigureFooter"/>
      </w:pPr>
      <w:r w:rsidRPr="00C34520">
        <w:rPr>
          <w:color w:val="8DB3E2" w:themeColor="text2" w:themeTint="66"/>
        </w:rPr>
        <w:t xml:space="preserve">Blue </w:t>
      </w:r>
      <w:r w:rsidRPr="00C34520">
        <w:t xml:space="preserve">indicates </w:t>
      </w:r>
      <w:r w:rsidR="00A50979">
        <w:t>previously</w:t>
      </w:r>
      <w:r w:rsidR="00A50979" w:rsidRPr="00C34520">
        <w:t xml:space="preserve"> </w:t>
      </w:r>
      <w:r w:rsidRPr="00C34520">
        <w:t>seen by the PBAC.</w:t>
      </w:r>
    </w:p>
    <w:p w14:paraId="15F19A62" w14:textId="77777777" w:rsidR="00826D3B" w:rsidRPr="00C34520" w:rsidRDefault="00826D3B" w:rsidP="00826D3B">
      <w:pPr>
        <w:pStyle w:val="TableFigureFooter"/>
      </w:pPr>
      <w:r w:rsidRPr="00C34520">
        <w:t>13vPCV = 13 valent pneumococcal conjugate vaccine; 15vPCV = 15 valent pneumococcal conjugate vaccine; 20vPCV = 20 valent pneumococcal conjugate vaccine; AE = adverse event; CI = confidence interval; NDCMC = newly diagnosed chronic medical conditions; NR = not reported; SAE = serious adverse event.</w:t>
      </w:r>
    </w:p>
    <w:p w14:paraId="0AEE4D85" w14:textId="7704A064" w:rsidR="00FA3DFD" w:rsidRDefault="00FA3DFD" w:rsidP="00F625A4">
      <w:pPr>
        <w:pStyle w:val="3-BodyText"/>
      </w:pPr>
      <w:r>
        <w:t xml:space="preserve">A summary of local and systemic reactions is presented in </w:t>
      </w:r>
      <w:r>
        <w:fldChar w:fldCharType="begin"/>
      </w:r>
      <w:r>
        <w:instrText xml:space="preserve"> REF _Ref145153786 \h </w:instrText>
      </w:r>
      <w:r>
        <w:fldChar w:fldCharType="separate"/>
      </w:r>
      <w:r w:rsidR="009523CC">
        <w:t xml:space="preserve">Table </w:t>
      </w:r>
      <w:r w:rsidR="009523CC">
        <w:rPr>
          <w:noProof/>
        </w:rPr>
        <w:t>12</w:t>
      </w:r>
      <w:r>
        <w:fldChar w:fldCharType="end"/>
      </w:r>
      <w:r w:rsidR="006E7CDA">
        <w:t>.</w:t>
      </w:r>
    </w:p>
    <w:p w14:paraId="47861A21" w14:textId="18843BC5" w:rsidR="00FA3DFD" w:rsidRDefault="00FA3DFD" w:rsidP="00D132A0">
      <w:pPr>
        <w:pStyle w:val="Caption"/>
      </w:pPr>
      <w:bookmarkStart w:id="49" w:name="_Ref145153786"/>
      <w:r>
        <w:lastRenderedPageBreak/>
        <w:t xml:space="preserve">Table </w:t>
      </w:r>
      <w:fldSimple w:instr=" SEQ Table \* ARABIC ">
        <w:r w:rsidR="009523CC">
          <w:rPr>
            <w:noProof/>
          </w:rPr>
          <w:t>12</w:t>
        </w:r>
      </w:fldSimple>
      <w:bookmarkEnd w:id="49"/>
      <w:r>
        <w:t xml:space="preserve">: </w:t>
      </w:r>
      <w:r w:rsidRPr="00FA3DFD">
        <w:t xml:space="preserve">Summary of </w:t>
      </w:r>
      <w:r>
        <w:t>local and systemic reactions</w:t>
      </w:r>
      <w:r w:rsidRPr="00FA3DFD">
        <w:t xml:space="preserve"> in the trials </w:t>
      </w:r>
    </w:p>
    <w:tbl>
      <w:tblPr>
        <w:tblStyle w:val="TableGrid"/>
        <w:tblW w:w="5000" w:type="pct"/>
        <w:tblLook w:val="04A0" w:firstRow="1" w:lastRow="0" w:firstColumn="1" w:lastColumn="0" w:noHBand="0" w:noVBand="1"/>
      </w:tblPr>
      <w:tblGrid>
        <w:gridCol w:w="1727"/>
        <w:gridCol w:w="1300"/>
        <w:gridCol w:w="2328"/>
        <w:gridCol w:w="1839"/>
        <w:gridCol w:w="1823"/>
      </w:tblGrid>
      <w:tr w:rsidR="00FA3DFD" w:rsidRPr="00C34520" w14:paraId="54D0AE74" w14:textId="77777777" w:rsidTr="00667D81">
        <w:trPr>
          <w:tblHeader/>
        </w:trPr>
        <w:tc>
          <w:tcPr>
            <w:tcW w:w="957" w:type="pct"/>
          </w:tcPr>
          <w:p w14:paraId="69FB94B3" w14:textId="77777777" w:rsidR="00FA3DFD" w:rsidRPr="00C34520" w:rsidRDefault="00FA3DFD" w:rsidP="00FA3DFD">
            <w:pPr>
              <w:pStyle w:val="In-tableHeading"/>
              <w:jc w:val="center"/>
              <w:rPr>
                <w:lang w:val="en-AU"/>
              </w:rPr>
            </w:pPr>
            <w:r w:rsidRPr="00C34520">
              <w:rPr>
                <w:lang w:val="en-AU"/>
              </w:rPr>
              <w:t>Trial</w:t>
            </w:r>
          </w:p>
        </w:tc>
        <w:tc>
          <w:tcPr>
            <w:tcW w:w="721" w:type="pct"/>
          </w:tcPr>
          <w:p w14:paraId="73847D60" w14:textId="77777777" w:rsidR="00FA3DFD" w:rsidRPr="00C34520" w:rsidRDefault="00FA3DFD" w:rsidP="00FA3DFD">
            <w:pPr>
              <w:pStyle w:val="In-tableHeading"/>
              <w:jc w:val="center"/>
              <w:rPr>
                <w:lang w:val="en-AU"/>
              </w:rPr>
            </w:pPr>
            <w:r w:rsidRPr="00C34520">
              <w:rPr>
                <w:lang w:val="en-AU"/>
              </w:rPr>
              <w:t>Dose</w:t>
            </w:r>
          </w:p>
        </w:tc>
        <w:tc>
          <w:tcPr>
            <w:tcW w:w="1291" w:type="pct"/>
          </w:tcPr>
          <w:p w14:paraId="3CCAD0B9" w14:textId="77777777" w:rsidR="00FA3DFD" w:rsidRPr="000B6735" w:rsidRDefault="00FA3DFD" w:rsidP="00FA3DFD">
            <w:pPr>
              <w:pStyle w:val="In-tableHeading"/>
              <w:jc w:val="center"/>
              <w:rPr>
                <w:lang w:val="en-AU"/>
              </w:rPr>
            </w:pPr>
            <w:r w:rsidRPr="000B6735">
              <w:rPr>
                <w:lang w:val="en-AU"/>
              </w:rPr>
              <w:t>20vPCV or 15vPCV, n/N (%)</w:t>
            </w:r>
          </w:p>
        </w:tc>
        <w:tc>
          <w:tcPr>
            <w:tcW w:w="1020" w:type="pct"/>
          </w:tcPr>
          <w:p w14:paraId="4BB624FE" w14:textId="77777777" w:rsidR="00FA3DFD" w:rsidRPr="000B6735" w:rsidRDefault="00FA3DFD" w:rsidP="00FA3DFD">
            <w:pPr>
              <w:pStyle w:val="In-tableHeading"/>
              <w:jc w:val="center"/>
              <w:rPr>
                <w:lang w:val="en-AU"/>
              </w:rPr>
            </w:pPr>
            <w:r w:rsidRPr="000B6735">
              <w:rPr>
                <w:lang w:val="en-AU"/>
              </w:rPr>
              <w:t>13vPCV, n/N (%)</w:t>
            </w:r>
          </w:p>
        </w:tc>
        <w:tc>
          <w:tcPr>
            <w:tcW w:w="1012" w:type="pct"/>
          </w:tcPr>
          <w:p w14:paraId="25B611AC" w14:textId="77777777" w:rsidR="00FA3DFD" w:rsidRPr="000B6735" w:rsidRDefault="00FA3DFD" w:rsidP="00FA3DFD">
            <w:pPr>
              <w:pStyle w:val="In-tableHeading"/>
              <w:jc w:val="center"/>
              <w:rPr>
                <w:lang w:val="en-AU"/>
              </w:rPr>
            </w:pPr>
            <w:r w:rsidRPr="000B6735">
              <w:rPr>
                <w:lang w:val="en-AU"/>
              </w:rPr>
              <w:t>Difference (95% CI)</w:t>
            </w:r>
          </w:p>
        </w:tc>
      </w:tr>
      <w:tr w:rsidR="00FA3DFD" w:rsidRPr="00C34520" w14:paraId="6BF69F16" w14:textId="77777777" w:rsidTr="00667D81">
        <w:tc>
          <w:tcPr>
            <w:tcW w:w="5000" w:type="pct"/>
            <w:gridSpan w:val="5"/>
          </w:tcPr>
          <w:p w14:paraId="64C1701B" w14:textId="77777777" w:rsidR="00FA3DFD" w:rsidRPr="000B6735" w:rsidRDefault="00FA3DFD" w:rsidP="00FA3DFD">
            <w:pPr>
              <w:pStyle w:val="TableText0"/>
              <w:rPr>
                <w:b/>
                <w:bCs w:val="0"/>
              </w:rPr>
            </w:pPr>
            <w:r w:rsidRPr="000B6735">
              <w:rPr>
                <w:b/>
                <w:bCs w:val="0"/>
              </w:rPr>
              <w:t>Local Reaction</w:t>
            </w:r>
          </w:p>
        </w:tc>
      </w:tr>
      <w:tr w:rsidR="00FA3DFD" w:rsidRPr="00C34520" w14:paraId="2F3F691F" w14:textId="77777777" w:rsidTr="00667D81">
        <w:tc>
          <w:tcPr>
            <w:tcW w:w="957" w:type="pct"/>
            <w:vMerge w:val="restart"/>
          </w:tcPr>
          <w:p w14:paraId="6F4202AE" w14:textId="77777777" w:rsidR="00FA3DFD" w:rsidRPr="00C34520" w:rsidRDefault="00FA3DFD" w:rsidP="00FA3DFD">
            <w:pPr>
              <w:pStyle w:val="TableText0"/>
            </w:pPr>
            <w:r w:rsidRPr="00C34520">
              <w:t>B7471012</w:t>
            </w:r>
          </w:p>
        </w:tc>
        <w:tc>
          <w:tcPr>
            <w:tcW w:w="721" w:type="pct"/>
          </w:tcPr>
          <w:p w14:paraId="526DB86F" w14:textId="77777777" w:rsidR="00FA3DFD" w:rsidRPr="00C34520" w:rsidRDefault="00FA3DFD" w:rsidP="00FA3DFD">
            <w:pPr>
              <w:pStyle w:val="TableText0"/>
            </w:pPr>
            <w:r w:rsidRPr="00C34520">
              <w:t>Dose 1</w:t>
            </w:r>
          </w:p>
        </w:tc>
        <w:tc>
          <w:tcPr>
            <w:tcW w:w="1291" w:type="pct"/>
          </w:tcPr>
          <w:p w14:paraId="56495177" w14:textId="77777777" w:rsidR="00FA3DFD" w:rsidRPr="000B6735" w:rsidRDefault="00FA3DFD" w:rsidP="00FA3DFD">
            <w:pPr>
              <w:pStyle w:val="TableText0"/>
              <w:jc w:val="center"/>
            </w:pPr>
            <w:r w:rsidRPr="000B6735">
              <w:t>284/598 (47.5)</w:t>
            </w:r>
          </w:p>
        </w:tc>
        <w:tc>
          <w:tcPr>
            <w:tcW w:w="1020" w:type="pct"/>
          </w:tcPr>
          <w:p w14:paraId="55C72596" w14:textId="77777777" w:rsidR="00FA3DFD" w:rsidRPr="000B6735" w:rsidRDefault="00FA3DFD" w:rsidP="00FA3DFD">
            <w:pPr>
              <w:pStyle w:val="TableText0"/>
              <w:jc w:val="center"/>
            </w:pPr>
            <w:r w:rsidRPr="000B6735">
              <w:t>284/603 (47.1)</w:t>
            </w:r>
          </w:p>
        </w:tc>
        <w:tc>
          <w:tcPr>
            <w:tcW w:w="1012" w:type="pct"/>
          </w:tcPr>
          <w:p w14:paraId="53F9BFC9" w14:textId="77777777" w:rsidR="00FA3DFD" w:rsidRPr="000B6735" w:rsidRDefault="00FA3DFD" w:rsidP="00FA3DFD">
            <w:pPr>
              <w:pStyle w:val="TableText0"/>
              <w:jc w:val="center"/>
            </w:pPr>
            <w:r w:rsidRPr="000B6735">
              <w:t>0.4 (-5.2, 6.0)</w:t>
            </w:r>
          </w:p>
        </w:tc>
      </w:tr>
      <w:tr w:rsidR="00FA3DFD" w:rsidRPr="00C34520" w14:paraId="664A9C11" w14:textId="77777777" w:rsidTr="00667D81">
        <w:tc>
          <w:tcPr>
            <w:tcW w:w="957" w:type="pct"/>
            <w:vMerge/>
          </w:tcPr>
          <w:p w14:paraId="2EB0A1B4" w14:textId="77777777" w:rsidR="00FA3DFD" w:rsidRPr="00C34520" w:rsidRDefault="00FA3DFD" w:rsidP="00FA3DFD">
            <w:pPr>
              <w:pStyle w:val="TableText0"/>
            </w:pPr>
          </w:p>
        </w:tc>
        <w:tc>
          <w:tcPr>
            <w:tcW w:w="721" w:type="pct"/>
          </w:tcPr>
          <w:p w14:paraId="49384F41" w14:textId="77777777" w:rsidR="00FA3DFD" w:rsidRPr="00C34520" w:rsidRDefault="00FA3DFD" w:rsidP="00FA3DFD">
            <w:pPr>
              <w:pStyle w:val="TableText0"/>
            </w:pPr>
            <w:r w:rsidRPr="00C34520">
              <w:t>Dose 2</w:t>
            </w:r>
          </w:p>
        </w:tc>
        <w:tc>
          <w:tcPr>
            <w:tcW w:w="1291" w:type="pct"/>
          </w:tcPr>
          <w:p w14:paraId="10455ACA" w14:textId="77777777" w:rsidR="00FA3DFD" w:rsidRPr="000B6735" w:rsidRDefault="00FA3DFD" w:rsidP="00FA3DFD">
            <w:pPr>
              <w:pStyle w:val="TableText0"/>
              <w:jc w:val="center"/>
            </w:pPr>
            <w:r w:rsidRPr="000B6735">
              <w:t>260/592 (43.9)</w:t>
            </w:r>
          </w:p>
        </w:tc>
        <w:tc>
          <w:tcPr>
            <w:tcW w:w="1020" w:type="pct"/>
          </w:tcPr>
          <w:p w14:paraId="4FB8B99E" w14:textId="77777777" w:rsidR="00FA3DFD" w:rsidRPr="000B6735" w:rsidRDefault="00FA3DFD" w:rsidP="00FA3DFD">
            <w:pPr>
              <w:pStyle w:val="TableText0"/>
              <w:jc w:val="center"/>
            </w:pPr>
            <w:r w:rsidRPr="000B6735">
              <w:t>255/594 (42.9)</w:t>
            </w:r>
          </w:p>
        </w:tc>
        <w:tc>
          <w:tcPr>
            <w:tcW w:w="1012" w:type="pct"/>
          </w:tcPr>
          <w:p w14:paraId="7CB5D21D" w14:textId="77777777" w:rsidR="00FA3DFD" w:rsidRPr="000B6735" w:rsidRDefault="00FA3DFD" w:rsidP="00FA3DFD">
            <w:pPr>
              <w:pStyle w:val="TableText0"/>
              <w:jc w:val="center"/>
            </w:pPr>
            <w:r w:rsidRPr="000B6735">
              <w:t>1.0 (-4.6, 6.6)</w:t>
            </w:r>
          </w:p>
        </w:tc>
      </w:tr>
      <w:tr w:rsidR="00FA3DFD" w:rsidRPr="00C34520" w14:paraId="3C1D34C5" w14:textId="77777777" w:rsidTr="00667D81">
        <w:tc>
          <w:tcPr>
            <w:tcW w:w="957" w:type="pct"/>
            <w:vMerge/>
          </w:tcPr>
          <w:p w14:paraId="575229FE" w14:textId="77777777" w:rsidR="00FA3DFD" w:rsidRPr="00C34520" w:rsidRDefault="00FA3DFD" w:rsidP="00FA3DFD">
            <w:pPr>
              <w:pStyle w:val="TableText0"/>
            </w:pPr>
          </w:p>
        </w:tc>
        <w:tc>
          <w:tcPr>
            <w:tcW w:w="721" w:type="pct"/>
          </w:tcPr>
          <w:p w14:paraId="0621CBBF" w14:textId="77777777" w:rsidR="00FA3DFD" w:rsidRPr="00C34520" w:rsidRDefault="00FA3DFD" w:rsidP="00FA3DFD">
            <w:pPr>
              <w:pStyle w:val="TableText0"/>
            </w:pPr>
            <w:r w:rsidRPr="00C34520">
              <w:t>Dose 3</w:t>
            </w:r>
          </w:p>
        </w:tc>
        <w:tc>
          <w:tcPr>
            <w:tcW w:w="1291" w:type="pct"/>
          </w:tcPr>
          <w:p w14:paraId="59920307" w14:textId="77777777" w:rsidR="00FA3DFD" w:rsidRPr="000B6735" w:rsidRDefault="00FA3DFD" w:rsidP="00FA3DFD">
            <w:pPr>
              <w:pStyle w:val="TableText0"/>
              <w:jc w:val="center"/>
            </w:pPr>
            <w:r w:rsidRPr="000B6735">
              <w:t>347/580 (59.8)</w:t>
            </w:r>
          </w:p>
        </w:tc>
        <w:tc>
          <w:tcPr>
            <w:tcW w:w="1020" w:type="pct"/>
          </w:tcPr>
          <w:p w14:paraId="518AF690" w14:textId="77777777" w:rsidR="00FA3DFD" w:rsidRPr="000B6735" w:rsidRDefault="00FA3DFD" w:rsidP="00FA3DFD">
            <w:pPr>
              <w:pStyle w:val="TableText0"/>
              <w:jc w:val="center"/>
            </w:pPr>
            <w:r w:rsidRPr="000B6735">
              <w:t>334/586 (57.0)</w:t>
            </w:r>
          </w:p>
        </w:tc>
        <w:tc>
          <w:tcPr>
            <w:tcW w:w="1012" w:type="pct"/>
          </w:tcPr>
          <w:p w14:paraId="5B21D60A" w14:textId="77777777" w:rsidR="00FA3DFD" w:rsidRPr="000B6735" w:rsidRDefault="00FA3DFD" w:rsidP="00FA3DFD">
            <w:pPr>
              <w:pStyle w:val="TableText0"/>
              <w:jc w:val="center"/>
            </w:pPr>
            <w:r w:rsidRPr="000B6735">
              <w:t>2.8 (-2.8, 8.5)</w:t>
            </w:r>
          </w:p>
        </w:tc>
      </w:tr>
      <w:tr w:rsidR="00FA3DFD" w:rsidRPr="00C34520" w14:paraId="484B1F74" w14:textId="77777777" w:rsidTr="00667D81">
        <w:tc>
          <w:tcPr>
            <w:tcW w:w="957" w:type="pct"/>
            <w:vMerge/>
          </w:tcPr>
          <w:p w14:paraId="477E3C10" w14:textId="77777777" w:rsidR="00FA3DFD" w:rsidRPr="00C34520" w:rsidRDefault="00FA3DFD" w:rsidP="00FA3DFD">
            <w:pPr>
              <w:pStyle w:val="TableText0"/>
            </w:pPr>
          </w:p>
        </w:tc>
        <w:tc>
          <w:tcPr>
            <w:tcW w:w="721" w:type="pct"/>
          </w:tcPr>
          <w:p w14:paraId="50D30B20" w14:textId="77777777" w:rsidR="00FA3DFD" w:rsidRPr="00C34520" w:rsidRDefault="00FA3DFD" w:rsidP="00FA3DFD">
            <w:pPr>
              <w:pStyle w:val="TableText0"/>
            </w:pPr>
            <w:r w:rsidRPr="00C34520">
              <w:t>Dose 4</w:t>
            </w:r>
          </w:p>
        </w:tc>
        <w:tc>
          <w:tcPr>
            <w:tcW w:w="1291" w:type="pct"/>
          </w:tcPr>
          <w:p w14:paraId="4B5EB83F" w14:textId="77777777" w:rsidR="00FA3DFD" w:rsidRPr="000B6735" w:rsidRDefault="00FA3DFD" w:rsidP="00FA3DFD">
            <w:pPr>
              <w:pStyle w:val="TableText0"/>
              <w:jc w:val="center"/>
            </w:pPr>
            <w:r w:rsidRPr="000B6735">
              <w:t>NA</w:t>
            </w:r>
          </w:p>
        </w:tc>
        <w:tc>
          <w:tcPr>
            <w:tcW w:w="1020" w:type="pct"/>
          </w:tcPr>
          <w:p w14:paraId="0BCF18C4" w14:textId="77777777" w:rsidR="00FA3DFD" w:rsidRPr="000B6735" w:rsidRDefault="00FA3DFD" w:rsidP="00FA3DFD">
            <w:pPr>
              <w:pStyle w:val="TableText0"/>
              <w:jc w:val="center"/>
            </w:pPr>
            <w:r w:rsidRPr="000B6735">
              <w:t>NA</w:t>
            </w:r>
          </w:p>
        </w:tc>
        <w:tc>
          <w:tcPr>
            <w:tcW w:w="1012" w:type="pct"/>
          </w:tcPr>
          <w:p w14:paraId="22F5BC72" w14:textId="77777777" w:rsidR="00FA3DFD" w:rsidRPr="000B6735" w:rsidRDefault="00FA3DFD" w:rsidP="00FA3DFD">
            <w:pPr>
              <w:pStyle w:val="TableText0"/>
              <w:jc w:val="center"/>
            </w:pPr>
            <w:r w:rsidRPr="000B6735">
              <w:t>NA</w:t>
            </w:r>
          </w:p>
        </w:tc>
      </w:tr>
      <w:tr w:rsidR="00FA3DFD" w:rsidRPr="00C34520" w14:paraId="1103285E" w14:textId="77777777" w:rsidTr="00667D81">
        <w:tc>
          <w:tcPr>
            <w:tcW w:w="957" w:type="pct"/>
            <w:vMerge w:val="restart"/>
          </w:tcPr>
          <w:p w14:paraId="05028E45" w14:textId="77777777" w:rsidR="00FA3DFD" w:rsidRPr="00C34520" w:rsidRDefault="00FA3DFD" w:rsidP="00FA3DFD">
            <w:pPr>
              <w:pStyle w:val="TableText0"/>
            </w:pPr>
            <w:r w:rsidRPr="00C34520">
              <w:t>B7471011</w:t>
            </w:r>
          </w:p>
        </w:tc>
        <w:tc>
          <w:tcPr>
            <w:tcW w:w="721" w:type="pct"/>
          </w:tcPr>
          <w:p w14:paraId="4E189A79" w14:textId="77777777" w:rsidR="00FA3DFD" w:rsidRPr="00C34520" w:rsidRDefault="00FA3DFD" w:rsidP="00FA3DFD">
            <w:pPr>
              <w:pStyle w:val="TableText0"/>
            </w:pPr>
            <w:r w:rsidRPr="00C34520">
              <w:t>Dose 1</w:t>
            </w:r>
          </w:p>
        </w:tc>
        <w:tc>
          <w:tcPr>
            <w:tcW w:w="1291" w:type="pct"/>
          </w:tcPr>
          <w:p w14:paraId="20EAF0A5" w14:textId="77777777" w:rsidR="00FA3DFD" w:rsidRPr="000B6735" w:rsidRDefault="00FA3DFD" w:rsidP="00FA3DFD">
            <w:pPr>
              <w:pStyle w:val="TableText0"/>
              <w:jc w:val="center"/>
            </w:pPr>
            <w:r w:rsidRPr="000B6735">
              <w:t>594/993 (59.8)</w:t>
            </w:r>
          </w:p>
        </w:tc>
        <w:tc>
          <w:tcPr>
            <w:tcW w:w="1020" w:type="pct"/>
          </w:tcPr>
          <w:p w14:paraId="701EB7DD" w14:textId="77777777" w:rsidR="00FA3DFD" w:rsidRPr="000B6735" w:rsidRDefault="00FA3DFD" w:rsidP="00FA3DFD">
            <w:pPr>
              <w:pStyle w:val="TableText0"/>
              <w:jc w:val="center"/>
            </w:pPr>
            <w:r w:rsidRPr="000B6735">
              <w:t>550/974 (56.5)</w:t>
            </w:r>
          </w:p>
        </w:tc>
        <w:tc>
          <w:tcPr>
            <w:tcW w:w="1012" w:type="pct"/>
          </w:tcPr>
          <w:p w14:paraId="658095E4" w14:textId="77777777" w:rsidR="00FA3DFD" w:rsidRPr="000B6735" w:rsidRDefault="00FA3DFD" w:rsidP="00FA3DFD">
            <w:pPr>
              <w:pStyle w:val="TableText0"/>
              <w:jc w:val="center"/>
            </w:pPr>
            <w:r w:rsidRPr="000B6735">
              <w:t>3.4 (-1.0, 7.7)</w:t>
            </w:r>
          </w:p>
        </w:tc>
      </w:tr>
      <w:tr w:rsidR="00FA3DFD" w:rsidRPr="00C34520" w14:paraId="087EAB82" w14:textId="77777777" w:rsidTr="00667D81">
        <w:tc>
          <w:tcPr>
            <w:tcW w:w="957" w:type="pct"/>
            <w:vMerge/>
          </w:tcPr>
          <w:p w14:paraId="41305E23" w14:textId="77777777" w:rsidR="00FA3DFD" w:rsidRPr="00C34520" w:rsidRDefault="00FA3DFD" w:rsidP="00FA3DFD">
            <w:pPr>
              <w:pStyle w:val="TableText0"/>
            </w:pPr>
          </w:p>
        </w:tc>
        <w:tc>
          <w:tcPr>
            <w:tcW w:w="721" w:type="pct"/>
          </w:tcPr>
          <w:p w14:paraId="77984332" w14:textId="77777777" w:rsidR="00FA3DFD" w:rsidRPr="00C34520" w:rsidRDefault="00FA3DFD" w:rsidP="00FA3DFD">
            <w:pPr>
              <w:pStyle w:val="TableText0"/>
            </w:pPr>
            <w:r w:rsidRPr="00C34520">
              <w:t>Dose 2</w:t>
            </w:r>
          </w:p>
        </w:tc>
        <w:tc>
          <w:tcPr>
            <w:tcW w:w="1291" w:type="pct"/>
          </w:tcPr>
          <w:p w14:paraId="2756D73E" w14:textId="77777777" w:rsidR="00FA3DFD" w:rsidRPr="000B6735" w:rsidRDefault="00FA3DFD" w:rsidP="00FA3DFD">
            <w:pPr>
              <w:pStyle w:val="TableText0"/>
              <w:jc w:val="center"/>
            </w:pPr>
            <w:r w:rsidRPr="000B6735">
              <w:t>499/940 (53.1)</w:t>
            </w:r>
          </w:p>
        </w:tc>
        <w:tc>
          <w:tcPr>
            <w:tcW w:w="1020" w:type="pct"/>
          </w:tcPr>
          <w:p w14:paraId="498C2596" w14:textId="77777777" w:rsidR="00FA3DFD" w:rsidRPr="000B6735" w:rsidRDefault="00FA3DFD" w:rsidP="00FA3DFD">
            <w:pPr>
              <w:pStyle w:val="TableText0"/>
              <w:jc w:val="center"/>
            </w:pPr>
            <w:r w:rsidRPr="000B6735">
              <w:t>487/924 (52.7)</w:t>
            </w:r>
          </w:p>
        </w:tc>
        <w:tc>
          <w:tcPr>
            <w:tcW w:w="1012" w:type="pct"/>
          </w:tcPr>
          <w:p w14:paraId="208AD0F3" w14:textId="77777777" w:rsidR="00FA3DFD" w:rsidRPr="000B6735" w:rsidRDefault="00FA3DFD" w:rsidP="00FA3DFD">
            <w:pPr>
              <w:pStyle w:val="TableText0"/>
              <w:jc w:val="center"/>
            </w:pPr>
            <w:r w:rsidRPr="000B6735">
              <w:t>0.4 (-4.1, 4.9)</w:t>
            </w:r>
          </w:p>
        </w:tc>
      </w:tr>
      <w:tr w:rsidR="00FA3DFD" w:rsidRPr="00C34520" w14:paraId="18F413F6" w14:textId="77777777" w:rsidTr="00667D81">
        <w:tc>
          <w:tcPr>
            <w:tcW w:w="957" w:type="pct"/>
            <w:vMerge/>
          </w:tcPr>
          <w:p w14:paraId="7E865AA9" w14:textId="77777777" w:rsidR="00FA3DFD" w:rsidRPr="00C34520" w:rsidRDefault="00FA3DFD" w:rsidP="00FA3DFD">
            <w:pPr>
              <w:pStyle w:val="TableText0"/>
            </w:pPr>
          </w:p>
        </w:tc>
        <w:tc>
          <w:tcPr>
            <w:tcW w:w="721" w:type="pct"/>
          </w:tcPr>
          <w:p w14:paraId="03510DB1" w14:textId="77777777" w:rsidR="00FA3DFD" w:rsidRPr="00C34520" w:rsidRDefault="00FA3DFD" w:rsidP="00FA3DFD">
            <w:pPr>
              <w:pStyle w:val="TableText0"/>
            </w:pPr>
            <w:r w:rsidRPr="00C34520">
              <w:t>Dose 3</w:t>
            </w:r>
          </w:p>
        </w:tc>
        <w:tc>
          <w:tcPr>
            <w:tcW w:w="1291" w:type="pct"/>
          </w:tcPr>
          <w:p w14:paraId="5787025C" w14:textId="77777777" w:rsidR="00FA3DFD" w:rsidRPr="000B6735" w:rsidRDefault="00FA3DFD" w:rsidP="00FA3DFD">
            <w:pPr>
              <w:pStyle w:val="TableText0"/>
              <w:jc w:val="center"/>
            </w:pPr>
            <w:r w:rsidRPr="000B6735">
              <w:t>464/914 (50.8)</w:t>
            </w:r>
          </w:p>
        </w:tc>
        <w:tc>
          <w:tcPr>
            <w:tcW w:w="1020" w:type="pct"/>
          </w:tcPr>
          <w:p w14:paraId="71727311" w14:textId="77777777" w:rsidR="00FA3DFD" w:rsidRPr="000B6735" w:rsidRDefault="00FA3DFD" w:rsidP="00FA3DFD">
            <w:pPr>
              <w:pStyle w:val="TableText0"/>
              <w:jc w:val="center"/>
            </w:pPr>
            <w:r w:rsidRPr="000B6735">
              <w:t>442/901 (49.1)</w:t>
            </w:r>
          </w:p>
        </w:tc>
        <w:tc>
          <w:tcPr>
            <w:tcW w:w="1012" w:type="pct"/>
          </w:tcPr>
          <w:p w14:paraId="4EB53661" w14:textId="77777777" w:rsidR="00FA3DFD" w:rsidRPr="000B6735" w:rsidRDefault="00FA3DFD" w:rsidP="00FA3DFD">
            <w:pPr>
              <w:pStyle w:val="TableText0"/>
              <w:jc w:val="center"/>
            </w:pPr>
            <w:r w:rsidRPr="000B6735">
              <w:t>1.7 (-2.9, 6.3)</w:t>
            </w:r>
          </w:p>
        </w:tc>
      </w:tr>
      <w:tr w:rsidR="00FA3DFD" w:rsidRPr="00C34520" w14:paraId="04588A20" w14:textId="77777777" w:rsidTr="00667D81">
        <w:tc>
          <w:tcPr>
            <w:tcW w:w="957" w:type="pct"/>
            <w:vMerge/>
          </w:tcPr>
          <w:p w14:paraId="66AE8D58" w14:textId="77777777" w:rsidR="00FA3DFD" w:rsidRPr="00C34520" w:rsidRDefault="00FA3DFD" w:rsidP="00FA3DFD">
            <w:pPr>
              <w:pStyle w:val="TableText0"/>
            </w:pPr>
          </w:p>
        </w:tc>
        <w:tc>
          <w:tcPr>
            <w:tcW w:w="721" w:type="pct"/>
          </w:tcPr>
          <w:p w14:paraId="51716606" w14:textId="77777777" w:rsidR="00FA3DFD" w:rsidRPr="00C34520" w:rsidRDefault="00FA3DFD" w:rsidP="00FA3DFD">
            <w:pPr>
              <w:pStyle w:val="TableText0"/>
            </w:pPr>
            <w:r w:rsidRPr="00C34520">
              <w:t>Dose 4</w:t>
            </w:r>
          </w:p>
        </w:tc>
        <w:tc>
          <w:tcPr>
            <w:tcW w:w="1291" w:type="pct"/>
          </w:tcPr>
          <w:p w14:paraId="0663D417" w14:textId="77777777" w:rsidR="00FA3DFD" w:rsidRPr="000B6735" w:rsidRDefault="00FA3DFD" w:rsidP="00FA3DFD">
            <w:pPr>
              <w:pStyle w:val="TableText0"/>
              <w:jc w:val="center"/>
            </w:pPr>
            <w:r w:rsidRPr="000B6735">
              <w:t>370/826 (44.8)</w:t>
            </w:r>
          </w:p>
        </w:tc>
        <w:tc>
          <w:tcPr>
            <w:tcW w:w="1020" w:type="pct"/>
          </w:tcPr>
          <w:p w14:paraId="3ECC3D03" w14:textId="77777777" w:rsidR="00FA3DFD" w:rsidRPr="000B6735" w:rsidRDefault="00FA3DFD" w:rsidP="00FA3DFD">
            <w:pPr>
              <w:pStyle w:val="TableText0"/>
              <w:jc w:val="center"/>
            </w:pPr>
            <w:r w:rsidRPr="000B6735">
              <w:t>374/815 (45.9)</w:t>
            </w:r>
          </w:p>
        </w:tc>
        <w:tc>
          <w:tcPr>
            <w:tcW w:w="1012" w:type="pct"/>
          </w:tcPr>
          <w:p w14:paraId="3C4D80F2" w14:textId="77777777" w:rsidR="00FA3DFD" w:rsidRPr="000B6735" w:rsidRDefault="00FA3DFD" w:rsidP="00FA3DFD">
            <w:pPr>
              <w:pStyle w:val="TableText0"/>
              <w:jc w:val="center"/>
            </w:pPr>
            <w:r w:rsidRPr="000B6735">
              <w:t>-1.1 (-5.9, 3.7)</w:t>
            </w:r>
          </w:p>
        </w:tc>
      </w:tr>
      <w:tr w:rsidR="00FA3DFD" w:rsidRPr="00C34520" w14:paraId="62AF97A0" w14:textId="77777777" w:rsidTr="00667D81">
        <w:tc>
          <w:tcPr>
            <w:tcW w:w="957" w:type="pct"/>
            <w:vMerge w:val="restart"/>
          </w:tcPr>
          <w:p w14:paraId="53B7A8AB" w14:textId="77777777" w:rsidR="00FA3DFD" w:rsidRPr="00C34520" w:rsidRDefault="00FA3DFD" w:rsidP="00FA3DFD">
            <w:pPr>
              <w:pStyle w:val="TableText0"/>
            </w:pPr>
            <w:r w:rsidRPr="00C34520">
              <w:t>B7471013</w:t>
            </w:r>
          </w:p>
        </w:tc>
        <w:tc>
          <w:tcPr>
            <w:tcW w:w="721" w:type="pct"/>
          </w:tcPr>
          <w:p w14:paraId="47CE870E" w14:textId="77777777" w:rsidR="00FA3DFD" w:rsidRPr="00C34520" w:rsidRDefault="00FA3DFD" w:rsidP="00FA3DFD">
            <w:pPr>
              <w:pStyle w:val="TableText0"/>
            </w:pPr>
            <w:r w:rsidRPr="00C34520">
              <w:t>Dose 1</w:t>
            </w:r>
          </w:p>
        </w:tc>
        <w:tc>
          <w:tcPr>
            <w:tcW w:w="1291" w:type="pct"/>
          </w:tcPr>
          <w:p w14:paraId="5920033E" w14:textId="77777777" w:rsidR="00FA3DFD" w:rsidRPr="000B6735" w:rsidRDefault="00FA3DFD" w:rsidP="00FA3DFD">
            <w:pPr>
              <w:pStyle w:val="TableText0"/>
              <w:jc w:val="center"/>
            </w:pPr>
            <w:r w:rsidRPr="000B6735">
              <w:t>512/992 (51.6)</w:t>
            </w:r>
          </w:p>
        </w:tc>
        <w:tc>
          <w:tcPr>
            <w:tcW w:w="1020" w:type="pct"/>
          </w:tcPr>
          <w:p w14:paraId="3C295597" w14:textId="77777777" w:rsidR="00FA3DFD" w:rsidRPr="000B6735" w:rsidRDefault="00FA3DFD" w:rsidP="00FA3DFD">
            <w:pPr>
              <w:pStyle w:val="TableText0"/>
              <w:jc w:val="center"/>
            </w:pPr>
            <w:r w:rsidRPr="000B6735">
              <w:t>267/498 (53.6)</w:t>
            </w:r>
          </w:p>
        </w:tc>
        <w:tc>
          <w:tcPr>
            <w:tcW w:w="1012" w:type="pct"/>
          </w:tcPr>
          <w:p w14:paraId="18C54332" w14:textId="77777777" w:rsidR="00FA3DFD" w:rsidRPr="000B6735" w:rsidRDefault="00FA3DFD" w:rsidP="00FA3DFD">
            <w:pPr>
              <w:pStyle w:val="TableText0"/>
              <w:jc w:val="center"/>
            </w:pPr>
            <w:r w:rsidRPr="000B6735">
              <w:t>-2.0 (-7.3, 3.4)</w:t>
            </w:r>
          </w:p>
        </w:tc>
      </w:tr>
      <w:tr w:rsidR="00FA3DFD" w:rsidRPr="00C34520" w14:paraId="4366BF27" w14:textId="77777777" w:rsidTr="00667D81">
        <w:tc>
          <w:tcPr>
            <w:tcW w:w="957" w:type="pct"/>
            <w:vMerge/>
          </w:tcPr>
          <w:p w14:paraId="0558B364" w14:textId="77777777" w:rsidR="00FA3DFD" w:rsidRPr="00C34520" w:rsidRDefault="00FA3DFD" w:rsidP="00FA3DFD">
            <w:pPr>
              <w:pStyle w:val="TableText0"/>
            </w:pPr>
          </w:p>
        </w:tc>
        <w:tc>
          <w:tcPr>
            <w:tcW w:w="721" w:type="pct"/>
          </w:tcPr>
          <w:p w14:paraId="36E6A3C6" w14:textId="77777777" w:rsidR="00FA3DFD" w:rsidRPr="00C34520" w:rsidRDefault="00FA3DFD" w:rsidP="00FA3DFD">
            <w:pPr>
              <w:pStyle w:val="TableText0"/>
            </w:pPr>
            <w:r w:rsidRPr="00C34520">
              <w:t>Dose 2</w:t>
            </w:r>
          </w:p>
        </w:tc>
        <w:tc>
          <w:tcPr>
            <w:tcW w:w="1291" w:type="pct"/>
          </w:tcPr>
          <w:p w14:paraId="4925AF5B" w14:textId="77777777" w:rsidR="00FA3DFD" w:rsidRPr="000B6735" w:rsidRDefault="00FA3DFD" w:rsidP="00FA3DFD">
            <w:pPr>
              <w:pStyle w:val="TableText0"/>
              <w:jc w:val="center"/>
            </w:pPr>
            <w:r w:rsidRPr="000B6735">
              <w:t>436/952 (45.8)</w:t>
            </w:r>
          </w:p>
        </w:tc>
        <w:tc>
          <w:tcPr>
            <w:tcW w:w="1020" w:type="pct"/>
          </w:tcPr>
          <w:p w14:paraId="45C51A63" w14:textId="77777777" w:rsidR="00FA3DFD" w:rsidRPr="000B6735" w:rsidRDefault="00FA3DFD" w:rsidP="00FA3DFD">
            <w:pPr>
              <w:pStyle w:val="TableText0"/>
              <w:jc w:val="center"/>
            </w:pPr>
            <w:r w:rsidRPr="000B6735">
              <w:t>238/485 (49.1)</w:t>
            </w:r>
          </w:p>
        </w:tc>
        <w:tc>
          <w:tcPr>
            <w:tcW w:w="1012" w:type="pct"/>
          </w:tcPr>
          <w:p w14:paraId="35922A1F" w14:textId="77777777" w:rsidR="00FA3DFD" w:rsidRPr="000B6735" w:rsidRDefault="00FA3DFD" w:rsidP="00FA3DFD">
            <w:pPr>
              <w:pStyle w:val="TableText0"/>
              <w:jc w:val="center"/>
            </w:pPr>
            <w:r w:rsidRPr="000B6735">
              <w:t>-3.3 (-8.7, 2.2)</w:t>
            </w:r>
          </w:p>
        </w:tc>
      </w:tr>
      <w:tr w:rsidR="00FA3DFD" w:rsidRPr="00C34520" w14:paraId="24B7337F" w14:textId="77777777" w:rsidTr="00667D81">
        <w:tc>
          <w:tcPr>
            <w:tcW w:w="957" w:type="pct"/>
            <w:vMerge/>
          </w:tcPr>
          <w:p w14:paraId="57C0177A" w14:textId="77777777" w:rsidR="00FA3DFD" w:rsidRPr="00C34520" w:rsidRDefault="00FA3DFD" w:rsidP="00FA3DFD">
            <w:pPr>
              <w:pStyle w:val="TableText0"/>
            </w:pPr>
          </w:p>
        </w:tc>
        <w:tc>
          <w:tcPr>
            <w:tcW w:w="721" w:type="pct"/>
          </w:tcPr>
          <w:p w14:paraId="7F519B21" w14:textId="77777777" w:rsidR="00FA3DFD" w:rsidRPr="00C34520" w:rsidRDefault="00FA3DFD" w:rsidP="00FA3DFD">
            <w:pPr>
              <w:pStyle w:val="TableText0"/>
            </w:pPr>
            <w:r w:rsidRPr="00C34520">
              <w:t>Dose 3</w:t>
            </w:r>
          </w:p>
        </w:tc>
        <w:tc>
          <w:tcPr>
            <w:tcW w:w="1291" w:type="pct"/>
          </w:tcPr>
          <w:p w14:paraId="78B92BD5" w14:textId="77777777" w:rsidR="00FA3DFD" w:rsidRPr="000B6735" w:rsidRDefault="00FA3DFD" w:rsidP="00FA3DFD">
            <w:pPr>
              <w:pStyle w:val="TableText0"/>
              <w:jc w:val="center"/>
            </w:pPr>
            <w:r w:rsidRPr="000B6735">
              <w:t>363/940 (38.6)</w:t>
            </w:r>
          </w:p>
        </w:tc>
        <w:tc>
          <w:tcPr>
            <w:tcW w:w="1020" w:type="pct"/>
          </w:tcPr>
          <w:p w14:paraId="72D38B7A" w14:textId="77777777" w:rsidR="00FA3DFD" w:rsidRPr="000B6735" w:rsidRDefault="00FA3DFD" w:rsidP="00FA3DFD">
            <w:pPr>
              <w:pStyle w:val="TableText0"/>
              <w:jc w:val="center"/>
            </w:pPr>
            <w:r w:rsidRPr="000B6735">
              <w:t>191/477 (40.0)</w:t>
            </w:r>
          </w:p>
        </w:tc>
        <w:tc>
          <w:tcPr>
            <w:tcW w:w="1012" w:type="pct"/>
          </w:tcPr>
          <w:p w14:paraId="389AC653" w14:textId="77777777" w:rsidR="00FA3DFD" w:rsidRPr="000B6735" w:rsidRDefault="00FA3DFD" w:rsidP="00FA3DFD">
            <w:pPr>
              <w:pStyle w:val="TableText0"/>
              <w:jc w:val="center"/>
            </w:pPr>
            <w:r w:rsidRPr="000B6735">
              <w:t>-1.4 (-6.8, 3.9)</w:t>
            </w:r>
          </w:p>
        </w:tc>
      </w:tr>
      <w:tr w:rsidR="00FA3DFD" w:rsidRPr="00C34520" w14:paraId="4551B6A7" w14:textId="77777777" w:rsidTr="00667D81">
        <w:tc>
          <w:tcPr>
            <w:tcW w:w="957" w:type="pct"/>
            <w:vMerge/>
          </w:tcPr>
          <w:p w14:paraId="233F64B5" w14:textId="77777777" w:rsidR="00FA3DFD" w:rsidRPr="00C34520" w:rsidRDefault="00FA3DFD" w:rsidP="00FA3DFD">
            <w:pPr>
              <w:pStyle w:val="TableText0"/>
            </w:pPr>
          </w:p>
        </w:tc>
        <w:tc>
          <w:tcPr>
            <w:tcW w:w="721" w:type="pct"/>
          </w:tcPr>
          <w:p w14:paraId="520737DD" w14:textId="77777777" w:rsidR="00FA3DFD" w:rsidRPr="00C34520" w:rsidRDefault="00FA3DFD" w:rsidP="00FA3DFD">
            <w:pPr>
              <w:pStyle w:val="TableText0"/>
            </w:pPr>
            <w:r w:rsidRPr="00C34520">
              <w:t>Dose 4</w:t>
            </w:r>
          </w:p>
        </w:tc>
        <w:tc>
          <w:tcPr>
            <w:tcW w:w="1291" w:type="pct"/>
          </w:tcPr>
          <w:p w14:paraId="79F6F764" w14:textId="77777777" w:rsidR="00FA3DFD" w:rsidRPr="000B6735" w:rsidRDefault="00FA3DFD" w:rsidP="00FA3DFD">
            <w:pPr>
              <w:pStyle w:val="TableText0"/>
              <w:jc w:val="center"/>
            </w:pPr>
            <w:r w:rsidRPr="000B6735">
              <w:t>362/892 (40.6)</w:t>
            </w:r>
          </w:p>
        </w:tc>
        <w:tc>
          <w:tcPr>
            <w:tcW w:w="1020" w:type="pct"/>
          </w:tcPr>
          <w:p w14:paraId="127DBCEE" w14:textId="77777777" w:rsidR="00FA3DFD" w:rsidRPr="000B6735" w:rsidRDefault="00FA3DFD" w:rsidP="00FA3DFD">
            <w:pPr>
              <w:pStyle w:val="TableText0"/>
              <w:jc w:val="center"/>
            </w:pPr>
            <w:r w:rsidRPr="000B6735">
              <w:t>192/454 (42.3)</w:t>
            </w:r>
          </w:p>
        </w:tc>
        <w:tc>
          <w:tcPr>
            <w:tcW w:w="1012" w:type="pct"/>
          </w:tcPr>
          <w:p w14:paraId="7CC5A4D7" w14:textId="77777777" w:rsidR="00FA3DFD" w:rsidRPr="000B6735" w:rsidRDefault="00FA3DFD" w:rsidP="00FA3DFD">
            <w:pPr>
              <w:pStyle w:val="TableText0"/>
              <w:jc w:val="center"/>
            </w:pPr>
            <w:r w:rsidRPr="000B6735">
              <w:t>-1.7 (-7.3, 3.8)</w:t>
            </w:r>
          </w:p>
        </w:tc>
      </w:tr>
      <w:tr w:rsidR="00FA3DFD" w:rsidRPr="00C34520" w14:paraId="24D3658B" w14:textId="77777777" w:rsidTr="00667D81">
        <w:tc>
          <w:tcPr>
            <w:tcW w:w="957" w:type="pct"/>
            <w:vMerge w:val="restart"/>
          </w:tcPr>
          <w:p w14:paraId="6AD909E5" w14:textId="77777777" w:rsidR="00FA3DFD" w:rsidRPr="00C34520" w:rsidRDefault="00FA3DFD" w:rsidP="00FA3DFD">
            <w:pPr>
              <w:pStyle w:val="TableText0"/>
            </w:pPr>
            <w:r w:rsidRPr="00C34520">
              <w:t>B7471003</w:t>
            </w:r>
          </w:p>
        </w:tc>
        <w:tc>
          <w:tcPr>
            <w:tcW w:w="721" w:type="pct"/>
          </w:tcPr>
          <w:p w14:paraId="235D7F3E" w14:textId="77777777" w:rsidR="00FA3DFD" w:rsidRPr="00C34520" w:rsidRDefault="00FA3DFD" w:rsidP="00FA3DFD">
            <w:pPr>
              <w:pStyle w:val="TableText0"/>
            </w:pPr>
            <w:r w:rsidRPr="00C34520">
              <w:t>Dose 1</w:t>
            </w:r>
          </w:p>
        </w:tc>
        <w:tc>
          <w:tcPr>
            <w:tcW w:w="1291" w:type="pct"/>
          </w:tcPr>
          <w:p w14:paraId="54E73A79" w14:textId="77777777" w:rsidR="00FA3DFD" w:rsidRPr="008B7AC3" w:rsidRDefault="00FA3DFD" w:rsidP="00FA3DFD">
            <w:pPr>
              <w:pStyle w:val="TableText0"/>
              <w:jc w:val="center"/>
            </w:pPr>
            <w:r w:rsidRPr="008B7AC3">
              <w:t>139/229 (60.7)</w:t>
            </w:r>
          </w:p>
        </w:tc>
        <w:tc>
          <w:tcPr>
            <w:tcW w:w="1020" w:type="pct"/>
          </w:tcPr>
          <w:p w14:paraId="45BB22B3" w14:textId="77777777" w:rsidR="00FA3DFD" w:rsidRPr="008B7AC3" w:rsidRDefault="00FA3DFD" w:rsidP="00FA3DFD">
            <w:pPr>
              <w:pStyle w:val="TableText0"/>
              <w:jc w:val="center"/>
            </w:pPr>
            <w:r w:rsidRPr="008B7AC3">
              <w:t>140/224 (62.5)</w:t>
            </w:r>
          </w:p>
        </w:tc>
        <w:tc>
          <w:tcPr>
            <w:tcW w:w="1012" w:type="pct"/>
          </w:tcPr>
          <w:p w14:paraId="372F18B3" w14:textId="77777777" w:rsidR="00FA3DFD" w:rsidRPr="000B6735" w:rsidRDefault="00FA3DFD" w:rsidP="00FA3DFD">
            <w:pPr>
              <w:pStyle w:val="TableText0"/>
              <w:jc w:val="center"/>
            </w:pPr>
            <w:r w:rsidRPr="000B6735">
              <w:t>NR</w:t>
            </w:r>
          </w:p>
        </w:tc>
      </w:tr>
      <w:tr w:rsidR="00FA3DFD" w:rsidRPr="00602BFD" w14:paraId="297D0351" w14:textId="77777777" w:rsidTr="00667D81">
        <w:tc>
          <w:tcPr>
            <w:tcW w:w="957" w:type="pct"/>
            <w:vMerge/>
          </w:tcPr>
          <w:p w14:paraId="5CEB4928" w14:textId="77777777" w:rsidR="00FA3DFD" w:rsidRPr="00602BFD" w:rsidRDefault="00FA3DFD" w:rsidP="00FA3DFD">
            <w:pPr>
              <w:pStyle w:val="TableText0"/>
            </w:pPr>
          </w:p>
        </w:tc>
        <w:tc>
          <w:tcPr>
            <w:tcW w:w="721" w:type="pct"/>
          </w:tcPr>
          <w:p w14:paraId="49625E32" w14:textId="77777777" w:rsidR="00FA3DFD" w:rsidRPr="00602BFD" w:rsidRDefault="00FA3DFD" w:rsidP="00FA3DFD">
            <w:pPr>
              <w:pStyle w:val="TableText0"/>
            </w:pPr>
            <w:r w:rsidRPr="00602BFD">
              <w:t>Dose 2</w:t>
            </w:r>
          </w:p>
        </w:tc>
        <w:tc>
          <w:tcPr>
            <w:tcW w:w="1291" w:type="pct"/>
          </w:tcPr>
          <w:p w14:paraId="5DC475C2" w14:textId="77777777" w:rsidR="00FA3DFD" w:rsidRPr="00602BFD" w:rsidRDefault="00FA3DFD" w:rsidP="00FA3DFD">
            <w:pPr>
              <w:pStyle w:val="TableText0"/>
              <w:jc w:val="center"/>
            </w:pPr>
            <w:r w:rsidRPr="00602BFD">
              <w:t>109/215 (50.7)</w:t>
            </w:r>
          </w:p>
        </w:tc>
        <w:tc>
          <w:tcPr>
            <w:tcW w:w="1020" w:type="pct"/>
          </w:tcPr>
          <w:p w14:paraId="54E68C43" w14:textId="77777777" w:rsidR="00FA3DFD" w:rsidRPr="00602BFD" w:rsidRDefault="00FA3DFD" w:rsidP="00FA3DFD">
            <w:pPr>
              <w:pStyle w:val="TableText0"/>
              <w:jc w:val="center"/>
            </w:pPr>
            <w:r w:rsidRPr="00602BFD">
              <w:t>121/204 (59.3)</w:t>
            </w:r>
          </w:p>
        </w:tc>
        <w:tc>
          <w:tcPr>
            <w:tcW w:w="1012" w:type="pct"/>
          </w:tcPr>
          <w:p w14:paraId="2B9FB8B0" w14:textId="77777777" w:rsidR="00FA3DFD" w:rsidRPr="00602BFD" w:rsidRDefault="00FA3DFD" w:rsidP="00FA3DFD">
            <w:pPr>
              <w:pStyle w:val="TableText0"/>
              <w:jc w:val="center"/>
            </w:pPr>
            <w:r w:rsidRPr="00602BFD">
              <w:t>NR</w:t>
            </w:r>
          </w:p>
        </w:tc>
      </w:tr>
      <w:tr w:rsidR="00FA3DFD" w:rsidRPr="00C34520" w14:paraId="5D3996DE" w14:textId="77777777" w:rsidTr="00667D81">
        <w:tc>
          <w:tcPr>
            <w:tcW w:w="957" w:type="pct"/>
            <w:vMerge/>
          </w:tcPr>
          <w:p w14:paraId="3BF509ED" w14:textId="77777777" w:rsidR="00FA3DFD" w:rsidRPr="00C34520" w:rsidRDefault="00FA3DFD" w:rsidP="00FA3DFD">
            <w:pPr>
              <w:pStyle w:val="TableText0"/>
            </w:pPr>
          </w:p>
        </w:tc>
        <w:tc>
          <w:tcPr>
            <w:tcW w:w="721" w:type="pct"/>
          </w:tcPr>
          <w:p w14:paraId="428A9839" w14:textId="77777777" w:rsidR="00FA3DFD" w:rsidRPr="00C34520" w:rsidRDefault="00FA3DFD" w:rsidP="00FA3DFD">
            <w:pPr>
              <w:pStyle w:val="TableText0"/>
            </w:pPr>
            <w:r w:rsidRPr="00C34520">
              <w:t>Dose 3</w:t>
            </w:r>
          </w:p>
        </w:tc>
        <w:tc>
          <w:tcPr>
            <w:tcW w:w="1291" w:type="pct"/>
          </w:tcPr>
          <w:p w14:paraId="59FE955A" w14:textId="77777777" w:rsidR="00FA3DFD" w:rsidRPr="008B7AC3" w:rsidRDefault="00FA3DFD" w:rsidP="00FA3DFD">
            <w:pPr>
              <w:pStyle w:val="TableText0"/>
              <w:jc w:val="center"/>
            </w:pPr>
            <w:r w:rsidRPr="008B7AC3">
              <w:t>110/201 (54.7)</w:t>
            </w:r>
          </w:p>
        </w:tc>
        <w:tc>
          <w:tcPr>
            <w:tcW w:w="1020" w:type="pct"/>
          </w:tcPr>
          <w:p w14:paraId="16B484F3" w14:textId="77777777" w:rsidR="00FA3DFD" w:rsidRPr="008B7AC3" w:rsidRDefault="00FA3DFD" w:rsidP="00FA3DFD">
            <w:pPr>
              <w:pStyle w:val="TableText0"/>
              <w:jc w:val="center"/>
            </w:pPr>
            <w:r w:rsidRPr="008B7AC3">
              <w:t>121/204 (59.3)</w:t>
            </w:r>
          </w:p>
        </w:tc>
        <w:tc>
          <w:tcPr>
            <w:tcW w:w="1012" w:type="pct"/>
          </w:tcPr>
          <w:p w14:paraId="265D1D4B" w14:textId="77777777" w:rsidR="00FA3DFD" w:rsidRPr="000B6735" w:rsidRDefault="00FA3DFD" w:rsidP="00FA3DFD">
            <w:pPr>
              <w:pStyle w:val="TableText0"/>
              <w:jc w:val="center"/>
            </w:pPr>
            <w:r w:rsidRPr="000B6735">
              <w:t>NR</w:t>
            </w:r>
          </w:p>
        </w:tc>
      </w:tr>
      <w:tr w:rsidR="00FA3DFD" w:rsidRPr="00C34520" w14:paraId="1741A14A" w14:textId="77777777" w:rsidTr="00667D81">
        <w:tc>
          <w:tcPr>
            <w:tcW w:w="957" w:type="pct"/>
            <w:vMerge/>
          </w:tcPr>
          <w:p w14:paraId="055DAD93" w14:textId="77777777" w:rsidR="00FA3DFD" w:rsidRPr="00C34520" w:rsidRDefault="00FA3DFD" w:rsidP="00FA3DFD">
            <w:pPr>
              <w:pStyle w:val="TableText0"/>
            </w:pPr>
          </w:p>
        </w:tc>
        <w:tc>
          <w:tcPr>
            <w:tcW w:w="721" w:type="pct"/>
          </w:tcPr>
          <w:p w14:paraId="75D89B98" w14:textId="77777777" w:rsidR="00FA3DFD" w:rsidRPr="00C34520" w:rsidRDefault="00FA3DFD" w:rsidP="00FA3DFD">
            <w:pPr>
              <w:pStyle w:val="TableText0"/>
            </w:pPr>
            <w:r w:rsidRPr="00C34520">
              <w:t>Dose 4</w:t>
            </w:r>
          </w:p>
        </w:tc>
        <w:tc>
          <w:tcPr>
            <w:tcW w:w="1291" w:type="pct"/>
          </w:tcPr>
          <w:p w14:paraId="11D60318" w14:textId="77777777" w:rsidR="00FA3DFD" w:rsidRPr="008B7AC3" w:rsidRDefault="00FA3DFD" w:rsidP="00FA3DFD">
            <w:pPr>
              <w:pStyle w:val="TableText0"/>
              <w:jc w:val="center"/>
            </w:pPr>
            <w:r w:rsidRPr="008B7AC3">
              <w:t>91/186 (48.9)</w:t>
            </w:r>
          </w:p>
        </w:tc>
        <w:tc>
          <w:tcPr>
            <w:tcW w:w="1020" w:type="pct"/>
          </w:tcPr>
          <w:p w14:paraId="5A416059" w14:textId="77777777" w:rsidR="00FA3DFD" w:rsidRPr="008B7AC3" w:rsidRDefault="00FA3DFD" w:rsidP="00FA3DFD">
            <w:pPr>
              <w:pStyle w:val="TableText0"/>
              <w:jc w:val="center"/>
            </w:pPr>
            <w:r w:rsidRPr="008B7AC3">
              <w:t>88/185 (47.6)</w:t>
            </w:r>
          </w:p>
        </w:tc>
        <w:tc>
          <w:tcPr>
            <w:tcW w:w="1012" w:type="pct"/>
          </w:tcPr>
          <w:p w14:paraId="191A0BC1" w14:textId="77777777" w:rsidR="00FA3DFD" w:rsidRPr="000B6735" w:rsidRDefault="00FA3DFD" w:rsidP="00FA3DFD">
            <w:pPr>
              <w:pStyle w:val="TableText0"/>
              <w:jc w:val="center"/>
            </w:pPr>
            <w:r w:rsidRPr="000B6735">
              <w:t>NR</w:t>
            </w:r>
          </w:p>
        </w:tc>
      </w:tr>
      <w:tr w:rsidR="00897925" w:rsidRPr="00C34520" w14:paraId="49743A8D" w14:textId="77777777" w:rsidTr="00667D81">
        <w:tc>
          <w:tcPr>
            <w:tcW w:w="957" w:type="pct"/>
          </w:tcPr>
          <w:p w14:paraId="4BD553DF" w14:textId="77777777" w:rsidR="00897925" w:rsidRPr="00C34520" w:rsidRDefault="00897925" w:rsidP="00897925">
            <w:pPr>
              <w:pStyle w:val="TableText0"/>
            </w:pPr>
            <w:r w:rsidRPr="00C34520">
              <w:t>PNEU-PED-EU-1</w:t>
            </w:r>
          </w:p>
        </w:tc>
        <w:tc>
          <w:tcPr>
            <w:tcW w:w="721" w:type="pct"/>
          </w:tcPr>
          <w:p w14:paraId="51FF707F" w14:textId="77777777" w:rsidR="00897925" w:rsidRPr="00C34520" w:rsidRDefault="00897925" w:rsidP="00897925">
            <w:pPr>
              <w:pStyle w:val="TableText0"/>
            </w:pPr>
            <w:r w:rsidRPr="00C34520">
              <w:t>Any</w:t>
            </w:r>
          </w:p>
        </w:tc>
        <w:tc>
          <w:tcPr>
            <w:tcW w:w="1291" w:type="pct"/>
            <w:shd w:val="clear" w:color="auto" w:fill="B8CCE4" w:themeFill="accent1" w:themeFillTint="66"/>
            <w:vAlign w:val="center"/>
          </w:tcPr>
          <w:p w14:paraId="4F8B93D9" w14:textId="004B4C5F" w:rsidR="00897925" w:rsidRPr="000B6735" w:rsidRDefault="00897925" w:rsidP="00897925">
            <w:pPr>
              <w:pStyle w:val="TableText0"/>
              <w:jc w:val="center"/>
            </w:pPr>
            <w:r w:rsidRPr="000B6735">
              <w:t>427/587 (72.7%)</w:t>
            </w:r>
          </w:p>
        </w:tc>
        <w:tc>
          <w:tcPr>
            <w:tcW w:w="1020" w:type="pct"/>
            <w:shd w:val="clear" w:color="auto" w:fill="B8CCE4" w:themeFill="accent1" w:themeFillTint="66"/>
            <w:vAlign w:val="center"/>
          </w:tcPr>
          <w:p w14:paraId="38B3D243" w14:textId="63BD7DC0" w:rsidR="00897925" w:rsidRPr="000B6735" w:rsidRDefault="00897925" w:rsidP="00897925">
            <w:pPr>
              <w:pStyle w:val="TableText0"/>
              <w:jc w:val="center"/>
            </w:pPr>
            <w:r w:rsidRPr="000B6735">
              <w:t>398/591 (67.3%)</w:t>
            </w:r>
          </w:p>
        </w:tc>
        <w:tc>
          <w:tcPr>
            <w:tcW w:w="1012" w:type="pct"/>
            <w:shd w:val="clear" w:color="auto" w:fill="B8CCE4" w:themeFill="accent1" w:themeFillTint="66"/>
            <w:vAlign w:val="center"/>
          </w:tcPr>
          <w:p w14:paraId="6596136D" w14:textId="778E1327" w:rsidR="00897925" w:rsidRPr="000B6735" w:rsidRDefault="00897925" w:rsidP="00897925">
            <w:pPr>
              <w:pStyle w:val="TableText0"/>
              <w:jc w:val="center"/>
            </w:pPr>
            <w:r w:rsidRPr="000B6735">
              <w:t>5.4 (NR)</w:t>
            </w:r>
          </w:p>
        </w:tc>
      </w:tr>
      <w:tr w:rsidR="00897925" w:rsidRPr="00C34520" w14:paraId="4FA8E380" w14:textId="77777777" w:rsidTr="00667D81">
        <w:tc>
          <w:tcPr>
            <w:tcW w:w="957" w:type="pct"/>
          </w:tcPr>
          <w:p w14:paraId="0AF71A07" w14:textId="77777777" w:rsidR="00897925" w:rsidRPr="00C34520" w:rsidRDefault="00897925" w:rsidP="00897925">
            <w:pPr>
              <w:pStyle w:val="TableText0"/>
            </w:pPr>
            <w:r w:rsidRPr="00C34520">
              <w:t>PNEU-PED-EU-2</w:t>
            </w:r>
          </w:p>
        </w:tc>
        <w:tc>
          <w:tcPr>
            <w:tcW w:w="721" w:type="pct"/>
          </w:tcPr>
          <w:p w14:paraId="44AE3A1C" w14:textId="77777777" w:rsidR="00897925" w:rsidRPr="00C34520" w:rsidRDefault="00897925" w:rsidP="00897925">
            <w:pPr>
              <w:pStyle w:val="TableText0"/>
            </w:pPr>
            <w:r w:rsidRPr="00C34520">
              <w:t>Any</w:t>
            </w:r>
          </w:p>
        </w:tc>
        <w:tc>
          <w:tcPr>
            <w:tcW w:w="1291" w:type="pct"/>
            <w:shd w:val="clear" w:color="auto" w:fill="B8CCE4" w:themeFill="accent1" w:themeFillTint="66"/>
            <w:vAlign w:val="center"/>
          </w:tcPr>
          <w:p w14:paraId="6AF82D85" w14:textId="2081B6AE" w:rsidR="00897925" w:rsidRPr="000B6735" w:rsidRDefault="00897925" w:rsidP="00897925">
            <w:pPr>
              <w:pStyle w:val="TableText0"/>
              <w:jc w:val="center"/>
            </w:pPr>
            <w:r w:rsidRPr="000B6735">
              <w:t>525/595 (88.2%)</w:t>
            </w:r>
          </w:p>
        </w:tc>
        <w:tc>
          <w:tcPr>
            <w:tcW w:w="1020" w:type="pct"/>
            <w:shd w:val="clear" w:color="auto" w:fill="B8CCE4" w:themeFill="accent1" w:themeFillTint="66"/>
            <w:vAlign w:val="center"/>
          </w:tcPr>
          <w:p w14:paraId="4DF72FFE" w14:textId="2B4A0043" w:rsidR="00897925" w:rsidRPr="000B6735" w:rsidRDefault="00897925" w:rsidP="00897925">
            <w:pPr>
              <w:pStyle w:val="TableText0"/>
              <w:jc w:val="center"/>
            </w:pPr>
            <w:r w:rsidRPr="000B6735">
              <w:t>531/594 (89.4%)</w:t>
            </w:r>
          </w:p>
        </w:tc>
        <w:tc>
          <w:tcPr>
            <w:tcW w:w="1012" w:type="pct"/>
            <w:shd w:val="clear" w:color="auto" w:fill="B8CCE4" w:themeFill="accent1" w:themeFillTint="66"/>
            <w:vAlign w:val="center"/>
          </w:tcPr>
          <w:p w14:paraId="1EF8F3AD" w14:textId="50F8D604" w:rsidR="00897925" w:rsidRPr="000B6735" w:rsidRDefault="00897925" w:rsidP="00897925">
            <w:pPr>
              <w:pStyle w:val="TableText0"/>
              <w:jc w:val="center"/>
            </w:pPr>
            <w:r w:rsidRPr="000B6735">
              <w:t>-1.2 (NR)</w:t>
            </w:r>
          </w:p>
        </w:tc>
      </w:tr>
      <w:tr w:rsidR="00897925" w:rsidRPr="00C34520" w14:paraId="7C41C778" w14:textId="77777777" w:rsidTr="00667D81">
        <w:tc>
          <w:tcPr>
            <w:tcW w:w="957" w:type="pct"/>
          </w:tcPr>
          <w:p w14:paraId="1D2C936C" w14:textId="77777777" w:rsidR="00897925" w:rsidRPr="00C34520" w:rsidRDefault="00897925" w:rsidP="00897925">
            <w:pPr>
              <w:pStyle w:val="TableText0"/>
            </w:pPr>
            <w:r w:rsidRPr="00C34520">
              <w:t>PNEU-PED</w:t>
            </w:r>
          </w:p>
        </w:tc>
        <w:tc>
          <w:tcPr>
            <w:tcW w:w="721" w:type="pct"/>
          </w:tcPr>
          <w:p w14:paraId="52205B9E" w14:textId="77777777" w:rsidR="00897925" w:rsidRPr="00C34520" w:rsidRDefault="00897925" w:rsidP="00897925">
            <w:pPr>
              <w:pStyle w:val="TableText0"/>
            </w:pPr>
            <w:r w:rsidRPr="00C34520">
              <w:t>Any</w:t>
            </w:r>
          </w:p>
        </w:tc>
        <w:tc>
          <w:tcPr>
            <w:tcW w:w="1291" w:type="pct"/>
            <w:shd w:val="clear" w:color="auto" w:fill="B8CCE4" w:themeFill="accent1" w:themeFillTint="66"/>
            <w:vAlign w:val="center"/>
          </w:tcPr>
          <w:p w14:paraId="3E679DE1" w14:textId="753742D3" w:rsidR="00897925" w:rsidRPr="000B6735" w:rsidRDefault="00897925" w:rsidP="00897925">
            <w:pPr>
              <w:pStyle w:val="TableText0"/>
              <w:jc w:val="center"/>
            </w:pPr>
            <w:r w:rsidRPr="000B6735">
              <w:t>598/858 (69.7%)</w:t>
            </w:r>
          </w:p>
        </w:tc>
        <w:tc>
          <w:tcPr>
            <w:tcW w:w="1020" w:type="pct"/>
            <w:shd w:val="clear" w:color="auto" w:fill="B8CCE4" w:themeFill="accent1" w:themeFillTint="66"/>
            <w:vAlign w:val="center"/>
          </w:tcPr>
          <w:p w14:paraId="2820A6A4" w14:textId="640B7DA7" w:rsidR="00897925" w:rsidRPr="000B6735" w:rsidRDefault="00897925" w:rsidP="00897925">
            <w:pPr>
              <w:pStyle w:val="TableText0"/>
              <w:jc w:val="center"/>
            </w:pPr>
            <w:r w:rsidRPr="000B6735">
              <w:t>595/855 (69.6%)</w:t>
            </w:r>
          </w:p>
        </w:tc>
        <w:tc>
          <w:tcPr>
            <w:tcW w:w="1012" w:type="pct"/>
            <w:shd w:val="clear" w:color="auto" w:fill="B8CCE4" w:themeFill="accent1" w:themeFillTint="66"/>
            <w:vAlign w:val="center"/>
          </w:tcPr>
          <w:p w14:paraId="07A5BC9F" w14:textId="27E06A2D" w:rsidR="00897925" w:rsidRPr="000B6735" w:rsidRDefault="00897925" w:rsidP="00897925">
            <w:pPr>
              <w:pStyle w:val="TableText0"/>
              <w:jc w:val="center"/>
            </w:pPr>
            <w:r w:rsidRPr="000B6735">
              <w:t>0.1 (NR)</w:t>
            </w:r>
          </w:p>
        </w:tc>
      </w:tr>
      <w:tr w:rsidR="00897925" w:rsidRPr="00C34520" w14:paraId="28CB8003" w14:textId="77777777" w:rsidTr="00667D81">
        <w:tc>
          <w:tcPr>
            <w:tcW w:w="5000" w:type="pct"/>
            <w:gridSpan w:val="5"/>
          </w:tcPr>
          <w:p w14:paraId="028E5124" w14:textId="77777777" w:rsidR="00897925" w:rsidRPr="000B6735" w:rsidRDefault="00897925" w:rsidP="00897925">
            <w:pPr>
              <w:pStyle w:val="TableText0"/>
              <w:rPr>
                <w:b/>
                <w:bCs w:val="0"/>
              </w:rPr>
            </w:pPr>
            <w:r w:rsidRPr="000B6735">
              <w:rPr>
                <w:b/>
                <w:bCs w:val="0"/>
              </w:rPr>
              <w:t>Systemic reactions</w:t>
            </w:r>
          </w:p>
        </w:tc>
      </w:tr>
      <w:tr w:rsidR="00897925" w:rsidRPr="00C34520" w14:paraId="6DDF2E09" w14:textId="77777777" w:rsidTr="00667D81">
        <w:tc>
          <w:tcPr>
            <w:tcW w:w="957" w:type="pct"/>
            <w:vMerge w:val="restart"/>
          </w:tcPr>
          <w:p w14:paraId="21FAB3D5" w14:textId="77777777" w:rsidR="00897925" w:rsidRPr="00C34520" w:rsidRDefault="00897925" w:rsidP="00897925">
            <w:pPr>
              <w:pStyle w:val="TableText0"/>
            </w:pPr>
            <w:r w:rsidRPr="00C34520">
              <w:t>B7471012</w:t>
            </w:r>
          </w:p>
        </w:tc>
        <w:tc>
          <w:tcPr>
            <w:tcW w:w="721" w:type="pct"/>
          </w:tcPr>
          <w:p w14:paraId="29D1BA76" w14:textId="77777777" w:rsidR="00897925" w:rsidRPr="00C34520" w:rsidRDefault="00897925" w:rsidP="00897925">
            <w:pPr>
              <w:pStyle w:val="TableText0"/>
            </w:pPr>
            <w:r w:rsidRPr="00C34520">
              <w:t>Dose 1</w:t>
            </w:r>
          </w:p>
        </w:tc>
        <w:tc>
          <w:tcPr>
            <w:tcW w:w="1291" w:type="pct"/>
            <w:vAlign w:val="center"/>
          </w:tcPr>
          <w:p w14:paraId="6DEB10AA" w14:textId="77777777" w:rsidR="00897925" w:rsidRPr="000B6735" w:rsidRDefault="00897925" w:rsidP="00897925">
            <w:pPr>
              <w:pStyle w:val="TableText0"/>
              <w:jc w:val="center"/>
            </w:pPr>
            <w:r w:rsidRPr="000B6735">
              <w:t>516/598 (86.3)</w:t>
            </w:r>
          </w:p>
        </w:tc>
        <w:tc>
          <w:tcPr>
            <w:tcW w:w="1020" w:type="pct"/>
            <w:vAlign w:val="center"/>
          </w:tcPr>
          <w:p w14:paraId="6DEB34C1" w14:textId="77777777" w:rsidR="00897925" w:rsidRPr="000B6735" w:rsidRDefault="00897925" w:rsidP="00897925">
            <w:pPr>
              <w:pStyle w:val="TableText0"/>
              <w:jc w:val="center"/>
            </w:pPr>
            <w:r w:rsidRPr="000B6735">
              <w:t>522/603 (86.6)</w:t>
            </w:r>
          </w:p>
        </w:tc>
        <w:tc>
          <w:tcPr>
            <w:tcW w:w="1012" w:type="pct"/>
            <w:vAlign w:val="center"/>
          </w:tcPr>
          <w:p w14:paraId="7353B8A3" w14:textId="77777777" w:rsidR="00897925" w:rsidRPr="000B6735" w:rsidRDefault="00897925" w:rsidP="00897925">
            <w:pPr>
              <w:pStyle w:val="TableText0"/>
              <w:jc w:val="center"/>
            </w:pPr>
            <w:r w:rsidRPr="000B6735">
              <w:t>-0.3 (-4.2, 3.6)</w:t>
            </w:r>
          </w:p>
        </w:tc>
      </w:tr>
      <w:tr w:rsidR="00897925" w:rsidRPr="00C34520" w14:paraId="4DE87DB6" w14:textId="77777777" w:rsidTr="00667D81">
        <w:tc>
          <w:tcPr>
            <w:tcW w:w="957" w:type="pct"/>
            <w:vMerge/>
          </w:tcPr>
          <w:p w14:paraId="25F613F8" w14:textId="77777777" w:rsidR="00897925" w:rsidRPr="00C34520" w:rsidRDefault="00897925" w:rsidP="00897925">
            <w:pPr>
              <w:pStyle w:val="TableText0"/>
            </w:pPr>
          </w:p>
        </w:tc>
        <w:tc>
          <w:tcPr>
            <w:tcW w:w="721" w:type="pct"/>
          </w:tcPr>
          <w:p w14:paraId="6C68DEF1" w14:textId="77777777" w:rsidR="00897925" w:rsidRPr="00C34520" w:rsidRDefault="00897925" w:rsidP="00897925">
            <w:pPr>
              <w:pStyle w:val="TableText0"/>
            </w:pPr>
            <w:r w:rsidRPr="00C34520">
              <w:t>Dose 2</w:t>
            </w:r>
          </w:p>
        </w:tc>
        <w:tc>
          <w:tcPr>
            <w:tcW w:w="1291" w:type="pct"/>
            <w:vAlign w:val="center"/>
          </w:tcPr>
          <w:p w14:paraId="0E3DB931" w14:textId="77777777" w:rsidR="00897925" w:rsidRPr="000B6735" w:rsidRDefault="00897925" w:rsidP="00897925">
            <w:pPr>
              <w:pStyle w:val="TableText0"/>
              <w:jc w:val="center"/>
            </w:pPr>
            <w:r w:rsidRPr="000B6735">
              <w:t>494/592 (83.4)</w:t>
            </w:r>
          </w:p>
        </w:tc>
        <w:tc>
          <w:tcPr>
            <w:tcW w:w="1020" w:type="pct"/>
            <w:vAlign w:val="center"/>
          </w:tcPr>
          <w:p w14:paraId="70F6472B" w14:textId="77777777" w:rsidR="00897925" w:rsidRPr="000B6735" w:rsidRDefault="00897925" w:rsidP="00897925">
            <w:pPr>
              <w:pStyle w:val="TableText0"/>
              <w:jc w:val="center"/>
            </w:pPr>
            <w:r w:rsidRPr="000B6735">
              <w:t>488/594 (82.2)</w:t>
            </w:r>
          </w:p>
        </w:tc>
        <w:tc>
          <w:tcPr>
            <w:tcW w:w="1012" w:type="pct"/>
            <w:vAlign w:val="center"/>
          </w:tcPr>
          <w:p w14:paraId="33152991" w14:textId="77777777" w:rsidR="00897925" w:rsidRPr="000B6735" w:rsidRDefault="00897925" w:rsidP="00897925">
            <w:pPr>
              <w:pStyle w:val="TableText0"/>
              <w:jc w:val="center"/>
            </w:pPr>
            <w:r w:rsidRPr="000B6735">
              <w:t>1.3 (-3.0, 5.6)</w:t>
            </w:r>
          </w:p>
        </w:tc>
      </w:tr>
      <w:tr w:rsidR="00897925" w:rsidRPr="00C34520" w14:paraId="59F2E8E1" w14:textId="77777777" w:rsidTr="00667D81">
        <w:tc>
          <w:tcPr>
            <w:tcW w:w="957" w:type="pct"/>
            <w:vMerge/>
          </w:tcPr>
          <w:p w14:paraId="6B2B8761" w14:textId="77777777" w:rsidR="00897925" w:rsidRPr="00C34520" w:rsidRDefault="00897925" w:rsidP="00897925">
            <w:pPr>
              <w:pStyle w:val="TableText0"/>
            </w:pPr>
          </w:p>
        </w:tc>
        <w:tc>
          <w:tcPr>
            <w:tcW w:w="721" w:type="pct"/>
          </w:tcPr>
          <w:p w14:paraId="7FF59363" w14:textId="77777777" w:rsidR="00897925" w:rsidRPr="00C34520" w:rsidRDefault="00897925" w:rsidP="00897925">
            <w:pPr>
              <w:pStyle w:val="TableText0"/>
            </w:pPr>
            <w:r w:rsidRPr="00C34520">
              <w:t>Dose 3</w:t>
            </w:r>
          </w:p>
        </w:tc>
        <w:tc>
          <w:tcPr>
            <w:tcW w:w="1291" w:type="pct"/>
            <w:vAlign w:val="center"/>
          </w:tcPr>
          <w:p w14:paraId="0B24469D" w14:textId="77777777" w:rsidR="00897925" w:rsidRPr="000B6735" w:rsidRDefault="00897925" w:rsidP="00897925">
            <w:pPr>
              <w:pStyle w:val="TableText0"/>
              <w:jc w:val="center"/>
            </w:pPr>
            <w:r w:rsidRPr="000B6735">
              <w:t>482/580 (83.1)</w:t>
            </w:r>
          </w:p>
        </w:tc>
        <w:tc>
          <w:tcPr>
            <w:tcW w:w="1020" w:type="pct"/>
            <w:vAlign w:val="center"/>
          </w:tcPr>
          <w:p w14:paraId="09B59C14" w14:textId="77777777" w:rsidR="00897925" w:rsidRPr="000B6735" w:rsidRDefault="00897925" w:rsidP="00897925">
            <w:pPr>
              <w:pStyle w:val="TableText0"/>
              <w:jc w:val="center"/>
            </w:pPr>
            <w:r w:rsidRPr="000B6735">
              <w:t>477/586 (81.4)</w:t>
            </w:r>
          </w:p>
        </w:tc>
        <w:tc>
          <w:tcPr>
            <w:tcW w:w="1012" w:type="pct"/>
            <w:vAlign w:val="center"/>
          </w:tcPr>
          <w:p w14:paraId="173150BC" w14:textId="77777777" w:rsidR="00897925" w:rsidRPr="000B6735" w:rsidRDefault="00897925" w:rsidP="00897925">
            <w:pPr>
              <w:pStyle w:val="TableText0"/>
              <w:jc w:val="center"/>
            </w:pPr>
            <w:r w:rsidRPr="000B6735">
              <w:t>1.7 (-2.7, 6.1)</w:t>
            </w:r>
          </w:p>
        </w:tc>
      </w:tr>
      <w:tr w:rsidR="00897925" w:rsidRPr="00C34520" w14:paraId="75C6445E" w14:textId="77777777" w:rsidTr="00667D81">
        <w:tc>
          <w:tcPr>
            <w:tcW w:w="957" w:type="pct"/>
            <w:vMerge/>
          </w:tcPr>
          <w:p w14:paraId="56DCDC80" w14:textId="77777777" w:rsidR="00897925" w:rsidRPr="00C34520" w:rsidRDefault="00897925" w:rsidP="00897925">
            <w:pPr>
              <w:pStyle w:val="TableText0"/>
            </w:pPr>
          </w:p>
        </w:tc>
        <w:tc>
          <w:tcPr>
            <w:tcW w:w="721" w:type="pct"/>
          </w:tcPr>
          <w:p w14:paraId="7203EF64" w14:textId="77777777" w:rsidR="00897925" w:rsidRPr="00C34520" w:rsidRDefault="00897925" w:rsidP="00897925">
            <w:pPr>
              <w:pStyle w:val="TableText0"/>
            </w:pPr>
            <w:r w:rsidRPr="00C34520">
              <w:t>Dose 4</w:t>
            </w:r>
          </w:p>
        </w:tc>
        <w:tc>
          <w:tcPr>
            <w:tcW w:w="1291" w:type="pct"/>
            <w:vAlign w:val="center"/>
          </w:tcPr>
          <w:p w14:paraId="1C03C7D1" w14:textId="77777777" w:rsidR="00897925" w:rsidRPr="000B6735" w:rsidRDefault="00897925" w:rsidP="00897925">
            <w:pPr>
              <w:pStyle w:val="TableText0"/>
              <w:jc w:val="center"/>
            </w:pPr>
            <w:r w:rsidRPr="000B6735">
              <w:t>NA</w:t>
            </w:r>
          </w:p>
        </w:tc>
        <w:tc>
          <w:tcPr>
            <w:tcW w:w="1020" w:type="pct"/>
            <w:vAlign w:val="center"/>
          </w:tcPr>
          <w:p w14:paraId="58155366" w14:textId="77777777" w:rsidR="00897925" w:rsidRPr="000B6735" w:rsidRDefault="00897925" w:rsidP="00897925">
            <w:pPr>
              <w:pStyle w:val="TableText0"/>
              <w:jc w:val="center"/>
            </w:pPr>
            <w:r w:rsidRPr="000B6735">
              <w:t>NA</w:t>
            </w:r>
          </w:p>
        </w:tc>
        <w:tc>
          <w:tcPr>
            <w:tcW w:w="1012" w:type="pct"/>
            <w:vAlign w:val="center"/>
          </w:tcPr>
          <w:p w14:paraId="452D4BEB" w14:textId="77777777" w:rsidR="00897925" w:rsidRPr="000B6735" w:rsidRDefault="00897925" w:rsidP="00897925">
            <w:pPr>
              <w:pStyle w:val="TableText0"/>
              <w:jc w:val="center"/>
            </w:pPr>
            <w:r w:rsidRPr="000B6735">
              <w:t>NA</w:t>
            </w:r>
          </w:p>
        </w:tc>
      </w:tr>
      <w:tr w:rsidR="00897925" w:rsidRPr="00C34520" w14:paraId="0A9C251E" w14:textId="77777777" w:rsidTr="00667D81">
        <w:tc>
          <w:tcPr>
            <w:tcW w:w="957" w:type="pct"/>
            <w:vMerge w:val="restart"/>
          </w:tcPr>
          <w:p w14:paraId="5239CDB9" w14:textId="77777777" w:rsidR="00897925" w:rsidRPr="00C34520" w:rsidRDefault="00897925" w:rsidP="00897925">
            <w:pPr>
              <w:pStyle w:val="TableText0"/>
            </w:pPr>
            <w:r w:rsidRPr="00C34520">
              <w:t>B7471011</w:t>
            </w:r>
          </w:p>
        </w:tc>
        <w:tc>
          <w:tcPr>
            <w:tcW w:w="721" w:type="pct"/>
          </w:tcPr>
          <w:p w14:paraId="0E960A8D" w14:textId="77777777" w:rsidR="00897925" w:rsidRPr="00C34520" w:rsidRDefault="00897925" w:rsidP="00897925">
            <w:pPr>
              <w:pStyle w:val="TableText0"/>
            </w:pPr>
            <w:r w:rsidRPr="00C34520">
              <w:t>Dose 1</w:t>
            </w:r>
          </w:p>
        </w:tc>
        <w:tc>
          <w:tcPr>
            <w:tcW w:w="1291" w:type="pct"/>
            <w:vAlign w:val="center"/>
          </w:tcPr>
          <w:p w14:paraId="2D1F7C9F" w14:textId="77777777" w:rsidR="00897925" w:rsidRPr="000B6735" w:rsidRDefault="00897925" w:rsidP="00897925">
            <w:pPr>
              <w:pStyle w:val="TableText0"/>
              <w:jc w:val="center"/>
            </w:pPr>
            <w:r w:rsidRPr="000B6735">
              <w:t>853/993 (85.9)</w:t>
            </w:r>
          </w:p>
        </w:tc>
        <w:tc>
          <w:tcPr>
            <w:tcW w:w="1020" w:type="pct"/>
            <w:vAlign w:val="center"/>
          </w:tcPr>
          <w:p w14:paraId="2BFC987C" w14:textId="77777777" w:rsidR="00897925" w:rsidRPr="000B6735" w:rsidRDefault="00897925" w:rsidP="00897925">
            <w:pPr>
              <w:pStyle w:val="TableText0"/>
              <w:jc w:val="center"/>
            </w:pPr>
            <w:r w:rsidRPr="000B6735">
              <w:t>823/974 (84.5)</w:t>
            </w:r>
          </w:p>
        </w:tc>
        <w:tc>
          <w:tcPr>
            <w:tcW w:w="1012" w:type="pct"/>
            <w:vAlign w:val="center"/>
          </w:tcPr>
          <w:p w14:paraId="147293C8" w14:textId="77777777" w:rsidR="00897925" w:rsidRPr="000B6735" w:rsidRDefault="00897925" w:rsidP="00897925">
            <w:pPr>
              <w:pStyle w:val="TableText0"/>
              <w:jc w:val="center"/>
            </w:pPr>
            <w:r w:rsidRPr="000B6735">
              <w:t>1.4 (-2.8, 5.6)</w:t>
            </w:r>
          </w:p>
        </w:tc>
      </w:tr>
      <w:tr w:rsidR="00897925" w:rsidRPr="00C34520" w14:paraId="70BD8B94" w14:textId="77777777" w:rsidTr="00667D81">
        <w:tc>
          <w:tcPr>
            <w:tcW w:w="957" w:type="pct"/>
            <w:vMerge/>
          </w:tcPr>
          <w:p w14:paraId="2348B1FD" w14:textId="77777777" w:rsidR="00897925" w:rsidRPr="00C34520" w:rsidRDefault="00897925" w:rsidP="00897925">
            <w:pPr>
              <w:pStyle w:val="TableText0"/>
            </w:pPr>
          </w:p>
        </w:tc>
        <w:tc>
          <w:tcPr>
            <w:tcW w:w="721" w:type="pct"/>
          </w:tcPr>
          <w:p w14:paraId="36E0F254" w14:textId="77777777" w:rsidR="00897925" w:rsidRPr="00C34520" w:rsidRDefault="00897925" w:rsidP="00897925">
            <w:pPr>
              <w:pStyle w:val="TableText0"/>
            </w:pPr>
            <w:r w:rsidRPr="00C34520">
              <w:t>Dose 2</w:t>
            </w:r>
          </w:p>
        </w:tc>
        <w:tc>
          <w:tcPr>
            <w:tcW w:w="1291" w:type="pct"/>
            <w:vAlign w:val="center"/>
          </w:tcPr>
          <w:p w14:paraId="6EBD5BED" w14:textId="77777777" w:rsidR="00897925" w:rsidRPr="000B6735" w:rsidRDefault="00897925" w:rsidP="00897925">
            <w:pPr>
              <w:pStyle w:val="TableText0"/>
              <w:jc w:val="center"/>
            </w:pPr>
            <w:r w:rsidRPr="000B6735">
              <w:t>771/940 (82.0)</w:t>
            </w:r>
          </w:p>
        </w:tc>
        <w:tc>
          <w:tcPr>
            <w:tcW w:w="1020" w:type="pct"/>
            <w:vAlign w:val="center"/>
          </w:tcPr>
          <w:p w14:paraId="717C8403" w14:textId="77777777" w:rsidR="00897925" w:rsidRPr="000B6735" w:rsidRDefault="00897925" w:rsidP="00897925">
            <w:pPr>
              <w:pStyle w:val="TableText0"/>
              <w:jc w:val="center"/>
            </w:pPr>
            <w:r w:rsidRPr="000B6735">
              <w:t>744/924 (80.5)</w:t>
            </w:r>
          </w:p>
        </w:tc>
        <w:tc>
          <w:tcPr>
            <w:tcW w:w="1012" w:type="pct"/>
            <w:vAlign w:val="center"/>
          </w:tcPr>
          <w:p w14:paraId="50E15D1A" w14:textId="77777777" w:rsidR="00897925" w:rsidRPr="000B6735" w:rsidRDefault="00897925" w:rsidP="00897925">
            <w:pPr>
              <w:pStyle w:val="TableText0"/>
              <w:jc w:val="center"/>
            </w:pPr>
            <w:r w:rsidRPr="000B6735">
              <w:t>1.5 (-2.0, 5.1)</w:t>
            </w:r>
          </w:p>
        </w:tc>
      </w:tr>
      <w:tr w:rsidR="00897925" w:rsidRPr="00C34520" w14:paraId="5BD33CDA" w14:textId="77777777" w:rsidTr="00667D81">
        <w:tc>
          <w:tcPr>
            <w:tcW w:w="957" w:type="pct"/>
            <w:vMerge/>
          </w:tcPr>
          <w:p w14:paraId="32A0A481" w14:textId="77777777" w:rsidR="00897925" w:rsidRPr="00C34520" w:rsidRDefault="00897925" w:rsidP="00897925">
            <w:pPr>
              <w:pStyle w:val="TableText0"/>
            </w:pPr>
          </w:p>
        </w:tc>
        <w:tc>
          <w:tcPr>
            <w:tcW w:w="721" w:type="pct"/>
          </w:tcPr>
          <w:p w14:paraId="57D3A687" w14:textId="77777777" w:rsidR="00897925" w:rsidRPr="00C34520" w:rsidRDefault="00897925" w:rsidP="00897925">
            <w:pPr>
              <w:pStyle w:val="TableText0"/>
            </w:pPr>
            <w:r w:rsidRPr="00C34520">
              <w:t>Dose 3</w:t>
            </w:r>
          </w:p>
        </w:tc>
        <w:tc>
          <w:tcPr>
            <w:tcW w:w="1291" w:type="pct"/>
            <w:vAlign w:val="center"/>
          </w:tcPr>
          <w:p w14:paraId="6DA875B0" w14:textId="77777777" w:rsidR="00897925" w:rsidRPr="000B6735" w:rsidRDefault="00897925" w:rsidP="00897925">
            <w:pPr>
              <w:pStyle w:val="TableText0"/>
              <w:jc w:val="center"/>
            </w:pPr>
            <w:r w:rsidRPr="000B6735">
              <w:t>676/914(74.0)</w:t>
            </w:r>
          </w:p>
        </w:tc>
        <w:tc>
          <w:tcPr>
            <w:tcW w:w="1020" w:type="pct"/>
            <w:vAlign w:val="center"/>
          </w:tcPr>
          <w:p w14:paraId="72B7C94F" w14:textId="77777777" w:rsidR="00897925" w:rsidRPr="000B6735" w:rsidRDefault="00897925" w:rsidP="00897925">
            <w:pPr>
              <w:pStyle w:val="TableText0"/>
              <w:jc w:val="center"/>
            </w:pPr>
            <w:r w:rsidRPr="000B6735">
              <w:t>654/901 (72.6)</w:t>
            </w:r>
          </w:p>
        </w:tc>
        <w:tc>
          <w:tcPr>
            <w:tcW w:w="1012" w:type="pct"/>
            <w:vAlign w:val="center"/>
          </w:tcPr>
          <w:p w14:paraId="0FB2DCF4" w14:textId="77777777" w:rsidR="00897925" w:rsidRPr="000B6735" w:rsidRDefault="00897925" w:rsidP="00897925">
            <w:pPr>
              <w:pStyle w:val="TableText0"/>
              <w:jc w:val="center"/>
            </w:pPr>
            <w:r w:rsidRPr="000B6735">
              <w:t>1.4 (-2.7, 5.4)</w:t>
            </w:r>
          </w:p>
        </w:tc>
      </w:tr>
      <w:tr w:rsidR="00897925" w:rsidRPr="00C34520" w14:paraId="5DE8B56E" w14:textId="77777777" w:rsidTr="00667D81">
        <w:tc>
          <w:tcPr>
            <w:tcW w:w="957" w:type="pct"/>
            <w:vMerge/>
          </w:tcPr>
          <w:p w14:paraId="51D26A96" w14:textId="77777777" w:rsidR="00897925" w:rsidRPr="00C34520" w:rsidRDefault="00897925" w:rsidP="00897925">
            <w:pPr>
              <w:pStyle w:val="TableText0"/>
            </w:pPr>
          </w:p>
        </w:tc>
        <w:tc>
          <w:tcPr>
            <w:tcW w:w="721" w:type="pct"/>
          </w:tcPr>
          <w:p w14:paraId="104FCBD8" w14:textId="77777777" w:rsidR="00897925" w:rsidRPr="00C34520" w:rsidRDefault="00897925" w:rsidP="00897925">
            <w:pPr>
              <w:pStyle w:val="TableText0"/>
            </w:pPr>
            <w:r w:rsidRPr="00C34520">
              <w:t>Dose 4</w:t>
            </w:r>
          </w:p>
        </w:tc>
        <w:tc>
          <w:tcPr>
            <w:tcW w:w="1291" w:type="pct"/>
            <w:vAlign w:val="center"/>
          </w:tcPr>
          <w:p w14:paraId="604BDEA8" w14:textId="77777777" w:rsidR="00897925" w:rsidRPr="000B6735" w:rsidRDefault="00897925" w:rsidP="00897925">
            <w:pPr>
              <w:pStyle w:val="TableText0"/>
              <w:jc w:val="center"/>
            </w:pPr>
            <w:r w:rsidRPr="000B6735">
              <w:t>585/826 (70.8)</w:t>
            </w:r>
          </w:p>
        </w:tc>
        <w:tc>
          <w:tcPr>
            <w:tcW w:w="1020" w:type="pct"/>
            <w:vAlign w:val="center"/>
          </w:tcPr>
          <w:p w14:paraId="59A9ADEB" w14:textId="77777777" w:rsidR="00897925" w:rsidRPr="000B6735" w:rsidRDefault="00897925" w:rsidP="00897925">
            <w:pPr>
              <w:pStyle w:val="TableText0"/>
              <w:jc w:val="center"/>
            </w:pPr>
            <w:r w:rsidRPr="000B6735">
              <w:t>580/815 (71.2)</w:t>
            </w:r>
          </w:p>
        </w:tc>
        <w:tc>
          <w:tcPr>
            <w:tcW w:w="1012" w:type="pct"/>
            <w:vAlign w:val="center"/>
          </w:tcPr>
          <w:p w14:paraId="5D81F6DF" w14:textId="77777777" w:rsidR="00897925" w:rsidRPr="000B6735" w:rsidRDefault="00897925" w:rsidP="00897925">
            <w:pPr>
              <w:pStyle w:val="TableText0"/>
              <w:jc w:val="center"/>
            </w:pPr>
            <w:r w:rsidRPr="000B6735">
              <w:t>-0.3 (-4.7, 4.1)</w:t>
            </w:r>
          </w:p>
        </w:tc>
      </w:tr>
      <w:tr w:rsidR="00897925" w:rsidRPr="00C34520" w14:paraId="6B3835D6" w14:textId="77777777" w:rsidTr="00667D81">
        <w:tc>
          <w:tcPr>
            <w:tcW w:w="957" w:type="pct"/>
            <w:vMerge w:val="restart"/>
          </w:tcPr>
          <w:p w14:paraId="438536CB" w14:textId="77777777" w:rsidR="00897925" w:rsidRPr="00C34520" w:rsidRDefault="00897925" w:rsidP="00897925">
            <w:pPr>
              <w:pStyle w:val="TableText0"/>
            </w:pPr>
            <w:r w:rsidRPr="00C34520">
              <w:t>B7471013</w:t>
            </w:r>
          </w:p>
        </w:tc>
        <w:tc>
          <w:tcPr>
            <w:tcW w:w="721" w:type="pct"/>
          </w:tcPr>
          <w:p w14:paraId="6893F0EC" w14:textId="77777777" w:rsidR="00897925" w:rsidRPr="00C34520" w:rsidRDefault="00897925" w:rsidP="00897925">
            <w:pPr>
              <w:pStyle w:val="TableText0"/>
            </w:pPr>
            <w:r w:rsidRPr="00C34520">
              <w:t>Dose 1</w:t>
            </w:r>
          </w:p>
        </w:tc>
        <w:tc>
          <w:tcPr>
            <w:tcW w:w="1291" w:type="pct"/>
            <w:vAlign w:val="center"/>
          </w:tcPr>
          <w:p w14:paraId="0E8E6C26" w14:textId="77777777" w:rsidR="00897925" w:rsidRPr="000B6735" w:rsidRDefault="00897925" w:rsidP="00897925">
            <w:pPr>
              <w:pStyle w:val="TableText0"/>
              <w:jc w:val="center"/>
            </w:pPr>
            <w:r w:rsidRPr="000B6735">
              <w:t>837/992 (84.4)</w:t>
            </w:r>
          </w:p>
        </w:tc>
        <w:tc>
          <w:tcPr>
            <w:tcW w:w="1020" w:type="pct"/>
            <w:vAlign w:val="center"/>
          </w:tcPr>
          <w:p w14:paraId="08D79C30" w14:textId="77777777" w:rsidR="00897925" w:rsidRPr="000B6735" w:rsidRDefault="00897925" w:rsidP="00897925">
            <w:pPr>
              <w:pStyle w:val="TableText0"/>
              <w:jc w:val="center"/>
            </w:pPr>
            <w:r w:rsidRPr="000B6735">
              <w:t>414/498 (83.1)</w:t>
            </w:r>
          </w:p>
        </w:tc>
        <w:tc>
          <w:tcPr>
            <w:tcW w:w="1012" w:type="pct"/>
            <w:vAlign w:val="center"/>
          </w:tcPr>
          <w:p w14:paraId="528FA19F" w14:textId="77777777" w:rsidR="00897925" w:rsidRPr="000B6735" w:rsidRDefault="00897925" w:rsidP="00897925">
            <w:pPr>
              <w:pStyle w:val="TableText0"/>
              <w:jc w:val="center"/>
            </w:pPr>
            <w:r w:rsidRPr="000B6735">
              <w:t>1.2 (-2.6, 5.4)</w:t>
            </w:r>
          </w:p>
        </w:tc>
      </w:tr>
      <w:tr w:rsidR="00897925" w:rsidRPr="00C34520" w14:paraId="3F16E874" w14:textId="77777777" w:rsidTr="00667D81">
        <w:tc>
          <w:tcPr>
            <w:tcW w:w="957" w:type="pct"/>
            <w:vMerge/>
          </w:tcPr>
          <w:p w14:paraId="66765437" w14:textId="77777777" w:rsidR="00897925" w:rsidRPr="00C34520" w:rsidRDefault="00897925" w:rsidP="00897925">
            <w:pPr>
              <w:pStyle w:val="TableText0"/>
            </w:pPr>
          </w:p>
        </w:tc>
        <w:tc>
          <w:tcPr>
            <w:tcW w:w="721" w:type="pct"/>
          </w:tcPr>
          <w:p w14:paraId="6489BD63" w14:textId="77777777" w:rsidR="00897925" w:rsidRPr="00C34520" w:rsidRDefault="00897925" w:rsidP="00897925">
            <w:pPr>
              <w:pStyle w:val="TableText0"/>
            </w:pPr>
            <w:r w:rsidRPr="00C34520">
              <w:t>Dose 2</w:t>
            </w:r>
          </w:p>
        </w:tc>
        <w:tc>
          <w:tcPr>
            <w:tcW w:w="1291" w:type="pct"/>
            <w:vAlign w:val="center"/>
          </w:tcPr>
          <w:p w14:paraId="13335F07" w14:textId="77777777" w:rsidR="00897925" w:rsidRPr="000B6735" w:rsidRDefault="00897925" w:rsidP="00897925">
            <w:pPr>
              <w:pStyle w:val="TableText0"/>
              <w:jc w:val="center"/>
            </w:pPr>
            <w:r w:rsidRPr="000B6735">
              <w:t>748/952 (78.6)</w:t>
            </w:r>
          </w:p>
        </w:tc>
        <w:tc>
          <w:tcPr>
            <w:tcW w:w="1020" w:type="pct"/>
            <w:vAlign w:val="center"/>
          </w:tcPr>
          <w:p w14:paraId="34D13DC6" w14:textId="77777777" w:rsidR="00897925" w:rsidRPr="000B6735" w:rsidRDefault="00897925" w:rsidP="00897925">
            <w:pPr>
              <w:pStyle w:val="TableText0"/>
              <w:jc w:val="center"/>
            </w:pPr>
            <w:r w:rsidRPr="000B6735">
              <w:t>385/485 (79.4)</w:t>
            </w:r>
          </w:p>
        </w:tc>
        <w:tc>
          <w:tcPr>
            <w:tcW w:w="1012" w:type="pct"/>
            <w:vAlign w:val="center"/>
          </w:tcPr>
          <w:p w14:paraId="5A3BB18A" w14:textId="77777777" w:rsidR="00897925" w:rsidRPr="000B6735" w:rsidRDefault="00897925" w:rsidP="00897925">
            <w:pPr>
              <w:pStyle w:val="TableText0"/>
              <w:jc w:val="center"/>
            </w:pPr>
            <w:r w:rsidRPr="000B6735">
              <w:t>-0.8 (-5.1, 3.8)</w:t>
            </w:r>
          </w:p>
        </w:tc>
      </w:tr>
      <w:tr w:rsidR="00897925" w:rsidRPr="00C34520" w14:paraId="661DE6AF" w14:textId="77777777" w:rsidTr="00667D81">
        <w:tc>
          <w:tcPr>
            <w:tcW w:w="957" w:type="pct"/>
            <w:vMerge/>
          </w:tcPr>
          <w:p w14:paraId="6CE08480" w14:textId="77777777" w:rsidR="00897925" w:rsidRPr="00C34520" w:rsidRDefault="00897925" w:rsidP="00897925">
            <w:pPr>
              <w:pStyle w:val="TableText0"/>
            </w:pPr>
          </w:p>
        </w:tc>
        <w:tc>
          <w:tcPr>
            <w:tcW w:w="721" w:type="pct"/>
          </w:tcPr>
          <w:p w14:paraId="7C4824F2" w14:textId="77777777" w:rsidR="00897925" w:rsidRPr="00C34520" w:rsidRDefault="00897925" w:rsidP="00897925">
            <w:pPr>
              <w:pStyle w:val="TableText0"/>
            </w:pPr>
            <w:r w:rsidRPr="00C34520">
              <w:t>Dose 3</w:t>
            </w:r>
          </w:p>
        </w:tc>
        <w:tc>
          <w:tcPr>
            <w:tcW w:w="1291" w:type="pct"/>
            <w:vAlign w:val="center"/>
          </w:tcPr>
          <w:p w14:paraId="76BE6141" w14:textId="77777777" w:rsidR="00897925" w:rsidRPr="000B6735" w:rsidRDefault="00897925" w:rsidP="00897925">
            <w:pPr>
              <w:pStyle w:val="TableText0"/>
              <w:jc w:val="center"/>
            </w:pPr>
            <w:r w:rsidRPr="000B6735">
              <w:t>645/940 (68.6)</w:t>
            </w:r>
          </w:p>
        </w:tc>
        <w:tc>
          <w:tcPr>
            <w:tcW w:w="1020" w:type="pct"/>
            <w:vAlign w:val="center"/>
          </w:tcPr>
          <w:p w14:paraId="00A5F8DF" w14:textId="77777777" w:rsidR="00897925" w:rsidRPr="000B6735" w:rsidRDefault="00897925" w:rsidP="00897925">
            <w:pPr>
              <w:pStyle w:val="TableText0"/>
              <w:jc w:val="center"/>
            </w:pPr>
            <w:r w:rsidRPr="000B6735">
              <w:t>321/477 (67.3)</w:t>
            </w:r>
          </w:p>
        </w:tc>
        <w:tc>
          <w:tcPr>
            <w:tcW w:w="1012" w:type="pct"/>
            <w:vAlign w:val="center"/>
          </w:tcPr>
          <w:p w14:paraId="7A493908" w14:textId="77777777" w:rsidR="00897925" w:rsidRPr="000B6735" w:rsidRDefault="00897925" w:rsidP="00897925">
            <w:pPr>
              <w:pStyle w:val="TableText0"/>
              <w:jc w:val="center"/>
            </w:pPr>
            <w:r w:rsidRPr="000B6735">
              <w:t>1.3 (-3.8, 6.5)</w:t>
            </w:r>
          </w:p>
        </w:tc>
      </w:tr>
      <w:tr w:rsidR="00897925" w:rsidRPr="00C34520" w14:paraId="42DB6FA3" w14:textId="77777777" w:rsidTr="00667D81">
        <w:tc>
          <w:tcPr>
            <w:tcW w:w="957" w:type="pct"/>
            <w:vMerge/>
          </w:tcPr>
          <w:p w14:paraId="2427B9D8" w14:textId="77777777" w:rsidR="00897925" w:rsidRPr="00C34520" w:rsidRDefault="00897925" w:rsidP="00897925">
            <w:pPr>
              <w:pStyle w:val="TableText0"/>
            </w:pPr>
          </w:p>
        </w:tc>
        <w:tc>
          <w:tcPr>
            <w:tcW w:w="721" w:type="pct"/>
          </w:tcPr>
          <w:p w14:paraId="23114706" w14:textId="77777777" w:rsidR="00897925" w:rsidRPr="00C34520" w:rsidRDefault="00897925" w:rsidP="00897925">
            <w:pPr>
              <w:pStyle w:val="TableText0"/>
            </w:pPr>
            <w:r w:rsidRPr="00C34520">
              <w:t>Dose 4</w:t>
            </w:r>
          </w:p>
        </w:tc>
        <w:tc>
          <w:tcPr>
            <w:tcW w:w="1291" w:type="pct"/>
            <w:vAlign w:val="center"/>
          </w:tcPr>
          <w:p w14:paraId="68DE6374" w14:textId="77777777" w:rsidR="00897925" w:rsidRPr="000B6735" w:rsidRDefault="00897925" w:rsidP="00897925">
            <w:pPr>
              <w:pStyle w:val="TableText0"/>
              <w:jc w:val="center"/>
            </w:pPr>
            <w:r w:rsidRPr="000B6735">
              <w:t>590/892 (66.1)</w:t>
            </w:r>
          </w:p>
        </w:tc>
        <w:tc>
          <w:tcPr>
            <w:tcW w:w="1020" w:type="pct"/>
            <w:vAlign w:val="center"/>
          </w:tcPr>
          <w:p w14:paraId="369A54C6" w14:textId="77777777" w:rsidR="00897925" w:rsidRPr="000B6735" w:rsidRDefault="00897925" w:rsidP="00897925">
            <w:pPr>
              <w:pStyle w:val="TableText0"/>
              <w:jc w:val="center"/>
            </w:pPr>
            <w:r w:rsidRPr="000B6735">
              <w:t>309/454 (68.1)</w:t>
            </w:r>
          </w:p>
        </w:tc>
        <w:tc>
          <w:tcPr>
            <w:tcW w:w="1012" w:type="pct"/>
            <w:vAlign w:val="center"/>
          </w:tcPr>
          <w:p w14:paraId="59B2FE87" w14:textId="77777777" w:rsidR="00897925" w:rsidRPr="000B6735" w:rsidRDefault="00897925" w:rsidP="00897925">
            <w:pPr>
              <w:pStyle w:val="TableText0"/>
              <w:jc w:val="center"/>
            </w:pPr>
            <w:r w:rsidRPr="000B6735">
              <w:t>-1.9 (-7.1, 3.4)</w:t>
            </w:r>
          </w:p>
        </w:tc>
      </w:tr>
      <w:tr w:rsidR="00897925" w:rsidRPr="00C34520" w14:paraId="708D1381" w14:textId="77777777" w:rsidTr="00667D81">
        <w:tc>
          <w:tcPr>
            <w:tcW w:w="957" w:type="pct"/>
            <w:vMerge w:val="restart"/>
          </w:tcPr>
          <w:p w14:paraId="77569DF2" w14:textId="77777777" w:rsidR="00897925" w:rsidRPr="00C34520" w:rsidRDefault="00897925" w:rsidP="00897925">
            <w:pPr>
              <w:pStyle w:val="TableText0"/>
            </w:pPr>
            <w:r w:rsidRPr="00C34520">
              <w:t>B7471003</w:t>
            </w:r>
          </w:p>
        </w:tc>
        <w:tc>
          <w:tcPr>
            <w:tcW w:w="721" w:type="pct"/>
          </w:tcPr>
          <w:p w14:paraId="50F65608" w14:textId="77777777" w:rsidR="00897925" w:rsidRPr="00C34520" w:rsidRDefault="00897925" w:rsidP="00897925">
            <w:pPr>
              <w:pStyle w:val="TableText0"/>
            </w:pPr>
            <w:r w:rsidRPr="00C34520">
              <w:t>Dose 1</w:t>
            </w:r>
          </w:p>
        </w:tc>
        <w:tc>
          <w:tcPr>
            <w:tcW w:w="1291" w:type="pct"/>
            <w:vAlign w:val="center"/>
          </w:tcPr>
          <w:p w14:paraId="154F5A55" w14:textId="77777777" w:rsidR="00897925" w:rsidRPr="008B7AC3" w:rsidRDefault="00897925" w:rsidP="00897925">
            <w:pPr>
              <w:pStyle w:val="TableText0"/>
              <w:jc w:val="center"/>
            </w:pPr>
            <w:r w:rsidRPr="008B7AC3">
              <w:t>200/229 (87.3)</w:t>
            </w:r>
          </w:p>
        </w:tc>
        <w:tc>
          <w:tcPr>
            <w:tcW w:w="1020" w:type="pct"/>
            <w:vAlign w:val="center"/>
          </w:tcPr>
          <w:p w14:paraId="20493829" w14:textId="77777777" w:rsidR="00897925" w:rsidRPr="008B7AC3" w:rsidRDefault="00897925" w:rsidP="00897925">
            <w:pPr>
              <w:pStyle w:val="TableText0"/>
              <w:jc w:val="center"/>
            </w:pPr>
            <w:r w:rsidRPr="008B7AC3">
              <w:t>204/224 (91.1)</w:t>
            </w:r>
          </w:p>
        </w:tc>
        <w:tc>
          <w:tcPr>
            <w:tcW w:w="1012" w:type="pct"/>
            <w:vAlign w:val="center"/>
          </w:tcPr>
          <w:p w14:paraId="33FC4919" w14:textId="77777777" w:rsidR="00897925" w:rsidRPr="000B6735" w:rsidRDefault="00897925" w:rsidP="00897925">
            <w:pPr>
              <w:pStyle w:val="TableText0"/>
              <w:jc w:val="center"/>
            </w:pPr>
            <w:r w:rsidRPr="000B6735">
              <w:t>NR</w:t>
            </w:r>
          </w:p>
        </w:tc>
      </w:tr>
      <w:tr w:rsidR="00897925" w:rsidRPr="00C34520" w14:paraId="1175F070" w14:textId="77777777" w:rsidTr="00667D81">
        <w:tc>
          <w:tcPr>
            <w:tcW w:w="957" w:type="pct"/>
            <w:vMerge/>
          </w:tcPr>
          <w:p w14:paraId="6F322A61" w14:textId="77777777" w:rsidR="00897925" w:rsidRPr="00C34520" w:rsidRDefault="00897925" w:rsidP="00897925">
            <w:pPr>
              <w:pStyle w:val="TableText0"/>
            </w:pPr>
          </w:p>
        </w:tc>
        <w:tc>
          <w:tcPr>
            <w:tcW w:w="721" w:type="pct"/>
          </w:tcPr>
          <w:p w14:paraId="7290C871" w14:textId="77777777" w:rsidR="00897925" w:rsidRPr="00C34520" w:rsidRDefault="00897925" w:rsidP="00897925">
            <w:pPr>
              <w:pStyle w:val="TableText0"/>
            </w:pPr>
            <w:r w:rsidRPr="00C34520">
              <w:t>Dose 2</w:t>
            </w:r>
          </w:p>
        </w:tc>
        <w:tc>
          <w:tcPr>
            <w:tcW w:w="1291" w:type="pct"/>
            <w:vAlign w:val="center"/>
          </w:tcPr>
          <w:p w14:paraId="376684F9" w14:textId="77777777" w:rsidR="00897925" w:rsidRPr="008B7AC3" w:rsidRDefault="00897925" w:rsidP="00897925">
            <w:pPr>
              <w:pStyle w:val="TableText0"/>
              <w:jc w:val="center"/>
            </w:pPr>
            <w:r w:rsidRPr="008B7AC3">
              <w:t>175/215 (81.4)</w:t>
            </w:r>
          </w:p>
        </w:tc>
        <w:tc>
          <w:tcPr>
            <w:tcW w:w="1020" w:type="pct"/>
            <w:vAlign w:val="center"/>
          </w:tcPr>
          <w:p w14:paraId="730809EA" w14:textId="77777777" w:rsidR="00897925" w:rsidRPr="008B7AC3" w:rsidRDefault="00897925" w:rsidP="00897925">
            <w:pPr>
              <w:pStyle w:val="TableText0"/>
              <w:jc w:val="center"/>
            </w:pPr>
            <w:r w:rsidRPr="008B7AC3">
              <w:t>183/204 (89.7)</w:t>
            </w:r>
          </w:p>
        </w:tc>
        <w:tc>
          <w:tcPr>
            <w:tcW w:w="1012" w:type="pct"/>
            <w:vAlign w:val="center"/>
          </w:tcPr>
          <w:p w14:paraId="16713E76" w14:textId="77777777" w:rsidR="00897925" w:rsidRPr="000B6735" w:rsidRDefault="00897925" w:rsidP="00897925">
            <w:pPr>
              <w:pStyle w:val="TableText0"/>
              <w:jc w:val="center"/>
            </w:pPr>
            <w:r w:rsidRPr="000B6735">
              <w:t>NR</w:t>
            </w:r>
          </w:p>
        </w:tc>
      </w:tr>
      <w:tr w:rsidR="00897925" w:rsidRPr="00C34520" w14:paraId="72E399B8" w14:textId="77777777" w:rsidTr="00667D81">
        <w:tc>
          <w:tcPr>
            <w:tcW w:w="957" w:type="pct"/>
            <w:vMerge/>
          </w:tcPr>
          <w:p w14:paraId="7495BBAC" w14:textId="77777777" w:rsidR="00897925" w:rsidRPr="00C34520" w:rsidRDefault="00897925" w:rsidP="00897925">
            <w:pPr>
              <w:pStyle w:val="TableText0"/>
            </w:pPr>
          </w:p>
        </w:tc>
        <w:tc>
          <w:tcPr>
            <w:tcW w:w="721" w:type="pct"/>
          </w:tcPr>
          <w:p w14:paraId="2F4D9E29" w14:textId="77777777" w:rsidR="00897925" w:rsidRPr="00C34520" w:rsidRDefault="00897925" w:rsidP="00897925">
            <w:pPr>
              <w:pStyle w:val="TableText0"/>
            </w:pPr>
            <w:r w:rsidRPr="00C34520">
              <w:t>Dose 3</w:t>
            </w:r>
          </w:p>
        </w:tc>
        <w:tc>
          <w:tcPr>
            <w:tcW w:w="1291" w:type="pct"/>
            <w:vAlign w:val="center"/>
          </w:tcPr>
          <w:p w14:paraId="4FB95B4B" w14:textId="77777777" w:rsidR="00897925" w:rsidRPr="008B7AC3" w:rsidRDefault="00897925" w:rsidP="00897925">
            <w:pPr>
              <w:pStyle w:val="TableText0"/>
              <w:jc w:val="center"/>
            </w:pPr>
            <w:r w:rsidRPr="008B7AC3">
              <w:t>156/201 (77.6)</w:t>
            </w:r>
          </w:p>
        </w:tc>
        <w:tc>
          <w:tcPr>
            <w:tcW w:w="1020" w:type="pct"/>
            <w:vAlign w:val="center"/>
          </w:tcPr>
          <w:p w14:paraId="14F02244" w14:textId="77777777" w:rsidR="00897925" w:rsidRPr="008B7AC3" w:rsidRDefault="00897925" w:rsidP="00897925">
            <w:pPr>
              <w:pStyle w:val="TableText0"/>
              <w:jc w:val="center"/>
            </w:pPr>
            <w:r w:rsidRPr="008B7AC3">
              <w:t>166/204 (81.4)</w:t>
            </w:r>
          </w:p>
        </w:tc>
        <w:tc>
          <w:tcPr>
            <w:tcW w:w="1012" w:type="pct"/>
            <w:vAlign w:val="center"/>
          </w:tcPr>
          <w:p w14:paraId="5B5F5242" w14:textId="77777777" w:rsidR="00897925" w:rsidRPr="000B6735" w:rsidRDefault="00897925" w:rsidP="00897925">
            <w:pPr>
              <w:pStyle w:val="TableText0"/>
              <w:jc w:val="center"/>
            </w:pPr>
            <w:r w:rsidRPr="000B6735">
              <w:t>NR</w:t>
            </w:r>
          </w:p>
        </w:tc>
      </w:tr>
      <w:tr w:rsidR="00897925" w:rsidRPr="00C34520" w14:paraId="4CFA57F1" w14:textId="77777777" w:rsidTr="00667D81">
        <w:tc>
          <w:tcPr>
            <w:tcW w:w="957" w:type="pct"/>
            <w:vMerge/>
          </w:tcPr>
          <w:p w14:paraId="208D2FB1" w14:textId="77777777" w:rsidR="00897925" w:rsidRPr="00C34520" w:rsidRDefault="00897925" w:rsidP="00897925">
            <w:pPr>
              <w:pStyle w:val="TableText0"/>
            </w:pPr>
          </w:p>
        </w:tc>
        <w:tc>
          <w:tcPr>
            <w:tcW w:w="721" w:type="pct"/>
          </w:tcPr>
          <w:p w14:paraId="636B58EA" w14:textId="77777777" w:rsidR="00897925" w:rsidRPr="00C34520" w:rsidRDefault="00897925" w:rsidP="00897925">
            <w:pPr>
              <w:pStyle w:val="TableText0"/>
            </w:pPr>
            <w:r w:rsidRPr="00C34520">
              <w:t>Dose 4</w:t>
            </w:r>
          </w:p>
        </w:tc>
        <w:tc>
          <w:tcPr>
            <w:tcW w:w="1291" w:type="pct"/>
            <w:vAlign w:val="center"/>
          </w:tcPr>
          <w:p w14:paraId="283EEB04" w14:textId="77777777" w:rsidR="00897925" w:rsidRPr="008B7AC3" w:rsidRDefault="00897925" w:rsidP="00897925">
            <w:pPr>
              <w:pStyle w:val="TableText0"/>
              <w:jc w:val="center"/>
            </w:pPr>
            <w:r w:rsidRPr="008B7AC3">
              <w:t>130/186 (69.9)</w:t>
            </w:r>
          </w:p>
        </w:tc>
        <w:tc>
          <w:tcPr>
            <w:tcW w:w="1020" w:type="pct"/>
            <w:vAlign w:val="center"/>
          </w:tcPr>
          <w:p w14:paraId="10CAC269" w14:textId="77777777" w:rsidR="00897925" w:rsidRPr="008B7AC3" w:rsidRDefault="00897925" w:rsidP="00897925">
            <w:pPr>
              <w:pStyle w:val="TableText0"/>
              <w:jc w:val="center"/>
            </w:pPr>
            <w:r w:rsidRPr="008B7AC3">
              <w:t>136/185 (73.5)</w:t>
            </w:r>
          </w:p>
        </w:tc>
        <w:tc>
          <w:tcPr>
            <w:tcW w:w="1012" w:type="pct"/>
            <w:vAlign w:val="center"/>
          </w:tcPr>
          <w:p w14:paraId="4D90F456" w14:textId="77777777" w:rsidR="00897925" w:rsidRPr="000B6735" w:rsidRDefault="00897925" w:rsidP="00897925">
            <w:pPr>
              <w:pStyle w:val="TableText0"/>
              <w:jc w:val="center"/>
            </w:pPr>
            <w:r w:rsidRPr="000B6735">
              <w:t>NR</w:t>
            </w:r>
          </w:p>
        </w:tc>
      </w:tr>
      <w:tr w:rsidR="00897925" w:rsidRPr="00C34520" w14:paraId="232D0074" w14:textId="77777777" w:rsidTr="00667D81">
        <w:tc>
          <w:tcPr>
            <w:tcW w:w="957" w:type="pct"/>
          </w:tcPr>
          <w:p w14:paraId="3B0C8414" w14:textId="77777777" w:rsidR="00897925" w:rsidRPr="00C34520" w:rsidRDefault="00897925" w:rsidP="00897925">
            <w:pPr>
              <w:pStyle w:val="TableText0"/>
            </w:pPr>
            <w:r w:rsidRPr="00C34520">
              <w:t>PNEU-PED-EU-1</w:t>
            </w:r>
          </w:p>
        </w:tc>
        <w:tc>
          <w:tcPr>
            <w:tcW w:w="721" w:type="pct"/>
          </w:tcPr>
          <w:p w14:paraId="6A33D0B3" w14:textId="77777777" w:rsidR="00897925" w:rsidRPr="00C34520" w:rsidRDefault="00897925" w:rsidP="00897925">
            <w:pPr>
              <w:pStyle w:val="TableText0"/>
            </w:pPr>
            <w:r w:rsidRPr="00C34520">
              <w:t>Any</w:t>
            </w:r>
          </w:p>
        </w:tc>
        <w:tc>
          <w:tcPr>
            <w:tcW w:w="1291" w:type="pct"/>
            <w:shd w:val="clear" w:color="auto" w:fill="B8CCE4" w:themeFill="accent1" w:themeFillTint="66"/>
          </w:tcPr>
          <w:p w14:paraId="60DA5045" w14:textId="582B7611" w:rsidR="00897925" w:rsidRPr="000B6735" w:rsidRDefault="00897925" w:rsidP="00897925">
            <w:pPr>
              <w:pStyle w:val="TableText0"/>
              <w:jc w:val="center"/>
            </w:pPr>
            <w:r w:rsidRPr="000B6735">
              <w:t>536/587 (91.3%)</w:t>
            </w:r>
          </w:p>
        </w:tc>
        <w:tc>
          <w:tcPr>
            <w:tcW w:w="1020" w:type="pct"/>
            <w:shd w:val="clear" w:color="auto" w:fill="B8CCE4" w:themeFill="accent1" w:themeFillTint="66"/>
          </w:tcPr>
          <w:p w14:paraId="324660D3" w14:textId="165D4A9D" w:rsidR="00897925" w:rsidRPr="000B6735" w:rsidRDefault="00897925" w:rsidP="00897925">
            <w:pPr>
              <w:pStyle w:val="TableText0"/>
              <w:jc w:val="center"/>
            </w:pPr>
            <w:r w:rsidRPr="000B6735">
              <w:t>526/591 (89.0%)</w:t>
            </w:r>
          </w:p>
        </w:tc>
        <w:tc>
          <w:tcPr>
            <w:tcW w:w="1012" w:type="pct"/>
            <w:shd w:val="clear" w:color="auto" w:fill="B8CCE4" w:themeFill="accent1" w:themeFillTint="66"/>
          </w:tcPr>
          <w:p w14:paraId="50FD5EDC" w14:textId="140413BF" w:rsidR="00897925" w:rsidRPr="000B6735" w:rsidRDefault="00897925" w:rsidP="00897925">
            <w:pPr>
              <w:pStyle w:val="TableText0"/>
              <w:jc w:val="center"/>
            </w:pPr>
            <w:r w:rsidRPr="000B6735">
              <w:t>2.3 (NR)</w:t>
            </w:r>
          </w:p>
        </w:tc>
      </w:tr>
      <w:tr w:rsidR="00897925" w:rsidRPr="00C34520" w14:paraId="063E9C15" w14:textId="77777777" w:rsidTr="00667D81">
        <w:tc>
          <w:tcPr>
            <w:tcW w:w="957" w:type="pct"/>
            <w:vAlign w:val="center"/>
          </w:tcPr>
          <w:p w14:paraId="10773683" w14:textId="77777777" w:rsidR="00897925" w:rsidRPr="00C34520" w:rsidRDefault="00897925" w:rsidP="00897925">
            <w:pPr>
              <w:pStyle w:val="TableText0"/>
            </w:pPr>
            <w:r w:rsidRPr="00C34520">
              <w:t>PNEU-PED-EU-2</w:t>
            </w:r>
          </w:p>
        </w:tc>
        <w:tc>
          <w:tcPr>
            <w:tcW w:w="721" w:type="pct"/>
            <w:vAlign w:val="center"/>
          </w:tcPr>
          <w:p w14:paraId="4873074C" w14:textId="77777777" w:rsidR="00897925" w:rsidRPr="00C34520" w:rsidRDefault="00897925" w:rsidP="00897925">
            <w:pPr>
              <w:pStyle w:val="TableText0"/>
            </w:pPr>
            <w:r w:rsidRPr="00C34520">
              <w:t>Any</w:t>
            </w:r>
          </w:p>
        </w:tc>
        <w:tc>
          <w:tcPr>
            <w:tcW w:w="1291" w:type="pct"/>
            <w:shd w:val="clear" w:color="auto" w:fill="B8CCE4" w:themeFill="accent1" w:themeFillTint="66"/>
          </w:tcPr>
          <w:p w14:paraId="7FEBC1ED" w14:textId="7B764E64" w:rsidR="00897925" w:rsidRPr="000B6735" w:rsidRDefault="00897925" w:rsidP="00897925">
            <w:pPr>
              <w:pStyle w:val="TableText0"/>
              <w:jc w:val="center"/>
            </w:pPr>
            <w:r w:rsidRPr="000B6735">
              <w:t>588/595 (98.8%)</w:t>
            </w:r>
          </w:p>
        </w:tc>
        <w:tc>
          <w:tcPr>
            <w:tcW w:w="1020" w:type="pct"/>
            <w:shd w:val="clear" w:color="auto" w:fill="B8CCE4" w:themeFill="accent1" w:themeFillTint="66"/>
          </w:tcPr>
          <w:p w14:paraId="127BA0B4" w14:textId="04AA4187" w:rsidR="00897925" w:rsidRPr="000B6735" w:rsidRDefault="00897925" w:rsidP="00897925">
            <w:pPr>
              <w:pStyle w:val="TableText0"/>
              <w:jc w:val="center"/>
            </w:pPr>
            <w:r w:rsidRPr="000B6735">
              <w:t>587/594 (98.8%)</w:t>
            </w:r>
          </w:p>
        </w:tc>
        <w:tc>
          <w:tcPr>
            <w:tcW w:w="1012" w:type="pct"/>
            <w:shd w:val="clear" w:color="auto" w:fill="B8CCE4" w:themeFill="accent1" w:themeFillTint="66"/>
          </w:tcPr>
          <w:p w14:paraId="2BD0D9C1" w14:textId="12A07A70" w:rsidR="00897925" w:rsidRPr="000B6735" w:rsidRDefault="00897925" w:rsidP="00897925">
            <w:pPr>
              <w:pStyle w:val="TableText0"/>
              <w:jc w:val="center"/>
            </w:pPr>
            <w:r w:rsidRPr="000B6735">
              <w:t>0</w:t>
            </w:r>
          </w:p>
        </w:tc>
      </w:tr>
      <w:tr w:rsidR="00897925" w:rsidRPr="00C34520" w14:paraId="4CD1AC64" w14:textId="77777777" w:rsidTr="00667D81">
        <w:tc>
          <w:tcPr>
            <w:tcW w:w="957" w:type="pct"/>
            <w:vAlign w:val="center"/>
          </w:tcPr>
          <w:p w14:paraId="2AF67260" w14:textId="77777777" w:rsidR="00897925" w:rsidRPr="00C34520" w:rsidRDefault="00897925" w:rsidP="00897925">
            <w:pPr>
              <w:pStyle w:val="TableText0"/>
            </w:pPr>
            <w:r w:rsidRPr="00C34520">
              <w:t>PNEU-PED</w:t>
            </w:r>
          </w:p>
        </w:tc>
        <w:tc>
          <w:tcPr>
            <w:tcW w:w="721" w:type="pct"/>
            <w:vAlign w:val="center"/>
          </w:tcPr>
          <w:p w14:paraId="4B8E8ED0" w14:textId="77777777" w:rsidR="00897925" w:rsidRPr="00C34520" w:rsidRDefault="00897925" w:rsidP="00897925">
            <w:pPr>
              <w:pStyle w:val="TableText0"/>
            </w:pPr>
            <w:r w:rsidRPr="00C34520">
              <w:t>Any</w:t>
            </w:r>
          </w:p>
        </w:tc>
        <w:tc>
          <w:tcPr>
            <w:tcW w:w="1291" w:type="pct"/>
            <w:shd w:val="clear" w:color="auto" w:fill="B8CCE4" w:themeFill="accent1" w:themeFillTint="66"/>
          </w:tcPr>
          <w:p w14:paraId="37099568" w14:textId="3185DC7A" w:rsidR="00897925" w:rsidRPr="000B6735" w:rsidRDefault="00897925" w:rsidP="00897925">
            <w:pPr>
              <w:pStyle w:val="TableText0"/>
              <w:jc w:val="center"/>
            </w:pPr>
            <w:r w:rsidRPr="000B6735">
              <w:t>785/858 (91.5%)</w:t>
            </w:r>
          </w:p>
        </w:tc>
        <w:tc>
          <w:tcPr>
            <w:tcW w:w="1020" w:type="pct"/>
            <w:shd w:val="clear" w:color="auto" w:fill="B8CCE4" w:themeFill="accent1" w:themeFillTint="66"/>
          </w:tcPr>
          <w:p w14:paraId="05B59A71" w14:textId="7767FA3A" w:rsidR="00897925" w:rsidRPr="000B6735" w:rsidRDefault="00897925" w:rsidP="00897925">
            <w:pPr>
              <w:pStyle w:val="TableText0"/>
              <w:jc w:val="center"/>
            </w:pPr>
            <w:r w:rsidRPr="000B6735">
              <w:t>766/855 (89.6%)</w:t>
            </w:r>
          </w:p>
        </w:tc>
        <w:tc>
          <w:tcPr>
            <w:tcW w:w="1012" w:type="pct"/>
            <w:shd w:val="clear" w:color="auto" w:fill="B8CCE4" w:themeFill="accent1" w:themeFillTint="66"/>
          </w:tcPr>
          <w:p w14:paraId="22F2847E" w14:textId="6AF76EF7" w:rsidR="00897925" w:rsidRPr="000B6735" w:rsidRDefault="00897925" w:rsidP="00897925">
            <w:pPr>
              <w:pStyle w:val="TableText0"/>
              <w:jc w:val="center"/>
            </w:pPr>
            <w:r w:rsidRPr="000B6735">
              <w:t>1.9 (NR)</w:t>
            </w:r>
          </w:p>
        </w:tc>
      </w:tr>
    </w:tbl>
    <w:p w14:paraId="23B5FDEE" w14:textId="3749FB4D" w:rsidR="00FA3DFD" w:rsidRPr="00C34520" w:rsidRDefault="00FA3DFD" w:rsidP="00FA3DFD">
      <w:pPr>
        <w:pStyle w:val="TableFigureFooter"/>
      </w:pPr>
      <w:r w:rsidRPr="00C34520">
        <w:t xml:space="preserve">Source: Compiled from Section 2.5 of the submission; trials B7471011, B7471012, B7471013, &amp; B7471003 clinical study reports; Table 6, paragraph 6.20, pneumococcal conjugate vaccine, 15 valent adsorbed, PSD, March 2023 PBAC meeting. </w:t>
      </w:r>
    </w:p>
    <w:p w14:paraId="17DB5C98" w14:textId="63C60544" w:rsidR="00FA3DFD" w:rsidRPr="00C34520" w:rsidRDefault="00FA3DFD" w:rsidP="00FA3DFD">
      <w:pPr>
        <w:pStyle w:val="TableFigureFooter"/>
      </w:pPr>
      <w:r w:rsidRPr="00C34520">
        <w:rPr>
          <w:color w:val="8DB3E2" w:themeColor="text2" w:themeTint="66"/>
        </w:rPr>
        <w:t xml:space="preserve">Blue </w:t>
      </w:r>
      <w:r w:rsidRPr="00C34520">
        <w:t xml:space="preserve">indicates </w:t>
      </w:r>
      <w:r w:rsidR="00A50979">
        <w:t>previously</w:t>
      </w:r>
      <w:r w:rsidR="00A50979" w:rsidRPr="00C34520">
        <w:t xml:space="preserve"> </w:t>
      </w:r>
      <w:r w:rsidRPr="00C34520">
        <w:t>seen by the PBAC.</w:t>
      </w:r>
    </w:p>
    <w:p w14:paraId="557BF17C" w14:textId="6459ED80" w:rsidR="00FA3DFD" w:rsidRPr="00C34520" w:rsidRDefault="00FA3DFD" w:rsidP="00FA3DFD">
      <w:pPr>
        <w:pStyle w:val="TableFigureFooter"/>
      </w:pPr>
      <w:r w:rsidRPr="00C34520">
        <w:t>13vPCV = 13 valent pneumococcal conjugate vaccine; 15vPCV = 15 valent pneumococcal conjugate vaccine; 20vPCV = 20 valent pneumococcal conjugate vaccine; CI = confidence interval; NR = not reported.</w:t>
      </w:r>
    </w:p>
    <w:p w14:paraId="70BC58BF" w14:textId="27185C0D" w:rsidR="00826D3B" w:rsidRPr="00C34520" w:rsidRDefault="00826D3B" w:rsidP="00F625A4">
      <w:pPr>
        <w:pStyle w:val="3-BodyText"/>
      </w:pPr>
      <w:r w:rsidRPr="00C34520">
        <w:t>The submission stated that local reactions, systemic events, adverse events, serious adverse events, and newly diagnosed chronic medical conditions were generally similar between groups of 20vPCV trials.</w:t>
      </w:r>
      <w:r w:rsidRPr="004E2D9A">
        <w:t xml:space="preserve"> </w:t>
      </w:r>
    </w:p>
    <w:p w14:paraId="04A58B9B" w14:textId="66DA95F9" w:rsidR="00826D3B" w:rsidRPr="00640D33" w:rsidRDefault="00826D3B" w:rsidP="00F625A4">
      <w:pPr>
        <w:pStyle w:val="3-BodyText"/>
      </w:pPr>
      <w:r w:rsidRPr="00C34520">
        <w:t xml:space="preserve">The submission noted that 20vPCV in study B7471014 (single dose) was well tolerated. </w:t>
      </w:r>
    </w:p>
    <w:p w14:paraId="1A1A0D8D" w14:textId="2C4397B1" w:rsidR="00640D33" w:rsidRPr="00602BFD" w:rsidRDefault="00640D33" w:rsidP="00F625A4">
      <w:pPr>
        <w:pStyle w:val="3-BodyText"/>
      </w:pPr>
      <w:r w:rsidRPr="00602BFD">
        <w:lastRenderedPageBreak/>
        <w:t>The ESC considered that overall, the safety profile</w:t>
      </w:r>
      <w:r w:rsidR="00DD55AE" w:rsidRPr="00602BFD">
        <w:t>s</w:t>
      </w:r>
      <w:r w:rsidRPr="00602BFD">
        <w:t xml:space="preserve"> </w:t>
      </w:r>
      <w:r w:rsidR="00DD55AE" w:rsidRPr="00602BFD">
        <w:t xml:space="preserve">of </w:t>
      </w:r>
      <w:r w:rsidRPr="00602BFD">
        <w:t>20vPVC and 13vPVC</w:t>
      </w:r>
      <w:r w:rsidR="00DD55AE" w:rsidRPr="00602BFD">
        <w:t xml:space="preserve"> appear similar</w:t>
      </w:r>
      <w:r w:rsidRPr="00602BFD">
        <w:t xml:space="preserve">, however </w:t>
      </w:r>
      <w:r w:rsidR="000F421E" w:rsidRPr="00602BFD">
        <w:t>the ESC noted</w:t>
      </w:r>
      <w:r w:rsidRPr="00602BFD">
        <w:t xml:space="preserve"> that no specific safety data are available for those considered at risk as per the NIP or for Aboriginal and Torres Strait Islander people. </w:t>
      </w:r>
    </w:p>
    <w:p w14:paraId="5DE9624B" w14:textId="77777777" w:rsidR="00826D3B" w:rsidRPr="00C34520" w:rsidRDefault="00826D3B" w:rsidP="00826D3B">
      <w:pPr>
        <w:pStyle w:val="4-SubsectionHeading"/>
      </w:pPr>
      <w:bookmarkStart w:id="50" w:name="_Toc22897643"/>
      <w:bookmarkStart w:id="51" w:name="_Toc145498619"/>
      <w:r w:rsidRPr="00C34520">
        <w:t>Benefits/harms</w:t>
      </w:r>
      <w:bookmarkEnd w:id="50"/>
      <w:bookmarkEnd w:id="51"/>
    </w:p>
    <w:p w14:paraId="5D6CBECC" w14:textId="77777777" w:rsidR="00826D3B" w:rsidRPr="00C34520" w:rsidRDefault="00826D3B" w:rsidP="00F625A4">
      <w:pPr>
        <w:pStyle w:val="3-BodyText"/>
        <w:rPr>
          <w:b/>
          <w:bCs/>
        </w:rPr>
      </w:pPr>
      <w:bookmarkStart w:id="52" w:name="_Hlk109405155"/>
      <w:r w:rsidRPr="00C34520">
        <w:rPr>
          <w:snapToGrid/>
        </w:rPr>
        <w:t xml:space="preserve">A benefits and harms table </w:t>
      </w:r>
      <w:proofErr w:type="gramStart"/>
      <w:r w:rsidRPr="00C34520">
        <w:rPr>
          <w:snapToGrid/>
        </w:rPr>
        <w:t>is</w:t>
      </w:r>
      <w:proofErr w:type="gramEnd"/>
      <w:r w:rsidRPr="00C34520">
        <w:rPr>
          <w:snapToGrid/>
        </w:rPr>
        <w:t xml:space="preserve"> not presented</w:t>
      </w:r>
      <w:r w:rsidRPr="00C34520">
        <w:rPr>
          <w:b/>
          <w:bCs/>
          <w:snapToGrid/>
        </w:rPr>
        <w:t xml:space="preserve"> </w:t>
      </w:r>
      <w:r w:rsidRPr="00C34520">
        <w:rPr>
          <w:snapToGrid/>
        </w:rPr>
        <w:t>as the submission made a claim of non</w:t>
      </w:r>
      <w:r w:rsidRPr="00C34520">
        <w:rPr>
          <w:snapToGrid/>
        </w:rPr>
        <w:noBreakHyphen/>
        <w:t>inferiority</w:t>
      </w:r>
      <w:bookmarkEnd w:id="52"/>
      <w:r w:rsidRPr="00C34520">
        <w:rPr>
          <w:snapToGrid/>
        </w:rPr>
        <w:t xml:space="preserve"> for the shared serotypes, and the superiority claims for additional serotypes were based on immunogenicity data.</w:t>
      </w:r>
    </w:p>
    <w:p w14:paraId="2FE07300" w14:textId="77777777" w:rsidR="00826D3B" w:rsidRPr="00C34520" w:rsidRDefault="00826D3B" w:rsidP="00826D3B">
      <w:pPr>
        <w:pStyle w:val="4-SubsectionHeading"/>
      </w:pPr>
      <w:bookmarkStart w:id="53" w:name="_Toc22897644"/>
      <w:bookmarkStart w:id="54" w:name="_Toc145498620"/>
      <w:r w:rsidRPr="00C34520">
        <w:t>Clinical claim</w:t>
      </w:r>
      <w:bookmarkEnd w:id="53"/>
      <w:bookmarkEnd w:id="54"/>
    </w:p>
    <w:p w14:paraId="50A88723" w14:textId="7424CA45" w:rsidR="00826D3B" w:rsidRDefault="00CD2A4A" w:rsidP="00F625A4">
      <w:pPr>
        <w:pStyle w:val="3-BodyText"/>
        <w:rPr>
          <w:rFonts w:eastAsia="Calibri"/>
        </w:rPr>
      </w:pPr>
      <w:r w:rsidRPr="00602BFD">
        <w:rPr>
          <w:rFonts w:eastAsia="Calibri"/>
        </w:rPr>
        <w:t xml:space="preserve">The submission claimed that in the paediatric populations who are currently eligible for funded 13vPCV under the NIP, 20vPCV has equivalent immunogenicity, and by extrapolation efficacy, against IPD, pneumococcal pneumonia and otitis media, </w:t>
      </w:r>
      <w:r w:rsidR="005854A7" w:rsidRPr="00602BFD">
        <w:rPr>
          <w:rFonts w:eastAsia="Calibri"/>
        </w:rPr>
        <w:t>for</w:t>
      </w:r>
      <w:r w:rsidRPr="00602BFD">
        <w:rPr>
          <w:rFonts w:eastAsia="Calibri"/>
        </w:rPr>
        <w:t xml:space="preserve"> the shared serotypes with 13vPCV and 15vPCV but is superior for the additional serotypes contained in 20vPCV and not in 13vPCV or 15vPCV.</w:t>
      </w:r>
      <w:r w:rsidR="00F66C65" w:rsidRPr="00602BFD">
        <w:rPr>
          <w:rFonts w:eastAsia="Calibri"/>
        </w:rPr>
        <w:t xml:space="preserve"> </w:t>
      </w:r>
    </w:p>
    <w:p w14:paraId="1D18395B" w14:textId="7A4F951D" w:rsidR="00410E60" w:rsidRPr="00410E60" w:rsidRDefault="00826D3B" w:rsidP="00BC28A9">
      <w:pPr>
        <w:pStyle w:val="3-BodyText"/>
      </w:pPr>
      <w:r w:rsidRPr="00C703F1">
        <w:rPr>
          <w:rFonts w:eastAsia="Calibri"/>
        </w:rPr>
        <w:t>The claim of non-inferior effectiveness was based on comparative immunogenicity data, where non-inferiority was not proven for all serotypes.</w:t>
      </w:r>
      <w:r w:rsidR="00083396">
        <w:t xml:space="preserve"> </w:t>
      </w:r>
      <w:bookmarkStart w:id="55" w:name="_Hlk144279444"/>
      <w:r w:rsidRPr="00C34520">
        <w:t>The ATAGI Advice to the PBAC stated ‘that the clinical significance of missing some non-inferiority criteria is unknown. However, the use of a bridge to a bridge also raises concerns regarding the potential for downward drift, and whether the immunological/clinical relationship will still hold for 20vPCV. It is also unknown whether the lower immunological responses seen with 20vPCV will impact duration of protection’ (ATAGI Advice to the PBAC).</w:t>
      </w:r>
      <w:r w:rsidR="000A049A">
        <w:t xml:space="preserve"> </w:t>
      </w:r>
      <w:r w:rsidR="00410E60" w:rsidRPr="00602BFD">
        <w:rPr>
          <w:iCs/>
        </w:rPr>
        <w:t>The PSCR argued that real-world effectiveness studies and data from surveillance systems globally following the introduction of 13vPCV demonstrated that missing non-inferiority comparisons in the 13vPCV clinical development program for serotypes 6B, 9V or 23F vs 7vPCV did not translate into lower effectiveness or breakthrough disease</w:t>
      </w:r>
      <w:r w:rsidR="00410E60" w:rsidRPr="00602BFD">
        <w:rPr>
          <w:rStyle w:val="FootnoteReference"/>
          <w:iCs/>
        </w:rPr>
        <w:footnoteReference w:id="3"/>
      </w:r>
      <w:r w:rsidR="00410E60" w:rsidRPr="00602BFD">
        <w:rPr>
          <w:iCs/>
        </w:rPr>
        <w:t>. The PSCR also argued that similar evidence has been reported for 10vPCV, despite lower immunogenicity compared to 13vPCV and 7vPCV</w:t>
      </w:r>
      <w:r w:rsidR="00410E60" w:rsidRPr="00602BFD">
        <w:rPr>
          <w:rStyle w:val="FootnoteReference"/>
          <w:iCs/>
        </w:rPr>
        <w:footnoteReference w:id="4"/>
      </w:r>
      <w:r w:rsidR="00410E60" w:rsidRPr="00602BFD">
        <w:rPr>
          <w:iCs/>
          <w:vertAlign w:val="superscript"/>
        </w:rPr>
        <w:t>,</w:t>
      </w:r>
      <w:r w:rsidR="00410E60" w:rsidRPr="00602BFD">
        <w:rPr>
          <w:rStyle w:val="FootnoteReference"/>
          <w:iCs/>
        </w:rPr>
        <w:footnoteReference w:id="5"/>
      </w:r>
      <w:r w:rsidR="00410E60" w:rsidRPr="00602BFD">
        <w:rPr>
          <w:iCs/>
        </w:rPr>
        <w:t>.</w:t>
      </w:r>
    </w:p>
    <w:bookmarkEnd w:id="55"/>
    <w:p w14:paraId="1DB83699" w14:textId="4847903E" w:rsidR="00655E08" w:rsidRDefault="00826D3B" w:rsidP="0059717F">
      <w:pPr>
        <w:pStyle w:val="3-BodyText"/>
      </w:pPr>
      <w:r w:rsidRPr="00C34520">
        <w:t xml:space="preserve">The ATAGI Advice to the PBAC discussed </w:t>
      </w:r>
      <w:r w:rsidR="00B84627">
        <w:t xml:space="preserve">that </w:t>
      </w:r>
      <w:r w:rsidR="00B84627" w:rsidRPr="00B84627">
        <w:t>serotype 3 missed the non-inferiority criteria for the difference in IgG response rates after the final infant dose in both the B7471011 and B7471012 trials</w:t>
      </w:r>
      <w:r w:rsidR="00F01771">
        <w:t>,</w:t>
      </w:r>
      <w:r w:rsidR="008B0235">
        <w:t xml:space="preserve"> </w:t>
      </w:r>
      <w:r w:rsidR="008B0235" w:rsidRPr="008B0235">
        <w:t xml:space="preserve">and although response rate was not assessed for non-inferiority after the final toddler dose in either trial, a larger difference between 20vPCV and 13vPCV was observed in these trials for serotype 3 than other matched </w:t>
      </w:r>
      <w:r w:rsidR="008B0235" w:rsidRPr="008B0235">
        <w:lastRenderedPageBreak/>
        <w:t>serotypes (2+1 trial: -10.6% (95%CI -14.7%, -6.7%); 3+1 trial: -12.1% (-16.2%, -8.1%)). RCDCs displayed a similar distribution of IgG concentrations in both vaccine groups, although the distribution of concentrations for serotype 3 in the 20vPCV group was shifted to the left, indicating an overall lower response</w:t>
      </w:r>
      <w:r w:rsidR="008B0235">
        <w:t xml:space="preserve">. The ATAGI advice </w:t>
      </w:r>
      <w:r w:rsidR="00F01771">
        <w:t>stated that</w:t>
      </w:r>
      <w:r w:rsidR="008B0235">
        <w:t xml:space="preserve"> overall</w:t>
      </w:r>
      <w:r w:rsidR="00B84627" w:rsidRPr="00B84627">
        <w:t xml:space="preserve"> </w:t>
      </w:r>
      <w:r w:rsidRPr="00C34520">
        <w:t>‘if these data were to correlate with reduced (or even similar) levels of clinical protection as 13vPCV, particularly following the infant series, then 20vPCV would be unlikely to have any additional impact on IPD attributed to serotype 3’ (ATAGI Advice to the PBAC).</w:t>
      </w:r>
      <w:r w:rsidR="00460900" w:rsidRPr="00460900">
        <w:t xml:space="preserve"> </w:t>
      </w:r>
    </w:p>
    <w:p w14:paraId="4885631D" w14:textId="00B73DFF" w:rsidR="00CF56C1" w:rsidRDefault="00CF56C1" w:rsidP="00F625A4">
      <w:pPr>
        <w:pStyle w:val="3-BodyText"/>
      </w:pPr>
      <w:r w:rsidRPr="00CF56C1">
        <w:t xml:space="preserve">The Pre-PBAC response </w:t>
      </w:r>
      <w:r>
        <w:t xml:space="preserve">acknowledged </w:t>
      </w:r>
      <w:r w:rsidRPr="00CF56C1">
        <w:t>that 20vPCV provides lower immunogenicity for serotype 3</w:t>
      </w:r>
      <w:r w:rsidR="00F46187">
        <w:t xml:space="preserve">. However, it argued </w:t>
      </w:r>
      <w:r w:rsidRPr="00CF56C1">
        <w:t xml:space="preserve">that it is unlikely that other PCVs </w:t>
      </w:r>
      <w:r w:rsidR="00F15065">
        <w:t xml:space="preserve">would </w:t>
      </w:r>
      <w:r w:rsidRPr="00CF56C1">
        <w:t xml:space="preserve">offer additional benefit for serotype 3 compared with 20vPCV. </w:t>
      </w:r>
      <w:r>
        <w:t xml:space="preserve">The Pre-PBAC response emphasised that serotype 3 has unique biological properties that make it different and more challenging compared to other serotypes. The Response stated that </w:t>
      </w:r>
      <w:r w:rsidR="00F15065">
        <w:t xml:space="preserve">there is evidence to suggest that </w:t>
      </w:r>
      <w:r>
        <w:t>serotype 3</w:t>
      </w:r>
      <w:r w:rsidRPr="00941776">
        <w:t xml:space="preserve"> </w:t>
      </w:r>
      <w:r>
        <w:t>has a</w:t>
      </w:r>
      <w:r w:rsidRPr="00941776">
        <w:t xml:space="preserve"> thick polysaccharide rich capsule which it is able to release (shed) contribut</w:t>
      </w:r>
      <w:r>
        <w:t>ing</w:t>
      </w:r>
      <w:r w:rsidRPr="00941776">
        <w:t xml:space="preserve"> to its increased virulence and ability to escape immune responses</w:t>
      </w:r>
      <w:r>
        <w:t>,</w:t>
      </w:r>
      <w:r w:rsidRPr="00941776">
        <w:t xml:space="preserve"> limit</w:t>
      </w:r>
      <w:r>
        <w:t>ing</w:t>
      </w:r>
      <w:r w:rsidRPr="00941776">
        <w:t xml:space="preserve"> protection offered by anti-</w:t>
      </w:r>
      <w:r>
        <w:t>serotype 3</w:t>
      </w:r>
      <w:r w:rsidRPr="00941776">
        <w:t xml:space="preserve"> antibodies.</w:t>
      </w:r>
      <w:r>
        <w:rPr>
          <w:rStyle w:val="FootnoteReference"/>
          <w:rFonts w:cstheme="minorHAnsi"/>
          <w:iCs/>
        </w:rPr>
        <w:footnoteReference w:id="6"/>
      </w:r>
      <w:r w:rsidRPr="00083396">
        <w:rPr>
          <w:vertAlign w:val="superscript"/>
        </w:rPr>
        <w:t>,</w:t>
      </w:r>
      <w:r>
        <w:rPr>
          <w:rStyle w:val="FootnoteReference"/>
          <w:rFonts w:cstheme="minorHAnsi"/>
          <w:iCs/>
        </w:rPr>
        <w:footnoteReference w:id="7"/>
      </w:r>
      <w:r w:rsidR="00F15065">
        <w:t xml:space="preserve"> </w:t>
      </w:r>
      <w:r>
        <w:t>The Response stated that e</w:t>
      </w:r>
      <w:r w:rsidRPr="00941776">
        <w:t xml:space="preserve">vidence also suggests </w:t>
      </w:r>
      <w:r w:rsidR="00F15065">
        <w:t xml:space="preserve">that </w:t>
      </w:r>
      <w:r w:rsidRPr="00941776">
        <w:t xml:space="preserve">a distinct immunological mechanism involving memory B cells </w:t>
      </w:r>
      <w:r>
        <w:t>may</w:t>
      </w:r>
      <w:r w:rsidRPr="00941776">
        <w:t xml:space="preserve"> </w:t>
      </w:r>
      <w:r>
        <w:t>also reduce</w:t>
      </w:r>
      <w:r w:rsidRPr="00941776">
        <w:t xml:space="preserve"> antibody persistence</w:t>
      </w:r>
      <w:r>
        <w:t xml:space="preserve">. The response stated that </w:t>
      </w:r>
      <w:r w:rsidRPr="00941776">
        <w:t>substantially higher immune responses (up to 8</w:t>
      </w:r>
      <w:r w:rsidR="009B3838">
        <w:t>x</w:t>
      </w:r>
      <w:r w:rsidRPr="00941776">
        <w:t xml:space="preserve"> higher), that are rarely attained from vaccination</w:t>
      </w:r>
      <w:r w:rsidR="00F15065">
        <w:t>,</w:t>
      </w:r>
      <w:r w:rsidRPr="00941776">
        <w:t xml:space="preserve"> are likely to be needed for clinical protection against </w:t>
      </w:r>
      <w:r>
        <w:t xml:space="preserve">serotype 3, as </w:t>
      </w:r>
      <w:r w:rsidRPr="00941776">
        <w:t xml:space="preserve">noted in </w:t>
      </w:r>
      <w:r w:rsidR="009B3838">
        <w:t xml:space="preserve">the </w:t>
      </w:r>
      <w:r w:rsidRPr="00941776">
        <w:t xml:space="preserve">ATAGI advice to the PBAC. </w:t>
      </w:r>
      <w:r w:rsidRPr="001E1224">
        <w:t>The Response argue</w:t>
      </w:r>
      <w:r w:rsidR="00F15065">
        <w:t>d</w:t>
      </w:r>
      <w:r w:rsidRPr="001E1224">
        <w:t xml:space="preserve"> that as a consequence, the higher valency PCVs are </w:t>
      </w:r>
      <w:r w:rsidR="00F46187">
        <w:t>un</w:t>
      </w:r>
      <w:r w:rsidRPr="001E1224">
        <w:t xml:space="preserve">likely to </w:t>
      </w:r>
      <w:r w:rsidR="00F46187">
        <w:t>have a significant impact on</w:t>
      </w:r>
      <w:r w:rsidRPr="001E1224">
        <w:t xml:space="preserve"> serotype</w:t>
      </w:r>
      <w:r w:rsidR="00F15065">
        <w:t xml:space="preserve"> 3</w:t>
      </w:r>
      <w:r>
        <w:t xml:space="preserve"> and a</w:t>
      </w:r>
      <w:r w:rsidRPr="001E1224">
        <w:t xml:space="preserve"> different approach is</w:t>
      </w:r>
      <w:r w:rsidR="00F46187">
        <w:t xml:space="preserve"> likely</w:t>
      </w:r>
      <w:r w:rsidRPr="001E1224">
        <w:t xml:space="preserve"> needed to address this issue, such as new vaccine development and different vaccination strategies.</w:t>
      </w:r>
    </w:p>
    <w:p w14:paraId="7DA1D542" w14:textId="3B05BF8B" w:rsidR="00DD3096" w:rsidRDefault="000D6921" w:rsidP="00DD3096">
      <w:pPr>
        <w:pStyle w:val="3-BodyText"/>
        <w:rPr>
          <w:rFonts w:ascii="Arial Narrow" w:eastAsia="TimesNewRoman" w:hAnsi="Arial Narrow"/>
          <w:bCs/>
          <w:color w:val="000000" w:themeColor="text1"/>
        </w:rPr>
      </w:pPr>
      <w:r w:rsidRPr="00AA3544">
        <w:t xml:space="preserve">The Pre-PBAC response </w:t>
      </w:r>
      <w:r>
        <w:t>stated that w</w:t>
      </w:r>
      <w:r w:rsidRPr="00AA3544">
        <w:t xml:space="preserve">hile </w:t>
      </w:r>
      <w:r>
        <w:t>serotype 3</w:t>
      </w:r>
      <w:r w:rsidRPr="00AA3544">
        <w:t xml:space="preserve"> did not meet non</w:t>
      </w:r>
      <w:r>
        <w:t>-</w:t>
      </w:r>
      <w:r w:rsidRPr="00AA3544">
        <w:t>inferiority for the percent responders to the pre</w:t>
      </w:r>
      <w:r>
        <w:t>-</w:t>
      </w:r>
      <w:r w:rsidRPr="00AA3544">
        <w:t>defined criteria of IgG concentrations over ≥</w:t>
      </w:r>
      <w:r w:rsidR="00845433">
        <w:t> </w:t>
      </w:r>
      <w:r w:rsidRPr="00AA3544">
        <w:t xml:space="preserve">0.35 μg/ml, functional antibody response for </w:t>
      </w:r>
      <w:r>
        <w:t>serotype 3</w:t>
      </w:r>
      <w:r w:rsidRPr="00AA3544">
        <w:t xml:space="preserve"> did exceed non</w:t>
      </w:r>
      <w:r>
        <w:t>-</w:t>
      </w:r>
      <w:r w:rsidRPr="00AA3544">
        <w:t xml:space="preserve">inferiority post-toddler dose </w:t>
      </w:r>
      <w:r w:rsidR="00F15065">
        <w:t>in</w:t>
      </w:r>
      <w:r w:rsidRPr="00AA3544">
        <w:t xml:space="preserve"> both </w:t>
      </w:r>
      <w:r>
        <w:t>the</w:t>
      </w:r>
      <w:r w:rsidRPr="00AA3544">
        <w:t xml:space="preserve"> B7471012 and B7471011 trials. </w:t>
      </w:r>
      <w:r>
        <w:t xml:space="preserve">The Response emphasised that </w:t>
      </w:r>
      <w:r w:rsidRPr="00AA3544">
        <w:t>the percent IgG responders ≥</w:t>
      </w:r>
      <w:r>
        <w:t xml:space="preserve"> </w:t>
      </w:r>
      <w:r w:rsidRPr="00AA3544">
        <w:t>0.35 μg/ml was not a pre</w:t>
      </w:r>
      <w:r>
        <w:t>-</w:t>
      </w:r>
      <w:r w:rsidRPr="00AA3544">
        <w:t xml:space="preserve">defined estimate and / or endpoint in either the B7471012 or B7471011 </w:t>
      </w:r>
      <w:r w:rsidR="009B3838">
        <w:t>trials</w:t>
      </w:r>
      <w:r w:rsidRPr="00AA3544">
        <w:t xml:space="preserve"> for the post-toddler dosages. For both pivotal studies, the primary pneumococcal outcomes were the GMR, between 20vPCV and 13vPCV, following the infant and toddler doses, and the response rate following the infant doses. </w:t>
      </w:r>
      <w:r>
        <w:t>The Response stated that</w:t>
      </w:r>
      <w:r w:rsidRPr="00AA3544">
        <w:t xml:space="preserve"> the totality of evidence includes a functional antibody response</w:t>
      </w:r>
      <w:r w:rsidR="00F15065">
        <w:t>,</w:t>
      </w:r>
      <w:r w:rsidRPr="00AA3544">
        <w:t xml:space="preserve"> as measured by OPA GMTs, induction of adequate priming after 2 infant doses resulting in boosting after the toddler dose</w:t>
      </w:r>
      <w:r w:rsidR="00F15065">
        <w:t>,</w:t>
      </w:r>
      <w:r w:rsidRPr="00AA3544">
        <w:t xml:space="preserve"> and clear differentiation of 20vPCV RCDCs from 13vPCV at all timepoints for </w:t>
      </w:r>
      <w:r>
        <w:t>serotype 3</w:t>
      </w:r>
      <w:r w:rsidRPr="00AA3544">
        <w:t xml:space="preserve">. </w:t>
      </w:r>
      <w:r w:rsidR="00CF56C1" w:rsidRPr="000D6921">
        <w:t xml:space="preserve">The </w:t>
      </w:r>
      <w:r w:rsidRPr="000D6921">
        <w:t xml:space="preserve">Pre-PBAC Response </w:t>
      </w:r>
      <w:r w:rsidR="00F15065">
        <w:t>emphasised</w:t>
      </w:r>
      <w:r>
        <w:t xml:space="preserve"> that based on these data </w:t>
      </w:r>
      <w:r w:rsidRPr="000D6921">
        <w:t xml:space="preserve">that </w:t>
      </w:r>
      <w:r w:rsidR="00CF56C1" w:rsidRPr="000D6921">
        <w:t xml:space="preserve">20vPCV is comparable to </w:t>
      </w:r>
      <w:r w:rsidR="00CF56C1" w:rsidRPr="000D6921">
        <w:lastRenderedPageBreak/>
        <w:t xml:space="preserve">13vPCV, and that a different impact for the shared serotypes, including serotype 3, </w:t>
      </w:r>
      <w:r w:rsidRPr="000D6921">
        <w:t xml:space="preserve">is </w:t>
      </w:r>
      <w:r w:rsidR="00735E1A">
        <w:t>un</w:t>
      </w:r>
      <w:r w:rsidRPr="000D6921">
        <w:t>likely</w:t>
      </w:r>
      <w:r w:rsidR="00CF56C1" w:rsidRPr="000D6921">
        <w:t xml:space="preserve">. </w:t>
      </w:r>
      <w:r w:rsidRPr="000D6921">
        <w:t>Importantly</w:t>
      </w:r>
      <w:r w:rsidR="00CF56C1" w:rsidRPr="000D6921">
        <w:t xml:space="preserve">, vaccine effectiveness for the unique serotypes will offer additional benefit </w:t>
      </w:r>
      <w:r w:rsidRPr="000D6921">
        <w:t>versus</w:t>
      </w:r>
      <w:r w:rsidR="00CF56C1" w:rsidRPr="000D6921">
        <w:t xml:space="preserve"> 13vPCV and 15vPCV ensuring an overall positive risk benefit profile.</w:t>
      </w:r>
      <w:r w:rsidR="00CF56C1" w:rsidRPr="00DD3096">
        <w:rPr>
          <w:rFonts w:ascii="Arial Narrow" w:eastAsia="TimesNewRoman" w:hAnsi="Arial Narrow"/>
          <w:bCs/>
          <w:color w:val="000000" w:themeColor="text1"/>
        </w:rPr>
        <w:t xml:space="preserve"> </w:t>
      </w:r>
    </w:p>
    <w:p w14:paraId="1BC51A00" w14:textId="778E7C38" w:rsidR="00083396" w:rsidRPr="00602BFD" w:rsidRDefault="00EB2007" w:rsidP="00DD3096">
      <w:pPr>
        <w:pStyle w:val="3-BodyText"/>
      </w:pPr>
      <w:r w:rsidRPr="00DD3096">
        <w:t xml:space="preserve">The claim of superior effectiveness was based on comparative immunogenicity data, where superiority was not demonstrated for all the additional serotypes of 20vPCV not available in 13vPCV in the RCTs. </w:t>
      </w:r>
      <w:r w:rsidR="00083396">
        <w:t>T</w:t>
      </w:r>
      <w:r w:rsidRPr="00DD3096">
        <w:t>he PBAC previously noted for 15vPCV that superiority is complex to assess due to difficulties translating immunogenicity to improved clinical protection (paragraph 7.5, pneumococcal conjugate vaccine, 15 valent adsorbed, PSD, March 2023 PBAC meeting).</w:t>
      </w:r>
      <w:r w:rsidR="00083396">
        <w:t xml:space="preserve"> </w:t>
      </w:r>
      <w:r w:rsidR="000F71C1" w:rsidRPr="00083396">
        <w:t xml:space="preserve">The PSCR </w:t>
      </w:r>
      <w:r w:rsidR="000E1AC1" w:rsidRPr="00083396">
        <w:t>noted</w:t>
      </w:r>
      <w:r w:rsidR="000F71C1" w:rsidRPr="00083396">
        <w:t xml:space="preserve"> that the ATAGI </w:t>
      </w:r>
      <w:r w:rsidR="00334332" w:rsidRPr="00083396">
        <w:t>A</w:t>
      </w:r>
      <w:r w:rsidR="000F71C1" w:rsidRPr="00083396">
        <w:t xml:space="preserve">dvice </w:t>
      </w:r>
      <w:r w:rsidR="00334332" w:rsidRPr="00083396">
        <w:t xml:space="preserve">to the PBAC </w:t>
      </w:r>
      <w:r w:rsidR="000F71C1" w:rsidRPr="00083396">
        <w:t xml:space="preserve">stated ‘The claim of superiority to 13vPCV for the additional serotypes appears broadly reasonable’. </w:t>
      </w:r>
    </w:p>
    <w:p w14:paraId="5B9F8447" w14:textId="53FC5747" w:rsidR="00826D3B" w:rsidRPr="00C34520" w:rsidRDefault="00826D3B" w:rsidP="00F625A4">
      <w:pPr>
        <w:pStyle w:val="3-BodyText"/>
      </w:pPr>
      <w:r w:rsidRPr="00C34520">
        <w:fldChar w:fldCharType="begin"/>
      </w:r>
      <w:r w:rsidRPr="00C34520">
        <w:instrText xml:space="preserve"> REF _Ref144279981 \h </w:instrText>
      </w:r>
      <w:r w:rsidRPr="00C34520">
        <w:fldChar w:fldCharType="separate"/>
      </w:r>
      <w:r w:rsidR="009523CC" w:rsidRPr="00C34520">
        <w:t xml:space="preserve">Table </w:t>
      </w:r>
      <w:r w:rsidR="009523CC">
        <w:rPr>
          <w:noProof/>
        </w:rPr>
        <w:t>13</w:t>
      </w:r>
      <w:r w:rsidRPr="00C34520">
        <w:fldChar w:fldCharType="end"/>
      </w:r>
      <w:r w:rsidRPr="00C34520">
        <w:t xml:space="preserve"> </w:t>
      </w:r>
      <w:r w:rsidR="009E27CB" w:rsidRPr="00C34520">
        <w:t>presents the serotypes that did not meet the non-inferiority criteria of different outcomes or had upper limit of CI greater than two in the B7471012, B7471011 trials or indirect comparisons noting the number of IPD cases.</w:t>
      </w:r>
    </w:p>
    <w:p w14:paraId="11A284D1" w14:textId="2199AF26" w:rsidR="00826D3B" w:rsidRPr="00C34520" w:rsidRDefault="00826D3B" w:rsidP="000E3F99">
      <w:pPr>
        <w:pStyle w:val="Caption"/>
        <w:keepLines/>
        <w:rPr>
          <w:rStyle w:val="CommentReference"/>
          <w:rFonts w:cs="Arial"/>
          <w:b/>
          <w:bCs w:val="0"/>
          <w:snapToGrid w:val="0"/>
          <w:szCs w:val="24"/>
        </w:rPr>
      </w:pPr>
      <w:bookmarkStart w:id="56" w:name="_Ref144279981"/>
      <w:r w:rsidRPr="00C34520">
        <w:lastRenderedPageBreak/>
        <w:t xml:space="preserve">Table </w:t>
      </w:r>
      <w:fldSimple w:instr=" SEQ Table \* ARABIC ">
        <w:r w:rsidR="009523CC">
          <w:rPr>
            <w:noProof/>
          </w:rPr>
          <w:t>13</w:t>
        </w:r>
      </w:fldSimple>
      <w:bookmarkEnd w:id="56"/>
      <w:r w:rsidRPr="00C34520">
        <w:rPr>
          <w:rStyle w:val="CommentReference"/>
          <w:b/>
          <w:szCs w:val="24"/>
        </w:rPr>
        <w:t>:</w:t>
      </w:r>
      <w:r w:rsidR="009E27CB" w:rsidRPr="00C34520">
        <w:rPr>
          <w:rStyle w:val="CommentReference"/>
          <w:b/>
          <w:szCs w:val="24"/>
        </w:rPr>
        <w:t xml:space="preserve"> Serotypes that did not meet </w:t>
      </w:r>
      <w:r w:rsidR="00746868">
        <w:rPr>
          <w:rStyle w:val="CommentReference"/>
          <w:b/>
          <w:szCs w:val="24"/>
        </w:rPr>
        <w:t>a</w:t>
      </w:r>
      <w:r w:rsidR="00FA3DFD">
        <w:rPr>
          <w:rStyle w:val="CommentReference"/>
          <w:b/>
          <w:szCs w:val="24"/>
        </w:rPr>
        <w:t xml:space="preserve"> </w:t>
      </w:r>
      <w:r w:rsidR="009E27CB" w:rsidRPr="00C34520">
        <w:rPr>
          <w:rStyle w:val="CommentReference"/>
          <w:b/>
          <w:szCs w:val="24"/>
        </w:rPr>
        <w:t>non-inferiority criteria or</w:t>
      </w:r>
      <w:r w:rsidR="00FA3DFD">
        <w:rPr>
          <w:rStyle w:val="CommentReference"/>
          <w:b/>
          <w:szCs w:val="24"/>
        </w:rPr>
        <w:t xml:space="preserve"> that indicated superiority </w:t>
      </w:r>
      <w:r w:rsidR="009E27CB" w:rsidRPr="00C34520">
        <w:rPr>
          <w:rStyle w:val="CommentReference"/>
          <w:b/>
          <w:szCs w:val="24"/>
        </w:rPr>
        <w:t>in the B7471012, B7471011 trials or indirect comparisons</w:t>
      </w:r>
    </w:p>
    <w:tbl>
      <w:tblPr>
        <w:tblStyle w:val="TableGrid"/>
        <w:tblW w:w="5000" w:type="pct"/>
        <w:tblLook w:val="04A0" w:firstRow="1" w:lastRow="0" w:firstColumn="1" w:lastColumn="0" w:noHBand="0" w:noVBand="1"/>
      </w:tblPr>
      <w:tblGrid>
        <w:gridCol w:w="1297"/>
        <w:gridCol w:w="1421"/>
        <w:gridCol w:w="1574"/>
        <w:gridCol w:w="1430"/>
        <w:gridCol w:w="1434"/>
        <w:gridCol w:w="1861"/>
      </w:tblGrid>
      <w:tr w:rsidR="00826D3B" w:rsidRPr="00C34520" w14:paraId="37C2A06B" w14:textId="77777777" w:rsidTr="00667D81">
        <w:tc>
          <w:tcPr>
            <w:tcW w:w="719" w:type="pct"/>
            <w:vMerge w:val="restart"/>
            <w:vAlign w:val="center"/>
          </w:tcPr>
          <w:p w14:paraId="22CE046B" w14:textId="77777777" w:rsidR="00826D3B" w:rsidRPr="00C34520" w:rsidRDefault="00826D3B" w:rsidP="000E3F99">
            <w:pPr>
              <w:pStyle w:val="TableText0"/>
              <w:keepLines/>
              <w:jc w:val="center"/>
              <w:rPr>
                <w:b/>
                <w:bCs w:val="0"/>
              </w:rPr>
            </w:pPr>
            <w:r w:rsidRPr="00C34520">
              <w:rPr>
                <w:b/>
                <w:bCs w:val="0"/>
              </w:rPr>
              <w:t>Serotype</w:t>
            </w:r>
          </w:p>
        </w:tc>
        <w:tc>
          <w:tcPr>
            <w:tcW w:w="3249" w:type="pct"/>
            <w:gridSpan w:val="4"/>
            <w:vAlign w:val="center"/>
          </w:tcPr>
          <w:p w14:paraId="548C4314" w14:textId="77777777" w:rsidR="00826D3B" w:rsidRPr="00C34520" w:rsidRDefault="00826D3B" w:rsidP="000E3F99">
            <w:pPr>
              <w:pStyle w:val="TableText0"/>
              <w:keepLines/>
              <w:jc w:val="center"/>
              <w:rPr>
                <w:b/>
                <w:bCs w:val="0"/>
              </w:rPr>
            </w:pPr>
            <w:r w:rsidRPr="00C34520">
              <w:rPr>
                <w:b/>
                <w:bCs w:val="0"/>
              </w:rPr>
              <w:t>20vPCV vs 13vPCV</w:t>
            </w:r>
          </w:p>
        </w:tc>
        <w:tc>
          <w:tcPr>
            <w:tcW w:w="1032" w:type="pct"/>
            <w:vAlign w:val="center"/>
          </w:tcPr>
          <w:p w14:paraId="23F637AD" w14:textId="77777777" w:rsidR="00826D3B" w:rsidRPr="00C34520" w:rsidRDefault="00826D3B" w:rsidP="000E3F99">
            <w:pPr>
              <w:pStyle w:val="TableText0"/>
              <w:keepLines/>
              <w:jc w:val="center"/>
              <w:rPr>
                <w:b/>
                <w:bCs w:val="0"/>
              </w:rPr>
            </w:pPr>
            <w:r w:rsidRPr="00C34520">
              <w:rPr>
                <w:b/>
                <w:bCs w:val="0"/>
              </w:rPr>
              <w:t>20vPCV vs 15vPCV</w:t>
            </w:r>
          </w:p>
        </w:tc>
      </w:tr>
      <w:tr w:rsidR="009277EB" w:rsidRPr="00C34520" w14:paraId="5F7F76FC" w14:textId="77777777" w:rsidTr="00667D81">
        <w:tc>
          <w:tcPr>
            <w:tcW w:w="719" w:type="pct"/>
            <w:vMerge/>
            <w:vAlign w:val="center"/>
          </w:tcPr>
          <w:p w14:paraId="40910808" w14:textId="77777777" w:rsidR="00826D3B" w:rsidRPr="00C34520" w:rsidRDefault="00826D3B" w:rsidP="000E3F99">
            <w:pPr>
              <w:pStyle w:val="TableText0"/>
              <w:keepLines/>
              <w:jc w:val="center"/>
              <w:rPr>
                <w:b/>
                <w:bCs w:val="0"/>
              </w:rPr>
            </w:pPr>
          </w:p>
        </w:tc>
        <w:tc>
          <w:tcPr>
            <w:tcW w:w="788" w:type="pct"/>
            <w:vAlign w:val="center"/>
          </w:tcPr>
          <w:p w14:paraId="16EDE89C" w14:textId="77777777" w:rsidR="00826D3B" w:rsidRPr="00C34520" w:rsidDel="004C1F32" w:rsidRDefault="00826D3B" w:rsidP="000E3F99">
            <w:pPr>
              <w:pStyle w:val="TableText0"/>
              <w:keepLines/>
              <w:jc w:val="center"/>
              <w:rPr>
                <w:b/>
                <w:bCs w:val="0"/>
              </w:rPr>
            </w:pPr>
            <w:r w:rsidRPr="00C34520">
              <w:rPr>
                <w:b/>
                <w:bCs w:val="0"/>
              </w:rPr>
              <w:t>GMR toddler dose</w:t>
            </w:r>
          </w:p>
        </w:tc>
        <w:tc>
          <w:tcPr>
            <w:tcW w:w="873" w:type="pct"/>
            <w:vAlign w:val="center"/>
          </w:tcPr>
          <w:p w14:paraId="40016A02" w14:textId="77777777" w:rsidR="00826D3B" w:rsidRPr="00C34520" w:rsidRDefault="00826D3B" w:rsidP="000E3F99">
            <w:pPr>
              <w:pStyle w:val="TableText0"/>
              <w:keepLines/>
              <w:jc w:val="center"/>
              <w:rPr>
                <w:b/>
                <w:bCs w:val="0"/>
              </w:rPr>
            </w:pPr>
            <w:r w:rsidRPr="00C34520">
              <w:rPr>
                <w:b/>
                <w:bCs w:val="0"/>
              </w:rPr>
              <w:t>GMR infant dose</w:t>
            </w:r>
          </w:p>
        </w:tc>
        <w:tc>
          <w:tcPr>
            <w:tcW w:w="793" w:type="pct"/>
            <w:vAlign w:val="center"/>
          </w:tcPr>
          <w:p w14:paraId="114CB78E" w14:textId="77777777" w:rsidR="00826D3B" w:rsidRPr="00C34520" w:rsidRDefault="00826D3B" w:rsidP="000E3F99">
            <w:pPr>
              <w:pStyle w:val="TableText0"/>
              <w:keepLines/>
              <w:jc w:val="center"/>
              <w:rPr>
                <w:b/>
                <w:bCs w:val="0"/>
              </w:rPr>
            </w:pPr>
            <w:r w:rsidRPr="00C34520">
              <w:rPr>
                <w:b/>
                <w:bCs w:val="0"/>
              </w:rPr>
              <w:t>Response rate infant dose</w:t>
            </w:r>
          </w:p>
        </w:tc>
        <w:tc>
          <w:tcPr>
            <w:tcW w:w="795" w:type="pct"/>
            <w:vAlign w:val="center"/>
          </w:tcPr>
          <w:p w14:paraId="472A7A7B" w14:textId="77777777" w:rsidR="00826D3B" w:rsidRPr="00C34520" w:rsidRDefault="00826D3B" w:rsidP="000E3F99">
            <w:pPr>
              <w:pStyle w:val="TableText0"/>
              <w:keepLines/>
              <w:jc w:val="center"/>
              <w:rPr>
                <w:b/>
                <w:bCs w:val="0"/>
                <w:vertAlign w:val="superscript"/>
              </w:rPr>
            </w:pPr>
            <w:r w:rsidRPr="00C34520">
              <w:rPr>
                <w:b/>
                <w:bCs w:val="0"/>
              </w:rPr>
              <w:t xml:space="preserve">Response rate toddler dose </w:t>
            </w:r>
            <w:r w:rsidRPr="00C34520">
              <w:rPr>
                <w:b/>
                <w:bCs w:val="0"/>
                <w:vertAlign w:val="superscript"/>
              </w:rPr>
              <w:t>a</w:t>
            </w:r>
          </w:p>
        </w:tc>
        <w:tc>
          <w:tcPr>
            <w:tcW w:w="1032" w:type="pct"/>
            <w:vAlign w:val="center"/>
          </w:tcPr>
          <w:p w14:paraId="43A9ADDB" w14:textId="77777777" w:rsidR="00826D3B" w:rsidRPr="00C34520" w:rsidRDefault="00826D3B" w:rsidP="000E3F99">
            <w:pPr>
              <w:pStyle w:val="TableText0"/>
              <w:keepLines/>
              <w:jc w:val="center"/>
              <w:rPr>
                <w:b/>
                <w:bCs w:val="0"/>
              </w:rPr>
            </w:pPr>
            <w:r w:rsidRPr="00C34520">
              <w:rPr>
                <w:b/>
                <w:bCs w:val="0"/>
              </w:rPr>
              <w:t>Indirect comparison GMR toddler dose</w:t>
            </w:r>
          </w:p>
        </w:tc>
      </w:tr>
      <w:tr w:rsidR="00826D3B" w:rsidRPr="00C34520" w14:paraId="2090C489" w14:textId="77777777" w:rsidTr="00667D81">
        <w:tc>
          <w:tcPr>
            <w:tcW w:w="5000" w:type="pct"/>
            <w:gridSpan w:val="6"/>
          </w:tcPr>
          <w:p w14:paraId="380485E0" w14:textId="77777777" w:rsidR="00826D3B" w:rsidRPr="00C34520" w:rsidRDefault="00826D3B" w:rsidP="000E3F99">
            <w:pPr>
              <w:pStyle w:val="In-tableHeading"/>
              <w:keepLines/>
              <w:rPr>
                <w:lang w:val="en-AU"/>
              </w:rPr>
            </w:pPr>
            <w:r w:rsidRPr="00C34520">
              <w:rPr>
                <w:lang w:val="en-AU"/>
              </w:rPr>
              <w:t>13vPCV (36%</w:t>
            </w:r>
            <w:r w:rsidRPr="00C34520">
              <w:rPr>
                <w:vertAlign w:val="superscript"/>
                <w:lang w:val="en-AU"/>
              </w:rPr>
              <w:t>b</w:t>
            </w:r>
            <w:r w:rsidRPr="00C34520">
              <w:rPr>
                <w:lang w:val="en-AU"/>
              </w:rPr>
              <w:t xml:space="preserve"> to 43%</w:t>
            </w:r>
            <w:r w:rsidRPr="00C34520">
              <w:rPr>
                <w:vertAlign w:val="superscript"/>
                <w:lang w:val="en-AU"/>
              </w:rPr>
              <w:t>c</w:t>
            </w:r>
            <w:r w:rsidRPr="00C34520">
              <w:rPr>
                <w:lang w:val="en-AU"/>
              </w:rPr>
              <w:t xml:space="preserve"> of cases)</w:t>
            </w:r>
          </w:p>
        </w:tc>
      </w:tr>
      <w:tr w:rsidR="009277EB" w:rsidRPr="00C34520" w14:paraId="26309162" w14:textId="77777777" w:rsidTr="00667D81">
        <w:tc>
          <w:tcPr>
            <w:tcW w:w="719" w:type="pct"/>
          </w:tcPr>
          <w:p w14:paraId="6CD06D4B" w14:textId="77777777" w:rsidR="00826D3B" w:rsidRPr="00C34520" w:rsidRDefault="00826D3B" w:rsidP="000E3F99">
            <w:pPr>
              <w:pStyle w:val="TableText0"/>
              <w:keepLines/>
            </w:pPr>
            <w:r w:rsidRPr="00C34520">
              <w:t>1</w:t>
            </w:r>
          </w:p>
        </w:tc>
        <w:tc>
          <w:tcPr>
            <w:tcW w:w="788" w:type="pct"/>
          </w:tcPr>
          <w:p w14:paraId="12FDD8ED" w14:textId="77777777" w:rsidR="00826D3B" w:rsidRPr="00C34520" w:rsidDel="004C1F32" w:rsidRDefault="00826D3B" w:rsidP="000E3F99">
            <w:pPr>
              <w:pStyle w:val="TableText0"/>
              <w:keepLines/>
            </w:pPr>
          </w:p>
        </w:tc>
        <w:tc>
          <w:tcPr>
            <w:tcW w:w="873" w:type="pct"/>
          </w:tcPr>
          <w:p w14:paraId="2F77A72F" w14:textId="77777777" w:rsidR="00826D3B" w:rsidRPr="00C34520" w:rsidRDefault="00826D3B" w:rsidP="000E3F99">
            <w:pPr>
              <w:pStyle w:val="TableText0"/>
              <w:keepLines/>
            </w:pPr>
          </w:p>
        </w:tc>
        <w:tc>
          <w:tcPr>
            <w:tcW w:w="793" w:type="pct"/>
            <w:shd w:val="clear" w:color="auto" w:fill="FF0000"/>
          </w:tcPr>
          <w:p w14:paraId="1C557A90" w14:textId="77777777" w:rsidR="00826D3B" w:rsidRPr="00C34520" w:rsidRDefault="00826D3B" w:rsidP="000E3F99">
            <w:pPr>
              <w:pStyle w:val="TableText0"/>
              <w:keepLines/>
            </w:pPr>
          </w:p>
        </w:tc>
        <w:tc>
          <w:tcPr>
            <w:tcW w:w="795" w:type="pct"/>
          </w:tcPr>
          <w:p w14:paraId="164B9A8A" w14:textId="77777777" w:rsidR="00826D3B" w:rsidRPr="00C34520" w:rsidRDefault="00826D3B" w:rsidP="000E3F99">
            <w:pPr>
              <w:pStyle w:val="TableText0"/>
              <w:keepLines/>
            </w:pPr>
          </w:p>
        </w:tc>
        <w:tc>
          <w:tcPr>
            <w:tcW w:w="1032" w:type="pct"/>
          </w:tcPr>
          <w:p w14:paraId="6D746AC2" w14:textId="77777777" w:rsidR="00826D3B" w:rsidRPr="00C34520" w:rsidRDefault="00826D3B" w:rsidP="000E3F99">
            <w:pPr>
              <w:pStyle w:val="TableText0"/>
              <w:keepLines/>
            </w:pPr>
          </w:p>
        </w:tc>
      </w:tr>
      <w:tr w:rsidR="009277EB" w:rsidRPr="00C34520" w14:paraId="4333F917" w14:textId="77777777" w:rsidTr="00667D81">
        <w:tc>
          <w:tcPr>
            <w:tcW w:w="719" w:type="pct"/>
          </w:tcPr>
          <w:p w14:paraId="30462EA6" w14:textId="7AA11392" w:rsidR="00826D3B" w:rsidRPr="00C34520" w:rsidRDefault="00826D3B" w:rsidP="000E3F99">
            <w:pPr>
              <w:pStyle w:val="TableText0"/>
              <w:keepLines/>
            </w:pPr>
            <w:r w:rsidRPr="00C34520">
              <w:t>3 (2</w:t>
            </w:r>
            <w:r w:rsidR="009E27CB" w:rsidRPr="00C34520">
              <w:t>4</w:t>
            </w:r>
            <w:r w:rsidRPr="00C34520">
              <w:t xml:space="preserve">% of all cases </w:t>
            </w:r>
            <w:r w:rsidRPr="00C34520">
              <w:rPr>
                <w:vertAlign w:val="superscript"/>
              </w:rPr>
              <w:t>d</w:t>
            </w:r>
            <w:r w:rsidRPr="00C34520">
              <w:t>)</w:t>
            </w:r>
          </w:p>
        </w:tc>
        <w:tc>
          <w:tcPr>
            <w:tcW w:w="788" w:type="pct"/>
          </w:tcPr>
          <w:p w14:paraId="0F786C2D" w14:textId="77777777" w:rsidR="00826D3B" w:rsidRPr="00C34520" w:rsidDel="004C1F32" w:rsidRDefault="00826D3B" w:rsidP="000E3F99">
            <w:pPr>
              <w:pStyle w:val="TableText0"/>
              <w:keepLines/>
            </w:pPr>
          </w:p>
        </w:tc>
        <w:tc>
          <w:tcPr>
            <w:tcW w:w="873" w:type="pct"/>
          </w:tcPr>
          <w:p w14:paraId="19DAB3F8" w14:textId="77777777" w:rsidR="00826D3B" w:rsidRPr="00C34520" w:rsidRDefault="00826D3B" w:rsidP="000E3F99">
            <w:pPr>
              <w:pStyle w:val="TableText0"/>
              <w:keepLines/>
            </w:pPr>
          </w:p>
        </w:tc>
        <w:tc>
          <w:tcPr>
            <w:tcW w:w="793" w:type="pct"/>
            <w:shd w:val="clear" w:color="auto" w:fill="FF0000"/>
          </w:tcPr>
          <w:p w14:paraId="7636FEB7" w14:textId="77777777" w:rsidR="00826D3B" w:rsidRPr="00C34520" w:rsidRDefault="00826D3B" w:rsidP="000E3F99">
            <w:pPr>
              <w:pStyle w:val="TableText0"/>
              <w:keepLines/>
            </w:pPr>
          </w:p>
        </w:tc>
        <w:tc>
          <w:tcPr>
            <w:tcW w:w="795" w:type="pct"/>
            <w:shd w:val="clear" w:color="auto" w:fill="FF0000"/>
          </w:tcPr>
          <w:p w14:paraId="36D6B994" w14:textId="77777777" w:rsidR="00826D3B" w:rsidRPr="00C34520" w:rsidRDefault="00826D3B" w:rsidP="000E3F99">
            <w:pPr>
              <w:pStyle w:val="TableText0"/>
              <w:keepLines/>
            </w:pPr>
          </w:p>
        </w:tc>
        <w:tc>
          <w:tcPr>
            <w:tcW w:w="1032" w:type="pct"/>
            <w:shd w:val="clear" w:color="auto" w:fill="FF0000"/>
          </w:tcPr>
          <w:p w14:paraId="669A296C" w14:textId="77777777" w:rsidR="00826D3B" w:rsidRPr="00C34520" w:rsidRDefault="00826D3B" w:rsidP="000E3F99">
            <w:pPr>
              <w:pStyle w:val="TableText0"/>
              <w:keepLines/>
            </w:pPr>
          </w:p>
        </w:tc>
      </w:tr>
      <w:tr w:rsidR="009277EB" w:rsidRPr="00C34520" w14:paraId="122ADDAA" w14:textId="77777777" w:rsidTr="00667D81">
        <w:tc>
          <w:tcPr>
            <w:tcW w:w="719" w:type="pct"/>
            <w:tcBorders>
              <w:bottom w:val="single" w:sz="4" w:space="0" w:color="auto"/>
            </w:tcBorders>
          </w:tcPr>
          <w:p w14:paraId="3BE7AD90" w14:textId="77777777" w:rsidR="00826D3B" w:rsidRPr="00C34520" w:rsidRDefault="00826D3B" w:rsidP="000E3F99">
            <w:pPr>
              <w:pStyle w:val="TableText0"/>
              <w:keepLines/>
            </w:pPr>
            <w:r w:rsidRPr="00C34520">
              <w:t>4</w:t>
            </w:r>
          </w:p>
        </w:tc>
        <w:tc>
          <w:tcPr>
            <w:tcW w:w="788" w:type="pct"/>
            <w:tcBorders>
              <w:bottom w:val="single" w:sz="4" w:space="0" w:color="auto"/>
            </w:tcBorders>
          </w:tcPr>
          <w:p w14:paraId="41FA4EB8" w14:textId="77777777" w:rsidR="00826D3B" w:rsidRPr="00C34520" w:rsidDel="004C1F32" w:rsidRDefault="00826D3B" w:rsidP="000E3F99">
            <w:pPr>
              <w:pStyle w:val="TableText0"/>
              <w:keepLines/>
            </w:pPr>
          </w:p>
        </w:tc>
        <w:tc>
          <w:tcPr>
            <w:tcW w:w="873" w:type="pct"/>
            <w:tcBorders>
              <w:bottom w:val="single" w:sz="4" w:space="0" w:color="auto"/>
            </w:tcBorders>
          </w:tcPr>
          <w:p w14:paraId="3AAAC7C7" w14:textId="77777777" w:rsidR="00826D3B" w:rsidRPr="00C34520" w:rsidRDefault="00826D3B" w:rsidP="000E3F99">
            <w:pPr>
              <w:pStyle w:val="TableText0"/>
              <w:keepLines/>
            </w:pPr>
          </w:p>
        </w:tc>
        <w:tc>
          <w:tcPr>
            <w:tcW w:w="793" w:type="pct"/>
            <w:tcBorders>
              <w:bottom w:val="single" w:sz="4" w:space="0" w:color="auto"/>
            </w:tcBorders>
            <w:shd w:val="clear" w:color="auto" w:fill="FF0000"/>
          </w:tcPr>
          <w:p w14:paraId="44BEFC74" w14:textId="77777777" w:rsidR="00826D3B" w:rsidRPr="00C34520" w:rsidRDefault="00826D3B" w:rsidP="000E3F99">
            <w:pPr>
              <w:pStyle w:val="TableText0"/>
              <w:keepLines/>
            </w:pPr>
          </w:p>
        </w:tc>
        <w:tc>
          <w:tcPr>
            <w:tcW w:w="795" w:type="pct"/>
            <w:tcBorders>
              <w:bottom w:val="single" w:sz="4" w:space="0" w:color="auto"/>
            </w:tcBorders>
          </w:tcPr>
          <w:p w14:paraId="6DE7BBD7" w14:textId="77777777" w:rsidR="00826D3B" w:rsidRPr="00C34520" w:rsidRDefault="00826D3B" w:rsidP="000E3F99">
            <w:pPr>
              <w:pStyle w:val="TableText0"/>
              <w:keepLines/>
            </w:pPr>
          </w:p>
        </w:tc>
        <w:tc>
          <w:tcPr>
            <w:tcW w:w="1032" w:type="pct"/>
            <w:tcBorders>
              <w:bottom w:val="single" w:sz="4" w:space="0" w:color="auto"/>
            </w:tcBorders>
          </w:tcPr>
          <w:p w14:paraId="6E1E0ECE" w14:textId="77777777" w:rsidR="00826D3B" w:rsidRPr="00C34520" w:rsidRDefault="00826D3B" w:rsidP="000E3F99">
            <w:pPr>
              <w:pStyle w:val="TableText0"/>
              <w:keepLines/>
            </w:pPr>
          </w:p>
        </w:tc>
      </w:tr>
      <w:tr w:rsidR="009277EB" w:rsidRPr="00C34520" w14:paraId="3B5AAD93" w14:textId="77777777" w:rsidTr="00667D81">
        <w:tc>
          <w:tcPr>
            <w:tcW w:w="719" w:type="pct"/>
            <w:tcBorders>
              <w:bottom w:val="single" w:sz="4" w:space="0" w:color="auto"/>
            </w:tcBorders>
          </w:tcPr>
          <w:p w14:paraId="11867ABB" w14:textId="77777777" w:rsidR="00826D3B" w:rsidRPr="00C34520" w:rsidRDefault="00826D3B" w:rsidP="000E3F99">
            <w:pPr>
              <w:pStyle w:val="TableText0"/>
              <w:keepLines/>
            </w:pPr>
            <w:r w:rsidRPr="00C34520">
              <w:t>5</w:t>
            </w:r>
          </w:p>
        </w:tc>
        <w:tc>
          <w:tcPr>
            <w:tcW w:w="788" w:type="pct"/>
            <w:tcBorders>
              <w:bottom w:val="single" w:sz="4" w:space="0" w:color="auto"/>
            </w:tcBorders>
          </w:tcPr>
          <w:p w14:paraId="6F1F25B5" w14:textId="77777777" w:rsidR="00826D3B" w:rsidRPr="00C34520" w:rsidDel="004C1F32" w:rsidRDefault="00826D3B" w:rsidP="000E3F99">
            <w:pPr>
              <w:pStyle w:val="TableText0"/>
              <w:keepLines/>
            </w:pPr>
          </w:p>
        </w:tc>
        <w:tc>
          <w:tcPr>
            <w:tcW w:w="873" w:type="pct"/>
            <w:tcBorders>
              <w:bottom w:val="single" w:sz="4" w:space="0" w:color="auto"/>
            </w:tcBorders>
          </w:tcPr>
          <w:p w14:paraId="18F67F6D"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43833703" w14:textId="77777777" w:rsidR="00826D3B" w:rsidRPr="00C34520" w:rsidRDefault="00826D3B" w:rsidP="000E3F99">
            <w:pPr>
              <w:pStyle w:val="TableText0"/>
              <w:keepLines/>
            </w:pPr>
          </w:p>
        </w:tc>
        <w:tc>
          <w:tcPr>
            <w:tcW w:w="795" w:type="pct"/>
            <w:tcBorders>
              <w:bottom w:val="single" w:sz="4" w:space="0" w:color="auto"/>
            </w:tcBorders>
          </w:tcPr>
          <w:p w14:paraId="1BE253B2" w14:textId="77777777" w:rsidR="00826D3B" w:rsidRPr="00C34520" w:rsidRDefault="00826D3B" w:rsidP="000E3F99">
            <w:pPr>
              <w:pStyle w:val="TableText0"/>
              <w:keepLines/>
            </w:pPr>
          </w:p>
        </w:tc>
        <w:tc>
          <w:tcPr>
            <w:tcW w:w="1032" w:type="pct"/>
            <w:tcBorders>
              <w:bottom w:val="single" w:sz="4" w:space="0" w:color="auto"/>
            </w:tcBorders>
          </w:tcPr>
          <w:p w14:paraId="54B192D4" w14:textId="77777777" w:rsidR="00826D3B" w:rsidRPr="00C34520" w:rsidRDefault="00826D3B" w:rsidP="000E3F99">
            <w:pPr>
              <w:pStyle w:val="TableText0"/>
              <w:keepLines/>
            </w:pPr>
          </w:p>
        </w:tc>
      </w:tr>
      <w:tr w:rsidR="009277EB" w:rsidRPr="00C34520" w14:paraId="2BD72A87" w14:textId="77777777" w:rsidTr="00667D81">
        <w:tc>
          <w:tcPr>
            <w:tcW w:w="719" w:type="pct"/>
            <w:tcBorders>
              <w:bottom w:val="single" w:sz="4" w:space="0" w:color="auto"/>
            </w:tcBorders>
          </w:tcPr>
          <w:p w14:paraId="20C1C316" w14:textId="77777777" w:rsidR="00826D3B" w:rsidRPr="00C34520" w:rsidRDefault="00826D3B" w:rsidP="000E3F99">
            <w:pPr>
              <w:pStyle w:val="TableText0"/>
              <w:keepLines/>
            </w:pPr>
            <w:r w:rsidRPr="00C34520">
              <w:t>6A</w:t>
            </w:r>
          </w:p>
        </w:tc>
        <w:tc>
          <w:tcPr>
            <w:tcW w:w="788" w:type="pct"/>
            <w:tcBorders>
              <w:bottom w:val="single" w:sz="4" w:space="0" w:color="auto"/>
            </w:tcBorders>
          </w:tcPr>
          <w:p w14:paraId="4465DEEF"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FF0000"/>
          </w:tcPr>
          <w:p w14:paraId="13265CA8"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41BD46BD" w14:textId="77777777" w:rsidR="00826D3B" w:rsidRPr="00C34520" w:rsidRDefault="00826D3B" w:rsidP="000E3F99">
            <w:pPr>
              <w:pStyle w:val="TableText0"/>
              <w:keepLines/>
            </w:pPr>
          </w:p>
        </w:tc>
        <w:tc>
          <w:tcPr>
            <w:tcW w:w="795" w:type="pct"/>
            <w:tcBorders>
              <w:bottom w:val="single" w:sz="4" w:space="0" w:color="auto"/>
            </w:tcBorders>
          </w:tcPr>
          <w:p w14:paraId="154F92DC" w14:textId="77777777" w:rsidR="00826D3B" w:rsidRPr="00C34520" w:rsidRDefault="00826D3B" w:rsidP="000E3F99">
            <w:pPr>
              <w:pStyle w:val="TableText0"/>
              <w:keepLines/>
            </w:pPr>
          </w:p>
        </w:tc>
        <w:tc>
          <w:tcPr>
            <w:tcW w:w="1032" w:type="pct"/>
            <w:tcBorders>
              <w:bottom w:val="single" w:sz="4" w:space="0" w:color="auto"/>
            </w:tcBorders>
          </w:tcPr>
          <w:p w14:paraId="28C1BF5D" w14:textId="77777777" w:rsidR="00826D3B" w:rsidRPr="00C34520" w:rsidRDefault="00826D3B" w:rsidP="000E3F99">
            <w:pPr>
              <w:pStyle w:val="TableText0"/>
              <w:keepLines/>
            </w:pPr>
          </w:p>
        </w:tc>
      </w:tr>
      <w:tr w:rsidR="009277EB" w:rsidRPr="00C34520" w14:paraId="1D927455" w14:textId="77777777" w:rsidTr="00667D81">
        <w:tc>
          <w:tcPr>
            <w:tcW w:w="719" w:type="pct"/>
            <w:tcBorders>
              <w:bottom w:val="single" w:sz="4" w:space="0" w:color="auto"/>
            </w:tcBorders>
          </w:tcPr>
          <w:p w14:paraId="78874B6A" w14:textId="77777777" w:rsidR="00826D3B" w:rsidRPr="00C34520" w:rsidRDefault="00826D3B" w:rsidP="000E3F99">
            <w:pPr>
              <w:pStyle w:val="TableText0"/>
              <w:keepLines/>
            </w:pPr>
            <w:r w:rsidRPr="00C34520">
              <w:t>6B</w:t>
            </w:r>
          </w:p>
        </w:tc>
        <w:tc>
          <w:tcPr>
            <w:tcW w:w="788" w:type="pct"/>
            <w:tcBorders>
              <w:bottom w:val="single" w:sz="4" w:space="0" w:color="auto"/>
            </w:tcBorders>
            <w:shd w:val="clear" w:color="auto" w:fill="FF0000"/>
          </w:tcPr>
          <w:p w14:paraId="7965218F"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FF0000"/>
          </w:tcPr>
          <w:p w14:paraId="37C55520"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285F6EF0" w14:textId="77777777" w:rsidR="00826D3B" w:rsidRPr="00C34520" w:rsidRDefault="00826D3B" w:rsidP="000E3F99">
            <w:pPr>
              <w:pStyle w:val="TableText0"/>
              <w:keepLines/>
            </w:pPr>
          </w:p>
        </w:tc>
        <w:tc>
          <w:tcPr>
            <w:tcW w:w="795" w:type="pct"/>
            <w:tcBorders>
              <w:bottom w:val="single" w:sz="4" w:space="0" w:color="auto"/>
            </w:tcBorders>
          </w:tcPr>
          <w:p w14:paraId="702FBD82" w14:textId="77777777" w:rsidR="00826D3B" w:rsidRPr="00C34520" w:rsidRDefault="00826D3B" w:rsidP="000E3F99">
            <w:pPr>
              <w:pStyle w:val="TableText0"/>
              <w:keepLines/>
            </w:pPr>
          </w:p>
        </w:tc>
        <w:tc>
          <w:tcPr>
            <w:tcW w:w="1032" w:type="pct"/>
            <w:tcBorders>
              <w:bottom w:val="single" w:sz="4" w:space="0" w:color="auto"/>
            </w:tcBorders>
          </w:tcPr>
          <w:p w14:paraId="728619A3" w14:textId="77777777" w:rsidR="00826D3B" w:rsidRPr="00C34520" w:rsidRDefault="00826D3B" w:rsidP="000E3F99">
            <w:pPr>
              <w:pStyle w:val="TableText0"/>
              <w:keepLines/>
            </w:pPr>
          </w:p>
        </w:tc>
      </w:tr>
      <w:tr w:rsidR="009277EB" w:rsidRPr="00C34520" w14:paraId="3145A7CC" w14:textId="77777777" w:rsidTr="00667D81">
        <w:tc>
          <w:tcPr>
            <w:tcW w:w="719" w:type="pct"/>
            <w:tcBorders>
              <w:bottom w:val="single" w:sz="4" w:space="0" w:color="auto"/>
            </w:tcBorders>
          </w:tcPr>
          <w:p w14:paraId="1685ACEF" w14:textId="77777777" w:rsidR="00826D3B" w:rsidRPr="00C34520" w:rsidRDefault="00826D3B" w:rsidP="000E3F99">
            <w:pPr>
              <w:pStyle w:val="TableText0"/>
              <w:keepLines/>
            </w:pPr>
            <w:r w:rsidRPr="00C34520">
              <w:t>7F</w:t>
            </w:r>
          </w:p>
        </w:tc>
        <w:tc>
          <w:tcPr>
            <w:tcW w:w="788" w:type="pct"/>
            <w:tcBorders>
              <w:bottom w:val="single" w:sz="4" w:space="0" w:color="auto"/>
            </w:tcBorders>
            <w:shd w:val="clear" w:color="auto" w:fill="FFFFFF" w:themeFill="background1"/>
          </w:tcPr>
          <w:p w14:paraId="21480E50"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FFFFFF" w:themeFill="background1"/>
          </w:tcPr>
          <w:p w14:paraId="6459E375"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FFFF" w:themeFill="background1"/>
          </w:tcPr>
          <w:p w14:paraId="6777FBE2" w14:textId="77777777" w:rsidR="00826D3B" w:rsidRPr="00C34520" w:rsidRDefault="00826D3B" w:rsidP="000E3F99">
            <w:pPr>
              <w:pStyle w:val="TableText0"/>
              <w:keepLines/>
            </w:pPr>
          </w:p>
        </w:tc>
        <w:tc>
          <w:tcPr>
            <w:tcW w:w="795" w:type="pct"/>
            <w:tcBorders>
              <w:bottom w:val="single" w:sz="4" w:space="0" w:color="auto"/>
            </w:tcBorders>
            <w:shd w:val="clear" w:color="auto" w:fill="FFFFFF" w:themeFill="background1"/>
          </w:tcPr>
          <w:p w14:paraId="0106FB07" w14:textId="77777777" w:rsidR="00826D3B" w:rsidRPr="00C34520" w:rsidRDefault="00826D3B" w:rsidP="000E3F99">
            <w:pPr>
              <w:pStyle w:val="TableText0"/>
              <w:keepLines/>
            </w:pPr>
          </w:p>
        </w:tc>
        <w:tc>
          <w:tcPr>
            <w:tcW w:w="1032" w:type="pct"/>
            <w:tcBorders>
              <w:bottom w:val="single" w:sz="4" w:space="0" w:color="auto"/>
            </w:tcBorders>
          </w:tcPr>
          <w:p w14:paraId="03D8DA91" w14:textId="77777777" w:rsidR="00826D3B" w:rsidRPr="00C34520" w:rsidRDefault="00826D3B" w:rsidP="000E3F99">
            <w:pPr>
              <w:pStyle w:val="TableText0"/>
              <w:keepLines/>
            </w:pPr>
          </w:p>
        </w:tc>
      </w:tr>
      <w:tr w:rsidR="009277EB" w:rsidRPr="00C34520" w14:paraId="3517B470" w14:textId="77777777" w:rsidTr="00667D81">
        <w:tc>
          <w:tcPr>
            <w:tcW w:w="719" w:type="pct"/>
            <w:tcBorders>
              <w:bottom w:val="single" w:sz="4" w:space="0" w:color="auto"/>
            </w:tcBorders>
          </w:tcPr>
          <w:p w14:paraId="58430825" w14:textId="77777777" w:rsidR="00826D3B" w:rsidRPr="00C34520" w:rsidRDefault="00826D3B" w:rsidP="000E3F99">
            <w:pPr>
              <w:pStyle w:val="TableText0"/>
              <w:keepLines/>
            </w:pPr>
            <w:r w:rsidRPr="00C34520">
              <w:t>9V</w:t>
            </w:r>
          </w:p>
        </w:tc>
        <w:tc>
          <w:tcPr>
            <w:tcW w:w="788" w:type="pct"/>
            <w:tcBorders>
              <w:bottom w:val="single" w:sz="4" w:space="0" w:color="auto"/>
            </w:tcBorders>
          </w:tcPr>
          <w:p w14:paraId="1E9C557D"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FF0000"/>
          </w:tcPr>
          <w:p w14:paraId="6E8856B4"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7F731D5D" w14:textId="77777777" w:rsidR="00826D3B" w:rsidRPr="00C34520" w:rsidRDefault="00826D3B" w:rsidP="000E3F99">
            <w:pPr>
              <w:pStyle w:val="TableText0"/>
              <w:keepLines/>
            </w:pPr>
          </w:p>
        </w:tc>
        <w:tc>
          <w:tcPr>
            <w:tcW w:w="795" w:type="pct"/>
            <w:tcBorders>
              <w:bottom w:val="single" w:sz="4" w:space="0" w:color="auto"/>
            </w:tcBorders>
          </w:tcPr>
          <w:p w14:paraId="7E3A813A" w14:textId="77777777" w:rsidR="00826D3B" w:rsidRPr="00C34520" w:rsidRDefault="00826D3B" w:rsidP="000E3F99">
            <w:pPr>
              <w:pStyle w:val="TableText0"/>
              <w:keepLines/>
            </w:pPr>
          </w:p>
        </w:tc>
        <w:tc>
          <w:tcPr>
            <w:tcW w:w="1032" w:type="pct"/>
            <w:tcBorders>
              <w:bottom w:val="single" w:sz="4" w:space="0" w:color="auto"/>
            </w:tcBorders>
          </w:tcPr>
          <w:p w14:paraId="257C856F" w14:textId="77777777" w:rsidR="00826D3B" w:rsidRPr="00C34520" w:rsidRDefault="00826D3B" w:rsidP="000E3F99">
            <w:pPr>
              <w:pStyle w:val="TableText0"/>
              <w:keepLines/>
            </w:pPr>
          </w:p>
        </w:tc>
      </w:tr>
      <w:tr w:rsidR="009277EB" w:rsidRPr="00C34520" w14:paraId="19FF0F3B" w14:textId="77777777" w:rsidTr="00667D81">
        <w:tc>
          <w:tcPr>
            <w:tcW w:w="719" w:type="pct"/>
            <w:tcBorders>
              <w:bottom w:val="single" w:sz="4" w:space="0" w:color="auto"/>
            </w:tcBorders>
          </w:tcPr>
          <w:p w14:paraId="6972009B" w14:textId="77777777" w:rsidR="00826D3B" w:rsidRPr="00C34520" w:rsidRDefault="00826D3B" w:rsidP="000E3F99">
            <w:pPr>
              <w:pStyle w:val="TableText0"/>
              <w:keepLines/>
            </w:pPr>
            <w:r w:rsidRPr="00C34520">
              <w:t>14</w:t>
            </w:r>
          </w:p>
        </w:tc>
        <w:tc>
          <w:tcPr>
            <w:tcW w:w="788" w:type="pct"/>
            <w:tcBorders>
              <w:bottom w:val="single" w:sz="4" w:space="0" w:color="auto"/>
            </w:tcBorders>
          </w:tcPr>
          <w:p w14:paraId="558E24EE"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FFFFFF" w:themeFill="background1"/>
          </w:tcPr>
          <w:p w14:paraId="492BAA82"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FFFF" w:themeFill="background1"/>
          </w:tcPr>
          <w:p w14:paraId="2B391438" w14:textId="77777777" w:rsidR="00826D3B" w:rsidRPr="00C34520" w:rsidRDefault="00826D3B" w:rsidP="000E3F99">
            <w:pPr>
              <w:pStyle w:val="TableText0"/>
              <w:keepLines/>
            </w:pPr>
          </w:p>
        </w:tc>
        <w:tc>
          <w:tcPr>
            <w:tcW w:w="795" w:type="pct"/>
            <w:tcBorders>
              <w:bottom w:val="single" w:sz="4" w:space="0" w:color="auto"/>
            </w:tcBorders>
          </w:tcPr>
          <w:p w14:paraId="47C97DC3" w14:textId="77777777" w:rsidR="00826D3B" w:rsidRPr="00C34520" w:rsidRDefault="00826D3B" w:rsidP="000E3F99">
            <w:pPr>
              <w:pStyle w:val="TableText0"/>
              <w:keepLines/>
            </w:pPr>
          </w:p>
        </w:tc>
        <w:tc>
          <w:tcPr>
            <w:tcW w:w="1032" w:type="pct"/>
            <w:tcBorders>
              <w:bottom w:val="single" w:sz="4" w:space="0" w:color="auto"/>
            </w:tcBorders>
          </w:tcPr>
          <w:p w14:paraId="17EA7E61" w14:textId="77777777" w:rsidR="00826D3B" w:rsidRPr="00C34520" w:rsidRDefault="00826D3B" w:rsidP="000E3F99">
            <w:pPr>
              <w:pStyle w:val="TableText0"/>
              <w:keepLines/>
            </w:pPr>
          </w:p>
        </w:tc>
      </w:tr>
      <w:tr w:rsidR="009277EB" w:rsidRPr="00C34520" w14:paraId="4F6BAD93" w14:textId="77777777" w:rsidTr="00667D81">
        <w:tc>
          <w:tcPr>
            <w:tcW w:w="719" w:type="pct"/>
            <w:tcBorders>
              <w:bottom w:val="single" w:sz="4" w:space="0" w:color="auto"/>
            </w:tcBorders>
          </w:tcPr>
          <w:p w14:paraId="68F8028D" w14:textId="77777777" w:rsidR="00826D3B" w:rsidRPr="00C34520" w:rsidRDefault="00826D3B" w:rsidP="000E3F99">
            <w:pPr>
              <w:pStyle w:val="TableText0"/>
              <w:keepLines/>
            </w:pPr>
            <w:r w:rsidRPr="00C34520">
              <w:t>18C</w:t>
            </w:r>
          </w:p>
        </w:tc>
        <w:tc>
          <w:tcPr>
            <w:tcW w:w="788" w:type="pct"/>
            <w:tcBorders>
              <w:bottom w:val="single" w:sz="4" w:space="0" w:color="auto"/>
            </w:tcBorders>
          </w:tcPr>
          <w:p w14:paraId="0D86DD4D" w14:textId="77777777" w:rsidR="00826D3B" w:rsidRPr="00C34520" w:rsidDel="004C1F32" w:rsidRDefault="00826D3B" w:rsidP="000E3F99">
            <w:pPr>
              <w:pStyle w:val="TableText0"/>
              <w:keepLines/>
            </w:pPr>
          </w:p>
        </w:tc>
        <w:tc>
          <w:tcPr>
            <w:tcW w:w="873" w:type="pct"/>
            <w:tcBorders>
              <w:bottom w:val="single" w:sz="4" w:space="0" w:color="auto"/>
            </w:tcBorders>
          </w:tcPr>
          <w:p w14:paraId="09E4930A"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20E9A5BA" w14:textId="77777777" w:rsidR="00826D3B" w:rsidRPr="00C34520" w:rsidRDefault="00826D3B" w:rsidP="000E3F99">
            <w:pPr>
              <w:pStyle w:val="TableText0"/>
              <w:keepLines/>
            </w:pPr>
          </w:p>
        </w:tc>
        <w:tc>
          <w:tcPr>
            <w:tcW w:w="795" w:type="pct"/>
            <w:tcBorders>
              <w:bottom w:val="single" w:sz="4" w:space="0" w:color="auto"/>
            </w:tcBorders>
          </w:tcPr>
          <w:p w14:paraId="3E8781CC" w14:textId="77777777" w:rsidR="00826D3B" w:rsidRPr="00C34520" w:rsidRDefault="00826D3B" w:rsidP="000E3F99">
            <w:pPr>
              <w:pStyle w:val="TableText0"/>
              <w:keepLines/>
            </w:pPr>
          </w:p>
        </w:tc>
        <w:tc>
          <w:tcPr>
            <w:tcW w:w="1032" w:type="pct"/>
            <w:tcBorders>
              <w:bottom w:val="single" w:sz="4" w:space="0" w:color="auto"/>
            </w:tcBorders>
          </w:tcPr>
          <w:p w14:paraId="6F8B55E9" w14:textId="77777777" w:rsidR="00826D3B" w:rsidRPr="00C34520" w:rsidRDefault="00826D3B" w:rsidP="000E3F99">
            <w:pPr>
              <w:pStyle w:val="TableText0"/>
              <w:keepLines/>
            </w:pPr>
          </w:p>
        </w:tc>
      </w:tr>
      <w:tr w:rsidR="009277EB" w:rsidRPr="00C34520" w14:paraId="62C9672A" w14:textId="77777777" w:rsidTr="00667D81">
        <w:tc>
          <w:tcPr>
            <w:tcW w:w="719" w:type="pct"/>
            <w:tcBorders>
              <w:bottom w:val="single" w:sz="4" w:space="0" w:color="auto"/>
            </w:tcBorders>
          </w:tcPr>
          <w:p w14:paraId="70EEC9D3" w14:textId="77777777" w:rsidR="00826D3B" w:rsidRPr="00C34520" w:rsidRDefault="00826D3B" w:rsidP="000E3F99">
            <w:pPr>
              <w:pStyle w:val="TableText0"/>
              <w:keepLines/>
            </w:pPr>
            <w:r w:rsidRPr="00C34520">
              <w:t>19A</w:t>
            </w:r>
          </w:p>
        </w:tc>
        <w:tc>
          <w:tcPr>
            <w:tcW w:w="788" w:type="pct"/>
            <w:tcBorders>
              <w:bottom w:val="single" w:sz="4" w:space="0" w:color="auto"/>
            </w:tcBorders>
          </w:tcPr>
          <w:p w14:paraId="13C1934C" w14:textId="77777777" w:rsidR="00826D3B" w:rsidRPr="00C34520" w:rsidDel="004C1F32" w:rsidRDefault="00826D3B" w:rsidP="000E3F99">
            <w:pPr>
              <w:pStyle w:val="TableText0"/>
              <w:keepLines/>
            </w:pPr>
          </w:p>
        </w:tc>
        <w:tc>
          <w:tcPr>
            <w:tcW w:w="873" w:type="pct"/>
            <w:tcBorders>
              <w:bottom w:val="single" w:sz="4" w:space="0" w:color="auto"/>
            </w:tcBorders>
          </w:tcPr>
          <w:p w14:paraId="043C96F7"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FFFF" w:themeFill="background1"/>
          </w:tcPr>
          <w:p w14:paraId="237838BB" w14:textId="77777777" w:rsidR="00826D3B" w:rsidRPr="00C34520" w:rsidRDefault="00826D3B" w:rsidP="000E3F99">
            <w:pPr>
              <w:pStyle w:val="TableText0"/>
              <w:keepLines/>
            </w:pPr>
          </w:p>
        </w:tc>
        <w:tc>
          <w:tcPr>
            <w:tcW w:w="795" w:type="pct"/>
            <w:tcBorders>
              <w:bottom w:val="single" w:sz="4" w:space="0" w:color="auto"/>
            </w:tcBorders>
          </w:tcPr>
          <w:p w14:paraId="56251DD9" w14:textId="77777777" w:rsidR="00826D3B" w:rsidRPr="00C34520" w:rsidRDefault="00826D3B" w:rsidP="000E3F99">
            <w:pPr>
              <w:pStyle w:val="TableText0"/>
              <w:keepLines/>
            </w:pPr>
          </w:p>
        </w:tc>
        <w:tc>
          <w:tcPr>
            <w:tcW w:w="1032" w:type="pct"/>
            <w:tcBorders>
              <w:bottom w:val="single" w:sz="4" w:space="0" w:color="auto"/>
            </w:tcBorders>
          </w:tcPr>
          <w:p w14:paraId="68F6E559" w14:textId="77777777" w:rsidR="00826D3B" w:rsidRPr="00C34520" w:rsidRDefault="00826D3B" w:rsidP="000E3F99">
            <w:pPr>
              <w:pStyle w:val="TableText0"/>
              <w:keepLines/>
            </w:pPr>
          </w:p>
        </w:tc>
      </w:tr>
      <w:tr w:rsidR="009277EB" w:rsidRPr="00C34520" w14:paraId="3057C3DD" w14:textId="77777777" w:rsidTr="00667D81">
        <w:tc>
          <w:tcPr>
            <w:tcW w:w="719" w:type="pct"/>
            <w:tcBorders>
              <w:bottom w:val="single" w:sz="4" w:space="0" w:color="auto"/>
            </w:tcBorders>
          </w:tcPr>
          <w:p w14:paraId="63879C4F" w14:textId="77777777" w:rsidR="00826D3B" w:rsidRPr="00C34520" w:rsidRDefault="00826D3B" w:rsidP="000E3F99">
            <w:pPr>
              <w:pStyle w:val="TableText0"/>
              <w:keepLines/>
            </w:pPr>
            <w:r w:rsidRPr="00C34520">
              <w:t>19F</w:t>
            </w:r>
          </w:p>
        </w:tc>
        <w:tc>
          <w:tcPr>
            <w:tcW w:w="788" w:type="pct"/>
            <w:tcBorders>
              <w:bottom w:val="single" w:sz="4" w:space="0" w:color="auto"/>
            </w:tcBorders>
          </w:tcPr>
          <w:p w14:paraId="64846BAC" w14:textId="77777777" w:rsidR="00826D3B" w:rsidRPr="00C34520" w:rsidDel="004C1F32" w:rsidRDefault="00826D3B" w:rsidP="000E3F99">
            <w:pPr>
              <w:pStyle w:val="TableText0"/>
              <w:keepLines/>
            </w:pPr>
          </w:p>
        </w:tc>
        <w:tc>
          <w:tcPr>
            <w:tcW w:w="873" w:type="pct"/>
            <w:tcBorders>
              <w:bottom w:val="single" w:sz="4" w:space="0" w:color="auto"/>
            </w:tcBorders>
          </w:tcPr>
          <w:p w14:paraId="472391AE"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FFFF" w:themeFill="background1"/>
          </w:tcPr>
          <w:p w14:paraId="3A98A524" w14:textId="77777777" w:rsidR="00826D3B" w:rsidRPr="00C34520" w:rsidRDefault="00826D3B" w:rsidP="000E3F99">
            <w:pPr>
              <w:pStyle w:val="TableText0"/>
              <w:keepLines/>
            </w:pPr>
          </w:p>
        </w:tc>
        <w:tc>
          <w:tcPr>
            <w:tcW w:w="795" w:type="pct"/>
            <w:tcBorders>
              <w:bottom w:val="single" w:sz="4" w:space="0" w:color="auto"/>
            </w:tcBorders>
          </w:tcPr>
          <w:p w14:paraId="0D042342" w14:textId="77777777" w:rsidR="00826D3B" w:rsidRPr="00C34520" w:rsidRDefault="00826D3B" w:rsidP="000E3F99">
            <w:pPr>
              <w:pStyle w:val="TableText0"/>
              <w:keepLines/>
            </w:pPr>
          </w:p>
        </w:tc>
        <w:tc>
          <w:tcPr>
            <w:tcW w:w="1032" w:type="pct"/>
            <w:tcBorders>
              <w:bottom w:val="single" w:sz="4" w:space="0" w:color="auto"/>
            </w:tcBorders>
          </w:tcPr>
          <w:p w14:paraId="72C951E5" w14:textId="77777777" w:rsidR="00826D3B" w:rsidRPr="00C34520" w:rsidRDefault="00826D3B" w:rsidP="000E3F99">
            <w:pPr>
              <w:pStyle w:val="TableText0"/>
              <w:keepLines/>
            </w:pPr>
          </w:p>
        </w:tc>
      </w:tr>
      <w:tr w:rsidR="009277EB" w:rsidRPr="00C34520" w14:paraId="2BDC4614" w14:textId="77777777" w:rsidTr="00667D81">
        <w:tc>
          <w:tcPr>
            <w:tcW w:w="719" w:type="pct"/>
            <w:tcBorders>
              <w:bottom w:val="single" w:sz="4" w:space="0" w:color="auto"/>
            </w:tcBorders>
          </w:tcPr>
          <w:p w14:paraId="3201D0EC" w14:textId="77777777" w:rsidR="00826D3B" w:rsidRPr="00C34520" w:rsidRDefault="00826D3B" w:rsidP="000E3F99">
            <w:pPr>
              <w:pStyle w:val="TableText0"/>
              <w:keepLines/>
            </w:pPr>
            <w:r w:rsidRPr="00C34520">
              <w:t>23F</w:t>
            </w:r>
          </w:p>
        </w:tc>
        <w:tc>
          <w:tcPr>
            <w:tcW w:w="788" w:type="pct"/>
            <w:tcBorders>
              <w:bottom w:val="single" w:sz="4" w:space="0" w:color="auto"/>
            </w:tcBorders>
          </w:tcPr>
          <w:p w14:paraId="0AB8CD32"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FF0000"/>
          </w:tcPr>
          <w:p w14:paraId="6EA4BA5F"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408ECC18" w14:textId="77777777" w:rsidR="00826D3B" w:rsidRPr="00C34520" w:rsidRDefault="00826D3B" w:rsidP="000E3F99">
            <w:pPr>
              <w:pStyle w:val="TableText0"/>
              <w:keepLines/>
            </w:pPr>
          </w:p>
        </w:tc>
        <w:tc>
          <w:tcPr>
            <w:tcW w:w="795" w:type="pct"/>
            <w:tcBorders>
              <w:bottom w:val="single" w:sz="4" w:space="0" w:color="auto"/>
            </w:tcBorders>
          </w:tcPr>
          <w:p w14:paraId="413878AE" w14:textId="77777777" w:rsidR="00826D3B" w:rsidRPr="00C34520" w:rsidRDefault="00826D3B" w:rsidP="000E3F99">
            <w:pPr>
              <w:pStyle w:val="TableText0"/>
              <w:keepLines/>
            </w:pPr>
          </w:p>
        </w:tc>
        <w:tc>
          <w:tcPr>
            <w:tcW w:w="1032" w:type="pct"/>
            <w:tcBorders>
              <w:bottom w:val="single" w:sz="4" w:space="0" w:color="auto"/>
            </w:tcBorders>
          </w:tcPr>
          <w:p w14:paraId="2E7A7B63" w14:textId="77777777" w:rsidR="00826D3B" w:rsidRPr="00C34520" w:rsidRDefault="00826D3B" w:rsidP="000E3F99">
            <w:pPr>
              <w:pStyle w:val="TableText0"/>
              <w:keepLines/>
            </w:pPr>
          </w:p>
        </w:tc>
      </w:tr>
      <w:tr w:rsidR="00826D3B" w:rsidRPr="00C34520" w14:paraId="12C692B3" w14:textId="77777777" w:rsidTr="00667D81">
        <w:tc>
          <w:tcPr>
            <w:tcW w:w="5000" w:type="pct"/>
            <w:gridSpan w:val="6"/>
            <w:tcBorders>
              <w:bottom w:val="single" w:sz="4" w:space="0" w:color="auto"/>
            </w:tcBorders>
          </w:tcPr>
          <w:p w14:paraId="3C794130" w14:textId="43BC8C5A" w:rsidR="00826D3B" w:rsidRPr="00EB2007" w:rsidRDefault="00826D3B" w:rsidP="000E3F99">
            <w:pPr>
              <w:pStyle w:val="TableText0"/>
              <w:keepLines/>
              <w:rPr>
                <w:b/>
                <w:bCs w:val="0"/>
                <w:vertAlign w:val="superscript"/>
              </w:rPr>
            </w:pPr>
            <w:r w:rsidRPr="00C34520">
              <w:rPr>
                <w:b/>
                <w:bCs w:val="0"/>
              </w:rPr>
              <w:t>15vPCV additional (to 5%</w:t>
            </w:r>
            <w:r w:rsidRPr="00C34520">
              <w:rPr>
                <w:b/>
                <w:bCs w:val="0"/>
                <w:vertAlign w:val="superscript"/>
              </w:rPr>
              <w:t>c</w:t>
            </w:r>
            <w:r w:rsidRPr="00C34520">
              <w:rPr>
                <w:b/>
                <w:bCs w:val="0"/>
              </w:rPr>
              <w:t xml:space="preserve"> to 10%</w:t>
            </w:r>
            <w:r w:rsidRPr="00C34520">
              <w:rPr>
                <w:b/>
                <w:bCs w:val="0"/>
                <w:vertAlign w:val="superscript"/>
              </w:rPr>
              <w:t>b</w:t>
            </w:r>
            <w:r w:rsidRPr="00C34520">
              <w:rPr>
                <w:b/>
                <w:bCs w:val="0"/>
              </w:rPr>
              <w:t xml:space="preserve"> of cases)</w:t>
            </w:r>
            <w:r w:rsidR="00E51E76">
              <w:rPr>
                <w:b/>
                <w:bCs w:val="0"/>
              </w:rPr>
              <w:t xml:space="preserve"> </w:t>
            </w:r>
            <w:r w:rsidR="00EB2007">
              <w:rPr>
                <w:b/>
                <w:bCs w:val="0"/>
                <w:vertAlign w:val="superscript"/>
              </w:rPr>
              <w:t>e</w:t>
            </w:r>
          </w:p>
        </w:tc>
      </w:tr>
      <w:tr w:rsidR="009277EB" w:rsidRPr="00C34520" w14:paraId="43075A60" w14:textId="77777777" w:rsidTr="00667D81">
        <w:tc>
          <w:tcPr>
            <w:tcW w:w="719" w:type="pct"/>
            <w:tcBorders>
              <w:bottom w:val="single" w:sz="4" w:space="0" w:color="auto"/>
            </w:tcBorders>
          </w:tcPr>
          <w:p w14:paraId="66F6A2B5" w14:textId="77777777" w:rsidR="00826D3B" w:rsidRPr="00C34520" w:rsidRDefault="00826D3B" w:rsidP="000E3F99">
            <w:pPr>
              <w:pStyle w:val="TableText0"/>
              <w:keepLines/>
            </w:pPr>
            <w:r w:rsidRPr="00C34520">
              <w:t>22F</w:t>
            </w:r>
          </w:p>
        </w:tc>
        <w:tc>
          <w:tcPr>
            <w:tcW w:w="788" w:type="pct"/>
            <w:tcBorders>
              <w:bottom w:val="single" w:sz="4" w:space="0" w:color="auto"/>
            </w:tcBorders>
            <w:shd w:val="clear" w:color="auto" w:fill="D6E3BC" w:themeFill="accent3" w:themeFillTint="66"/>
          </w:tcPr>
          <w:p w14:paraId="1ECCF71C"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3830C297"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D6E3BC" w:themeFill="accent3" w:themeFillTint="66"/>
          </w:tcPr>
          <w:p w14:paraId="41A5F764" w14:textId="77777777" w:rsidR="00826D3B" w:rsidRPr="00C34520" w:rsidRDefault="00826D3B" w:rsidP="000E3F99">
            <w:pPr>
              <w:pStyle w:val="TableText0"/>
              <w:keepLines/>
            </w:pPr>
          </w:p>
        </w:tc>
        <w:tc>
          <w:tcPr>
            <w:tcW w:w="795" w:type="pct"/>
            <w:tcBorders>
              <w:bottom w:val="single" w:sz="4" w:space="0" w:color="auto"/>
            </w:tcBorders>
            <w:shd w:val="clear" w:color="auto" w:fill="D6E3BC" w:themeFill="accent3" w:themeFillTint="66"/>
          </w:tcPr>
          <w:p w14:paraId="17109DAF" w14:textId="77777777" w:rsidR="00826D3B" w:rsidRPr="00C34520" w:rsidRDefault="00826D3B" w:rsidP="000E3F99">
            <w:pPr>
              <w:pStyle w:val="TableText0"/>
              <w:keepLines/>
            </w:pPr>
          </w:p>
        </w:tc>
        <w:tc>
          <w:tcPr>
            <w:tcW w:w="1032" w:type="pct"/>
            <w:tcBorders>
              <w:bottom w:val="single" w:sz="4" w:space="0" w:color="auto"/>
            </w:tcBorders>
            <w:shd w:val="clear" w:color="auto" w:fill="D6E3BC" w:themeFill="accent3" w:themeFillTint="66"/>
          </w:tcPr>
          <w:p w14:paraId="737DFAB1" w14:textId="77777777" w:rsidR="00826D3B" w:rsidRPr="00C34520" w:rsidRDefault="00826D3B" w:rsidP="000E3F99">
            <w:pPr>
              <w:pStyle w:val="TableText0"/>
              <w:keepLines/>
            </w:pPr>
          </w:p>
        </w:tc>
      </w:tr>
      <w:tr w:rsidR="009277EB" w:rsidRPr="00C34520" w14:paraId="5BE22210" w14:textId="77777777" w:rsidTr="00667D81">
        <w:tc>
          <w:tcPr>
            <w:tcW w:w="719" w:type="pct"/>
            <w:tcBorders>
              <w:bottom w:val="single" w:sz="4" w:space="0" w:color="auto"/>
            </w:tcBorders>
          </w:tcPr>
          <w:p w14:paraId="0C22FB4E" w14:textId="77777777" w:rsidR="00826D3B" w:rsidRPr="00C34520" w:rsidRDefault="00826D3B" w:rsidP="000E3F99">
            <w:pPr>
              <w:pStyle w:val="TableText0"/>
              <w:keepLines/>
            </w:pPr>
            <w:r w:rsidRPr="00C34520">
              <w:t>33F</w:t>
            </w:r>
          </w:p>
        </w:tc>
        <w:tc>
          <w:tcPr>
            <w:tcW w:w="788" w:type="pct"/>
            <w:tcBorders>
              <w:bottom w:val="single" w:sz="4" w:space="0" w:color="auto"/>
            </w:tcBorders>
            <w:shd w:val="clear" w:color="auto" w:fill="D6E3BC" w:themeFill="accent3" w:themeFillTint="66"/>
          </w:tcPr>
          <w:p w14:paraId="350F9E6D"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333D9331"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D6E3BC" w:themeFill="accent3" w:themeFillTint="66"/>
          </w:tcPr>
          <w:p w14:paraId="5C447F3D" w14:textId="77777777" w:rsidR="00826D3B" w:rsidRPr="00C34520" w:rsidRDefault="00826D3B" w:rsidP="000E3F99">
            <w:pPr>
              <w:pStyle w:val="TableText0"/>
              <w:keepLines/>
            </w:pPr>
          </w:p>
        </w:tc>
        <w:tc>
          <w:tcPr>
            <w:tcW w:w="795" w:type="pct"/>
            <w:tcBorders>
              <w:bottom w:val="single" w:sz="4" w:space="0" w:color="auto"/>
            </w:tcBorders>
            <w:shd w:val="clear" w:color="auto" w:fill="D6E3BC" w:themeFill="accent3" w:themeFillTint="66"/>
          </w:tcPr>
          <w:p w14:paraId="4AD22917" w14:textId="77777777" w:rsidR="00826D3B" w:rsidRPr="00C34520" w:rsidRDefault="00826D3B" w:rsidP="000E3F99">
            <w:pPr>
              <w:pStyle w:val="TableText0"/>
              <w:keepLines/>
            </w:pPr>
          </w:p>
        </w:tc>
        <w:tc>
          <w:tcPr>
            <w:tcW w:w="1032" w:type="pct"/>
            <w:tcBorders>
              <w:bottom w:val="single" w:sz="4" w:space="0" w:color="auto"/>
            </w:tcBorders>
            <w:shd w:val="clear" w:color="auto" w:fill="D6E3BC" w:themeFill="accent3" w:themeFillTint="66"/>
          </w:tcPr>
          <w:p w14:paraId="7B7F40B4" w14:textId="77777777" w:rsidR="00826D3B" w:rsidRPr="00C34520" w:rsidRDefault="00826D3B" w:rsidP="000E3F99">
            <w:pPr>
              <w:pStyle w:val="TableText0"/>
              <w:keepLines/>
            </w:pPr>
          </w:p>
        </w:tc>
      </w:tr>
      <w:tr w:rsidR="00826D3B" w:rsidRPr="00C34520" w14:paraId="2D05FB6C" w14:textId="77777777" w:rsidTr="00667D81">
        <w:tc>
          <w:tcPr>
            <w:tcW w:w="5000" w:type="pct"/>
            <w:gridSpan w:val="6"/>
            <w:tcBorders>
              <w:bottom w:val="single" w:sz="4" w:space="0" w:color="auto"/>
            </w:tcBorders>
          </w:tcPr>
          <w:p w14:paraId="0D41B694" w14:textId="5872EEE3" w:rsidR="00826D3B" w:rsidRPr="00EB2007" w:rsidRDefault="00826D3B" w:rsidP="000E3F99">
            <w:pPr>
              <w:pStyle w:val="In-tableHeading"/>
              <w:keepLines/>
              <w:rPr>
                <w:vertAlign w:val="superscript"/>
                <w:lang w:val="en-AU"/>
              </w:rPr>
            </w:pPr>
            <w:r w:rsidRPr="00C34520">
              <w:rPr>
                <w:lang w:val="en-AU"/>
              </w:rPr>
              <w:t>20vPCV additional (8%</w:t>
            </w:r>
            <w:r w:rsidRPr="00C34520">
              <w:rPr>
                <w:vertAlign w:val="superscript"/>
                <w:lang w:val="en-AU"/>
              </w:rPr>
              <w:t>c</w:t>
            </w:r>
            <w:r w:rsidRPr="00C34520">
              <w:rPr>
                <w:lang w:val="en-AU"/>
              </w:rPr>
              <w:t xml:space="preserve"> to 9%</w:t>
            </w:r>
            <w:r w:rsidRPr="00C34520">
              <w:rPr>
                <w:vertAlign w:val="superscript"/>
                <w:lang w:val="en-AU"/>
              </w:rPr>
              <w:t>b</w:t>
            </w:r>
            <w:r w:rsidRPr="00C34520">
              <w:rPr>
                <w:lang w:val="en-AU"/>
              </w:rPr>
              <w:t xml:space="preserve"> of cases)</w:t>
            </w:r>
            <w:r w:rsidR="00E51E76">
              <w:rPr>
                <w:lang w:val="en-AU"/>
              </w:rPr>
              <w:t xml:space="preserve"> </w:t>
            </w:r>
            <w:r w:rsidR="00EB2007">
              <w:rPr>
                <w:vertAlign w:val="superscript"/>
                <w:lang w:val="en-AU"/>
              </w:rPr>
              <w:t>e</w:t>
            </w:r>
          </w:p>
        </w:tc>
      </w:tr>
      <w:tr w:rsidR="009277EB" w:rsidRPr="00C34520" w14:paraId="7E12CC69" w14:textId="77777777" w:rsidTr="00667D81">
        <w:tc>
          <w:tcPr>
            <w:tcW w:w="719" w:type="pct"/>
            <w:tcBorders>
              <w:bottom w:val="single" w:sz="4" w:space="0" w:color="auto"/>
            </w:tcBorders>
          </w:tcPr>
          <w:p w14:paraId="598B25CA" w14:textId="77777777" w:rsidR="00826D3B" w:rsidRPr="00C34520" w:rsidRDefault="00826D3B" w:rsidP="000E3F99">
            <w:pPr>
              <w:pStyle w:val="TableText0"/>
              <w:keepLines/>
            </w:pPr>
            <w:r w:rsidRPr="00C34520">
              <w:t>8</w:t>
            </w:r>
          </w:p>
        </w:tc>
        <w:tc>
          <w:tcPr>
            <w:tcW w:w="788" w:type="pct"/>
            <w:tcBorders>
              <w:bottom w:val="single" w:sz="4" w:space="0" w:color="auto"/>
            </w:tcBorders>
          </w:tcPr>
          <w:p w14:paraId="4A35A221"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0699AD79"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D6E3BC" w:themeFill="accent3" w:themeFillTint="66"/>
          </w:tcPr>
          <w:p w14:paraId="50A0BA7F" w14:textId="77777777" w:rsidR="00826D3B" w:rsidRPr="00C34520" w:rsidRDefault="00826D3B" w:rsidP="000E3F99">
            <w:pPr>
              <w:pStyle w:val="TableText0"/>
              <w:keepLines/>
            </w:pPr>
          </w:p>
        </w:tc>
        <w:tc>
          <w:tcPr>
            <w:tcW w:w="795" w:type="pct"/>
            <w:tcBorders>
              <w:bottom w:val="single" w:sz="4" w:space="0" w:color="auto"/>
            </w:tcBorders>
            <w:shd w:val="clear" w:color="auto" w:fill="D6E3BC" w:themeFill="accent3" w:themeFillTint="66"/>
          </w:tcPr>
          <w:p w14:paraId="411F752D" w14:textId="77777777" w:rsidR="00826D3B" w:rsidRPr="00C34520" w:rsidRDefault="00826D3B" w:rsidP="000E3F99">
            <w:pPr>
              <w:pStyle w:val="TableText0"/>
              <w:keepLines/>
            </w:pPr>
          </w:p>
        </w:tc>
        <w:tc>
          <w:tcPr>
            <w:tcW w:w="1032" w:type="pct"/>
            <w:tcBorders>
              <w:bottom w:val="single" w:sz="4" w:space="0" w:color="auto"/>
            </w:tcBorders>
          </w:tcPr>
          <w:p w14:paraId="6EDF0D6C" w14:textId="77777777" w:rsidR="00826D3B" w:rsidRPr="00C34520" w:rsidRDefault="00826D3B" w:rsidP="000E3F99">
            <w:pPr>
              <w:pStyle w:val="TableText0"/>
              <w:keepLines/>
            </w:pPr>
          </w:p>
        </w:tc>
      </w:tr>
      <w:tr w:rsidR="009277EB" w:rsidRPr="00C34520" w14:paraId="4D3EA8B6" w14:textId="77777777" w:rsidTr="00667D81">
        <w:tc>
          <w:tcPr>
            <w:tcW w:w="719" w:type="pct"/>
            <w:tcBorders>
              <w:bottom w:val="single" w:sz="4" w:space="0" w:color="auto"/>
            </w:tcBorders>
          </w:tcPr>
          <w:p w14:paraId="3238D2CE" w14:textId="77777777" w:rsidR="00826D3B" w:rsidRPr="00C34520" w:rsidRDefault="00826D3B" w:rsidP="000E3F99">
            <w:pPr>
              <w:pStyle w:val="TableText0"/>
              <w:keepLines/>
            </w:pPr>
            <w:r w:rsidRPr="00C34520">
              <w:t>10A</w:t>
            </w:r>
          </w:p>
        </w:tc>
        <w:tc>
          <w:tcPr>
            <w:tcW w:w="788" w:type="pct"/>
            <w:tcBorders>
              <w:bottom w:val="single" w:sz="4" w:space="0" w:color="auto"/>
            </w:tcBorders>
            <w:shd w:val="clear" w:color="auto" w:fill="D6E3BC" w:themeFill="accent3" w:themeFillTint="66"/>
          </w:tcPr>
          <w:p w14:paraId="48FBE9A6"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033F63B8"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31E1383A" w14:textId="77777777" w:rsidR="00826D3B" w:rsidRPr="00C34520" w:rsidRDefault="00826D3B" w:rsidP="000E3F99">
            <w:pPr>
              <w:pStyle w:val="TableText0"/>
              <w:keepLines/>
              <w:jc w:val="center"/>
            </w:pPr>
          </w:p>
        </w:tc>
        <w:tc>
          <w:tcPr>
            <w:tcW w:w="795" w:type="pct"/>
            <w:tcBorders>
              <w:bottom w:val="single" w:sz="4" w:space="0" w:color="auto"/>
            </w:tcBorders>
          </w:tcPr>
          <w:p w14:paraId="2836CD42" w14:textId="77777777" w:rsidR="00826D3B" w:rsidRPr="00C34520" w:rsidRDefault="00826D3B" w:rsidP="000E3F99">
            <w:pPr>
              <w:pStyle w:val="TableText0"/>
              <w:keepLines/>
            </w:pPr>
          </w:p>
        </w:tc>
        <w:tc>
          <w:tcPr>
            <w:tcW w:w="1032" w:type="pct"/>
            <w:tcBorders>
              <w:bottom w:val="single" w:sz="4" w:space="0" w:color="auto"/>
            </w:tcBorders>
          </w:tcPr>
          <w:p w14:paraId="596D32B1" w14:textId="77777777" w:rsidR="00826D3B" w:rsidRPr="00C34520" w:rsidRDefault="00826D3B" w:rsidP="000E3F99">
            <w:pPr>
              <w:pStyle w:val="TableText0"/>
              <w:keepLines/>
            </w:pPr>
          </w:p>
        </w:tc>
      </w:tr>
      <w:tr w:rsidR="009277EB" w:rsidRPr="00C34520" w14:paraId="7C084A80" w14:textId="77777777" w:rsidTr="00667D81">
        <w:tc>
          <w:tcPr>
            <w:tcW w:w="719" w:type="pct"/>
            <w:tcBorders>
              <w:bottom w:val="single" w:sz="4" w:space="0" w:color="auto"/>
            </w:tcBorders>
          </w:tcPr>
          <w:p w14:paraId="77DB23FB" w14:textId="77777777" w:rsidR="00826D3B" w:rsidRPr="00C34520" w:rsidRDefault="00826D3B" w:rsidP="000E3F99">
            <w:pPr>
              <w:pStyle w:val="TableText0"/>
              <w:keepLines/>
            </w:pPr>
            <w:r w:rsidRPr="00C34520">
              <w:t>11A</w:t>
            </w:r>
          </w:p>
        </w:tc>
        <w:tc>
          <w:tcPr>
            <w:tcW w:w="788" w:type="pct"/>
            <w:tcBorders>
              <w:bottom w:val="single" w:sz="4" w:space="0" w:color="auto"/>
            </w:tcBorders>
          </w:tcPr>
          <w:p w14:paraId="2D005A88"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019DE11C"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D6E3BC" w:themeFill="accent3" w:themeFillTint="66"/>
          </w:tcPr>
          <w:p w14:paraId="20D1B083" w14:textId="77777777" w:rsidR="00826D3B" w:rsidRPr="00C34520" w:rsidRDefault="00826D3B" w:rsidP="000E3F99">
            <w:pPr>
              <w:pStyle w:val="TableText0"/>
              <w:keepLines/>
            </w:pPr>
          </w:p>
        </w:tc>
        <w:tc>
          <w:tcPr>
            <w:tcW w:w="795" w:type="pct"/>
            <w:tcBorders>
              <w:bottom w:val="single" w:sz="4" w:space="0" w:color="auto"/>
            </w:tcBorders>
            <w:shd w:val="clear" w:color="auto" w:fill="D6E3BC" w:themeFill="accent3" w:themeFillTint="66"/>
          </w:tcPr>
          <w:p w14:paraId="276D540E" w14:textId="77777777" w:rsidR="00826D3B" w:rsidRPr="00C34520" w:rsidRDefault="00826D3B" w:rsidP="000E3F99">
            <w:pPr>
              <w:pStyle w:val="TableText0"/>
              <w:keepLines/>
            </w:pPr>
          </w:p>
        </w:tc>
        <w:tc>
          <w:tcPr>
            <w:tcW w:w="1032" w:type="pct"/>
            <w:tcBorders>
              <w:bottom w:val="single" w:sz="4" w:space="0" w:color="auto"/>
            </w:tcBorders>
          </w:tcPr>
          <w:p w14:paraId="283E607C" w14:textId="77777777" w:rsidR="00826D3B" w:rsidRPr="00C34520" w:rsidRDefault="00826D3B" w:rsidP="000E3F99">
            <w:pPr>
              <w:pStyle w:val="TableText0"/>
              <w:keepLines/>
            </w:pPr>
          </w:p>
        </w:tc>
      </w:tr>
      <w:tr w:rsidR="009277EB" w:rsidRPr="00C34520" w14:paraId="272D70E3" w14:textId="77777777" w:rsidTr="00667D81">
        <w:tc>
          <w:tcPr>
            <w:tcW w:w="719" w:type="pct"/>
            <w:tcBorders>
              <w:bottom w:val="single" w:sz="4" w:space="0" w:color="auto"/>
            </w:tcBorders>
          </w:tcPr>
          <w:p w14:paraId="651F03B3" w14:textId="77777777" w:rsidR="00826D3B" w:rsidRPr="00C34520" w:rsidRDefault="00826D3B" w:rsidP="000E3F99">
            <w:pPr>
              <w:pStyle w:val="TableText0"/>
              <w:keepLines/>
            </w:pPr>
            <w:r w:rsidRPr="00C34520">
              <w:t>12F</w:t>
            </w:r>
          </w:p>
        </w:tc>
        <w:tc>
          <w:tcPr>
            <w:tcW w:w="788" w:type="pct"/>
            <w:tcBorders>
              <w:bottom w:val="single" w:sz="4" w:space="0" w:color="auto"/>
            </w:tcBorders>
          </w:tcPr>
          <w:p w14:paraId="71DDE189"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68223A1B"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FF0000"/>
          </w:tcPr>
          <w:p w14:paraId="041C0909" w14:textId="77777777" w:rsidR="00826D3B" w:rsidRPr="00C34520" w:rsidRDefault="00826D3B" w:rsidP="000E3F99">
            <w:pPr>
              <w:pStyle w:val="TableText0"/>
              <w:keepLines/>
            </w:pPr>
          </w:p>
        </w:tc>
        <w:tc>
          <w:tcPr>
            <w:tcW w:w="795" w:type="pct"/>
            <w:tcBorders>
              <w:bottom w:val="single" w:sz="4" w:space="0" w:color="auto"/>
            </w:tcBorders>
          </w:tcPr>
          <w:p w14:paraId="42934EF9" w14:textId="77777777" w:rsidR="00826D3B" w:rsidRPr="00C34520" w:rsidRDefault="00826D3B" w:rsidP="000E3F99">
            <w:pPr>
              <w:pStyle w:val="TableText0"/>
              <w:keepLines/>
            </w:pPr>
          </w:p>
        </w:tc>
        <w:tc>
          <w:tcPr>
            <w:tcW w:w="1032" w:type="pct"/>
            <w:tcBorders>
              <w:bottom w:val="single" w:sz="4" w:space="0" w:color="auto"/>
            </w:tcBorders>
          </w:tcPr>
          <w:p w14:paraId="284982D8" w14:textId="77777777" w:rsidR="00826D3B" w:rsidRPr="00C34520" w:rsidRDefault="00826D3B" w:rsidP="000E3F99">
            <w:pPr>
              <w:pStyle w:val="TableText0"/>
              <w:keepLines/>
            </w:pPr>
          </w:p>
        </w:tc>
      </w:tr>
      <w:tr w:rsidR="009277EB" w:rsidRPr="00C34520" w14:paraId="53471959" w14:textId="77777777" w:rsidTr="00667D81">
        <w:tc>
          <w:tcPr>
            <w:tcW w:w="719" w:type="pct"/>
            <w:tcBorders>
              <w:bottom w:val="single" w:sz="4" w:space="0" w:color="auto"/>
            </w:tcBorders>
          </w:tcPr>
          <w:p w14:paraId="155074D5" w14:textId="77777777" w:rsidR="00826D3B" w:rsidRPr="00C34520" w:rsidRDefault="00826D3B" w:rsidP="000E3F99">
            <w:pPr>
              <w:pStyle w:val="TableText0"/>
              <w:keepLines/>
            </w:pPr>
            <w:r w:rsidRPr="00C34520">
              <w:t>15B</w:t>
            </w:r>
          </w:p>
        </w:tc>
        <w:tc>
          <w:tcPr>
            <w:tcW w:w="788" w:type="pct"/>
            <w:tcBorders>
              <w:bottom w:val="single" w:sz="4" w:space="0" w:color="auto"/>
            </w:tcBorders>
            <w:shd w:val="clear" w:color="auto" w:fill="D6E3BC" w:themeFill="accent3" w:themeFillTint="66"/>
          </w:tcPr>
          <w:p w14:paraId="4A9EC3FA" w14:textId="77777777" w:rsidR="00826D3B" w:rsidRPr="00C34520" w:rsidDel="004C1F32" w:rsidRDefault="00826D3B" w:rsidP="000E3F99">
            <w:pPr>
              <w:pStyle w:val="TableText0"/>
              <w:keepLines/>
            </w:pPr>
          </w:p>
        </w:tc>
        <w:tc>
          <w:tcPr>
            <w:tcW w:w="873" w:type="pct"/>
            <w:tcBorders>
              <w:bottom w:val="single" w:sz="4" w:space="0" w:color="auto"/>
            </w:tcBorders>
            <w:shd w:val="clear" w:color="auto" w:fill="D6E3BC" w:themeFill="accent3" w:themeFillTint="66"/>
          </w:tcPr>
          <w:p w14:paraId="47D13B4A" w14:textId="77777777" w:rsidR="00826D3B" w:rsidRPr="00C34520" w:rsidDel="004C1F32" w:rsidRDefault="00826D3B" w:rsidP="000E3F99">
            <w:pPr>
              <w:pStyle w:val="TableText0"/>
              <w:keepLines/>
            </w:pPr>
          </w:p>
        </w:tc>
        <w:tc>
          <w:tcPr>
            <w:tcW w:w="793" w:type="pct"/>
            <w:tcBorders>
              <w:bottom w:val="single" w:sz="4" w:space="0" w:color="auto"/>
            </w:tcBorders>
            <w:shd w:val="clear" w:color="auto" w:fill="D6E3BC" w:themeFill="accent3" w:themeFillTint="66"/>
          </w:tcPr>
          <w:p w14:paraId="40DC6E2F" w14:textId="77777777" w:rsidR="00826D3B" w:rsidRPr="00C34520" w:rsidRDefault="00826D3B" w:rsidP="000E3F99">
            <w:pPr>
              <w:pStyle w:val="TableText0"/>
              <w:keepLines/>
            </w:pPr>
          </w:p>
        </w:tc>
        <w:tc>
          <w:tcPr>
            <w:tcW w:w="795" w:type="pct"/>
            <w:tcBorders>
              <w:bottom w:val="single" w:sz="4" w:space="0" w:color="auto"/>
            </w:tcBorders>
            <w:shd w:val="clear" w:color="auto" w:fill="D6E3BC" w:themeFill="accent3" w:themeFillTint="66"/>
          </w:tcPr>
          <w:p w14:paraId="637BD4EB" w14:textId="77777777" w:rsidR="00826D3B" w:rsidRPr="00C34520" w:rsidRDefault="00826D3B" w:rsidP="000E3F99">
            <w:pPr>
              <w:pStyle w:val="TableText0"/>
              <w:keepLines/>
            </w:pPr>
          </w:p>
        </w:tc>
        <w:tc>
          <w:tcPr>
            <w:tcW w:w="1032" w:type="pct"/>
            <w:tcBorders>
              <w:bottom w:val="single" w:sz="4" w:space="0" w:color="auto"/>
            </w:tcBorders>
          </w:tcPr>
          <w:p w14:paraId="20A41F07" w14:textId="77777777" w:rsidR="00826D3B" w:rsidRPr="00C34520" w:rsidRDefault="00826D3B" w:rsidP="000E3F99">
            <w:pPr>
              <w:pStyle w:val="TableText0"/>
              <w:keepLines/>
            </w:pPr>
          </w:p>
        </w:tc>
      </w:tr>
    </w:tbl>
    <w:p w14:paraId="69A441F2" w14:textId="77777777" w:rsidR="00826D3B" w:rsidRPr="00C34520" w:rsidRDefault="00826D3B" w:rsidP="000E3F99">
      <w:pPr>
        <w:pStyle w:val="TableFigureFooter"/>
        <w:keepNext/>
        <w:keepLines/>
      </w:pPr>
      <w:r w:rsidRPr="00C34520">
        <w:t>Source: Compiled from Section 2.5 of the submission; pp71-72 of the ATAGI Advice to the PBAC</w:t>
      </w:r>
    </w:p>
    <w:p w14:paraId="5D82E037" w14:textId="77777777" w:rsidR="00826D3B" w:rsidRPr="00C34520" w:rsidRDefault="00826D3B" w:rsidP="000E3F99">
      <w:pPr>
        <w:pStyle w:val="TableFigureFooter"/>
        <w:keepNext/>
        <w:keepLines/>
      </w:pPr>
      <w:r w:rsidRPr="00C34520">
        <w:t>13vPCV = 13 valent pneumococcal conjugate vaccine; 15vPCV = 13 valent pneumococcal conjugate vaccine; 20vPCV = 20 valent pneumococcal conjugate vaccine; ATAGI = Australian Technical Advisory Group on Immunisation; GMR = geometric mean ratio; IPD = invasive pneumococcal disease; NNDSS = National Notifiable Diseases Surveillance System; PBAC = Pharmaceutical Benefits Advisory Committee.</w:t>
      </w:r>
    </w:p>
    <w:p w14:paraId="00E08F20" w14:textId="77777777" w:rsidR="00826D3B" w:rsidRPr="00C34520" w:rsidRDefault="00826D3B" w:rsidP="000E3F99">
      <w:pPr>
        <w:pStyle w:val="TableFigureFooter"/>
        <w:keepNext/>
        <w:keepLines/>
      </w:pPr>
      <w:r w:rsidRPr="00C34520">
        <w:rPr>
          <w:color w:val="FF0000"/>
        </w:rPr>
        <w:t xml:space="preserve">Red </w:t>
      </w:r>
      <w:r w:rsidRPr="00C34520">
        <w:t>indicates that non-inferiority criteria was not met.</w:t>
      </w:r>
    </w:p>
    <w:p w14:paraId="41DF7CBE" w14:textId="67AD27FF" w:rsidR="00826D3B" w:rsidRPr="00C34520" w:rsidRDefault="00826D3B" w:rsidP="000E3F99">
      <w:pPr>
        <w:pStyle w:val="TableFigureFooter"/>
        <w:keepNext/>
        <w:keepLines/>
      </w:pPr>
      <w:r w:rsidRPr="00C34520">
        <w:rPr>
          <w:vertAlign w:val="superscript"/>
        </w:rPr>
        <w:t>a</w:t>
      </w:r>
      <w:r w:rsidRPr="00C34520">
        <w:t xml:space="preserve"> Not a non-inferiority criteria at this dose</w:t>
      </w:r>
      <w:bookmarkStart w:id="57" w:name="_Hlk144473996"/>
      <w:r w:rsidRPr="00C34520">
        <w:t xml:space="preserve">, </w:t>
      </w:r>
      <w:r w:rsidR="00FA3DFD">
        <w:rPr>
          <w:color w:val="76923C" w:themeColor="accent3" w:themeShade="BF"/>
        </w:rPr>
        <w:t xml:space="preserve">green </w:t>
      </w:r>
      <w:r w:rsidR="00FA3DFD" w:rsidRPr="00FA3DFD">
        <w:t>indicates superiority with a lower CI limit &gt;2</w:t>
      </w:r>
      <w:r w:rsidRPr="00C34520">
        <w:t>.</w:t>
      </w:r>
    </w:p>
    <w:bookmarkEnd w:id="57"/>
    <w:p w14:paraId="35C14EC1" w14:textId="77777777" w:rsidR="00826D3B" w:rsidRPr="00C34520" w:rsidRDefault="00826D3B" w:rsidP="000E3F99">
      <w:pPr>
        <w:pStyle w:val="TableFigureFooter"/>
        <w:keepNext/>
        <w:keepLines/>
      </w:pPr>
      <w:r w:rsidRPr="00C34520">
        <w:rPr>
          <w:vertAlign w:val="superscript"/>
        </w:rPr>
        <w:t>b</w:t>
      </w:r>
      <w:r w:rsidRPr="00C34520">
        <w:t xml:space="preserve"> NNDSS data presented in the ATAGI advice to the PBAC for children under 12 months of age.</w:t>
      </w:r>
    </w:p>
    <w:p w14:paraId="53F71D3A" w14:textId="77777777" w:rsidR="00826D3B" w:rsidRPr="00C34520" w:rsidRDefault="00826D3B" w:rsidP="000E3F99">
      <w:pPr>
        <w:pStyle w:val="TableFigureFooter"/>
        <w:keepNext/>
        <w:keepLines/>
      </w:pPr>
      <w:r w:rsidRPr="00C34520">
        <w:rPr>
          <w:vertAlign w:val="superscript"/>
        </w:rPr>
        <w:t>c</w:t>
      </w:r>
      <w:r w:rsidRPr="00C34520">
        <w:t xml:space="preserve"> NNDSS data presented in the ATAGI advice to the PBAC for children over 12 months to 17 years of age.</w:t>
      </w:r>
    </w:p>
    <w:p w14:paraId="4A290F1D" w14:textId="77777777" w:rsidR="00826D3B" w:rsidRDefault="00826D3B" w:rsidP="000E3F99">
      <w:pPr>
        <w:pStyle w:val="TableFigureFooter"/>
        <w:keepNext/>
        <w:keepLines/>
      </w:pPr>
      <w:r w:rsidRPr="00C34520">
        <w:rPr>
          <w:vertAlign w:val="superscript"/>
        </w:rPr>
        <w:t>d</w:t>
      </w:r>
      <w:r w:rsidRPr="00C34520">
        <w:t xml:space="preserve"> Incidence has steadily increased since 2015, despite the inclusion of serotype 3 in 13vPCV. The ATAGI Advice to the PBAC also noted that 20vPCV would unlikely have any additional impact on serotype 3 IPD (p71 of the ATAGI Advice to the PBAC).</w:t>
      </w:r>
    </w:p>
    <w:p w14:paraId="261D1184" w14:textId="4BE04F36" w:rsidR="00EB2007" w:rsidRPr="00EB2007" w:rsidRDefault="00EB2007" w:rsidP="00826D3B">
      <w:pPr>
        <w:pStyle w:val="TableFigureFooter"/>
      </w:pPr>
      <w:r>
        <w:rPr>
          <w:vertAlign w:val="superscript"/>
        </w:rPr>
        <w:t>e</w:t>
      </w:r>
      <w:r>
        <w:t xml:space="preserve"> </w:t>
      </w:r>
      <w:r w:rsidR="00D327CE">
        <w:t>Additional</w:t>
      </w:r>
      <w:r w:rsidRPr="00EB2007">
        <w:t xml:space="preserve"> serotypes of </w:t>
      </w:r>
      <w:r w:rsidR="0022494F">
        <w:t xml:space="preserve">20vPCV in </w:t>
      </w:r>
      <w:r w:rsidRPr="00EB2007">
        <w:t>the 20vPCV arm</w:t>
      </w:r>
      <w:r w:rsidR="00D327CE">
        <w:t xml:space="preserve"> were compared</w:t>
      </w:r>
      <w:r w:rsidRPr="00EB2007">
        <w:t xml:space="preserve"> to the lowest GMR or response rate of 13vPCV serotypes from the 13vPCV arm, except for serotype 3.</w:t>
      </w:r>
    </w:p>
    <w:p w14:paraId="4AFCA915" w14:textId="2AADEDD2" w:rsidR="00F74603" w:rsidRDefault="00826D3B" w:rsidP="00F625A4">
      <w:pPr>
        <w:pStyle w:val="3-BodyText"/>
        <w:rPr>
          <w:rFonts w:eastAsia="Calibri"/>
        </w:rPr>
      </w:pPr>
      <w:r w:rsidRPr="00D15D0C">
        <w:rPr>
          <w:rFonts w:eastAsia="Calibri"/>
        </w:rPr>
        <w:t>The submission did not present data for individuals with NIP-funded risk conditions or Aboriginal and Torres Strait Islander children. However, the ATAGI Advice to the PBAC stated that the non</w:t>
      </w:r>
      <w:r w:rsidRPr="00D15D0C">
        <w:rPr>
          <w:rFonts w:eastAsia="Calibri"/>
        </w:rPr>
        <w:noBreakHyphen/>
        <w:t>inferiority immunogenicity data versus 13vPCV would reasonably translate to 20vPCV for individuals with NIP-funded risk conditions (</w:t>
      </w:r>
      <w:r w:rsidRPr="00D15D0C">
        <w:t>ATAGI Advice to the PBAC)</w:t>
      </w:r>
      <w:r w:rsidRPr="00D15D0C">
        <w:rPr>
          <w:rFonts w:eastAsia="Calibri"/>
        </w:rPr>
        <w:t xml:space="preserve">. </w:t>
      </w:r>
    </w:p>
    <w:p w14:paraId="7FE06B01" w14:textId="185987DE" w:rsidR="000F41B3" w:rsidRPr="000F41B3" w:rsidRDefault="000F41B3" w:rsidP="000F41B3">
      <w:pPr>
        <w:pStyle w:val="3-BodyText"/>
        <w:rPr>
          <w:rFonts w:eastAsia="Calibri"/>
        </w:rPr>
      </w:pPr>
      <w:r>
        <w:t xml:space="preserve">Overall, consistent with its conclusion for 20vPCV for adults, the PBAC considered the submission’s claim of non-inferior effectiveness for 20vPCV versus 13vPCV (and 15vPCV) for the shared serotypes was not well supported. The PBAC considered that the submission’s claim of superior comparative effectiveness for the additional 7 (5) serotypes in 20vPCV versus 13vPCV (15vPCV) to be supported although the magnitude </w:t>
      </w:r>
      <w:r>
        <w:lastRenderedPageBreak/>
        <w:t>of benefit in terms of disease prevention is uncertain. On the basis of the available evidence, the PBAC considered a claim of non-inferior comparative effectiveness of 20vPCV compared with 13vPCV (and 15vPCV) to be appropriate.</w:t>
      </w:r>
    </w:p>
    <w:p w14:paraId="1BC13C8A" w14:textId="2666EF6C" w:rsidR="00124200" w:rsidRPr="0054354B" w:rsidRDefault="00124200" w:rsidP="00F625A4">
      <w:pPr>
        <w:pStyle w:val="3-BodyText"/>
        <w:rPr>
          <w:rFonts w:eastAsia="Calibri"/>
        </w:rPr>
      </w:pPr>
      <w:bookmarkStart w:id="58" w:name="_Hlk76376200"/>
      <w:r w:rsidRPr="0054354B">
        <w:t>The PBAC considered that</w:t>
      </w:r>
      <w:r w:rsidR="0054354B" w:rsidRPr="0054354B">
        <w:t>, for the population outlined in the proposed listing,</w:t>
      </w:r>
      <w:r w:rsidRPr="0054354B">
        <w:t xml:space="preserve"> the claim of non-inferio</w:t>
      </w:r>
      <w:r w:rsidR="0054354B" w:rsidRPr="0054354B">
        <w:t xml:space="preserve">r </w:t>
      </w:r>
      <w:r w:rsidRPr="0054354B">
        <w:t xml:space="preserve">comparative safety </w:t>
      </w:r>
      <w:r w:rsidR="0054354B" w:rsidRPr="0054354B">
        <w:t xml:space="preserve">to 13vPCV and 15vPCV </w:t>
      </w:r>
      <w:r w:rsidRPr="0054354B">
        <w:t>was reasonable</w:t>
      </w:r>
      <w:bookmarkEnd w:id="58"/>
      <w:r w:rsidR="0054354B" w:rsidRPr="0054354B">
        <w:t>.</w:t>
      </w:r>
    </w:p>
    <w:p w14:paraId="08E0401E" w14:textId="77777777" w:rsidR="00826D3B" w:rsidRPr="00C34520" w:rsidRDefault="00826D3B" w:rsidP="00826D3B">
      <w:pPr>
        <w:pStyle w:val="4-SubsectionHeading"/>
      </w:pPr>
      <w:bookmarkStart w:id="59" w:name="_Toc22897645"/>
      <w:bookmarkStart w:id="60" w:name="_Toc143027852"/>
      <w:bookmarkStart w:id="61" w:name="_Toc145498621"/>
      <w:r w:rsidRPr="00C34520">
        <w:t>Economic analysis</w:t>
      </w:r>
      <w:bookmarkEnd w:id="59"/>
      <w:bookmarkEnd w:id="60"/>
      <w:bookmarkEnd w:id="61"/>
      <w:r w:rsidRPr="00C34520">
        <w:t xml:space="preserve"> </w:t>
      </w:r>
    </w:p>
    <w:p w14:paraId="1E087B71" w14:textId="77777777" w:rsidR="00826D3B" w:rsidRPr="00D15D0C" w:rsidRDefault="00826D3B" w:rsidP="00F625A4">
      <w:pPr>
        <w:pStyle w:val="3-BodyText"/>
        <w:rPr>
          <w:rFonts w:eastAsia="Calibri"/>
        </w:rPr>
      </w:pPr>
      <w:r w:rsidRPr="00C34520">
        <w:rPr>
          <w:rFonts w:eastAsia="Calibri"/>
        </w:rPr>
        <w:t xml:space="preserve">The submission presented a cost-minimisation approach (CMA) based on the claim of equivalent effectiveness and safety compared with 13vPCV and 15vPCV. </w:t>
      </w:r>
      <w:r w:rsidRPr="00D15D0C">
        <w:rPr>
          <w:rFonts w:eastAsia="Calibri"/>
        </w:rPr>
        <w:t>A CMA was consistent with the clinical claim of non-inferior effectiveness compared to 13vPCV and 15vPCV for shared serotypes and similar safety to 13vPCV.</w:t>
      </w:r>
    </w:p>
    <w:p w14:paraId="18CC5386" w14:textId="0FBF4D55" w:rsidR="00826D3B" w:rsidRPr="00C34520" w:rsidRDefault="00826D3B" w:rsidP="00F625A4">
      <w:pPr>
        <w:pStyle w:val="3-BodyText"/>
        <w:rPr>
          <w:color w:val="0066FF"/>
        </w:rPr>
      </w:pPr>
      <w:r w:rsidRPr="00C34520">
        <w:t>The submission presented the CMA based on the nationally negotiated price for 13vPCV of $</w:t>
      </w:r>
      <w:r w:rsidR="003F73D9" w:rsidRPr="009523CC">
        <w:rPr>
          <w:color w:val="000000"/>
          <w:w w:val="15"/>
          <w:shd w:val="solid" w:color="000000" w:fill="000000"/>
          <w:fitText w:val="-20" w:id="-1032153087"/>
          <w14:textFill>
            <w14:solidFill>
              <w14:srgbClr w14:val="000000">
                <w14:alpha w14:val="100000"/>
              </w14:srgbClr>
            </w14:solidFill>
          </w14:textFill>
        </w:rPr>
        <w:t xml:space="preserve">|  </w:t>
      </w:r>
      <w:r w:rsidR="003F73D9" w:rsidRPr="009523CC">
        <w:rPr>
          <w:color w:val="000000"/>
          <w:spacing w:val="-69"/>
          <w:w w:val="15"/>
          <w:shd w:val="solid" w:color="000000" w:fill="000000"/>
          <w:fitText w:val="-20" w:id="-1032153087"/>
          <w14:textFill>
            <w14:solidFill>
              <w14:srgbClr w14:val="000000">
                <w14:alpha w14:val="100000"/>
              </w14:srgbClr>
            </w14:solidFill>
          </w14:textFill>
        </w:rPr>
        <w:t>|</w:t>
      </w:r>
      <w:r w:rsidR="003F73D9">
        <w:t xml:space="preserve"> </w:t>
      </w:r>
      <w:r w:rsidRPr="00C34520">
        <w:t xml:space="preserve"> per dose. </w:t>
      </w:r>
      <w:r w:rsidRPr="00C34520">
        <w:fldChar w:fldCharType="begin"/>
      </w:r>
      <w:r w:rsidRPr="00C34520">
        <w:instrText xml:space="preserve"> REF _Ref143015192 \h </w:instrText>
      </w:r>
      <w:r w:rsidRPr="00C34520">
        <w:fldChar w:fldCharType="separate"/>
      </w:r>
      <w:r w:rsidR="009523CC" w:rsidRPr="00C34520">
        <w:t xml:space="preserve">Table </w:t>
      </w:r>
      <w:r w:rsidR="009523CC">
        <w:rPr>
          <w:noProof/>
        </w:rPr>
        <w:t>14</w:t>
      </w:r>
      <w:r w:rsidRPr="00C34520">
        <w:fldChar w:fldCharType="end"/>
      </w:r>
      <w:r w:rsidRPr="00C34520">
        <w:t xml:space="preserve"> presents the results of the cost-minimisation approach presented in the submission.</w:t>
      </w:r>
    </w:p>
    <w:p w14:paraId="71AD058E" w14:textId="4E6C1706" w:rsidR="00826D3B" w:rsidRPr="00C34520" w:rsidRDefault="00826D3B" w:rsidP="00D132A0">
      <w:pPr>
        <w:pStyle w:val="Caption"/>
      </w:pPr>
      <w:bookmarkStart w:id="62" w:name="_Ref143015192"/>
      <w:r w:rsidRPr="00C34520">
        <w:t xml:space="preserve">Table </w:t>
      </w:r>
      <w:fldSimple w:instr=" SEQ Table \* ARABIC ">
        <w:r w:rsidR="009523CC">
          <w:rPr>
            <w:noProof/>
          </w:rPr>
          <w:t>14</w:t>
        </w:r>
      </w:fldSimple>
      <w:bookmarkEnd w:id="62"/>
      <w:r w:rsidRPr="00C34520">
        <w:t>:</w:t>
      </w:r>
      <w:r w:rsidRPr="00C34520">
        <w:rPr>
          <w:rStyle w:val="CommentReference"/>
          <w:b/>
          <w:szCs w:val="24"/>
        </w:rPr>
        <w:t xml:space="preserve"> 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48"/>
        <w:gridCol w:w="848"/>
        <w:gridCol w:w="851"/>
        <w:gridCol w:w="851"/>
        <w:gridCol w:w="851"/>
        <w:gridCol w:w="851"/>
        <w:gridCol w:w="851"/>
        <w:gridCol w:w="851"/>
        <w:gridCol w:w="830"/>
      </w:tblGrid>
      <w:tr w:rsidR="00826D3B" w:rsidRPr="00C34520" w14:paraId="62033244" w14:textId="77777777" w:rsidTr="00667D81">
        <w:tc>
          <w:tcPr>
            <w:tcW w:w="768" w:type="pct"/>
          </w:tcPr>
          <w:p w14:paraId="15BB1C8A" w14:textId="77777777" w:rsidR="00826D3B" w:rsidRPr="00C34520" w:rsidRDefault="00826D3B" w:rsidP="00DE0052">
            <w:pPr>
              <w:pStyle w:val="In-tableHeading"/>
              <w:jc w:val="center"/>
              <w:rPr>
                <w:lang w:val="en-AU"/>
              </w:rPr>
            </w:pPr>
            <w:r w:rsidRPr="00C34520">
              <w:rPr>
                <w:lang w:val="en-AU"/>
              </w:rPr>
              <w:t>Schedule</w:t>
            </w:r>
          </w:p>
        </w:tc>
        <w:tc>
          <w:tcPr>
            <w:tcW w:w="1411" w:type="pct"/>
            <w:gridSpan w:val="3"/>
          </w:tcPr>
          <w:p w14:paraId="464288AA" w14:textId="77777777" w:rsidR="00826D3B" w:rsidRPr="00C34520" w:rsidRDefault="00826D3B" w:rsidP="00DE0052">
            <w:pPr>
              <w:pStyle w:val="In-tableHeading"/>
              <w:jc w:val="center"/>
              <w:rPr>
                <w:lang w:val="en-AU"/>
              </w:rPr>
            </w:pPr>
            <w:r w:rsidRPr="00C34520">
              <w:rPr>
                <w:lang w:val="en-AU"/>
              </w:rPr>
              <w:t>2+1</w:t>
            </w:r>
          </w:p>
        </w:tc>
        <w:tc>
          <w:tcPr>
            <w:tcW w:w="1415" w:type="pct"/>
            <w:gridSpan w:val="3"/>
          </w:tcPr>
          <w:p w14:paraId="0181B3E2" w14:textId="77777777" w:rsidR="00826D3B" w:rsidRPr="00C34520" w:rsidRDefault="00826D3B" w:rsidP="00DE0052">
            <w:pPr>
              <w:pStyle w:val="In-tableHeading"/>
              <w:jc w:val="center"/>
              <w:rPr>
                <w:lang w:val="en-AU"/>
              </w:rPr>
            </w:pPr>
            <w:r w:rsidRPr="00C34520">
              <w:rPr>
                <w:lang w:val="en-AU"/>
              </w:rPr>
              <w:t>3+1</w:t>
            </w:r>
          </w:p>
        </w:tc>
        <w:tc>
          <w:tcPr>
            <w:tcW w:w="1406" w:type="pct"/>
            <w:gridSpan w:val="3"/>
          </w:tcPr>
          <w:p w14:paraId="67DE9B93" w14:textId="77777777" w:rsidR="00826D3B" w:rsidRPr="00C34520" w:rsidRDefault="00826D3B" w:rsidP="00DE0052">
            <w:pPr>
              <w:pStyle w:val="In-tableHeading"/>
              <w:jc w:val="center"/>
              <w:rPr>
                <w:lang w:val="en-AU"/>
              </w:rPr>
            </w:pPr>
            <w:r w:rsidRPr="00C34520">
              <w:rPr>
                <w:lang w:val="en-AU"/>
              </w:rPr>
              <w:t>Single dose</w:t>
            </w:r>
          </w:p>
        </w:tc>
      </w:tr>
      <w:tr w:rsidR="00826D3B" w:rsidRPr="00C34520" w14:paraId="0DD95F29" w14:textId="77777777" w:rsidTr="00667D81">
        <w:tc>
          <w:tcPr>
            <w:tcW w:w="768" w:type="pct"/>
            <w:vAlign w:val="center"/>
          </w:tcPr>
          <w:p w14:paraId="2FAC342B" w14:textId="77777777" w:rsidR="00826D3B" w:rsidRPr="00C34520" w:rsidRDefault="00826D3B" w:rsidP="00DE0052">
            <w:pPr>
              <w:pStyle w:val="In-tableHeading"/>
              <w:rPr>
                <w:b w:val="0"/>
                <w:bCs/>
                <w:lang w:val="en-AU"/>
              </w:rPr>
            </w:pPr>
            <w:r w:rsidRPr="00C34520">
              <w:rPr>
                <w:b w:val="0"/>
                <w:bCs/>
                <w:lang w:val="en-AU"/>
              </w:rPr>
              <w:t>Population</w:t>
            </w:r>
          </w:p>
        </w:tc>
        <w:tc>
          <w:tcPr>
            <w:tcW w:w="1411" w:type="pct"/>
            <w:gridSpan w:val="3"/>
          </w:tcPr>
          <w:p w14:paraId="7C5A2AD0" w14:textId="5F4599F2" w:rsidR="00826D3B" w:rsidRPr="00C34520" w:rsidRDefault="000B57A8" w:rsidP="00DE0052">
            <w:pPr>
              <w:pStyle w:val="In-tableHeading"/>
              <w:rPr>
                <w:b w:val="0"/>
                <w:bCs/>
                <w:lang w:val="en-AU"/>
              </w:rPr>
            </w:pPr>
            <w:r w:rsidRPr="00C34520">
              <w:rPr>
                <w:b w:val="0"/>
                <w:bCs/>
                <w:lang w:val="en-AU"/>
              </w:rPr>
              <w:t xml:space="preserve">Children aged 12 months or younger </w:t>
            </w:r>
            <w:r w:rsidR="00826D3B" w:rsidRPr="00C34520">
              <w:rPr>
                <w:b w:val="0"/>
                <w:bCs/>
                <w:lang w:val="en-AU"/>
              </w:rPr>
              <w:t xml:space="preserve">in NSW, VIC, ACT, and TAS, and non-Indigenous </w:t>
            </w:r>
            <w:r w:rsidRPr="00C34520">
              <w:rPr>
                <w:b w:val="0"/>
                <w:bCs/>
                <w:lang w:val="en-AU"/>
              </w:rPr>
              <w:t xml:space="preserve">children aged 12 months or younger </w:t>
            </w:r>
            <w:r w:rsidR="00826D3B" w:rsidRPr="00C34520">
              <w:rPr>
                <w:b w:val="0"/>
                <w:bCs/>
                <w:lang w:val="en-AU"/>
              </w:rPr>
              <w:t>in QLD, NT, WA, and SA &lt;2 years</w:t>
            </w:r>
          </w:p>
        </w:tc>
        <w:tc>
          <w:tcPr>
            <w:tcW w:w="1415" w:type="pct"/>
            <w:gridSpan w:val="3"/>
          </w:tcPr>
          <w:p w14:paraId="2A295B8F" w14:textId="0C2FD4D9" w:rsidR="00826D3B" w:rsidRPr="00C34520" w:rsidRDefault="00826D3B" w:rsidP="00574E84">
            <w:pPr>
              <w:pStyle w:val="In-tableHeading"/>
              <w:numPr>
                <w:ilvl w:val="0"/>
                <w:numId w:val="14"/>
              </w:numPr>
              <w:ind w:left="357" w:hanging="357"/>
              <w:rPr>
                <w:b w:val="0"/>
                <w:bCs/>
                <w:lang w:val="en-AU"/>
              </w:rPr>
            </w:pPr>
            <w:r w:rsidRPr="00C34520">
              <w:rPr>
                <w:b w:val="0"/>
                <w:bCs/>
                <w:lang w:val="en-AU"/>
              </w:rPr>
              <w:t xml:space="preserve">Indigenous </w:t>
            </w:r>
            <w:r w:rsidR="000B57A8" w:rsidRPr="00C34520">
              <w:rPr>
                <w:b w:val="0"/>
                <w:bCs/>
                <w:lang w:val="en-AU"/>
              </w:rPr>
              <w:t xml:space="preserve">children aged 12 months or younger </w:t>
            </w:r>
            <w:r w:rsidRPr="00C34520">
              <w:rPr>
                <w:b w:val="0"/>
                <w:bCs/>
                <w:lang w:val="en-AU"/>
              </w:rPr>
              <w:t>in QLD, NT, WA, and SA &lt; 2 years</w:t>
            </w:r>
          </w:p>
          <w:p w14:paraId="0FAA494E" w14:textId="14780DA2" w:rsidR="00826D3B" w:rsidRPr="00C34520" w:rsidRDefault="000B57A8" w:rsidP="00574E84">
            <w:pPr>
              <w:pStyle w:val="In-tableHeading"/>
              <w:numPr>
                <w:ilvl w:val="0"/>
                <w:numId w:val="14"/>
              </w:numPr>
              <w:ind w:left="357" w:hanging="357"/>
              <w:rPr>
                <w:lang w:val="en-AU"/>
              </w:rPr>
            </w:pPr>
            <w:r w:rsidRPr="00C34520">
              <w:rPr>
                <w:b w:val="0"/>
                <w:bCs/>
                <w:lang w:val="en-AU"/>
              </w:rPr>
              <w:t xml:space="preserve">Children aged 12 months or younger </w:t>
            </w:r>
            <w:r w:rsidR="00826D3B" w:rsidRPr="00C34520">
              <w:rPr>
                <w:b w:val="0"/>
                <w:bCs/>
                <w:lang w:val="en-AU"/>
              </w:rPr>
              <w:t>with risk condition</w:t>
            </w:r>
          </w:p>
        </w:tc>
        <w:tc>
          <w:tcPr>
            <w:tcW w:w="1406" w:type="pct"/>
            <w:gridSpan w:val="3"/>
          </w:tcPr>
          <w:p w14:paraId="12CAEC56" w14:textId="77777777" w:rsidR="00826D3B" w:rsidRPr="00C34520" w:rsidRDefault="00826D3B" w:rsidP="00DE0052">
            <w:pPr>
              <w:pStyle w:val="In-tableHeading"/>
              <w:rPr>
                <w:b w:val="0"/>
                <w:bCs/>
                <w:lang w:val="en-AU"/>
              </w:rPr>
            </w:pPr>
            <w:r w:rsidRPr="00C34520">
              <w:rPr>
                <w:b w:val="0"/>
                <w:bCs/>
                <w:lang w:val="en-AU"/>
              </w:rPr>
              <w:t>Infants, children, and adolescents 1-17 years with risk factors</w:t>
            </w:r>
          </w:p>
        </w:tc>
      </w:tr>
      <w:tr w:rsidR="00826D3B" w:rsidRPr="00C34520" w14:paraId="2D978475" w14:textId="77777777" w:rsidTr="00667D81">
        <w:tc>
          <w:tcPr>
            <w:tcW w:w="768" w:type="pct"/>
            <w:vAlign w:val="center"/>
          </w:tcPr>
          <w:p w14:paraId="6724590C" w14:textId="77777777" w:rsidR="00826D3B" w:rsidRPr="00C34520" w:rsidRDefault="00826D3B" w:rsidP="00DE0052">
            <w:pPr>
              <w:pStyle w:val="In-tableHeading"/>
              <w:rPr>
                <w:b w:val="0"/>
                <w:bCs/>
                <w:lang w:val="en-AU"/>
              </w:rPr>
            </w:pPr>
            <w:r w:rsidRPr="00C34520">
              <w:rPr>
                <w:b w:val="0"/>
                <w:bCs/>
                <w:lang w:val="en-AU"/>
              </w:rPr>
              <w:t>Vaccine</w:t>
            </w:r>
          </w:p>
        </w:tc>
        <w:tc>
          <w:tcPr>
            <w:tcW w:w="470" w:type="pct"/>
          </w:tcPr>
          <w:p w14:paraId="78790131" w14:textId="77777777" w:rsidR="00826D3B" w:rsidRPr="00C34520" w:rsidRDefault="00826D3B" w:rsidP="00DE0052">
            <w:pPr>
              <w:pStyle w:val="In-tableHeading"/>
              <w:rPr>
                <w:b w:val="0"/>
                <w:bCs/>
                <w:lang w:val="en-AU"/>
              </w:rPr>
            </w:pPr>
            <w:r w:rsidRPr="00C34520">
              <w:rPr>
                <w:b w:val="0"/>
                <w:bCs/>
                <w:lang w:val="en-AU"/>
              </w:rPr>
              <w:t>20vPCV</w:t>
            </w:r>
          </w:p>
        </w:tc>
        <w:tc>
          <w:tcPr>
            <w:tcW w:w="470" w:type="pct"/>
          </w:tcPr>
          <w:p w14:paraId="552F9ADA" w14:textId="77777777" w:rsidR="00826D3B" w:rsidRPr="00C34520" w:rsidRDefault="00826D3B" w:rsidP="00DE0052">
            <w:pPr>
              <w:pStyle w:val="In-tableHeading"/>
              <w:rPr>
                <w:b w:val="0"/>
                <w:bCs/>
                <w:lang w:val="en-AU"/>
              </w:rPr>
            </w:pPr>
            <w:r w:rsidRPr="00C34520">
              <w:rPr>
                <w:b w:val="0"/>
                <w:bCs/>
                <w:lang w:val="en-AU"/>
              </w:rPr>
              <w:t>13vPCV</w:t>
            </w:r>
          </w:p>
        </w:tc>
        <w:tc>
          <w:tcPr>
            <w:tcW w:w="472" w:type="pct"/>
          </w:tcPr>
          <w:p w14:paraId="1E548652" w14:textId="77777777" w:rsidR="00826D3B" w:rsidRPr="00C34520" w:rsidRDefault="00826D3B" w:rsidP="00DE0052">
            <w:pPr>
              <w:pStyle w:val="In-tableHeading"/>
              <w:rPr>
                <w:b w:val="0"/>
                <w:bCs/>
                <w:lang w:val="en-AU"/>
              </w:rPr>
            </w:pPr>
            <w:r w:rsidRPr="00C34520">
              <w:rPr>
                <w:b w:val="0"/>
                <w:bCs/>
                <w:lang w:val="en-AU"/>
              </w:rPr>
              <w:t>15vPCV</w:t>
            </w:r>
          </w:p>
        </w:tc>
        <w:tc>
          <w:tcPr>
            <w:tcW w:w="472" w:type="pct"/>
          </w:tcPr>
          <w:p w14:paraId="2BB1CB8F" w14:textId="77777777" w:rsidR="00826D3B" w:rsidRPr="00C34520" w:rsidRDefault="00826D3B" w:rsidP="00DE0052">
            <w:pPr>
              <w:pStyle w:val="In-tableHeading"/>
              <w:rPr>
                <w:lang w:val="en-AU"/>
              </w:rPr>
            </w:pPr>
            <w:r w:rsidRPr="00C34520">
              <w:rPr>
                <w:b w:val="0"/>
                <w:bCs/>
                <w:lang w:val="en-AU"/>
              </w:rPr>
              <w:t>20vPCV</w:t>
            </w:r>
          </w:p>
        </w:tc>
        <w:tc>
          <w:tcPr>
            <w:tcW w:w="472" w:type="pct"/>
          </w:tcPr>
          <w:p w14:paraId="5EDB09A2" w14:textId="77777777" w:rsidR="00826D3B" w:rsidRPr="00C34520" w:rsidRDefault="00826D3B" w:rsidP="00DE0052">
            <w:pPr>
              <w:pStyle w:val="In-tableHeading"/>
              <w:rPr>
                <w:lang w:val="en-AU"/>
              </w:rPr>
            </w:pPr>
            <w:r w:rsidRPr="00C34520">
              <w:rPr>
                <w:b w:val="0"/>
                <w:bCs/>
                <w:lang w:val="en-AU"/>
              </w:rPr>
              <w:t>13vPCV</w:t>
            </w:r>
          </w:p>
        </w:tc>
        <w:tc>
          <w:tcPr>
            <w:tcW w:w="472" w:type="pct"/>
          </w:tcPr>
          <w:p w14:paraId="140D8025" w14:textId="77777777" w:rsidR="00826D3B" w:rsidRPr="00C34520" w:rsidRDefault="00826D3B" w:rsidP="00DE0052">
            <w:pPr>
              <w:pStyle w:val="In-tableHeading"/>
              <w:rPr>
                <w:lang w:val="en-AU"/>
              </w:rPr>
            </w:pPr>
            <w:r w:rsidRPr="00C34520">
              <w:rPr>
                <w:b w:val="0"/>
                <w:bCs/>
                <w:lang w:val="en-AU"/>
              </w:rPr>
              <w:t>15vPCV</w:t>
            </w:r>
          </w:p>
        </w:tc>
        <w:tc>
          <w:tcPr>
            <w:tcW w:w="472" w:type="pct"/>
          </w:tcPr>
          <w:p w14:paraId="64F9BB52" w14:textId="77777777" w:rsidR="00826D3B" w:rsidRPr="00C34520" w:rsidRDefault="00826D3B" w:rsidP="00DE0052">
            <w:pPr>
              <w:pStyle w:val="In-tableHeading"/>
              <w:rPr>
                <w:lang w:val="en-AU"/>
              </w:rPr>
            </w:pPr>
            <w:r w:rsidRPr="00C34520">
              <w:rPr>
                <w:b w:val="0"/>
                <w:bCs/>
                <w:lang w:val="en-AU"/>
              </w:rPr>
              <w:t>20vPCV</w:t>
            </w:r>
          </w:p>
        </w:tc>
        <w:tc>
          <w:tcPr>
            <w:tcW w:w="472" w:type="pct"/>
          </w:tcPr>
          <w:p w14:paraId="5B941540" w14:textId="77777777" w:rsidR="00826D3B" w:rsidRPr="00C34520" w:rsidRDefault="00826D3B" w:rsidP="00DE0052">
            <w:pPr>
              <w:pStyle w:val="In-tableHeading"/>
              <w:rPr>
                <w:lang w:val="en-AU"/>
              </w:rPr>
            </w:pPr>
            <w:r w:rsidRPr="00C34520">
              <w:rPr>
                <w:b w:val="0"/>
                <w:bCs/>
                <w:lang w:val="en-AU"/>
              </w:rPr>
              <w:t>13vPCV</w:t>
            </w:r>
          </w:p>
        </w:tc>
        <w:tc>
          <w:tcPr>
            <w:tcW w:w="462" w:type="pct"/>
          </w:tcPr>
          <w:p w14:paraId="5B0017A2" w14:textId="77777777" w:rsidR="00826D3B" w:rsidRPr="00C34520" w:rsidRDefault="00826D3B" w:rsidP="00DE0052">
            <w:pPr>
              <w:pStyle w:val="In-tableHeading"/>
              <w:rPr>
                <w:lang w:val="en-AU"/>
              </w:rPr>
            </w:pPr>
            <w:r w:rsidRPr="00C34520">
              <w:rPr>
                <w:b w:val="0"/>
                <w:bCs/>
                <w:lang w:val="en-AU"/>
              </w:rPr>
              <w:t>15vPCV</w:t>
            </w:r>
          </w:p>
        </w:tc>
      </w:tr>
      <w:tr w:rsidR="00826D3B" w:rsidRPr="00C34520" w14:paraId="6B7A07EB" w14:textId="77777777" w:rsidTr="00667D81">
        <w:tc>
          <w:tcPr>
            <w:tcW w:w="768" w:type="pct"/>
            <w:vAlign w:val="center"/>
          </w:tcPr>
          <w:p w14:paraId="28C157D8" w14:textId="2C9C937C" w:rsidR="00826D3B" w:rsidRPr="00C34520" w:rsidRDefault="00826D3B" w:rsidP="00DE0052">
            <w:pPr>
              <w:pStyle w:val="TableText0"/>
            </w:pPr>
            <w:r w:rsidRPr="00C34520">
              <w:t>NNP/Dose</w:t>
            </w:r>
            <w:r w:rsidR="008754BE">
              <w:t xml:space="preserve"> ($)</w:t>
            </w:r>
          </w:p>
        </w:tc>
        <w:tc>
          <w:tcPr>
            <w:tcW w:w="1411" w:type="pct"/>
            <w:gridSpan w:val="3"/>
          </w:tcPr>
          <w:p w14:paraId="1C53BD0E" w14:textId="7238E13B" w:rsidR="00826D3B" w:rsidRPr="000E3F99" w:rsidRDefault="003F73D9" w:rsidP="00DE0052">
            <w:pPr>
              <w:pStyle w:val="TableText0"/>
              <w:jc w:val="center"/>
              <w:rPr>
                <w:highlight w:val="darkGray"/>
              </w:rPr>
            </w:pPr>
            <w:r w:rsidRPr="003F73D9">
              <w:rPr>
                <w:color w:val="000000"/>
                <w:shd w:val="solid" w:color="000000" w:fill="000000"/>
                <w14:textFill>
                  <w14:solidFill>
                    <w14:srgbClr w14:val="000000">
                      <w14:alpha w14:val="100000"/>
                    </w14:srgbClr>
                  </w14:solidFill>
                </w14:textFill>
              </w:rPr>
              <w:t>|</w:t>
            </w:r>
            <w:r>
              <w:t xml:space="preserve"> </w:t>
            </w:r>
          </w:p>
        </w:tc>
        <w:tc>
          <w:tcPr>
            <w:tcW w:w="1415" w:type="pct"/>
            <w:gridSpan w:val="3"/>
          </w:tcPr>
          <w:p w14:paraId="538895C8" w14:textId="5F0718D6" w:rsidR="00826D3B" w:rsidRPr="000E3F99" w:rsidRDefault="003F73D9" w:rsidP="00DE0052">
            <w:pPr>
              <w:pStyle w:val="TableText0"/>
              <w:jc w:val="center"/>
              <w:rPr>
                <w:highlight w:val="darkGray"/>
              </w:rPr>
            </w:pPr>
            <w:r w:rsidRPr="003F73D9">
              <w:rPr>
                <w:color w:val="000000"/>
                <w:shd w:val="solid" w:color="000000" w:fill="000000"/>
                <w14:textFill>
                  <w14:solidFill>
                    <w14:srgbClr w14:val="000000">
                      <w14:alpha w14:val="100000"/>
                    </w14:srgbClr>
                  </w14:solidFill>
                </w14:textFill>
              </w:rPr>
              <w:t>|</w:t>
            </w:r>
            <w:r>
              <w:t xml:space="preserve"> </w:t>
            </w:r>
          </w:p>
        </w:tc>
        <w:tc>
          <w:tcPr>
            <w:tcW w:w="1406" w:type="pct"/>
            <w:gridSpan w:val="3"/>
          </w:tcPr>
          <w:p w14:paraId="39E6EF60" w14:textId="005AE031" w:rsidR="00826D3B" w:rsidRPr="000E3F99" w:rsidRDefault="003F73D9" w:rsidP="00DE0052">
            <w:pPr>
              <w:pStyle w:val="TableText0"/>
              <w:jc w:val="center"/>
              <w:rPr>
                <w:highlight w:val="darkGray"/>
              </w:rPr>
            </w:pPr>
            <w:r w:rsidRPr="003F73D9">
              <w:rPr>
                <w:color w:val="000000"/>
                <w:shd w:val="solid" w:color="000000" w:fill="000000"/>
                <w14:textFill>
                  <w14:solidFill>
                    <w14:srgbClr w14:val="000000">
                      <w14:alpha w14:val="100000"/>
                    </w14:srgbClr>
                  </w14:solidFill>
                </w14:textFill>
              </w:rPr>
              <w:t>|</w:t>
            </w:r>
            <w:r>
              <w:t xml:space="preserve"> </w:t>
            </w:r>
          </w:p>
        </w:tc>
      </w:tr>
      <w:tr w:rsidR="00826D3B" w:rsidRPr="00C34520" w14:paraId="435657A2" w14:textId="77777777" w:rsidTr="00667D81">
        <w:tc>
          <w:tcPr>
            <w:tcW w:w="768" w:type="pct"/>
            <w:vAlign w:val="center"/>
          </w:tcPr>
          <w:p w14:paraId="438EBE9A" w14:textId="77777777" w:rsidR="00826D3B" w:rsidRPr="00C34520" w:rsidRDefault="00826D3B" w:rsidP="00DE0052">
            <w:pPr>
              <w:pStyle w:val="TableText0"/>
            </w:pPr>
            <w:r w:rsidRPr="00C34520">
              <w:t>Doses administered</w:t>
            </w:r>
          </w:p>
        </w:tc>
        <w:tc>
          <w:tcPr>
            <w:tcW w:w="1411" w:type="pct"/>
            <w:gridSpan w:val="3"/>
            <w:vAlign w:val="center"/>
          </w:tcPr>
          <w:p w14:paraId="5632FA14" w14:textId="77777777" w:rsidR="00826D3B" w:rsidRPr="00C34520" w:rsidRDefault="00826D3B" w:rsidP="00DE0052">
            <w:pPr>
              <w:pStyle w:val="TableText0"/>
              <w:jc w:val="center"/>
            </w:pPr>
            <w:r w:rsidRPr="00C34520">
              <w:t>3</w:t>
            </w:r>
          </w:p>
        </w:tc>
        <w:tc>
          <w:tcPr>
            <w:tcW w:w="1415" w:type="pct"/>
            <w:gridSpan w:val="3"/>
            <w:vAlign w:val="center"/>
          </w:tcPr>
          <w:p w14:paraId="7CB0ACD3" w14:textId="77777777" w:rsidR="00826D3B" w:rsidRPr="00C34520" w:rsidRDefault="00826D3B" w:rsidP="00DE0052">
            <w:pPr>
              <w:pStyle w:val="TableText0"/>
              <w:jc w:val="center"/>
            </w:pPr>
            <w:r w:rsidRPr="00C34520">
              <w:t>4</w:t>
            </w:r>
          </w:p>
        </w:tc>
        <w:tc>
          <w:tcPr>
            <w:tcW w:w="1406" w:type="pct"/>
            <w:gridSpan w:val="3"/>
            <w:vAlign w:val="center"/>
          </w:tcPr>
          <w:p w14:paraId="20E31982" w14:textId="77777777" w:rsidR="00826D3B" w:rsidRPr="00C34520" w:rsidRDefault="00826D3B" w:rsidP="00DE0052">
            <w:pPr>
              <w:pStyle w:val="TableText0"/>
              <w:jc w:val="center"/>
            </w:pPr>
            <w:r w:rsidRPr="00C34520">
              <w:t>1</w:t>
            </w:r>
          </w:p>
        </w:tc>
      </w:tr>
      <w:tr w:rsidR="00826D3B" w:rsidRPr="00C34520" w14:paraId="0F217D6B" w14:textId="77777777" w:rsidTr="00667D81">
        <w:tc>
          <w:tcPr>
            <w:tcW w:w="768" w:type="pct"/>
            <w:vAlign w:val="center"/>
          </w:tcPr>
          <w:p w14:paraId="626CBFA9" w14:textId="4D211FC0" w:rsidR="00826D3B" w:rsidRPr="00C34520" w:rsidRDefault="00826D3B" w:rsidP="00DE0052">
            <w:pPr>
              <w:pStyle w:val="TableText0"/>
            </w:pPr>
            <w:r w:rsidRPr="00C34520">
              <w:t>Total vaccine cost/course</w:t>
            </w:r>
            <w:r w:rsidR="008754BE">
              <w:t xml:space="preserve"> ($)</w:t>
            </w:r>
          </w:p>
        </w:tc>
        <w:tc>
          <w:tcPr>
            <w:tcW w:w="470" w:type="pct"/>
            <w:vAlign w:val="center"/>
          </w:tcPr>
          <w:p w14:paraId="0101A01F" w14:textId="6F6E852C" w:rsidR="00826D3B" w:rsidRPr="000E3F99" w:rsidRDefault="003F73D9" w:rsidP="00DE0052">
            <w:pPr>
              <w:pStyle w:val="TableText0"/>
              <w:jc w:val="center"/>
              <w:rPr>
                <w:highlight w:val="darkGray"/>
              </w:rPr>
            </w:pPr>
            <w:r w:rsidRPr="002649A2">
              <w:rPr>
                <w:color w:val="000000"/>
                <w:spacing w:val="46"/>
                <w:shd w:val="solid" w:color="000000" w:fill="000000"/>
                <w:fitText w:val="220" w:id="-1032153086"/>
                <w14:textFill>
                  <w14:solidFill>
                    <w14:srgbClr w14:val="000000">
                      <w14:alpha w14:val="100000"/>
                    </w14:srgbClr>
                  </w14:solidFill>
                </w14:textFill>
              </w:rPr>
              <w:t>||</w:t>
            </w:r>
            <w:r w:rsidRPr="002649A2">
              <w:rPr>
                <w:color w:val="000000"/>
                <w:spacing w:val="1"/>
                <w:shd w:val="solid" w:color="000000" w:fill="000000"/>
                <w:fitText w:val="220" w:id="-1032153086"/>
                <w14:textFill>
                  <w14:solidFill>
                    <w14:srgbClr w14:val="000000">
                      <w14:alpha w14:val="100000"/>
                    </w14:srgbClr>
                  </w14:solidFill>
                </w14:textFill>
              </w:rPr>
              <w:t>|</w:t>
            </w:r>
            <w:r>
              <w:t xml:space="preserve"> </w:t>
            </w:r>
          </w:p>
        </w:tc>
        <w:tc>
          <w:tcPr>
            <w:tcW w:w="470" w:type="pct"/>
            <w:vAlign w:val="center"/>
          </w:tcPr>
          <w:p w14:paraId="3668840D" w14:textId="0D6DE1B6" w:rsidR="00826D3B" w:rsidRPr="000E3F99" w:rsidRDefault="003F73D9" w:rsidP="00DE0052">
            <w:pPr>
              <w:pStyle w:val="TableText0"/>
              <w:jc w:val="center"/>
              <w:rPr>
                <w:highlight w:val="darkGray"/>
              </w:rPr>
            </w:pPr>
            <w:r w:rsidRPr="002649A2">
              <w:rPr>
                <w:color w:val="000000"/>
                <w:spacing w:val="46"/>
                <w:shd w:val="solid" w:color="000000" w:fill="000000"/>
                <w:fitText w:val="220" w:id="-1032153085"/>
                <w14:textFill>
                  <w14:solidFill>
                    <w14:srgbClr w14:val="000000">
                      <w14:alpha w14:val="100000"/>
                    </w14:srgbClr>
                  </w14:solidFill>
                </w14:textFill>
              </w:rPr>
              <w:t>||</w:t>
            </w:r>
            <w:r w:rsidRPr="002649A2">
              <w:rPr>
                <w:color w:val="000000"/>
                <w:spacing w:val="1"/>
                <w:shd w:val="solid" w:color="000000" w:fill="000000"/>
                <w:fitText w:val="220" w:id="-1032153085"/>
                <w14:textFill>
                  <w14:solidFill>
                    <w14:srgbClr w14:val="000000">
                      <w14:alpha w14:val="100000"/>
                    </w14:srgbClr>
                  </w14:solidFill>
                </w14:textFill>
              </w:rPr>
              <w:t>|</w:t>
            </w:r>
            <w:r>
              <w:t xml:space="preserve"> </w:t>
            </w:r>
          </w:p>
        </w:tc>
        <w:tc>
          <w:tcPr>
            <w:tcW w:w="472" w:type="pct"/>
            <w:vAlign w:val="center"/>
          </w:tcPr>
          <w:p w14:paraId="629EC8CE" w14:textId="3890A0C0" w:rsidR="00826D3B" w:rsidRPr="000E3F99" w:rsidRDefault="003F73D9" w:rsidP="00DE0052">
            <w:pPr>
              <w:pStyle w:val="TableText0"/>
              <w:jc w:val="center"/>
              <w:rPr>
                <w:highlight w:val="darkGray"/>
              </w:rPr>
            </w:pPr>
            <w:r w:rsidRPr="003F73D9">
              <w:rPr>
                <w:color w:val="000000"/>
                <w:spacing w:val="51"/>
                <w:shd w:val="solid" w:color="000000" w:fill="000000"/>
                <w:fitText w:val="230" w:id="-1032153084"/>
                <w14:textFill>
                  <w14:solidFill>
                    <w14:srgbClr w14:val="000000">
                      <w14:alpha w14:val="100000"/>
                    </w14:srgbClr>
                  </w14:solidFill>
                </w14:textFill>
              </w:rPr>
              <w:t>||</w:t>
            </w:r>
            <w:r w:rsidRPr="003F73D9">
              <w:rPr>
                <w:color w:val="000000"/>
                <w:spacing w:val="1"/>
                <w:shd w:val="solid" w:color="000000" w:fill="000000"/>
                <w:fitText w:val="230" w:id="-1032153084"/>
                <w14:textFill>
                  <w14:solidFill>
                    <w14:srgbClr w14:val="000000">
                      <w14:alpha w14:val="100000"/>
                    </w14:srgbClr>
                  </w14:solidFill>
                </w14:textFill>
              </w:rPr>
              <w:t>|</w:t>
            </w:r>
            <w:r>
              <w:t xml:space="preserve"> </w:t>
            </w:r>
          </w:p>
        </w:tc>
        <w:tc>
          <w:tcPr>
            <w:tcW w:w="472" w:type="pct"/>
            <w:vAlign w:val="center"/>
          </w:tcPr>
          <w:p w14:paraId="008A633A" w14:textId="4D1F699D" w:rsidR="00826D3B" w:rsidRPr="000E3F99" w:rsidRDefault="003F73D9" w:rsidP="00DE0052">
            <w:pPr>
              <w:pStyle w:val="TableText0"/>
              <w:jc w:val="center"/>
              <w:rPr>
                <w:highlight w:val="darkGray"/>
              </w:rPr>
            </w:pPr>
            <w:r w:rsidRPr="003F73D9">
              <w:rPr>
                <w:color w:val="000000"/>
                <w:spacing w:val="51"/>
                <w:shd w:val="solid" w:color="000000" w:fill="000000"/>
                <w:fitText w:val="230" w:id="-1032153083"/>
                <w14:textFill>
                  <w14:solidFill>
                    <w14:srgbClr w14:val="000000">
                      <w14:alpha w14:val="100000"/>
                    </w14:srgbClr>
                  </w14:solidFill>
                </w14:textFill>
              </w:rPr>
              <w:t>||</w:t>
            </w:r>
            <w:r w:rsidRPr="003F73D9">
              <w:rPr>
                <w:color w:val="000000"/>
                <w:spacing w:val="1"/>
                <w:shd w:val="solid" w:color="000000" w:fill="000000"/>
                <w:fitText w:val="230" w:id="-1032153083"/>
                <w14:textFill>
                  <w14:solidFill>
                    <w14:srgbClr w14:val="000000">
                      <w14:alpha w14:val="100000"/>
                    </w14:srgbClr>
                  </w14:solidFill>
                </w14:textFill>
              </w:rPr>
              <w:t>|</w:t>
            </w:r>
            <w:r>
              <w:t xml:space="preserve"> </w:t>
            </w:r>
          </w:p>
        </w:tc>
        <w:tc>
          <w:tcPr>
            <w:tcW w:w="472" w:type="pct"/>
            <w:vAlign w:val="center"/>
          </w:tcPr>
          <w:p w14:paraId="580D5A1F" w14:textId="716C587D" w:rsidR="00826D3B" w:rsidRPr="000E3F99" w:rsidRDefault="003F73D9" w:rsidP="00DE0052">
            <w:pPr>
              <w:pStyle w:val="TableText0"/>
              <w:jc w:val="center"/>
              <w:rPr>
                <w:highlight w:val="darkGray"/>
              </w:rPr>
            </w:pPr>
            <w:r w:rsidRPr="003F73D9">
              <w:rPr>
                <w:color w:val="000000"/>
                <w:spacing w:val="51"/>
                <w:shd w:val="solid" w:color="000000" w:fill="000000"/>
                <w:fitText w:val="230" w:id="-1032153082"/>
                <w14:textFill>
                  <w14:solidFill>
                    <w14:srgbClr w14:val="000000">
                      <w14:alpha w14:val="100000"/>
                    </w14:srgbClr>
                  </w14:solidFill>
                </w14:textFill>
              </w:rPr>
              <w:t>||</w:t>
            </w:r>
            <w:r w:rsidRPr="003F73D9">
              <w:rPr>
                <w:color w:val="000000"/>
                <w:spacing w:val="1"/>
                <w:shd w:val="solid" w:color="000000" w:fill="000000"/>
                <w:fitText w:val="230" w:id="-1032153082"/>
                <w14:textFill>
                  <w14:solidFill>
                    <w14:srgbClr w14:val="000000">
                      <w14:alpha w14:val="100000"/>
                    </w14:srgbClr>
                  </w14:solidFill>
                </w14:textFill>
              </w:rPr>
              <w:t>|</w:t>
            </w:r>
            <w:r>
              <w:t xml:space="preserve"> </w:t>
            </w:r>
          </w:p>
        </w:tc>
        <w:tc>
          <w:tcPr>
            <w:tcW w:w="472" w:type="pct"/>
            <w:vAlign w:val="center"/>
          </w:tcPr>
          <w:p w14:paraId="13473DFE" w14:textId="49A13597" w:rsidR="00826D3B" w:rsidRPr="000E3F99" w:rsidRDefault="003F73D9" w:rsidP="00DE0052">
            <w:pPr>
              <w:pStyle w:val="TableText0"/>
              <w:jc w:val="center"/>
              <w:rPr>
                <w:highlight w:val="darkGray"/>
              </w:rPr>
            </w:pPr>
            <w:r w:rsidRPr="003F73D9">
              <w:rPr>
                <w:color w:val="000000"/>
                <w:spacing w:val="51"/>
                <w:shd w:val="solid" w:color="000000" w:fill="000000"/>
                <w:fitText w:val="230" w:id="-1032153081"/>
                <w14:textFill>
                  <w14:solidFill>
                    <w14:srgbClr w14:val="000000">
                      <w14:alpha w14:val="100000"/>
                    </w14:srgbClr>
                  </w14:solidFill>
                </w14:textFill>
              </w:rPr>
              <w:t>||</w:t>
            </w:r>
            <w:r w:rsidRPr="003F73D9">
              <w:rPr>
                <w:color w:val="000000"/>
                <w:spacing w:val="1"/>
                <w:shd w:val="solid" w:color="000000" w:fill="000000"/>
                <w:fitText w:val="230" w:id="-1032153081"/>
                <w14:textFill>
                  <w14:solidFill>
                    <w14:srgbClr w14:val="000000">
                      <w14:alpha w14:val="100000"/>
                    </w14:srgbClr>
                  </w14:solidFill>
                </w14:textFill>
              </w:rPr>
              <w:t>|</w:t>
            </w:r>
            <w:r>
              <w:t xml:space="preserve"> </w:t>
            </w:r>
          </w:p>
        </w:tc>
        <w:tc>
          <w:tcPr>
            <w:tcW w:w="472" w:type="pct"/>
            <w:vAlign w:val="center"/>
          </w:tcPr>
          <w:p w14:paraId="2F21F957" w14:textId="4378C506" w:rsidR="00826D3B" w:rsidRPr="000E3F99" w:rsidRDefault="003F73D9" w:rsidP="00DE0052">
            <w:pPr>
              <w:pStyle w:val="TableText0"/>
              <w:jc w:val="center"/>
              <w:rPr>
                <w:highlight w:val="darkGray"/>
              </w:rPr>
            </w:pPr>
            <w:r w:rsidRPr="003F73D9">
              <w:rPr>
                <w:color w:val="000000"/>
                <w:spacing w:val="51"/>
                <w:shd w:val="solid" w:color="000000" w:fill="000000"/>
                <w:fitText w:val="230" w:id="-1032153080"/>
                <w14:textFill>
                  <w14:solidFill>
                    <w14:srgbClr w14:val="000000">
                      <w14:alpha w14:val="100000"/>
                    </w14:srgbClr>
                  </w14:solidFill>
                </w14:textFill>
              </w:rPr>
              <w:t>||</w:t>
            </w:r>
            <w:r w:rsidRPr="003F73D9">
              <w:rPr>
                <w:color w:val="000000"/>
                <w:spacing w:val="1"/>
                <w:shd w:val="solid" w:color="000000" w:fill="000000"/>
                <w:fitText w:val="230" w:id="-1032153080"/>
                <w14:textFill>
                  <w14:solidFill>
                    <w14:srgbClr w14:val="000000">
                      <w14:alpha w14:val="100000"/>
                    </w14:srgbClr>
                  </w14:solidFill>
                </w14:textFill>
              </w:rPr>
              <w:t>|</w:t>
            </w:r>
            <w:r>
              <w:t xml:space="preserve"> </w:t>
            </w:r>
          </w:p>
        </w:tc>
        <w:tc>
          <w:tcPr>
            <w:tcW w:w="472" w:type="pct"/>
            <w:vAlign w:val="center"/>
          </w:tcPr>
          <w:p w14:paraId="45673DB2" w14:textId="1FA5FD43" w:rsidR="00826D3B" w:rsidRPr="000E3F99" w:rsidRDefault="003F73D9" w:rsidP="00DE0052">
            <w:pPr>
              <w:pStyle w:val="TableText0"/>
              <w:jc w:val="center"/>
              <w:rPr>
                <w:highlight w:val="darkGray"/>
              </w:rPr>
            </w:pPr>
            <w:r w:rsidRPr="003F73D9">
              <w:rPr>
                <w:color w:val="000000"/>
                <w:spacing w:val="51"/>
                <w:shd w:val="solid" w:color="000000" w:fill="000000"/>
                <w:fitText w:val="230" w:id="-1032153079"/>
                <w14:textFill>
                  <w14:solidFill>
                    <w14:srgbClr w14:val="000000">
                      <w14:alpha w14:val="100000"/>
                    </w14:srgbClr>
                  </w14:solidFill>
                </w14:textFill>
              </w:rPr>
              <w:t>||</w:t>
            </w:r>
            <w:r w:rsidRPr="003F73D9">
              <w:rPr>
                <w:color w:val="000000"/>
                <w:spacing w:val="1"/>
                <w:shd w:val="solid" w:color="000000" w:fill="000000"/>
                <w:fitText w:val="230" w:id="-1032153079"/>
                <w14:textFill>
                  <w14:solidFill>
                    <w14:srgbClr w14:val="000000">
                      <w14:alpha w14:val="100000"/>
                    </w14:srgbClr>
                  </w14:solidFill>
                </w14:textFill>
              </w:rPr>
              <w:t>|</w:t>
            </w:r>
            <w:r>
              <w:t xml:space="preserve"> </w:t>
            </w:r>
          </w:p>
        </w:tc>
        <w:tc>
          <w:tcPr>
            <w:tcW w:w="462" w:type="pct"/>
            <w:vAlign w:val="center"/>
          </w:tcPr>
          <w:p w14:paraId="24B6AD42" w14:textId="144D78E4" w:rsidR="00826D3B" w:rsidRPr="000E3F99" w:rsidRDefault="003F73D9" w:rsidP="00DE0052">
            <w:pPr>
              <w:pStyle w:val="TableText0"/>
              <w:jc w:val="center"/>
              <w:rPr>
                <w:highlight w:val="darkGray"/>
              </w:rPr>
            </w:pPr>
            <w:r w:rsidRPr="003F73D9">
              <w:rPr>
                <w:color w:val="000000"/>
                <w:spacing w:val="154"/>
                <w:shd w:val="solid" w:color="000000" w:fill="000000"/>
                <w:fitText w:val="240" w:id="-1032153078"/>
                <w14:textFill>
                  <w14:solidFill>
                    <w14:srgbClr w14:val="000000">
                      <w14:alpha w14:val="100000"/>
                    </w14:srgbClr>
                  </w14:solidFill>
                </w14:textFill>
              </w:rPr>
              <w:t>|</w:t>
            </w:r>
            <w:r w:rsidRPr="003F73D9">
              <w:rPr>
                <w:color w:val="000000"/>
                <w:spacing w:val="1"/>
                <w:shd w:val="solid" w:color="000000" w:fill="000000"/>
                <w:fitText w:val="240" w:id="-1032153078"/>
                <w14:textFill>
                  <w14:solidFill>
                    <w14:srgbClr w14:val="000000">
                      <w14:alpha w14:val="100000"/>
                    </w14:srgbClr>
                  </w14:solidFill>
                </w14:textFill>
              </w:rPr>
              <w:t>|</w:t>
            </w:r>
            <w:r>
              <w:t xml:space="preserve"> </w:t>
            </w:r>
          </w:p>
        </w:tc>
      </w:tr>
      <w:tr w:rsidR="00826D3B" w:rsidRPr="00C34520" w14:paraId="3E04A401" w14:textId="77777777" w:rsidTr="00667D81">
        <w:tc>
          <w:tcPr>
            <w:tcW w:w="768" w:type="pct"/>
            <w:vAlign w:val="center"/>
          </w:tcPr>
          <w:p w14:paraId="12D52D71" w14:textId="02A84245" w:rsidR="00826D3B" w:rsidRPr="00C34520" w:rsidRDefault="00826D3B" w:rsidP="00DE0052">
            <w:pPr>
              <w:pStyle w:val="TableText0"/>
            </w:pPr>
            <w:r w:rsidRPr="00C34520">
              <w:t>Difference in cost/course</w:t>
            </w:r>
            <w:r w:rsidR="008754BE">
              <w:t xml:space="preserve"> ($)</w:t>
            </w:r>
          </w:p>
        </w:tc>
        <w:tc>
          <w:tcPr>
            <w:tcW w:w="470" w:type="pct"/>
            <w:vAlign w:val="center"/>
          </w:tcPr>
          <w:p w14:paraId="173D0B0A" w14:textId="77777777" w:rsidR="00826D3B" w:rsidRPr="000D7F10" w:rsidRDefault="00826D3B" w:rsidP="00DE0052">
            <w:pPr>
              <w:pStyle w:val="TableText0"/>
              <w:jc w:val="center"/>
            </w:pPr>
            <w:r w:rsidRPr="000D7F10">
              <w:t>$0</w:t>
            </w:r>
          </w:p>
        </w:tc>
        <w:tc>
          <w:tcPr>
            <w:tcW w:w="470" w:type="pct"/>
            <w:vAlign w:val="center"/>
          </w:tcPr>
          <w:p w14:paraId="1BDD40F2" w14:textId="77777777" w:rsidR="00826D3B" w:rsidRPr="000D7F10" w:rsidRDefault="00826D3B" w:rsidP="00DE0052">
            <w:pPr>
              <w:pStyle w:val="TableText0"/>
              <w:jc w:val="center"/>
            </w:pPr>
            <w:r w:rsidRPr="000D7F10">
              <w:t>-</w:t>
            </w:r>
          </w:p>
        </w:tc>
        <w:tc>
          <w:tcPr>
            <w:tcW w:w="472" w:type="pct"/>
            <w:vAlign w:val="center"/>
          </w:tcPr>
          <w:p w14:paraId="1211543E" w14:textId="77777777" w:rsidR="00826D3B" w:rsidRPr="000D7F10" w:rsidRDefault="00826D3B" w:rsidP="00DE0052">
            <w:pPr>
              <w:pStyle w:val="TableText0"/>
              <w:jc w:val="center"/>
            </w:pPr>
            <w:r w:rsidRPr="000D7F10">
              <w:t>-</w:t>
            </w:r>
          </w:p>
        </w:tc>
        <w:tc>
          <w:tcPr>
            <w:tcW w:w="472" w:type="pct"/>
            <w:vAlign w:val="center"/>
          </w:tcPr>
          <w:p w14:paraId="3DD97736" w14:textId="77777777" w:rsidR="00826D3B" w:rsidRPr="000D7F10" w:rsidRDefault="00826D3B" w:rsidP="00DE0052">
            <w:pPr>
              <w:pStyle w:val="TableText0"/>
              <w:jc w:val="center"/>
            </w:pPr>
            <w:r w:rsidRPr="000D7F10">
              <w:t>$0</w:t>
            </w:r>
          </w:p>
        </w:tc>
        <w:tc>
          <w:tcPr>
            <w:tcW w:w="472" w:type="pct"/>
            <w:vAlign w:val="center"/>
          </w:tcPr>
          <w:p w14:paraId="5ABF1E4B" w14:textId="77777777" w:rsidR="00826D3B" w:rsidRPr="000D7F10" w:rsidRDefault="00826D3B" w:rsidP="00DE0052">
            <w:pPr>
              <w:pStyle w:val="TableText0"/>
              <w:jc w:val="center"/>
            </w:pPr>
            <w:r w:rsidRPr="000D7F10">
              <w:t>-</w:t>
            </w:r>
          </w:p>
        </w:tc>
        <w:tc>
          <w:tcPr>
            <w:tcW w:w="472" w:type="pct"/>
            <w:vAlign w:val="center"/>
          </w:tcPr>
          <w:p w14:paraId="70FA0E9E" w14:textId="77777777" w:rsidR="00826D3B" w:rsidRPr="000D7F10" w:rsidRDefault="00826D3B" w:rsidP="00DE0052">
            <w:pPr>
              <w:pStyle w:val="TableText0"/>
              <w:jc w:val="center"/>
            </w:pPr>
            <w:r w:rsidRPr="000D7F10">
              <w:t>-</w:t>
            </w:r>
          </w:p>
        </w:tc>
        <w:tc>
          <w:tcPr>
            <w:tcW w:w="472" w:type="pct"/>
            <w:vAlign w:val="center"/>
          </w:tcPr>
          <w:p w14:paraId="440FA867" w14:textId="77777777" w:rsidR="00826D3B" w:rsidRPr="000D7F10" w:rsidRDefault="00826D3B" w:rsidP="00DE0052">
            <w:pPr>
              <w:pStyle w:val="TableText0"/>
              <w:jc w:val="center"/>
            </w:pPr>
            <w:r w:rsidRPr="000D7F10">
              <w:t>$0</w:t>
            </w:r>
          </w:p>
        </w:tc>
        <w:tc>
          <w:tcPr>
            <w:tcW w:w="472" w:type="pct"/>
            <w:vAlign w:val="center"/>
          </w:tcPr>
          <w:p w14:paraId="27BC4B90" w14:textId="77777777" w:rsidR="00826D3B" w:rsidRPr="00C34520" w:rsidRDefault="00826D3B" w:rsidP="00DE0052">
            <w:pPr>
              <w:pStyle w:val="TableText0"/>
              <w:jc w:val="center"/>
            </w:pPr>
            <w:r w:rsidRPr="00C34520">
              <w:t>-</w:t>
            </w:r>
          </w:p>
        </w:tc>
        <w:tc>
          <w:tcPr>
            <w:tcW w:w="462" w:type="pct"/>
            <w:vAlign w:val="center"/>
          </w:tcPr>
          <w:p w14:paraId="7DABAC79" w14:textId="77777777" w:rsidR="00826D3B" w:rsidRPr="00C34520" w:rsidRDefault="00826D3B" w:rsidP="00DE0052">
            <w:pPr>
              <w:pStyle w:val="TableText0"/>
              <w:jc w:val="center"/>
            </w:pPr>
            <w:r w:rsidRPr="00C34520">
              <w:t>-</w:t>
            </w:r>
          </w:p>
        </w:tc>
      </w:tr>
    </w:tbl>
    <w:p w14:paraId="5314928E" w14:textId="77777777" w:rsidR="00826D3B" w:rsidRPr="00C34520" w:rsidRDefault="00826D3B" w:rsidP="00826D3B">
      <w:pPr>
        <w:pStyle w:val="FooterTableFigure"/>
      </w:pPr>
      <w:r w:rsidRPr="00C34520">
        <w:t>Source: Table 3.4.1, p336 of the submission.</w:t>
      </w:r>
    </w:p>
    <w:p w14:paraId="57472368" w14:textId="77777777" w:rsidR="00826D3B" w:rsidRPr="00C34520" w:rsidRDefault="00826D3B" w:rsidP="00826D3B">
      <w:pPr>
        <w:pStyle w:val="FooterTableFigure"/>
      </w:pPr>
      <w:r w:rsidRPr="00C34520">
        <w:t>13vPCV = 13 valent pneumococcal conjugate vaccine; 15vPCV = 15 valent pneumococcal conjugate vaccine; 20vPCV = 20 valent pneumococcal conjugate vaccine; ACT = Australian Capital Territory; NNP = Nationally Negotiated Price; NSW = New South Wales; NT = Northern Territory; QLD = Queensland; SA = South Australia; TAS = Tasmania; VIC = Victoria’ WA = Western Australia.</w:t>
      </w:r>
    </w:p>
    <w:p w14:paraId="5F26341B" w14:textId="77777777" w:rsidR="00826D3B" w:rsidRPr="00C34520" w:rsidRDefault="00826D3B" w:rsidP="00826D3B">
      <w:pPr>
        <w:pStyle w:val="4-SubsectionHeading"/>
      </w:pPr>
      <w:bookmarkStart w:id="63" w:name="_Toc22897646"/>
      <w:bookmarkStart w:id="64" w:name="_Toc143027853"/>
      <w:bookmarkStart w:id="65" w:name="_Toc145498622"/>
      <w:r w:rsidRPr="00C34520">
        <w:t>Vaccine cost/patient/course</w:t>
      </w:r>
      <w:bookmarkEnd w:id="63"/>
      <w:bookmarkEnd w:id="64"/>
      <w:bookmarkEnd w:id="65"/>
    </w:p>
    <w:p w14:paraId="1F154B59" w14:textId="68662A52" w:rsidR="00826D3B" w:rsidRPr="00C34520" w:rsidRDefault="00826D3B" w:rsidP="00F625A4">
      <w:pPr>
        <w:pStyle w:val="3-BodyText"/>
      </w:pPr>
      <w:bookmarkStart w:id="66" w:name="_Ref104805102"/>
      <w:r w:rsidRPr="00C34520">
        <w:t>The submission applied a cost of $</w:t>
      </w:r>
      <w:r w:rsidR="003F73D9" w:rsidRPr="002649A2">
        <w:rPr>
          <w:color w:val="000000"/>
          <w:w w:val="60"/>
          <w:shd w:val="solid" w:color="000000" w:fill="000000"/>
          <w:fitText w:val="470" w:id="-1032153077"/>
          <w14:textFill>
            <w14:solidFill>
              <w14:srgbClr w14:val="000000">
                <w14:alpha w14:val="100000"/>
              </w14:srgbClr>
            </w14:solidFill>
          </w14:textFill>
        </w:rPr>
        <w:t>|||  ||</w:t>
      </w:r>
      <w:r w:rsidR="003F73D9" w:rsidRPr="002649A2">
        <w:rPr>
          <w:color w:val="000000"/>
          <w:spacing w:val="6"/>
          <w:w w:val="60"/>
          <w:shd w:val="solid" w:color="000000" w:fill="000000"/>
          <w:fitText w:val="470" w:id="-1032153077"/>
          <w14:textFill>
            <w14:solidFill>
              <w14:srgbClr w14:val="000000">
                <w14:alpha w14:val="100000"/>
              </w14:srgbClr>
            </w14:solidFill>
          </w14:textFill>
        </w:rPr>
        <w:t>|</w:t>
      </w:r>
      <w:r w:rsidR="003F73D9">
        <w:t xml:space="preserve"> </w:t>
      </w:r>
      <w:r w:rsidRPr="00C34520">
        <w:t xml:space="preserve"> per dose for 20vPCV, 13vPCV and 15vPCV in the economic model and financial estimates. </w:t>
      </w:r>
      <w:r w:rsidR="005A03E0">
        <w:t xml:space="preserve">The total cost </w:t>
      </w:r>
      <w:r w:rsidR="009D763F">
        <w:t xml:space="preserve">applied </w:t>
      </w:r>
      <w:r w:rsidR="005A03E0">
        <w:t xml:space="preserve">for a 2 + 1 schedule </w:t>
      </w:r>
      <w:r w:rsidR="009D763F">
        <w:t>was</w:t>
      </w:r>
      <w:r w:rsidR="005A03E0">
        <w:t xml:space="preserve"> $</w:t>
      </w:r>
      <w:r w:rsidR="003F73D9" w:rsidRPr="009523CC">
        <w:rPr>
          <w:color w:val="000000"/>
          <w:w w:val="15"/>
          <w:shd w:val="solid" w:color="000000" w:fill="000000"/>
          <w:fitText w:val="-20" w:id="-1032153076"/>
          <w14:textFill>
            <w14:solidFill>
              <w14:srgbClr w14:val="000000">
                <w14:alpha w14:val="100000"/>
              </w14:srgbClr>
            </w14:solidFill>
          </w14:textFill>
        </w:rPr>
        <w:t xml:space="preserve">|  </w:t>
      </w:r>
      <w:r w:rsidR="003F73D9" w:rsidRPr="009523CC">
        <w:rPr>
          <w:color w:val="000000"/>
          <w:spacing w:val="-69"/>
          <w:w w:val="15"/>
          <w:shd w:val="solid" w:color="000000" w:fill="000000"/>
          <w:fitText w:val="-20" w:id="-1032153076"/>
          <w14:textFill>
            <w14:solidFill>
              <w14:srgbClr w14:val="000000">
                <w14:alpha w14:val="100000"/>
              </w14:srgbClr>
            </w14:solidFill>
          </w14:textFill>
        </w:rPr>
        <w:t>|</w:t>
      </w:r>
      <w:r w:rsidR="003F73D9">
        <w:t xml:space="preserve"> </w:t>
      </w:r>
      <w:r w:rsidR="005A03E0">
        <w:t xml:space="preserve"> and the total cost </w:t>
      </w:r>
      <w:r w:rsidR="009D763F">
        <w:t xml:space="preserve">applied </w:t>
      </w:r>
      <w:r w:rsidR="005A03E0">
        <w:t xml:space="preserve">for the 3 + 1 schedule </w:t>
      </w:r>
      <w:r w:rsidR="009D763F">
        <w:t>wa</w:t>
      </w:r>
      <w:r w:rsidR="005A03E0">
        <w:t>s $</w:t>
      </w:r>
      <w:r w:rsidR="003F73D9" w:rsidRPr="009523CC">
        <w:rPr>
          <w:color w:val="000000"/>
          <w:w w:val="15"/>
          <w:shd w:val="solid" w:color="000000" w:fill="000000"/>
          <w:fitText w:val="-20" w:id="-1032153075"/>
          <w14:textFill>
            <w14:solidFill>
              <w14:srgbClr w14:val="000000">
                <w14:alpha w14:val="100000"/>
              </w14:srgbClr>
            </w14:solidFill>
          </w14:textFill>
        </w:rPr>
        <w:t xml:space="preserve">|  </w:t>
      </w:r>
      <w:r w:rsidR="003F73D9" w:rsidRPr="009523CC">
        <w:rPr>
          <w:color w:val="000000"/>
          <w:spacing w:val="-69"/>
          <w:w w:val="15"/>
          <w:shd w:val="solid" w:color="000000" w:fill="000000"/>
          <w:fitText w:val="-20" w:id="-1032153075"/>
          <w14:textFill>
            <w14:solidFill>
              <w14:srgbClr w14:val="000000">
                <w14:alpha w14:val="100000"/>
              </w14:srgbClr>
            </w14:solidFill>
          </w14:textFill>
        </w:rPr>
        <w:t>|</w:t>
      </w:r>
      <w:r w:rsidR="003F73D9">
        <w:t xml:space="preserve"> </w:t>
      </w:r>
      <w:r w:rsidR="005A03E0">
        <w:t>.</w:t>
      </w:r>
      <w:bookmarkEnd w:id="66"/>
    </w:p>
    <w:p w14:paraId="0EF866A2" w14:textId="6E89ECD2" w:rsidR="00826D3B" w:rsidRPr="00C34520" w:rsidRDefault="00826D3B" w:rsidP="00826D3B">
      <w:pPr>
        <w:pStyle w:val="4-SubsectionHeading"/>
      </w:pPr>
      <w:bookmarkStart w:id="67" w:name="_Toc22897647"/>
      <w:bookmarkStart w:id="68" w:name="_Toc143027854"/>
      <w:bookmarkStart w:id="69" w:name="_Toc145498623"/>
      <w:r w:rsidRPr="00C34520">
        <w:t>Estimated NIP usage &amp; financial implications</w:t>
      </w:r>
      <w:bookmarkEnd w:id="67"/>
      <w:bookmarkEnd w:id="68"/>
      <w:bookmarkEnd w:id="69"/>
    </w:p>
    <w:p w14:paraId="6A860B66" w14:textId="5D8CA090" w:rsidR="00826D3B" w:rsidRPr="00D15D0C" w:rsidRDefault="00826D3B" w:rsidP="00F625A4">
      <w:pPr>
        <w:pStyle w:val="3-BodyText"/>
      </w:pPr>
      <w:r w:rsidRPr="00D15D0C">
        <w:t xml:space="preserve">This submission </w:t>
      </w:r>
      <w:r w:rsidR="00D15D0C">
        <w:t xml:space="preserve">was </w:t>
      </w:r>
      <w:r w:rsidRPr="00D15D0C">
        <w:t xml:space="preserve">not considered by DUSC. The submission used an epidemiological approach to estimate the utilisation and financial impacts associated with the inclusion of 20vPCV on the NIP for paediatric populations. Given that 20vPCV was </w:t>
      </w:r>
      <w:r w:rsidRPr="00D15D0C">
        <w:lastRenderedPageBreak/>
        <w:t xml:space="preserve">expected to replace 13vPCV and 15vPCV a market share approach may have been </w:t>
      </w:r>
      <w:r w:rsidR="006134DF" w:rsidRPr="00D15D0C">
        <w:t xml:space="preserve">simpler and therefore </w:t>
      </w:r>
      <w:r w:rsidRPr="00D15D0C">
        <w:t>more appropriate.</w:t>
      </w:r>
    </w:p>
    <w:p w14:paraId="33702AE3" w14:textId="77777777" w:rsidR="00826D3B" w:rsidRPr="00D15D0C" w:rsidRDefault="00826D3B" w:rsidP="00F625A4">
      <w:pPr>
        <w:pStyle w:val="3-BodyText"/>
      </w:pPr>
      <w:r w:rsidRPr="00D15D0C">
        <w:t>The submission defined four patient populations and applied different uptake rates to each population:</w:t>
      </w:r>
    </w:p>
    <w:p w14:paraId="712A1057" w14:textId="2E42571B" w:rsidR="00826D3B" w:rsidRPr="00D15D0C" w:rsidRDefault="00826D3B" w:rsidP="00F625A4">
      <w:pPr>
        <w:pStyle w:val="3-BodyText"/>
        <w:numPr>
          <w:ilvl w:val="0"/>
          <w:numId w:val="15"/>
        </w:numPr>
      </w:pPr>
      <w:r w:rsidRPr="00D15D0C">
        <w:t xml:space="preserve">Population 1: 2+1 schedule in </w:t>
      </w:r>
      <w:r w:rsidR="00717C91" w:rsidRPr="00D15D0C">
        <w:t>children aged 12 months or younger</w:t>
      </w:r>
      <w:r w:rsidR="00717C91" w:rsidRPr="00D15D0C" w:rsidDel="00717C91">
        <w:t xml:space="preserve"> </w:t>
      </w:r>
      <w:r w:rsidRPr="00D15D0C">
        <w:t>in NSW, VIC, ACT, and TAS, and non</w:t>
      </w:r>
      <w:r w:rsidRPr="00D15D0C">
        <w:noBreakHyphen/>
        <w:t xml:space="preserve">Indigenous </w:t>
      </w:r>
      <w:r w:rsidR="00717C91" w:rsidRPr="00D15D0C">
        <w:t>children aged 12 months or younger</w:t>
      </w:r>
      <w:r w:rsidR="00717C91" w:rsidRPr="00D15D0C" w:rsidDel="00717C91">
        <w:t xml:space="preserve"> </w:t>
      </w:r>
      <w:r w:rsidRPr="00D15D0C">
        <w:t>QLD, NT, WA, and SA.</w:t>
      </w:r>
    </w:p>
    <w:p w14:paraId="75C1DD8D" w14:textId="7001AE87" w:rsidR="00826D3B" w:rsidRPr="00D15D0C" w:rsidRDefault="00826D3B" w:rsidP="00F625A4">
      <w:pPr>
        <w:pStyle w:val="3-BodyText"/>
        <w:numPr>
          <w:ilvl w:val="0"/>
          <w:numId w:val="15"/>
        </w:numPr>
      </w:pPr>
      <w:r w:rsidRPr="00D15D0C">
        <w:t xml:space="preserve">Population 2: 3+1 schedule in Aboriginal and Torres Strait Islander </w:t>
      </w:r>
      <w:r w:rsidR="00717C91" w:rsidRPr="00D15D0C">
        <w:t>children aged 12 months or younger</w:t>
      </w:r>
      <w:r w:rsidR="00717C91" w:rsidRPr="00D15D0C" w:rsidDel="00717C91">
        <w:t xml:space="preserve"> </w:t>
      </w:r>
      <w:r w:rsidRPr="00D15D0C">
        <w:t>in QLD, NT, WA, and SA.</w:t>
      </w:r>
    </w:p>
    <w:p w14:paraId="295D657B" w14:textId="6EFF5EDD" w:rsidR="00826D3B" w:rsidRPr="00D15D0C" w:rsidRDefault="00826D3B" w:rsidP="00F625A4">
      <w:pPr>
        <w:pStyle w:val="3-BodyText"/>
        <w:numPr>
          <w:ilvl w:val="0"/>
          <w:numId w:val="15"/>
        </w:numPr>
      </w:pPr>
      <w:r w:rsidRPr="00D15D0C">
        <w:t xml:space="preserve">Population 3: 3+1 schedule in </w:t>
      </w:r>
      <w:r w:rsidR="00717C91" w:rsidRPr="00D15D0C">
        <w:t>children aged 12 months or younger</w:t>
      </w:r>
      <w:r w:rsidR="00717C91" w:rsidRPr="00D15D0C" w:rsidDel="00717C91">
        <w:t xml:space="preserve"> </w:t>
      </w:r>
      <w:r w:rsidRPr="00D15D0C">
        <w:t>with NIP</w:t>
      </w:r>
      <w:r w:rsidR="00717C91" w:rsidRPr="00D15D0C">
        <w:noBreakHyphen/>
      </w:r>
      <w:r w:rsidRPr="00D15D0C">
        <w:t>funded risk conditions (existing) i.e., 2+1 schedule plus an additional dose of 20vPCV.</w:t>
      </w:r>
    </w:p>
    <w:p w14:paraId="7F0AF1E0" w14:textId="2C8B070A" w:rsidR="00826D3B" w:rsidRPr="00D15D0C" w:rsidRDefault="00826D3B" w:rsidP="00F625A4">
      <w:pPr>
        <w:pStyle w:val="3-BodyText"/>
        <w:numPr>
          <w:ilvl w:val="0"/>
          <w:numId w:val="15"/>
        </w:numPr>
      </w:pPr>
      <w:r w:rsidRPr="00D15D0C">
        <w:t xml:space="preserve">Population 4: Single dose in children and adolescents </w:t>
      </w:r>
      <w:r w:rsidR="00382BDB" w:rsidRPr="00D15D0C">
        <w:t>more than</w:t>
      </w:r>
      <w:r w:rsidR="002F21E3" w:rsidRPr="00D15D0C">
        <w:t xml:space="preserve"> </w:t>
      </w:r>
      <w:r w:rsidRPr="00D15D0C">
        <w:t>12 months newly diagnosed with NIP-funded risk conditions.</w:t>
      </w:r>
    </w:p>
    <w:p w14:paraId="61EE288B" w14:textId="77777777" w:rsidR="00826D3B" w:rsidRPr="00C34520" w:rsidRDefault="00826D3B" w:rsidP="00F625A4">
      <w:pPr>
        <w:pStyle w:val="3-BodyText"/>
      </w:pPr>
      <w:bookmarkStart w:id="70" w:name="_Ref143095967"/>
      <w:r w:rsidRPr="00C34520">
        <w:t>For Population 1, the submission:</w:t>
      </w:r>
      <w:bookmarkEnd w:id="70"/>
    </w:p>
    <w:p w14:paraId="0896343E" w14:textId="40C6185A" w:rsidR="00826D3B" w:rsidRPr="00C34520" w:rsidRDefault="00826D3B" w:rsidP="00F625A4">
      <w:pPr>
        <w:pStyle w:val="3-BodyText"/>
        <w:numPr>
          <w:ilvl w:val="0"/>
          <w:numId w:val="15"/>
        </w:numPr>
      </w:pPr>
      <w:r w:rsidRPr="00C34520">
        <w:t xml:space="preserve">Estimated the population of </w:t>
      </w:r>
      <w:r w:rsidR="00717C91" w:rsidRPr="00C34520">
        <w:t xml:space="preserve">children aged 12 months or younger </w:t>
      </w:r>
      <w:r w:rsidRPr="00C34520">
        <w:t>in NSW, VIC, ACT, and TAS, and non</w:t>
      </w:r>
      <w:r w:rsidRPr="00C34520">
        <w:noBreakHyphen/>
        <w:t xml:space="preserve">Indigenous </w:t>
      </w:r>
      <w:r w:rsidR="00717C91" w:rsidRPr="00C34520">
        <w:t>children aged 12 months or younger</w:t>
      </w:r>
      <w:r w:rsidR="00717C91" w:rsidRPr="00C34520" w:rsidDel="00717C91">
        <w:t xml:space="preserve"> </w:t>
      </w:r>
      <w:r w:rsidRPr="00C34520">
        <w:t>in QLD, NT, WA, and SA receiving the first two doses by subtracting the Aboriginal and Torres Strait Islander population in QLD, NT, WA, and SA aged less than 12 months from the total population aged less than 12 months (Population 1A).</w:t>
      </w:r>
    </w:p>
    <w:p w14:paraId="055ED68A" w14:textId="509DC37F" w:rsidR="00826D3B" w:rsidRPr="00C34520" w:rsidRDefault="00826D3B" w:rsidP="00574E84">
      <w:pPr>
        <w:pStyle w:val="ListParagraph"/>
        <w:numPr>
          <w:ilvl w:val="0"/>
          <w:numId w:val="15"/>
        </w:numPr>
      </w:pPr>
      <w:r w:rsidRPr="00C34520">
        <w:t>Estimated the population of toddlers in NSW, VIC, ACT, and TAS, and non</w:t>
      </w:r>
      <w:r w:rsidRPr="00C34520">
        <w:noBreakHyphen/>
        <w:t>Indigenous toddlers in QLD, NT, WA, and SA receiving the third dose by subtracting the Aboriginal and Torres Strait Islander population in QLD, NT, WA, and SA aged 12 months from the total population aged 12 months (Population 1B).</w:t>
      </w:r>
    </w:p>
    <w:p w14:paraId="22591F76" w14:textId="351D127B" w:rsidR="00826D3B" w:rsidRPr="00C34520" w:rsidRDefault="002F776D" w:rsidP="00F625A4">
      <w:pPr>
        <w:pStyle w:val="3-BodyText"/>
      </w:pPr>
      <w:bookmarkStart w:id="71" w:name="_Ref145345952"/>
      <w:bookmarkStart w:id="72" w:name="_Ref143095980"/>
      <w:r>
        <w:t>The same methodology was applied</w:t>
      </w:r>
      <w:r w:rsidR="00826D3B" w:rsidRPr="00C34520">
        <w:t xml:space="preserve"> for Population 2</w:t>
      </w:r>
      <w:r>
        <w:t>.</w:t>
      </w:r>
      <w:r w:rsidRPr="00C34520">
        <w:t xml:space="preserve"> </w:t>
      </w:r>
      <w:r>
        <w:t>T</w:t>
      </w:r>
      <w:r w:rsidRPr="00C34520">
        <w:t xml:space="preserve">he </w:t>
      </w:r>
      <w:r w:rsidR="00826D3B" w:rsidRPr="00C34520">
        <w:t xml:space="preserve">submission estimated the Aboriginal and Torres Strait Islander </w:t>
      </w:r>
      <w:r w:rsidR="00717C91" w:rsidRPr="00C34520">
        <w:t>children aged 12 months or younger</w:t>
      </w:r>
      <w:r w:rsidR="00717C91" w:rsidRPr="00C34520" w:rsidDel="00717C91">
        <w:t xml:space="preserve"> </w:t>
      </w:r>
      <w:r w:rsidR="00826D3B" w:rsidRPr="00C34520">
        <w:t xml:space="preserve">population in QLD, NT, WA, and SA for the first three doses (Population 2A); and the Aboriginal and Torres Strait Islander </w:t>
      </w:r>
      <w:r w:rsidR="00826D3B" w:rsidRPr="00C34520" w:rsidDel="00D07420">
        <w:t xml:space="preserve">Indigenous </w:t>
      </w:r>
      <w:r w:rsidR="00826D3B" w:rsidRPr="00C34520">
        <w:t xml:space="preserve">population aged 12 months </w:t>
      </w:r>
      <w:r>
        <w:t>i</w:t>
      </w:r>
      <w:r w:rsidRPr="00C34520">
        <w:t xml:space="preserve">n </w:t>
      </w:r>
      <w:r w:rsidR="00826D3B" w:rsidRPr="00C34520">
        <w:t>QLD, NT, WA, and SA for the fourth dose (Population 2B).</w:t>
      </w:r>
      <w:bookmarkEnd w:id="71"/>
      <w:r w:rsidR="00826D3B" w:rsidRPr="00C34520">
        <w:t xml:space="preserve"> </w:t>
      </w:r>
      <w:bookmarkEnd w:id="72"/>
    </w:p>
    <w:p w14:paraId="5018B59A" w14:textId="691BF74E" w:rsidR="00826D3B" w:rsidRPr="00C34520" w:rsidRDefault="00826D3B" w:rsidP="00F625A4">
      <w:pPr>
        <w:pStyle w:val="3-BodyText"/>
      </w:pPr>
      <w:r w:rsidRPr="00C34520">
        <w:t xml:space="preserve">The key inputs used in the financial estimates are presented in </w:t>
      </w:r>
      <w:r w:rsidRPr="00C34520">
        <w:fldChar w:fldCharType="begin"/>
      </w:r>
      <w:r w:rsidRPr="00C34520">
        <w:instrText xml:space="preserve"> REF _Ref104805262 \h </w:instrText>
      </w:r>
      <w:r w:rsidRPr="00C34520">
        <w:fldChar w:fldCharType="separate"/>
      </w:r>
      <w:r w:rsidR="009523CC" w:rsidRPr="00C34520">
        <w:t xml:space="preserve">Table </w:t>
      </w:r>
      <w:r w:rsidR="009523CC">
        <w:rPr>
          <w:noProof/>
        </w:rPr>
        <w:t>15</w:t>
      </w:r>
      <w:r w:rsidRPr="00C34520">
        <w:fldChar w:fldCharType="end"/>
      </w:r>
      <w:r w:rsidRPr="00C34520">
        <w:t>.</w:t>
      </w:r>
    </w:p>
    <w:p w14:paraId="5EFBB693" w14:textId="2E495D01" w:rsidR="00826D3B" w:rsidRPr="00C34520" w:rsidRDefault="00826D3B" w:rsidP="00D132A0">
      <w:pPr>
        <w:pStyle w:val="Caption"/>
        <w:rPr>
          <w:rStyle w:val="CommentReference"/>
          <w:b/>
          <w:szCs w:val="24"/>
        </w:rPr>
      </w:pPr>
      <w:bookmarkStart w:id="73" w:name="_Ref104805262"/>
      <w:r w:rsidRPr="00C34520">
        <w:lastRenderedPageBreak/>
        <w:t xml:space="preserve">Table </w:t>
      </w:r>
      <w:fldSimple w:instr=" SEQ Table \* ARABIC ">
        <w:r w:rsidR="009523CC">
          <w:rPr>
            <w:noProof/>
          </w:rPr>
          <w:t>15</w:t>
        </w:r>
      </w:fldSimple>
      <w:bookmarkEnd w:id="73"/>
      <w:r w:rsidRPr="00C34520">
        <w:t>:</w:t>
      </w:r>
      <w:r w:rsidRPr="00C34520">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4"/>
        <w:gridCol w:w="3527"/>
        <w:gridCol w:w="3776"/>
      </w:tblGrid>
      <w:tr w:rsidR="00826D3B" w:rsidRPr="00C34520" w14:paraId="361B3E0B" w14:textId="77777777" w:rsidTr="00667D81">
        <w:trPr>
          <w:tblHeader/>
        </w:trPr>
        <w:tc>
          <w:tcPr>
            <w:tcW w:w="950" w:type="pct"/>
            <w:shd w:val="clear" w:color="auto" w:fill="auto"/>
            <w:vAlign w:val="center"/>
          </w:tcPr>
          <w:p w14:paraId="7998193D" w14:textId="77777777" w:rsidR="00826D3B" w:rsidRPr="00C34520" w:rsidRDefault="00826D3B" w:rsidP="00DE0052">
            <w:pPr>
              <w:pStyle w:val="In-tableHeading"/>
              <w:jc w:val="center"/>
              <w:rPr>
                <w:lang w:val="en-AU"/>
              </w:rPr>
            </w:pPr>
            <w:r w:rsidRPr="00C34520">
              <w:rPr>
                <w:lang w:val="en-AU"/>
              </w:rPr>
              <w:t>Parameter</w:t>
            </w:r>
          </w:p>
        </w:tc>
        <w:tc>
          <w:tcPr>
            <w:tcW w:w="1956" w:type="pct"/>
            <w:shd w:val="clear" w:color="auto" w:fill="auto"/>
            <w:vAlign w:val="center"/>
          </w:tcPr>
          <w:p w14:paraId="5B0D3251" w14:textId="77777777" w:rsidR="00826D3B" w:rsidRPr="00C34520" w:rsidRDefault="00826D3B" w:rsidP="00DE0052">
            <w:pPr>
              <w:pStyle w:val="In-tableHeading"/>
              <w:jc w:val="center"/>
              <w:rPr>
                <w:lang w:val="en-AU"/>
              </w:rPr>
            </w:pPr>
            <w:r w:rsidRPr="00C34520">
              <w:rPr>
                <w:lang w:val="en-AU"/>
              </w:rPr>
              <w:t>Value applied and source</w:t>
            </w:r>
          </w:p>
        </w:tc>
        <w:tc>
          <w:tcPr>
            <w:tcW w:w="2094" w:type="pct"/>
            <w:shd w:val="clear" w:color="auto" w:fill="auto"/>
            <w:vAlign w:val="center"/>
          </w:tcPr>
          <w:p w14:paraId="245042B1" w14:textId="77777777" w:rsidR="00826D3B" w:rsidRPr="00C34520" w:rsidRDefault="00826D3B" w:rsidP="00DE0052">
            <w:pPr>
              <w:pStyle w:val="In-tableHeading"/>
              <w:jc w:val="center"/>
              <w:rPr>
                <w:lang w:val="en-AU"/>
              </w:rPr>
            </w:pPr>
            <w:r w:rsidRPr="00C34520">
              <w:rPr>
                <w:lang w:val="en-AU"/>
              </w:rPr>
              <w:t>Comment</w:t>
            </w:r>
          </w:p>
        </w:tc>
      </w:tr>
      <w:tr w:rsidR="00826D3B" w:rsidRPr="00C34520" w14:paraId="4ED1E6CA" w14:textId="77777777" w:rsidTr="00667D81">
        <w:trPr>
          <w:tblHeader/>
        </w:trPr>
        <w:tc>
          <w:tcPr>
            <w:tcW w:w="950" w:type="pct"/>
            <w:shd w:val="clear" w:color="auto" w:fill="auto"/>
            <w:vAlign w:val="center"/>
          </w:tcPr>
          <w:p w14:paraId="4E27F93F" w14:textId="77777777" w:rsidR="00826D3B" w:rsidRPr="00C34520" w:rsidRDefault="00826D3B" w:rsidP="00DE0052">
            <w:pPr>
              <w:pStyle w:val="In-tableHeading"/>
              <w:rPr>
                <w:b w:val="0"/>
                <w:bCs/>
                <w:lang w:val="en-AU"/>
              </w:rPr>
            </w:pPr>
            <w:r w:rsidRPr="00C34520">
              <w:rPr>
                <w:b w:val="0"/>
                <w:bCs/>
                <w:lang w:val="en-AU"/>
              </w:rPr>
              <w:t xml:space="preserve">Eligibility </w:t>
            </w:r>
          </w:p>
        </w:tc>
        <w:tc>
          <w:tcPr>
            <w:tcW w:w="1956" w:type="pct"/>
            <w:shd w:val="clear" w:color="auto" w:fill="auto"/>
            <w:vAlign w:val="center"/>
          </w:tcPr>
          <w:p w14:paraId="6E91CA23" w14:textId="5324A43A" w:rsidR="00826D3B" w:rsidRPr="00C34520" w:rsidRDefault="00826D3B" w:rsidP="00DE0052">
            <w:pPr>
              <w:pStyle w:val="In-tableHeading"/>
              <w:rPr>
                <w:b w:val="0"/>
                <w:bCs/>
                <w:lang w:val="en-AU"/>
              </w:rPr>
            </w:pPr>
            <w:r w:rsidRPr="00C34520">
              <w:rPr>
                <w:b w:val="0"/>
                <w:bCs/>
                <w:lang w:val="en-AU"/>
              </w:rPr>
              <w:t>100%</w:t>
            </w:r>
          </w:p>
        </w:tc>
        <w:tc>
          <w:tcPr>
            <w:tcW w:w="2094" w:type="pct"/>
            <w:shd w:val="clear" w:color="auto" w:fill="auto"/>
            <w:vAlign w:val="center"/>
          </w:tcPr>
          <w:p w14:paraId="6A04A243" w14:textId="77777777" w:rsidR="00826D3B" w:rsidRPr="00C874D6" w:rsidRDefault="00826D3B" w:rsidP="00DE0052">
            <w:pPr>
              <w:pStyle w:val="In-tableHeading"/>
              <w:rPr>
                <w:b w:val="0"/>
                <w:lang w:val="en-AU"/>
              </w:rPr>
            </w:pPr>
            <w:r w:rsidRPr="00C874D6">
              <w:rPr>
                <w:b w:val="0"/>
                <w:lang w:val="en-AU"/>
              </w:rPr>
              <w:t>Eligibility for the NIP is linked to eligibility for Medicare benefits. Assuming all persons identified in ABS data are eligible for Medicare benefits may overestimate the eligible population.</w:t>
            </w:r>
          </w:p>
        </w:tc>
      </w:tr>
      <w:tr w:rsidR="00826D3B" w:rsidRPr="00C34520" w14:paraId="125D0E40" w14:textId="77777777" w:rsidTr="00667D81">
        <w:tc>
          <w:tcPr>
            <w:tcW w:w="950" w:type="pct"/>
            <w:shd w:val="clear" w:color="auto" w:fill="auto"/>
            <w:vAlign w:val="center"/>
          </w:tcPr>
          <w:p w14:paraId="658FB649" w14:textId="77777777" w:rsidR="00826D3B" w:rsidRPr="00C34520" w:rsidRDefault="00826D3B" w:rsidP="00DE0052">
            <w:pPr>
              <w:pStyle w:val="TableText0"/>
            </w:pPr>
            <w:r w:rsidRPr="00C34520">
              <w:t>Prevalence of NIP-funded risk conditions</w:t>
            </w:r>
          </w:p>
        </w:tc>
        <w:tc>
          <w:tcPr>
            <w:tcW w:w="1956" w:type="pct"/>
            <w:shd w:val="clear" w:color="auto" w:fill="auto"/>
            <w:vAlign w:val="center"/>
          </w:tcPr>
          <w:p w14:paraId="555105BB" w14:textId="77777777" w:rsidR="00826D3B" w:rsidRPr="00C34520" w:rsidRDefault="00826D3B" w:rsidP="00DE0052">
            <w:pPr>
              <w:pStyle w:val="TableText0"/>
            </w:pPr>
            <w:r w:rsidRPr="00C34520">
              <w:t>Prevalence of 0.96% based on estimates of prevalence of individual at-risk conditions for pneumococcal disease based on ABS National Health Survey (NHS) 2014/15 data and published data from the UK (for conditions not available in the NHS)</w:t>
            </w:r>
          </w:p>
        </w:tc>
        <w:tc>
          <w:tcPr>
            <w:tcW w:w="2094" w:type="pct"/>
            <w:shd w:val="clear" w:color="auto" w:fill="auto"/>
            <w:vAlign w:val="center"/>
          </w:tcPr>
          <w:p w14:paraId="2055B066" w14:textId="4906CF0F" w:rsidR="00826D3B" w:rsidRPr="00903188" w:rsidRDefault="00826D3B" w:rsidP="00DE0052">
            <w:pPr>
              <w:pStyle w:val="TableText0"/>
            </w:pPr>
            <w:r w:rsidRPr="00C874D6">
              <w:t>The</w:t>
            </w:r>
            <w:r w:rsidR="00646DE4">
              <w:t xml:space="preserve"> evaluation considered the</w:t>
            </w:r>
            <w:r w:rsidRPr="00C874D6">
              <w:t xml:space="preserve"> sources were reasonable and consistent with the ATAGI Advice to the PBAC. </w:t>
            </w:r>
            <w:r w:rsidRPr="00903188">
              <w:t>The ATAGI Advice to the PBAC stated that this was not unreasonable, noting the limitations of prevalence data not being available that exactly matches the recommended groups on the NIP (p103 of the ATAGI Advice to the PBAC).</w:t>
            </w:r>
          </w:p>
        </w:tc>
      </w:tr>
      <w:tr w:rsidR="00826D3B" w:rsidRPr="00C34520" w14:paraId="7461EDD9" w14:textId="77777777" w:rsidTr="00667D81">
        <w:tc>
          <w:tcPr>
            <w:tcW w:w="950" w:type="pct"/>
            <w:shd w:val="clear" w:color="auto" w:fill="auto"/>
            <w:vAlign w:val="center"/>
          </w:tcPr>
          <w:p w14:paraId="16F874E2" w14:textId="77777777" w:rsidR="00826D3B" w:rsidRPr="00C34520" w:rsidRDefault="00826D3B" w:rsidP="00DE0052">
            <w:pPr>
              <w:pStyle w:val="TableText0"/>
            </w:pPr>
            <w:r w:rsidRPr="00C34520">
              <w:t>Uptake rate</w:t>
            </w:r>
          </w:p>
        </w:tc>
        <w:tc>
          <w:tcPr>
            <w:tcW w:w="1956" w:type="pct"/>
            <w:shd w:val="clear" w:color="auto" w:fill="auto"/>
            <w:vAlign w:val="center"/>
          </w:tcPr>
          <w:p w14:paraId="54A8CE74" w14:textId="4CEE0D47" w:rsidR="00826D3B" w:rsidRPr="00C34520" w:rsidRDefault="00826D3B" w:rsidP="00DE0052">
            <w:pPr>
              <w:pStyle w:val="TableText0"/>
            </w:pPr>
            <w:r w:rsidRPr="00C34520">
              <w:t>Population 1: 94.6% for</w:t>
            </w:r>
            <w:r w:rsidR="00D93A3E" w:rsidRPr="00C34520">
              <w:t xml:space="preserve"> 2</w:t>
            </w:r>
            <w:r w:rsidRPr="00C34520">
              <w:t xml:space="preserve"> infant doses (&lt;12 months), 92.6% for </w:t>
            </w:r>
            <w:r w:rsidR="00D93A3E" w:rsidRPr="00C34520">
              <w:t xml:space="preserve">third </w:t>
            </w:r>
            <w:r w:rsidR="002F776D">
              <w:t>(</w:t>
            </w:r>
            <w:r w:rsidRPr="00C34520">
              <w:t>toddler</w:t>
            </w:r>
            <w:r w:rsidR="002F776D">
              <w:t>)</w:t>
            </w:r>
            <w:r w:rsidRPr="00C34520">
              <w:t xml:space="preserve"> dose (12 months) based on AIHW.</w:t>
            </w:r>
          </w:p>
          <w:p w14:paraId="6B051580" w14:textId="2A823589" w:rsidR="00826D3B" w:rsidRPr="00C34520" w:rsidRDefault="00826D3B" w:rsidP="00DE0052">
            <w:pPr>
              <w:pStyle w:val="TableText0"/>
            </w:pPr>
            <w:r w:rsidRPr="00C34520">
              <w:t xml:space="preserve">Population 2: 92.4% for </w:t>
            </w:r>
            <w:r w:rsidR="002F776D">
              <w:t>3</w:t>
            </w:r>
            <w:r w:rsidR="00D93A3E" w:rsidRPr="00C34520">
              <w:t xml:space="preserve"> </w:t>
            </w:r>
            <w:r w:rsidRPr="00C34520">
              <w:t>infant doses (&lt;12 months), 91.4% for</w:t>
            </w:r>
            <w:r w:rsidR="00D93A3E" w:rsidRPr="00C34520">
              <w:t xml:space="preserve"> </w:t>
            </w:r>
            <w:r w:rsidR="002F776D">
              <w:t>fourth</w:t>
            </w:r>
            <w:r w:rsidRPr="00C34520">
              <w:t xml:space="preserve"> </w:t>
            </w:r>
            <w:r w:rsidR="002F776D">
              <w:t>(</w:t>
            </w:r>
            <w:r w:rsidRPr="00C34520">
              <w:t>toddler</w:t>
            </w:r>
            <w:r w:rsidR="002F776D">
              <w:t>)</w:t>
            </w:r>
            <w:r w:rsidRPr="00C34520">
              <w:t xml:space="preserve"> dose (12 months) based on AIHW.</w:t>
            </w:r>
          </w:p>
          <w:p w14:paraId="3D16B5C7" w14:textId="77777777" w:rsidR="00826D3B" w:rsidRPr="00C34520" w:rsidRDefault="00826D3B" w:rsidP="00DE0052">
            <w:pPr>
              <w:pStyle w:val="TableText0"/>
            </w:pPr>
            <w:r w:rsidRPr="00C34520">
              <w:t>Population 3: 93.1% based on Kabir 2021</w:t>
            </w:r>
          </w:p>
          <w:p w14:paraId="2B486AE3" w14:textId="77777777" w:rsidR="00826D3B" w:rsidRPr="00C34520" w:rsidRDefault="00826D3B" w:rsidP="00DE0052">
            <w:pPr>
              <w:pStyle w:val="TableText0"/>
            </w:pPr>
            <w:r w:rsidRPr="00C34520">
              <w:t>Population 4: 8.9% based on Kabir 2021</w:t>
            </w:r>
          </w:p>
        </w:tc>
        <w:tc>
          <w:tcPr>
            <w:tcW w:w="2094" w:type="pct"/>
            <w:shd w:val="clear" w:color="auto" w:fill="auto"/>
            <w:vAlign w:val="center"/>
          </w:tcPr>
          <w:p w14:paraId="143946E8" w14:textId="77777777" w:rsidR="00826D3B" w:rsidRPr="00C874D6" w:rsidRDefault="00826D3B" w:rsidP="00DE0052">
            <w:pPr>
              <w:pStyle w:val="TableText0"/>
            </w:pPr>
            <w:r w:rsidRPr="00C874D6">
              <w:t xml:space="preserve">The sources used in the PBAC submission were consistent with the ATAGI submission (p103 of the ATAGI </w:t>
            </w:r>
            <w:r w:rsidRPr="00903188">
              <w:t>Advice to the PBAC</w:t>
            </w:r>
            <w:r w:rsidRPr="00C874D6">
              <w:t xml:space="preserve">). The ATAGI Advice to the PBAC noted the impact of COVID on treatment-seeking behaviour and recommended 2019 NDSS data and 2019-20 AIHW hospitalisation data be used (pp14-16 of the ATAGI </w:t>
            </w:r>
            <w:r w:rsidRPr="00903188">
              <w:t>Advice to the PBAC</w:t>
            </w:r>
            <w:r w:rsidRPr="00C874D6">
              <w:t xml:space="preserve">). COVID may have also affected vaccination uptake rates. Consistent with the ATAGI </w:t>
            </w:r>
            <w:r w:rsidRPr="00903188">
              <w:t xml:space="preserve">Advice </w:t>
            </w:r>
            <w:r w:rsidRPr="00C874D6">
              <w:t>for other data sources, 2019 vaccination uptake data may be more appropriate.</w:t>
            </w:r>
          </w:p>
        </w:tc>
      </w:tr>
    </w:tbl>
    <w:p w14:paraId="6BEE872E" w14:textId="77777777" w:rsidR="00826D3B" w:rsidRPr="00C34520" w:rsidRDefault="00826D3B" w:rsidP="00826D3B">
      <w:pPr>
        <w:pStyle w:val="FooterTableFigure"/>
      </w:pPr>
      <w:r w:rsidRPr="00C34520">
        <w:t>Source: Tables 4.1.1 &amp; 4.2.1-4.2.3, pp339-341 of the submission.</w:t>
      </w:r>
    </w:p>
    <w:p w14:paraId="38C4D889" w14:textId="77777777" w:rsidR="00826D3B" w:rsidRPr="00C34520" w:rsidRDefault="00826D3B" w:rsidP="00826D3B">
      <w:pPr>
        <w:pStyle w:val="FooterTableFigure"/>
      </w:pPr>
      <w:r w:rsidRPr="00C34520">
        <w:t>ABS = Australian Bureau of Statistics; AIHW = Australian Institute of Health and Welfare; ATAGI = Australian Technical Advisory Group on Immunisation; NHS = National Health Survey; NIP = National Immunisation Program; PBAC = Pharmaceutical Benefits Advisory Committee; UK = United Kingdom.</w:t>
      </w:r>
    </w:p>
    <w:p w14:paraId="72B3DE1A" w14:textId="6B9123DF" w:rsidR="00826D3B" w:rsidRPr="00D15D0C" w:rsidRDefault="00826D3B" w:rsidP="00F625A4">
      <w:pPr>
        <w:pStyle w:val="3-BodyText"/>
      </w:pPr>
      <w:r w:rsidRPr="00C34520">
        <w:t xml:space="preserve">The submission assumed that 20vPCV would replace 13vPCV for the proposed NIP populations and that a dose of 20vPCV would substitute for a dose of 13vPCV in these populations at the specific time points. The submission also </w:t>
      </w:r>
      <w:r w:rsidR="006134DF" w:rsidRPr="00C34520">
        <w:t xml:space="preserve">noted </w:t>
      </w:r>
      <w:r w:rsidRPr="00C34520">
        <w:t>that 20vPCV may replace 15vPCV in practice and since 15vPCV was recommended on a cost</w:t>
      </w:r>
      <w:r w:rsidRPr="00C34520">
        <w:noBreakHyphen/>
        <w:t xml:space="preserve">minimisation basis to 13vPCV, 15vPCV can be expected to have the same Nationally Negotiated Price as 13vPCV. </w:t>
      </w:r>
    </w:p>
    <w:p w14:paraId="795C7F95" w14:textId="0826A6F1" w:rsidR="00826D3B" w:rsidRPr="00D15D0C" w:rsidRDefault="00826D3B" w:rsidP="00F625A4">
      <w:pPr>
        <w:pStyle w:val="3-BodyText"/>
      </w:pPr>
      <w:r w:rsidRPr="00C34520">
        <w:t xml:space="preserve">The submission assumed that 100% of incident toddlers (Population 1B) in Year 1 would receive their third dose of pneumococcal vaccine as 20vPCV, which would mean interchanging 20vPCV and 13vPCV in the 2+1 schedule. </w:t>
      </w:r>
    </w:p>
    <w:p w14:paraId="6C9765F2" w14:textId="7DC24B82" w:rsidR="00826D3B" w:rsidRPr="00C34520" w:rsidRDefault="00826D3B" w:rsidP="00F625A4">
      <w:pPr>
        <w:pStyle w:val="3-BodyText"/>
        <w:rPr>
          <w:color w:val="0066FF"/>
        </w:rPr>
      </w:pPr>
      <w:r w:rsidRPr="00C34520">
        <w:rPr>
          <w:color w:val="0066FF"/>
        </w:rPr>
        <w:fldChar w:fldCharType="begin"/>
      </w:r>
      <w:r w:rsidRPr="00C34520">
        <w:rPr>
          <w:color w:val="0066FF"/>
        </w:rPr>
        <w:instrText xml:space="preserve"> REF _Ref104805295 \h </w:instrText>
      </w:r>
      <w:r w:rsidRPr="00C34520">
        <w:rPr>
          <w:color w:val="0066FF"/>
        </w:rPr>
      </w:r>
      <w:r w:rsidRPr="00C34520">
        <w:rPr>
          <w:color w:val="0066FF"/>
        </w:rPr>
        <w:fldChar w:fldCharType="separate"/>
      </w:r>
      <w:r w:rsidR="009523CC" w:rsidRPr="00C34520">
        <w:t xml:space="preserve">Table </w:t>
      </w:r>
      <w:r w:rsidR="009523CC">
        <w:rPr>
          <w:noProof/>
        </w:rPr>
        <w:t>16</w:t>
      </w:r>
      <w:r w:rsidRPr="00C34520">
        <w:rPr>
          <w:color w:val="0066FF"/>
        </w:rPr>
        <w:fldChar w:fldCharType="end"/>
      </w:r>
      <w:r w:rsidRPr="00C34520">
        <w:t xml:space="preserve"> presents the estimated financial implications for including 20vPCV on the NIP.</w:t>
      </w:r>
      <w:r w:rsidRPr="00C34520">
        <w:rPr>
          <w:color w:val="0066FF"/>
        </w:rPr>
        <w:t xml:space="preserve"> </w:t>
      </w:r>
    </w:p>
    <w:p w14:paraId="072EE7A2" w14:textId="4CA3D4FA" w:rsidR="00826D3B" w:rsidRPr="00C34520" w:rsidRDefault="00826D3B" w:rsidP="00D132A0">
      <w:pPr>
        <w:pStyle w:val="Caption"/>
      </w:pPr>
      <w:bookmarkStart w:id="74" w:name="_Ref104805295"/>
      <w:bookmarkStart w:id="75" w:name="_Ref143029117"/>
      <w:r w:rsidRPr="00C34520">
        <w:lastRenderedPageBreak/>
        <w:t xml:space="preserve">Table </w:t>
      </w:r>
      <w:fldSimple w:instr=" SEQ Table \* ARABIC ">
        <w:r w:rsidR="009523CC">
          <w:rPr>
            <w:noProof/>
          </w:rPr>
          <w:t>16</w:t>
        </w:r>
      </w:fldSimple>
      <w:bookmarkEnd w:id="74"/>
      <w:r w:rsidRPr="00C34520">
        <w:t>:</w:t>
      </w:r>
      <w:r w:rsidRPr="00C34520">
        <w:rPr>
          <w:rStyle w:val="CommentReference"/>
          <w:b/>
          <w:szCs w:val="24"/>
        </w:rPr>
        <w:t xml:space="preserve"> Estimated use and financial implications</w:t>
      </w:r>
      <w:bookmarkEnd w:id="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826D3B" w:rsidRPr="00C34520" w14:paraId="1490559C" w14:textId="77777777" w:rsidTr="00BD1F15">
        <w:trPr>
          <w:tblHeader/>
        </w:trPr>
        <w:tc>
          <w:tcPr>
            <w:tcW w:w="1334" w:type="pct"/>
            <w:shd w:val="clear" w:color="auto" w:fill="auto"/>
            <w:vAlign w:val="center"/>
          </w:tcPr>
          <w:p w14:paraId="2D78E8ED" w14:textId="77777777" w:rsidR="00826D3B" w:rsidRPr="00C34520" w:rsidRDefault="00826D3B" w:rsidP="00DE0052">
            <w:pPr>
              <w:pStyle w:val="In-tableHeading"/>
              <w:jc w:val="center"/>
              <w:rPr>
                <w:lang w:val="en-AU"/>
              </w:rPr>
            </w:pPr>
          </w:p>
        </w:tc>
        <w:tc>
          <w:tcPr>
            <w:tcW w:w="611" w:type="pct"/>
            <w:shd w:val="clear" w:color="auto" w:fill="auto"/>
            <w:vAlign w:val="center"/>
          </w:tcPr>
          <w:p w14:paraId="128C92FC" w14:textId="77777777" w:rsidR="00826D3B" w:rsidRPr="00C34520" w:rsidRDefault="00826D3B" w:rsidP="00DE0052">
            <w:pPr>
              <w:pStyle w:val="In-tableHeading"/>
              <w:jc w:val="center"/>
              <w:rPr>
                <w:lang w:val="en-AU"/>
              </w:rPr>
            </w:pPr>
            <w:r w:rsidRPr="00C34520">
              <w:rPr>
                <w:lang w:val="en-AU"/>
              </w:rPr>
              <w:t>Year 1</w:t>
            </w:r>
          </w:p>
        </w:tc>
        <w:tc>
          <w:tcPr>
            <w:tcW w:w="611" w:type="pct"/>
            <w:shd w:val="clear" w:color="auto" w:fill="auto"/>
            <w:vAlign w:val="center"/>
          </w:tcPr>
          <w:p w14:paraId="35EF7A94" w14:textId="77777777" w:rsidR="00826D3B" w:rsidRPr="00C34520" w:rsidRDefault="00826D3B" w:rsidP="00DE0052">
            <w:pPr>
              <w:pStyle w:val="In-tableHeading"/>
              <w:jc w:val="center"/>
              <w:rPr>
                <w:lang w:val="en-AU"/>
              </w:rPr>
            </w:pPr>
            <w:r w:rsidRPr="00C34520">
              <w:rPr>
                <w:lang w:val="en-AU"/>
              </w:rPr>
              <w:t>Year 2</w:t>
            </w:r>
          </w:p>
        </w:tc>
        <w:tc>
          <w:tcPr>
            <w:tcW w:w="611" w:type="pct"/>
            <w:shd w:val="clear" w:color="auto" w:fill="auto"/>
            <w:vAlign w:val="center"/>
          </w:tcPr>
          <w:p w14:paraId="3F3E5FF9" w14:textId="77777777" w:rsidR="00826D3B" w:rsidRPr="00C34520" w:rsidRDefault="00826D3B" w:rsidP="00DE0052">
            <w:pPr>
              <w:pStyle w:val="In-tableHeading"/>
              <w:jc w:val="center"/>
              <w:rPr>
                <w:lang w:val="en-AU"/>
              </w:rPr>
            </w:pPr>
            <w:r w:rsidRPr="00C34520">
              <w:rPr>
                <w:lang w:val="en-AU"/>
              </w:rPr>
              <w:t>Year 3</w:t>
            </w:r>
          </w:p>
        </w:tc>
        <w:tc>
          <w:tcPr>
            <w:tcW w:w="611" w:type="pct"/>
            <w:shd w:val="clear" w:color="auto" w:fill="auto"/>
            <w:vAlign w:val="center"/>
          </w:tcPr>
          <w:p w14:paraId="56F4B5FD" w14:textId="77777777" w:rsidR="00826D3B" w:rsidRPr="00C34520" w:rsidRDefault="00826D3B" w:rsidP="00DE0052">
            <w:pPr>
              <w:pStyle w:val="In-tableHeading"/>
              <w:jc w:val="center"/>
              <w:rPr>
                <w:lang w:val="en-AU"/>
              </w:rPr>
            </w:pPr>
            <w:r w:rsidRPr="00C34520">
              <w:rPr>
                <w:lang w:val="en-AU"/>
              </w:rPr>
              <w:t>Year 4</w:t>
            </w:r>
          </w:p>
        </w:tc>
        <w:tc>
          <w:tcPr>
            <w:tcW w:w="611" w:type="pct"/>
            <w:shd w:val="clear" w:color="auto" w:fill="auto"/>
            <w:vAlign w:val="center"/>
          </w:tcPr>
          <w:p w14:paraId="04F67F49" w14:textId="77777777" w:rsidR="00826D3B" w:rsidRPr="00C34520" w:rsidRDefault="00826D3B" w:rsidP="00DE0052">
            <w:pPr>
              <w:pStyle w:val="In-tableHeading"/>
              <w:jc w:val="center"/>
              <w:rPr>
                <w:lang w:val="en-AU"/>
              </w:rPr>
            </w:pPr>
            <w:r w:rsidRPr="00C34520">
              <w:rPr>
                <w:lang w:val="en-AU"/>
              </w:rPr>
              <w:t>Year 5</w:t>
            </w:r>
          </w:p>
        </w:tc>
        <w:tc>
          <w:tcPr>
            <w:tcW w:w="611" w:type="pct"/>
          </w:tcPr>
          <w:p w14:paraId="7F7DB4DC" w14:textId="77777777" w:rsidR="00826D3B" w:rsidRPr="00C34520" w:rsidRDefault="00826D3B" w:rsidP="00DE0052">
            <w:pPr>
              <w:pStyle w:val="In-tableHeading"/>
              <w:jc w:val="center"/>
              <w:rPr>
                <w:lang w:val="en-AU"/>
              </w:rPr>
            </w:pPr>
            <w:r w:rsidRPr="00C34520">
              <w:rPr>
                <w:lang w:val="en-AU"/>
              </w:rPr>
              <w:t>Year 6</w:t>
            </w:r>
          </w:p>
        </w:tc>
      </w:tr>
      <w:tr w:rsidR="00826D3B" w:rsidRPr="00C34520" w14:paraId="71228582" w14:textId="77777777" w:rsidTr="00BD1F15">
        <w:tc>
          <w:tcPr>
            <w:tcW w:w="5000" w:type="pct"/>
            <w:gridSpan w:val="7"/>
            <w:shd w:val="clear" w:color="auto" w:fill="auto"/>
            <w:vAlign w:val="center"/>
          </w:tcPr>
          <w:p w14:paraId="0030F48D" w14:textId="590B54CA" w:rsidR="00826D3B" w:rsidRPr="00C34520" w:rsidRDefault="00826D3B" w:rsidP="00DE0052">
            <w:pPr>
              <w:pStyle w:val="In-tableHeading"/>
              <w:rPr>
                <w:bCs/>
                <w:color w:val="000000"/>
                <w:lang w:val="en-AU"/>
              </w:rPr>
            </w:pPr>
            <w:r w:rsidRPr="00C34520">
              <w:rPr>
                <w:bCs/>
                <w:color w:val="000000"/>
                <w:lang w:val="en-AU"/>
              </w:rPr>
              <w:t>Estimated extent of use – Population 1</w:t>
            </w:r>
            <w:r w:rsidR="009E7030" w:rsidRPr="00C34520">
              <w:rPr>
                <w:bCs/>
                <w:color w:val="000000"/>
                <w:lang w:val="en-AU"/>
              </w:rPr>
              <w:t>A</w:t>
            </w:r>
            <w:r w:rsidRPr="00C34520">
              <w:rPr>
                <w:bCs/>
                <w:color w:val="000000"/>
                <w:lang w:val="en-AU"/>
              </w:rPr>
              <w:t xml:space="preserve"> (two infant doses of 2+1 schedule)</w:t>
            </w:r>
          </w:p>
        </w:tc>
      </w:tr>
      <w:tr w:rsidR="00826D3B" w:rsidRPr="00C34520" w14:paraId="5E7D123C" w14:textId="77777777" w:rsidTr="00BD1F15">
        <w:tc>
          <w:tcPr>
            <w:tcW w:w="1334" w:type="pct"/>
            <w:shd w:val="clear" w:color="auto" w:fill="auto"/>
            <w:vAlign w:val="center"/>
          </w:tcPr>
          <w:p w14:paraId="5468C696" w14:textId="77777777" w:rsidR="00826D3B" w:rsidRPr="00C34520" w:rsidRDefault="00826D3B" w:rsidP="00DE0052">
            <w:pPr>
              <w:pStyle w:val="TableText0"/>
              <w:rPr>
                <w:rFonts w:ascii="Times" w:hAnsi="Times"/>
              </w:rPr>
            </w:pPr>
            <w:r w:rsidRPr="00C34520">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297422E" w14:textId="7DABE3D5"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74"/>
                <w14:textFill>
                  <w14:solidFill>
                    <w14:srgbClr w14:val="000000">
                      <w14:alpha w14:val="100000"/>
                    </w14:srgbClr>
                  </w14:solidFill>
                </w14:textFill>
              </w:rPr>
              <w:t xml:space="preserve">　</w:t>
            </w:r>
            <w:r w:rsidRPr="003F73D9">
              <w:rPr>
                <w:color w:val="000000"/>
                <w:w w:val="18"/>
                <w:shd w:val="solid" w:color="000000" w:fill="000000"/>
                <w:fitText w:val="80" w:id="-1032153074"/>
                <w14:textFill>
                  <w14:solidFill>
                    <w14:srgbClr w14:val="000000">
                      <w14:alpha w14:val="100000"/>
                    </w14:srgbClr>
                  </w14:solidFill>
                </w14:textFill>
              </w:rPr>
              <w:t>|</w:t>
            </w:r>
            <w:r w:rsidRPr="003F73D9">
              <w:rPr>
                <w:rFonts w:hint="eastAsia"/>
                <w:color w:val="000000"/>
                <w:w w:val="18"/>
                <w:shd w:val="solid" w:color="000000" w:fill="000000"/>
                <w:fitText w:val="80" w:id="-1032153074"/>
                <w14:textFill>
                  <w14:solidFill>
                    <w14:srgbClr w14:val="000000">
                      <w14:alpha w14:val="100000"/>
                    </w14:srgbClr>
                  </w14:solidFill>
                </w14:textFill>
              </w:rPr>
              <w:t xml:space="preserve">　</w:t>
            </w:r>
            <w:r>
              <w:t xml:space="preserve"> </w:t>
            </w:r>
            <w:r w:rsidR="0095593D" w:rsidRPr="000E3F99">
              <w:rPr>
                <w:vertAlign w:val="superscript"/>
              </w:rPr>
              <w:t>6</w:t>
            </w:r>
            <w:r w:rsidR="00826D3B" w:rsidRPr="00C34520">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0FD2C8D0" w14:textId="44735202"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73"/>
                <w14:textFill>
                  <w14:solidFill>
                    <w14:srgbClr w14:val="000000">
                      <w14:alpha w14:val="100000"/>
                    </w14:srgbClr>
                  </w14:solidFill>
                </w14:textFill>
              </w:rPr>
              <w:t xml:space="preserve">　</w:t>
            </w:r>
            <w:r w:rsidRPr="003F73D9">
              <w:rPr>
                <w:color w:val="000000"/>
                <w:w w:val="18"/>
                <w:shd w:val="solid" w:color="000000" w:fill="000000"/>
                <w:fitText w:val="80" w:id="-1032153073"/>
                <w14:textFill>
                  <w14:solidFill>
                    <w14:srgbClr w14:val="000000">
                      <w14:alpha w14:val="100000"/>
                    </w14:srgbClr>
                  </w14:solidFill>
                </w14:textFill>
              </w:rPr>
              <w:t>|</w:t>
            </w:r>
            <w:r w:rsidRPr="003F73D9">
              <w:rPr>
                <w:rFonts w:hint="eastAsia"/>
                <w:color w:val="000000"/>
                <w:w w:val="18"/>
                <w:shd w:val="solid" w:color="000000" w:fill="000000"/>
                <w:fitText w:val="80" w:id="-1032153073"/>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246E8ED5" w14:textId="503E64CE"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72"/>
                <w14:textFill>
                  <w14:solidFill>
                    <w14:srgbClr w14:val="000000">
                      <w14:alpha w14:val="100000"/>
                    </w14:srgbClr>
                  </w14:solidFill>
                </w14:textFill>
              </w:rPr>
              <w:t xml:space="preserve">　</w:t>
            </w:r>
            <w:r w:rsidRPr="003F73D9">
              <w:rPr>
                <w:color w:val="000000"/>
                <w:w w:val="18"/>
                <w:shd w:val="solid" w:color="000000" w:fill="000000"/>
                <w:fitText w:val="80" w:id="-1032153072"/>
                <w14:textFill>
                  <w14:solidFill>
                    <w14:srgbClr w14:val="000000">
                      <w14:alpha w14:val="100000"/>
                    </w14:srgbClr>
                  </w14:solidFill>
                </w14:textFill>
              </w:rPr>
              <w:t>|</w:t>
            </w:r>
            <w:r w:rsidRPr="003F73D9">
              <w:rPr>
                <w:rFonts w:hint="eastAsia"/>
                <w:color w:val="000000"/>
                <w:w w:val="18"/>
                <w:shd w:val="solid" w:color="000000" w:fill="000000"/>
                <w:fitText w:val="80" w:id="-1032153072"/>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406A4EDB" w14:textId="3862F74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8"/>
                <w14:textFill>
                  <w14:solidFill>
                    <w14:srgbClr w14:val="000000">
                      <w14:alpha w14:val="100000"/>
                    </w14:srgbClr>
                  </w14:solidFill>
                </w14:textFill>
              </w:rPr>
              <w:t xml:space="preserve">　</w:t>
            </w:r>
            <w:r w:rsidRPr="003F73D9">
              <w:rPr>
                <w:color w:val="000000"/>
                <w:w w:val="18"/>
                <w:shd w:val="solid" w:color="000000" w:fill="000000"/>
                <w:fitText w:val="80" w:id="-1032153088"/>
                <w14:textFill>
                  <w14:solidFill>
                    <w14:srgbClr w14:val="000000">
                      <w14:alpha w14:val="100000"/>
                    </w14:srgbClr>
                  </w14:solidFill>
                </w14:textFill>
              </w:rPr>
              <w:t>|</w:t>
            </w:r>
            <w:r w:rsidRPr="003F73D9">
              <w:rPr>
                <w:rFonts w:hint="eastAsia"/>
                <w:color w:val="000000"/>
                <w:w w:val="18"/>
                <w:shd w:val="solid" w:color="000000" w:fill="000000"/>
                <w:fitText w:val="80" w:id="-1032153088"/>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495FFA5B" w14:textId="72A92708"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7"/>
                <w14:textFill>
                  <w14:solidFill>
                    <w14:srgbClr w14:val="000000">
                      <w14:alpha w14:val="100000"/>
                    </w14:srgbClr>
                  </w14:solidFill>
                </w14:textFill>
              </w:rPr>
              <w:t xml:space="preserve">　</w:t>
            </w:r>
            <w:r w:rsidRPr="003F73D9">
              <w:rPr>
                <w:color w:val="000000"/>
                <w:w w:val="18"/>
                <w:shd w:val="solid" w:color="000000" w:fill="000000"/>
                <w:fitText w:val="80" w:id="-1032153087"/>
                <w14:textFill>
                  <w14:solidFill>
                    <w14:srgbClr w14:val="000000">
                      <w14:alpha w14:val="100000"/>
                    </w14:srgbClr>
                  </w14:solidFill>
                </w14:textFill>
              </w:rPr>
              <w:t>|</w:t>
            </w:r>
            <w:r w:rsidRPr="003F73D9">
              <w:rPr>
                <w:rFonts w:hint="eastAsia"/>
                <w:color w:val="000000"/>
                <w:w w:val="18"/>
                <w:shd w:val="solid" w:color="000000" w:fill="000000"/>
                <w:fitText w:val="80" w:id="-1032153087"/>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021443E3" w14:textId="4029A316"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6"/>
                <w14:textFill>
                  <w14:solidFill>
                    <w14:srgbClr w14:val="000000">
                      <w14:alpha w14:val="100000"/>
                    </w14:srgbClr>
                  </w14:solidFill>
                </w14:textFill>
              </w:rPr>
              <w:t xml:space="preserve">　</w:t>
            </w:r>
            <w:r w:rsidRPr="003F73D9">
              <w:rPr>
                <w:color w:val="000000"/>
                <w:w w:val="18"/>
                <w:shd w:val="solid" w:color="000000" w:fill="000000"/>
                <w:fitText w:val="80" w:id="-1032153086"/>
                <w14:textFill>
                  <w14:solidFill>
                    <w14:srgbClr w14:val="000000">
                      <w14:alpha w14:val="100000"/>
                    </w14:srgbClr>
                  </w14:solidFill>
                </w14:textFill>
              </w:rPr>
              <w:t>|</w:t>
            </w:r>
            <w:r w:rsidRPr="003F73D9">
              <w:rPr>
                <w:rFonts w:hint="eastAsia"/>
                <w:color w:val="000000"/>
                <w:w w:val="18"/>
                <w:shd w:val="solid" w:color="000000" w:fill="000000"/>
                <w:fitText w:val="80" w:id="-1032153086"/>
                <w14:textFill>
                  <w14:solidFill>
                    <w14:srgbClr w14:val="000000">
                      <w14:alpha w14:val="100000"/>
                    </w14:srgbClr>
                  </w14:solidFill>
                </w14:textFill>
              </w:rPr>
              <w:t xml:space="preserve">　</w:t>
            </w:r>
            <w:r>
              <w:t xml:space="preserve"> </w:t>
            </w:r>
            <w:r w:rsidR="0095593D" w:rsidRPr="005D2760">
              <w:rPr>
                <w:vertAlign w:val="superscript"/>
              </w:rPr>
              <w:t>6</w:t>
            </w:r>
          </w:p>
        </w:tc>
      </w:tr>
      <w:tr w:rsidR="00826D3B" w:rsidRPr="00C34520" w14:paraId="09EF7098" w14:textId="77777777" w:rsidTr="00BD1F15">
        <w:tc>
          <w:tcPr>
            <w:tcW w:w="1334" w:type="pct"/>
            <w:shd w:val="clear" w:color="auto" w:fill="auto"/>
            <w:vAlign w:val="center"/>
          </w:tcPr>
          <w:p w14:paraId="7F317F88" w14:textId="77777777" w:rsidR="00826D3B" w:rsidRPr="00C34520" w:rsidRDefault="00826D3B" w:rsidP="00DE0052">
            <w:pPr>
              <w:pStyle w:val="TableText0"/>
              <w:rPr>
                <w:rFonts w:ascii="Times" w:hAnsi="Times"/>
              </w:rPr>
            </w:pPr>
            <w:r w:rsidRPr="00C34520">
              <w:t xml:space="preserve">Number of scripts dispensed </w:t>
            </w:r>
            <w:r w:rsidRPr="00C34520">
              <w:rPr>
                <w:vertAlign w:val="superscript"/>
              </w:rPr>
              <w:t>a</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8F67F4A" w14:textId="7422646C"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5"/>
                <w14:textFill>
                  <w14:solidFill>
                    <w14:srgbClr w14:val="000000">
                      <w14:alpha w14:val="100000"/>
                    </w14:srgbClr>
                  </w14:solidFill>
                </w14:textFill>
              </w:rPr>
              <w:t xml:space="preserve">　</w:t>
            </w:r>
            <w:r w:rsidRPr="003F73D9">
              <w:rPr>
                <w:color w:val="000000"/>
                <w:w w:val="18"/>
                <w:shd w:val="solid" w:color="000000" w:fill="000000"/>
                <w:fitText w:val="80" w:id="-1032153085"/>
                <w14:textFill>
                  <w14:solidFill>
                    <w14:srgbClr w14:val="000000">
                      <w14:alpha w14:val="100000"/>
                    </w14:srgbClr>
                  </w14:solidFill>
                </w14:textFill>
              </w:rPr>
              <w:t>|</w:t>
            </w:r>
            <w:r w:rsidRPr="003F73D9">
              <w:rPr>
                <w:rFonts w:hint="eastAsia"/>
                <w:color w:val="000000"/>
                <w:w w:val="18"/>
                <w:shd w:val="solid" w:color="000000" w:fill="000000"/>
                <w:fitText w:val="80" w:id="-1032153085"/>
                <w14:textFill>
                  <w14:solidFill>
                    <w14:srgbClr w14:val="000000">
                      <w14:alpha w14:val="100000"/>
                    </w14:srgbClr>
                  </w14:solidFill>
                </w14:textFill>
              </w:rPr>
              <w:t xml:space="preserve">　</w:t>
            </w:r>
            <w:r>
              <w:t xml:space="preserve"> </w:t>
            </w:r>
            <w:r w:rsidR="0095593D" w:rsidRPr="000E3F99">
              <w:rPr>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137E0F87" w14:textId="443AACA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4"/>
                <w14:textFill>
                  <w14:solidFill>
                    <w14:srgbClr w14:val="000000">
                      <w14:alpha w14:val="100000"/>
                    </w14:srgbClr>
                  </w14:solidFill>
                </w14:textFill>
              </w:rPr>
              <w:t xml:space="preserve">　</w:t>
            </w:r>
            <w:r w:rsidRPr="003F73D9">
              <w:rPr>
                <w:color w:val="000000"/>
                <w:w w:val="18"/>
                <w:shd w:val="solid" w:color="000000" w:fill="000000"/>
                <w:fitText w:val="80" w:id="-1032153084"/>
                <w14:textFill>
                  <w14:solidFill>
                    <w14:srgbClr w14:val="000000">
                      <w14:alpha w14:val="100000"/>
                    </w14:srgbClr>
                  </w14:solidFill>
                </w14:textFill>
              </w:rPr>
              <w:t>|</w:t>
            </w:r>
            <w:r w:rsidRPr="003F73D9">
              <w:rPr>
                <w:rFonts w:hint="eastAsia"/>
                <w:color w:val="000000"/>
                <w:w w:val="18"/>
                <w:shd w:val="solid" w:color="000000" w:fill="000000"/>
                <w:fitText w:val="80" w:id="-1032153084"/>
                <w14:textFill>
                  <w14:solidFill>
                    <w14:srgbClr w14:val="000000">
                      <w14:alpha w14:val="100000"/>
                    </w14:srgbClr>
                  </w14:solidFill>
                </w14:textFill>
              </w:rPr>
              <w:t xml:space="preserve">　</w:t>
            </w:r>
            <w:r>
              <w:t xml:space="preserve"> </w:t>
            </w:r>
            <w:r w:rsidR="0095593D" w:rsidRPr="005D2760">
              <w:rPr>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6626791E" w14:textId="3050A654"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3"/>
                <w14:textFill>
                  <w14:solidFill>
                    <w14:srgbClr w14:val="000000">
                      <w14:alpha w14:val="100000"/>
                    </w14:srgbClr>
                  </w14:solidFill>
                </w14:textFill>
              </w:rPr>
              <w:t xml:space="preserve">　</w:t>
            </w:r>
            <w:r w:rsidRPr="003F73D9">
              <w:rPr>
                <w:color w:val="000000"/>
                <w:w w:val="18"/>
                <w:shd w:val="solid" w:color="000000" w:fill="000000"/>
                <w:fitText w:val="80" w:id="-1032153083"/>
                <w14:textFill>
                  <w14:solidFill>
                    <w14:srgbClr w14:val="000000">
                      <w14:alpha w14:val="100000"/>
                    </w14:srgbClr>
                  </w14:solidFill>
                </w14:textFill>
              </w:rPr>
              <w:t>|</w:t>
            </w:r>
            <w:r w:rsidRPr="003F73D9">
              <w:rPr>
                <w:rFonts w:hint="eastAsia"/>
                <w:color w:val="000000"/>
                <w:w w:val="18"/>
                <w:shd w:val="solid" w:color="000000" w:fill="000000"/>
                <w:fitText w:val="80" w:id="-1032153083"/>
                <w14:textFill>
                  <w14:solidFill>
                    <w14:srgbClr w14:val="000000">
                      <w14:alpha w14:val="100000"/>
                    </w14:srgbClr>
                  </w14:solidFill>
                </w14:textFill>
              </w:rPr>
              <w:t xml:space="preserve">　</w:t>
            </w:r>
            <w:r>
              <w:t xml:space="preserve"> </w:t>
            </w:r>
            <w:r w:rsidR="0095593D" w:rsidRPr="005D2760">
              <w:rPr>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6D017440" w14:textId="0D7232F1"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2"/>
                <w14:textFill>
                  <w14:solidFill>
                    <w14:srgbClr w14:val="000000">
                      <w14:alpha w14:val="100000"/>
                    </w14:srgbClr>
                  </w14:solidFill>
                </w14:textFill>
              </w:rPr>
              <w:t xml:space="preserve">　</w:t>
            </w:r>
            <w:r w:rsidRPr="003F73D9">
              <w:rPr>
                <w:color w:val="000000"/>
                <w:w w:val="18"/>
                <w:shd w:val="solid" w:color="000000" w:fill="000000"/>
                <w:fitText w:val="80" w:id="-1032153082"/>
                <w14:textFill>
                  <w14:solidFill>
                    <w14:srgbClr w14:val="000000">
                      <w14:alpha w14:val="100000"/>
                    </w14:srgbClr>
                  </w14:solidFill>
                </w14:textFill>
              </w:rPr>
              <w:t>|</w:t>
            </w:r>
            <w:r w:rsidRPr="003F73D9">
              <w:rPr>
                <w:rFonts w:hint="eastAsia"/>
                <w:color w:val="000000"/>
                <w:w w:val="18"/>
                <w:shd w:val="solid" w:color="000000" w:fill="000000"/>
                <w:fitText w:val="80" w:id="-1032153082"/>
                <w14:textFill>
                  <w14:solidFill>
                    <w14:srgbClr w14:val="000000">
                      <w14:alpha w14:val="100000"/>
                    </w14:srgbClr>
                  </w14:solidFill>
                </w14:textFill>
              </w:rPr>
              <w:t xml:space="preserve">　</w:t>
            </w:r>
            <w:r>
              <w:t xml:space="preserve"> </w:t>
            </w:r>
            <w:r w:rsidR="0095593D" w:rsidRPr="005D2760">
              <w:rPr>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6BD59ADB" w14:textId="46F17531"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1"/>
                <w14:textFill>
                  <w14:solidFill>
                    <w14:srgbClr w14:val="000000">
                      <w14:alpha w14:val="100000"/>
                    </w14:srgbClr>
                  </w14:solidFill>
                </w14:textFill>
              </w:rPr>
              <w:t xml:space="preserve">　</w:t>
            </w:r>
            <w:r w:rsidRPr="003F73D9">
              <w:rPr>
                <w:color w:val="000000"/>
                <w:w w:val="18"/>
                <w:shd w:val="solid" w:color="000000" w:fill="000000"/>
                <w:fitText w:val="80" w:id="-1032153081"/>
                <w14:textFill>
                  <w14:solidFill>
                    <w14:srgbClr w14:val="000000">
                      <w14:alpha w14:val="100000"/>
                    </w14:srgbClr>
                  </w14:solidFill>
                </w14:textFill>
              </w:rPr>
              <w:t>|</w:t>
            </w:r>
            <w:r w:rsidRPr="003F73D9">
              <w:rPr>
                <w:rFonts w:hint="eastAsia"/>
                <w:color w:val="000000"/>
                <w:w w:val="18"/>
                <w:shd w:val="solid" w:color="000000" w:fill="000000"/>
                <w:fitText w:val="80" w:id="-1032153081"/>
                <w14:textFill>
                  <w14:solidFill>
                    <w14:srgbClr w14:val="000000">
                      <w14:alpha w14:val="100000"/>
                    </w14:srgbClr>
                  </w14:solidFill>
                </w14:textFill>
              </w:rPr>
              <w:t xml:space="preserve">　</w:t>
            </w:r>
            <w:r>
              <w:t xml:space="preserve"> </w:t>
            </w:r>
            <w:r w:rsidR="0095593D" w:rsidRPr="005D2760">
              <w:rPr>
                <w:vertAlign w:val="superscript"/>
              </w:rPr>
              <w:t>7</w:t>
            </w:r>
          </w:p>
        </w:tc>
        <w:tc>
          <w:tcPr>
            <w:tcW w:w="611" w:type="pct"/>
            <w:tcBorders>
              <w:top w:val="single" w:sz="4" w:space="0" w:color="auto"/>
              <w:left w:val="nil"/>
              <w:bottom w:val="single" w:sz="4" w:space="0" w:color="auto"/>
              <w:right w:val="single" w:sz="4" w:space="0" w:color="auto"/>
            </w:tcBorders>
            <w:shd w:val="clear" w:color="auto" w:fill="auto"/>
            <w:vAlign w:val="center"/>
          </w:tcPr>
          <w:p w14:paraId="7CA2BB11" w14:textId="7E0E9D29"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80"/>
                <w14:textFill>
                  <w14:solidFill>
                    <w14:srgbClr w14:val="000000">
                      <w14:alpha w14:val="100000"/>
                    </w14:srgbClr>
                  </w14:solidFill>
                </w14:textFill>
              </w:rPr>
              <w:t xml:space="preserve">　</w:t>
            </w:r>
            <w:r w:rsidRPr="003F73D9">
              <w:rPr>
                <w:color w:val="000000"/>
                <w:w w:val="18"/>
                <w:shd w:val="solid" w:color="000000" w:fill="000000"/>
                <w:fitText w:val="80" w:id="-1032153080"/>
                <w14:textFill>
                  <w14:solidFill>
                    <w14:srgbClr w14:val="000000">
                      <w14:alpha w14:val="100000"/>
                    </w14:srgbClr>
                  </w14:solidFill>
                </w14:textFill>
              </w:rPr>
              <w:t>|</w:t>
            </w:r>
            <w:r w:rsidRPr="003F73D9">
              <w:rPr>
                <w:rFonts w:hint="eastAsia"/>
                <w:color w:val="000000"/>
                <w:w w:val="18"/>
                <w:shd w:val="solid" w:color="000000" w:fill="000000"/>
                <w:fitText w:val="80" w:id="-1032153080"/>
                <w14:textFill>
                  <w14:solidFill>
                    <w14:srgbClr w14:val="000000">
                      <w14:alpha w14:val="100000"/>
                    </w14:srgbClr>
                  </w14:solidFill>
                </w14:textFill>
              </w:rPr>
              <w:t xml:space="preserve">　</w:t>
            </w:r>
            <w:r>
              <w:t xml:space="preserve"> </w:t>
            </w:r>
            <w:r w:rsidR="0095593D" w:rsidRPr="005D2760">
              <w:rPr>
                <w:vertAlign w:val="superscript"/>
              </w:rPr>
              <w:t>7</w:t>
            </w:r>
          </w:p>
        </w:tc>
      </w:tr>
      <w:tr w:rsidR="00826D3B" w:rsidRPr="00C34520" w14:paraId="5BB958A6" w14:textId="77777777" w:rsidTr="00BD1F15">
        <w:tc>
          <w:tcPr>
            <w:tcW w:w="5000" w:type="pct"/>
            <w:gridSpan w:val="7"/>
            <w:shd w:val="clear" w:color="auto" w:fill="auto"/>
            <w:vAlign w:val="center"/>
          </w:tcPr>
          <w:p w14:paraId="41BF1C9C" w14:textId="77777777" w:rsidR="00826D3B" w:rsidRPr="00C34520" w:rsidRDefault="00826D3B" w:rsidP="00DE0052">
            <w:pPr>
              <w:pStyle w:val="TableText0"/>
              <w:rPr>
                <w:b/>
                <w:bCs w:val="0"/>
                <w:color w:val="000000"/>
              </w:rPr>
            </w:pPr>
            <w:r w:rsidRPr="00C34520">
              <w:rPr>
                <w:b/>
                <w:bCs w:val="0"/>
                <w:color w:val="000000"/>
              </w:rPr>
              <w:t>Estimated extent of use – Population 1B (one toddler dose of 2+1 schedule)</w:t>
            </w:r>
          </w:p>
        </w:tc>
      </w:tr>
      <w:tr w:rsidR="00826D3B" w:rsidRPr="00C34520" w14:paraId="718BB449" w14:textId="77777777" w:rsidTr="00BD1F15">
        <w:tc>
          <w:tcPr>
            <w:tcW w:w="1334" w:type="pct"/>
            <w:shd w:val="clear" w:color="auto" w:fill="auto"/>
            <w:vAlign w:val="center"/>
          </w:tcPr>
          <w:p w14:paraId="708AB92F" w14:textId="77777777" w:rsidR="00826D3B" w:rsidRPr="00C34520" w:rsidRDefault="00826D3B" w:rsidP="00DE0052">
            <w:pPr>
              <w:pStyle w:val="TableText0"/>
            </w:pPr>
            <w:r w:rsidRPr="00C34520">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4EF3AF6" w14:textId="6D03B189"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79"/>
                <w14:textFill>
                  <w14:solidFill>
                    <w14:srgbClr w14:val="000000">
                      <w14:alpha w14:val="100000"/>
                    </w14:srgbClr>
                  </w14:solidFill>
                </w14:textFill>
              </w:rPr>
              <w:t xml:space="preserve">　</w:t>
            </w:r>
            <w:r w:rsidRPr="003F73D9">
              <w:rPr>
                <w:color w:val="000000"/>
                <w:w w:val="18"/>
                <w:shd w:val="solid" w:color="000000" w:fill="000000"/>
                <w:fitText w:val="80" w:id="-1032153079"/>
                <w14:textFill>
                  <w14:solidFill>
                    <w14:srgbClr w14:val="000000">
                      <w14:alpha w14:val="100000"/>
                    </w14:srgbClr>
                  </w14:solidFill>
                </w14:textFill>
              </w:rPr>
              <w:t>|</w:t>
            </w:r>
            <w:r w:rsidRPr="003F73D9">
              <w:rPr>
                <w:rFonts w:hint="eastAsia"/>
                <w:color w:val="000000"/>
                <w:w w:val="18"/>
                <w:shd w:val="solid" w:color="000000" w:fill="000000"/>
                <w:fitText w:val="80" w:id="-1032153079"/>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38B59EA6" w14:textId="088171F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3078"/>
                <w14:textFill>
                  <w14:solidFill>
                    <w14:srgbClr w14:val="000000">
                      <w14:alpha w14:val="100000"/>
                    </w14:srgbClr>
                  </w14:solidFill>
                </w14:textFill>
              </w:rPr>
              <w:t xml:space="preserve">　</w:t>
            </w:r>
            <w:r w:rsidRPr="003F73D9">
              <w:rPr>
                <w:color w:val="000000"/>
                <w:w w:val="18"/>
                <w:shd w:val="solid" w:color="000000" w:fill="000000"/>
                <w:fitText w:val="80" w:id="-1032153078"/>
                <w14:textFill>
                  <w14:solidFill>
                    <w14:srgbClr w14:val="000000">
                      <w14:alpha w14:val="100000"/>
                    </w14:srgbClr>
                  </w14:solidFill>
                </w14:textFill>
              </w:rPr>
              <w:t>|</w:t>
            </w:r>
            <w:r w:rsidRPr="003F73D9">
              <w:rPr>
                <w:rFonts w:hint="eastAsia"/>
                <w:color w:val="000000"/>
                <w:w w:val="18"/>
                <w:shd w:val="solid" w:color="000000" w:fill="000000"/>
                <w:fitText w:val="80" w:id="-1032153078"/>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2A941162" w14:textId="109281A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rsidRPr="003F73D9">
              <w:rPr>
                <w:color w:val="000000"/>
                <w:w w:val="18"/>
                <w:shd w:val="solid" w:color="000000" w:fill="000000"/>
                <w:fitText w:val="80" w:id="-1032152832"/>
                <w14:textFill>
                  <w14:solidFill>
                    <w14:srgbClr w14:val="000000">
                      <w14:alpha w14:val="100000"/>
                    </w14:srgbClr>
                  </w14:solidFill>
                </w14:textFill>
              </w:rPr>
              <w:t>|</w:t>
            </w: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0D6BB698" w14:textId="44C238DA"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rsidRPr="003F73D9">
              <w:rPr>
                <w:color w:val="000000"/>
                <w:w w:val="18"/>
                <w:shd w:val="solid" w:color="000000" w:fill="000000"/>
                <w:fitText w:val="80" w:id="-1032152831"/>
                <w14:textFill>
                  <w14:solidFill>
                    <w14:srgbClr w14:val="000000">
                      <w14:alpha w14:val="100000"/>
                    </w14:srgbClr>
                  </w14:solidFill>
                </w14:textFill>
              </w:rPr>
              <w:t>|</w:t>
            </w: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78489E76" w14:textId="2D80A626"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rsidRPr="003F73D9">
              <w:rPr>
                <w:color w:val="000000"/>
                <w:w w:val="18"/>
                <w:shd w:val="solid" w:color="000000" w:fill="000000"/>
                <w:fitText w:val="80" w:id="-1032152830"/>
                <w14:textFill>
                  <w14:solidFill>
                    <w14:srgbClr w14:val="000000">
                      <w14:alpha w14:val="100000"/>
                    </w14:srgbClr>
                  </w14:solidFill>
                </w14:textFill>
              </w:rPr>
              <w:t>|</w:t>
            </w: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tcBorders>
              <w:top w:val="single" w:sz="4" w:space="0" w:color="auto"/>
              <w:left w:val="nil"/>
              <w:bottom w:val="single" w:sz="4" w:space="0" w:color="auto"/>
              <w:right w:val="single" w:sz="4" w:space="0" w:color="auto"/>
            </w:tcBorders>
            <w:shd w:val="clear" w:color="auto" w:fill="auto"/>
            <w:vAlign w:val="center"/>
          </w:tcPr>
          <w:p w14:paraId="14F40C61" w14:textId="42BCC38E"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rsidRPr="003F73D9">
              <w:rPr>
                <w:color w:val="000000"/>
                <w:w w:val="18"/>
                <w:shd w:val="solid" w:color="000000" w:fill="000000"/>
                <w:fitText w:val="80" w:id="-1032152829"/>
                <w14:textFill>
                  <w14:solidFill>
                    <w14:srgbClr w14:val="000000">
                      <w14:alpha w14:val="100000"/>
                    </w14:srgbClr>
                  </w14:solidFill>
                </w14:textFill>
              </w:rPr>
              <w:t>|</w:t>
            </w: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t xml:space="preserve"> </w:t>
            </w:r>
            <w:r w:rsidR="0095593D" w:rsidRPr="005D2760">
              <w:rPr>
                <w:vertAlign w:val="superscript"/>
              </w:rPr>
              <w:t>6</w:t>
            </w:r>
          </w:p>
        </w:tc>
      </w:tr>
      <w:tr w:rsidR="00826D3B" w:rsidRPr="00C34520" w14:paraId="5C030D6C" w14:textId="77777777" w:rsidTr="00BD1F15">
        <w:tc>
          <w:tcPr>
            <w:tcW w:w="1334" w:type="pct"/>
            <w:shd w:val="clear" w:color="auto" w:fill="auto"/>
            <w:vAlign w:val="center"/>
          </w:tcPr>
          <w:p w14:paraId="17904690" w14:textId="77777777" w:rsidR="00826D3B" w:rsidRPr="00C34520" w:rsidRDefault="00826D3B" w:rsidP="00DE0052">
            <w:pPr>
              <w:pStyle w:val="TableText0"/>
            </w:pPr>
            <w:r w:rsidRPr="00C34520">
              <w:t xml:space="preserve">Number of scripts dispensed </w:t>
            </w:r>
            <w:r w:rsidRPr="00C34520">
              <w:rPr>
                <w:vertAlign w:val="superscript"/>
              </w:rPr>
              <w:t>b</w:t>
            </w:r>
          </w:p>
        </w:tc>
        <w:tc>
          <w:tcPr>
            <w:tcW w:w="611" w:type="pct"/>
            <w:shd w:val="clear" w:color="auto" w:fill="auto"/>
            <w:vAlign w:val="center"/>
          </w:tcPr>
          <w:p w14:paraId="14EFC779" w14:textId="69CC7D0B"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rsidRPr="003F73D9">
              <w:rPr>
                <w:color w:val="000000"/>
                <w:w w:val="18"/>
                <w:shd w:val="solid" w:color="000000" w:fill="000000"/>
                <w:fitText w:val="80" w:id="-1032152828"/>
                <w14:textFill>
                  <w14:solidFill>
                    <w14:srgbClr w14:val="000000">
                      <w14:alpha w14:val="100000"/>
                    </w14:srgbClr>
                  </w14:solidFill>
                </w14:textFill>
              </w:rPr>
              <w:t>|</w:t>
            </w: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shd w:val="clear" w:color="auto" w:fill="auto"/>
            <w:vAlign w:val="center"/>
          </w:tcPr>
          <w:p w14:paraId="4DC43989" w14:textId="11432B6D"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rsidRPr="003F73D9">
              <w:rPr>
                <w:color w:val="000000"/>
                <w:w w:val="18"/>
                <w:shd w:val="solid" w:color="000000" w:fill="000000"/>
                <w:fitText w:val="80" w:id="-1032152827"/>
                <w14:textFill>
                  <w14:solidFill>
                    <w14:srgbClr w14:val="000000">
                      <w14:alpha w14:val="100000"/>
                    </w14:srgbClr>
                  </w14:solidFill>
                </w14:textFill>
              </w:rPr>
              <w:t>|</w:t>
            </w: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shd w:val="clear" w:color="auto" w:fill="auto"/>
            <w:vAlign w:val="center"/>
          </w:tcPr>
          <w:p w14:paraId="7BE008AB" w14:textId="270B298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rsidRPr="003F73D9">
              <w:rPr>
                <w:color w:val="000000"/>
                <w:w w:val="18"/>
                <w:shd w:val="solid" w:color="000000" w:fill="000000"/>
                <w:fitText w:val="80" w:id="-1032152826"/>
                <w14:textFill>
                  <w14:solidFill>
                    <w14:srgbClr w14:val="000000">
                      <w14:alpha w14:val="100000"/>
                    </w14:srgbClr>
                  </w14:solidFill>
                </w14:textFill>
              </w:rPr>
              <w:t>|</w:t>
            </w: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shd w:val="clear" w:color="auto" w:fill="auto"/>
            <w:vAlign w:val="center"/>
          </w:tcPr>
          <w:p w14:paraId="5CB98866" w14:textId="12DD5705"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rsidRPr="003F73D9">
              <w:rPr>
                <w:color w:val="000000"/>
                <w:w w:val="18"/>
                <w:shd w:val="solid" w:color="000000" w:fill="000000"/>
                <w:fitText w:val="80" w:id="-1032152825"/>
                <w14:textFill>
                  <w14:solidFill>
                    <w14:srgbClr w14:val="000000">
                      <w14:alpha w14:val="100000"/>
                    </w14:srgbClr>
                  </w14:solidFill>
                </w14:textFill>
              </w:rPr>
              <w:t>|</w:t>
            </w: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t xml:space="preserve"> </w:t>
            </w:r>
            <w:r w:rsidR="0095593D" w:rsidRPr="005D2760">
              <w:rPr>
                <w:vertAlign w:val="superscript"/>
              </w:rPr>
              <w:t>6</w:t>
            </w:r>
          </w:p>
        </w:tc>
        <w:tc>
          <w:tcPr>
            <w:tcW w:w="611" w:type="pct"/>
            <w:shd w:val="clear" w:color="auto" w:fill="auto"/>
            <w:vAlign w:val="center"/>
          </w:tcPr>
          <w:p w14:paraId="54B289B2" w14:textId="18B1CB95"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rsidRPr="003F73D9">
              <w:rPr>
                <w:color w:val="000000"/>
                <w:w w:val="18"/>
                <w:shd w:val="solid" w:color="000000" w:fill="000000"/>
                <w:fitText w:val="80" w:id="-1032152824"/>
                <w14:textFill>
                  <w14:solidFill>
                    <w14:srgbClr w14:val="000000">
                      <w14:alpha w14:val="100000"/>
                    </w14:srgbClr>
                  </w14:solidFill>
                </w14:textFill>
              </w:rPr>
              <w:t>|</w:t>
            </w: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t xml:space="preserve"> </w:t>
            </w:r>
            <w:r w:rsidR="0095593D" w:rsidRPr="005D2760">
              <w:rPr>
                <w:vertAlign w:val="superscript"/>
              </w:rPr>
              <w:t>6</w:t>
            </w:r>
            <w:r w:rsidR="00826D3B" w:rsidRPr="00C34520">
              <w:t xml:space="preserve"> </w:t>
            </w:r>
          </w:p>
        </w:tc>
        <w:tc>
          <w:tcPr>
            <w:tcW w:w="611" w:type="pct"/>
            <w:vAlign w:val="center"/>
          </w:tcPr>
          <w:p w14:paraId="605946EE" w14:textId="7451CA7E"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rsidRPr="003F73D9">
              <w:rPr>
                <w:color w:val="000000"/>
                <w:w w:val="18"/>
                <w:shd w:val="solid" w:color="000000" w:fill="000000"/>
                <w:fitText w:val="80" w:id="-1032152823"/>
                <w14:textFill>
                  <w14:solidFill>
                    <w14:srgbClr w14:val="000000">
                      <w14:alpha w14:val="100000"/>
                    </w14:srgbClr>
                  </w14:solidFill>
                </w14:textFill>
              </w:rPr>
              <w:t>|</w:t>
            </w: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t xml:space="preserve"> </w:t>
            </w:r>
            <w:r w:rsidR="0095593D" w:rsidRPr="005D2760">
              <w:rPr>
                <w:vertAlign w:val="superscript"/>
              </w:rPr>
              <w:t>6</w:t>
            </w:r>
          </w:p>
        </w:tc>
      </w:tr>
      <w:tr w:rsidR="00826D3B" w:rsidRPr="00C34520" w14:paraId="790C60BF" w14:textId="77777777" w:rsidTr="00BD1F15">
        <w:tc>
          <w:tcPr>
            <w:tcW w:w="5000" w:type="pct"/>
            <w:gridSpan w:val="7"/>
            <w:shd w:val="clear" w:color="auto" w:fill="auto"/>
            <w:vAlign w:val="center"/>
          </w:tcPr>
          <w:p w14:paraId="7C26D6D3" w14:textId="1DCCF697" w:rsidR="00826D3B" w:rsidRPr="00C34520" w:rsidRDefault="00826D3B" w:rsidP="00DE0052">
            <w:pPr>
              <w:pStyle w:val="TableText0"/>
              <w:rPr>
                <w:b/>
                <w:bCs w:val="0"/>
                <w:color w:val="000000"/>
              </w:rPr>
            </w:pPr>
            <w:r w:rsidRPr="00C34520">
              <w:rPr>
                <w:b/>
                <w:bCs w:val="0"/>
                <w:color w:val="000000"/>
              </w:rPr>
              <w:t>Estimated extent of use – Population 2A (three infant doses of 3+1 schedule)</w:t>
            </w:r>
          </w:p>
        </w:tc>
      </w:tr>
      <w:tr w:rsidR="00826D3B" w:rsidRPr="00C34520" w14:paraId="525726FE" w14:textId="77777777" w:rsidTr="00BD1F15">
        <w:tc>
          <w:tcPr>
            <w:tcW w:w="1334" w:type="pct"/>
            <w:shd w:val="clear" w:color="auto" w:fill="auto"/>
            <w:vAlign w:val="center"/>
          </w:tcPr>
          <w:p w14:paraId="6AE88894" w14:textId="77777777" w:rsidR="00826D3B" w:rsidRPr="00C34520" w:rsidRDefault="00826D3B" w:rsidP="00DE0052">
            <w:pPr>
              <w:pStyle w:val="TableText0"/>
            </w:pPr>
            <w:r w:rsidRPr="00C34520">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CC8615" w14:textId="05213C27"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rsidRPr="003F73D9">
              <w:rPr>
                <w:color w:val="000000"/>
                <w:w w:val="18"/>
                <w:shd w:val="solid" w:color="000000" w:fill="000000"/>
                <w:fitText w:val="80" w:id="-1032152822"/>
                <w14:textFill>
                  <w14:solidFill>
                    <w14:srgbClr w14:val="000000">
                      <w14:alpha w14:val="100000"/>
                    </w14:srgbClr>
                  </w14:solidFill>
                </w14:textFill>
              </w:rPr>
              <w:t>|</w:t>
            </w: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t xml:space="preserve"> </w:t>
            </w:r>
            <w:r w:rsidR="0095593D"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4240B842" w14:textId="1F6634E4"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rsidRPr="003F73D9">
              <w:rPr>
                <w:color w:val="000000"/>
                <w:w w:val="18"/>
                <w:shd w:val="solid" w:color="000000" w:fill="000000"/>
                <w:fitText w:val="80" w:id="-1032152821"/>
                <w14:textFill>
                  <w14:solidFill>
                    <w14:srgbClr w14:val="000000">
                      <w14:alpha w14:val="100000"/>
                    </w14:srgbClr>
                  </w14:solidFill>
                </w14:textFill>
              </w:rPr>
              <w:t>|</w:t>
            </w: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t xml:space="preserve"> </w:t>
            </w:r>
            <w:r w:rsidR="0095593D" w:rsidRPr="000E3F99">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47E993B8" w14:textId="5FE7569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rsidRPr="003F73D9">
              <w:rPr>
                <w:color w:val="000000"/>
                <w:w w:val="18"/>
                <w:shd w:val="solid" w:color="000000" w:fill="000000"/>
                <w:fitText w:val="80" w:id="-1032152820"/>
                <w14:textFill>
                  <w14:solidFill>
                    <w14:srgbClr w14:val="000000">
                      <w14:alpha w14:val="100000"/>
                    </w14:srgbClr>
                  </w14:solidFill>
                </w14:textFill>
              </w:rPr>
              <w:t>|</w:t>
            </w: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t xml:space="preserve"> </w:t>
            </w:r>
            <w:r w:rsidR="0095593D" w:rsidRPr="000E3F99">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66D4C837" w14:textId="262FEB0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rsidRPr="003F73D9">
              <w:rPr>
                <w:color w:val="000000"/>
                <w:w w:val="18"/>
                <w:shd w:val="solid" w:color="000000" w:fill="000000"/>
                <w:fitText w:val="80" w:id="-1032152819"/>
                <w14:textFill>
                  <w14:solidFill>
                    <w14:srgbClr w14:val="000000">
                      <w14:alpha w14:val="100000"/>
                    </w14:srgbClr>
                  </w14:solidFill>
                </w14:textFill>
              </w:rPr>
              <w:t>|</w:t>
            </w: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t xml:space="preserve"> </w:t>
            </w:r>
            <w:r w:rsidR="0095593D" w:rsidRPr="005D276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0C11E609" w14:textId="449EFF16"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rsidRPr="003F73D9">
              <w:rPr>
                <w:color w:val="000000"/>
                <w:w w:val="18"/>
                <w:shd w:val="solid" w:color="000000" w:fill="000000"/>
                <w:fitText w:val="80" w:id="-1032152818"/>
                <w14:textFill>
                  <w14:solidFill>
                    <w14:srgbClr w14:val="000000">
                      <w14:alpha w14:val="100000"/>
                    </w14:srgbClr>
                  </w14:solidFill>
                </w14:textFill>
              </w:rPr>
              <w:t>|</w:t>
            </w: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t xml:space="preserve"> </w:t>
            </w:r>
            <w:r w:rsidR="0095593D" w:rsidRPr="005D2760">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25B2AB02" w14:textId="15232A7E"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rsidRPr="003F73D9">
              <w:rPr>
                <w:color w:val="000000"/>
                <w:w w:val="18"/>
                <w:shd w:val="solid" w:color="000000" w:fill="000000"/>
                <w:fitText w:val="80" w:id="-1032152817"/>
                <w14:textFill>
                  <w14:solidFill>
                    <w14:srgbClr w14:val="000000">
                      <w14:alpha w14:val="100000"/>
                    </w14:srgbClr>
                  </w14:solidFill>
                </w14:textFill>
              </w:rPr>
              <w:t>|</w:t>
            </w: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t xml:space="preserve"> </w:t>
            </w:r>
            <w:r w:rsidR="0095593D" w:rsidRPr="005D2760">
              <w:rPr>
                <w:vertAlign w:val="superscript"/>
              </w:rPr>
              <w:t>3</w:t>
            </w:r>
            <w:r w:rsidR="00826D3B" w:rsidRPr="00C34520">
              <w:t xml:space="preserve"> </w:t>
            </w:r>
          </w:p>
        </w:tc>
      </w:tr>
      <w:tr w:rsidR="00826D3B" w:rsidRPr="00C34520" w14:paraId="5102FF0F" w14:textId="77777777" w:rsidTr="00BD1F15">
        <w:tc>
          <w:tcPr>
            <w:tcW w:w="1334" w:type="pct"/>
            <w:shd w:val="clear" w:color="auto" w:fill="auto"/>
            <w:vAlign w:val="center"/>
          </w:tcPr>
          <w:p w14:paraId="747FD21C" w14:textId="77777777" w:rsidR="00826D3B" w:rsidRPr="00C34520" w:rsidRDefault="00826D3B" w:rsidP="00DE0052">
            <w:pPr>
              <w:pStyle w:val="TableText0"/>
            </w:pPr>
            <w:r w:rsidRPr="00C34520">
              <w:t xml:space="preserve">Number of scripts dispensed </w:t>
            </w:r>
            <w:r w:rsidRPr="00C34520">
              <w:rPr>
                <w:vertAlign w:val="superscript"/>
              </w:rPr>
              <w:t>c</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6AC7554" w14:textId="660EDD41"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rsidRPr="003F73D9">
              <w:rPr>
                <w:color w:val="000000"/>
                <w:w w:val="18"/>
                <w:shd w:val="solid" w:color="000000" w:fill="000000"/>
                <w:fitText w:val="80" w:id="-1032152816"/>
                <w14:textFill>
                  <w14:solidFill>
                    <w14:srgbClr w14:val="000000">
                      <w14:alpha w14:val="100000"/>
                    </w14:srgbClr>
                  </w14:solidFill>
                </w14:textFill>
              </w:rPr>
              <w:t>|</w:t>
            </w: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t xml:space="preserve"> </w:t>
            </w:r>
            <w:r w:rsidR="0095593D" w:rsidRPr="000E3F99">
              <w:rPr>
                <w:vertAlign w:val="superscript"/>
              </w:rPr>
              <w:t>4</w:t>
            </w:r>
            <w:r w:rsidR="00826D3B" w:rsidRPr="00C34520">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011E0CC8" w14:textId="65C6E73D" w:rsidR="00826D3B" w:rsidRPr="000E3F99" w:rsidRDefault="003F73D9" w:rsidP="00DE0052">
            <w:pPr>
              <w:pStyle w:val="TableText0"/>
              <w:jc w:val="center"/>
              <w:rPr>
                <w:highlight w:val="darkGray"/>
              </w:rPr>
            </w:pP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rsidRPr="003F73D9">
              <w:rPr>
                <w:color w:val="000000"/>
                <w:w w:val="18"/>
                <w:shd w:val="solid" w:color="000000" w:fill="000000"/>
                <w:fitText w:val="80" w:id="-1032152832"/>
                <w14:textFill>
                  <w14:solidFill>
                    <w14:srgbClr w14:val="000000">
                      <w14:alpha w14:val="100000"/>
                    </w14:srgbClr>
                  </w14:solidFill>
                </w14:textFill>
              </w:rPr>
              <w:t>|</w:t>
            </w: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t xml:space="preserve"> </w:t>
            </w:r>
            <w:r w:rsidR="0095593D" w:rsidRPr="000E3F99">
              <w:rPr>
                <w:vertAlign w:val="superscript"/>
              </w:rPr>
              <w:t>5</w:t>
            </w:r>
            <w:r w:rsidR="00826D3B" w:rsidRPr="00BD1F15">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78DD1265" w14:textId="2BA0378A"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rsidRPr="003F73D9">
              <w:rPr>
                <w:color w:val="000000"/>
                <w:w w:val="18"/>
                <w:shd w:val="solid" w:color="000000" w:fill="000000"/>
                <w:fitText w:val="80" w:id="-1032152831"/>
                <w14:textFill>
                  <w14:solidFill>
                    <w14:srgbClr w14:val="000000">
                      <w14:alpha w14:val="100000"/>
                    </w14:srgbClr>
                  </w14:solidFill>
                </w14:textFill>
              </w:rPr>
              <w:t>|</w:t>
            </w: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t xml:space="preserve"> </w:t>
            </w:r>
            <w:r w:rsidR="0095593D" w:rsidRPr="005D2760">
              <w:rPr>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5417A04E" w14:textId="095EA40B"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rsidRPr="003F73D9">
              <w:rPr>
                <w:color w:val="000000"/>
                <w:w w:val="18"/>
                <w:shd w:val="solid" w:color="000000" w:fill="000000"/>
                <w:fitText w:val="80" w:id="-1032152830"/>
                <w14:textFill>
                  <w14:solidFill>
                    <w14:srgbClr w14:val="000000">
                      <w14:alpha w14:val="100000"/>
                    </w14:srgbClr>
                  </w14:solidFill>
                </w14:textFill>
              </w:rPr>
              <w:t>|</w:t>
            </w: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t xml:space="preserve"> </w:t>
            </w:r>
            <w:r w:rsidR="0095593D" w:rsidRPr="005D2760">
              <w:rPr>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296DC035" w14:textId="6DA14C40"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rsidRPr="003F73D9">
              <w:rPr>
                <w:color w:val="000000"/>
                <w:w w:val="18"/>
                <w:shd w:val="solid" w:color="000000" w:fill="000000"/>
                <w:fitText w:val="80" w:id="-1032152829"/>
                <w14:textFill>
                  <w14:solidFill>
                    <w14:srgbClr w14:val="000000">
                      <w14:alpha w14:val="100000"/>
                    </w14:srgbClr>
                  </w14:solidFill>
                </w14:textFill>
              </w:rPr>
              <w:t>|</w:t>
            </w: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t xml:space="preserve"> </w:t>
            </w:r>
            <w:r w:rsidR="0095593D" w:rsidRPr="005D2760">
              <w:rPr>
                <w:vertAlign w:val="superscript"/>
              </w:rPr>
              <w:t>5</w:t>
            </w:r>
          </w:p>
        </w:tc>
        <w:tc>
          <w:tcPr>
            <w:tcW w:w="611" w:type="pct"/>
            <w:tcBorders>
              <w:top w:val="single" w:sz="4" w:space="0" w:color="auto"/>
              <w:left w:val="nil"/>
              <w:bottom w:val="single" w:sz="4" w:space="0" w:color="auto"/>
              <w:right w:val="single" w:sz="4" w:space="0" w:color="auto"/>
            </w:tcBorders>
            <w:shd w:val="clear" w:color="auto" w:fill="auto"/>
            <w:vAlign w:val="center"/>
          </w:tcPr>
          <w:p w14:paraId="72736BFF" w14:textId="47C1AC9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rsidRPr="003F73D9">
              <w:rPr>
                <w:color w:val="000000"/>
                <w:w w:val="18"/>
                <w:shd w:val="solid" w:color="000000" w:fill="000000"/>
                <w:fitText w:val="80" w:id="-1032152828"/>
                <w14:textFill>
                  <w14:solidFill>
                    <w14:srgbClr w14:val="000000">
                      <w14:alpha w14:val="100000"/>
                    </w14:srgbClr>
                  </w14:solidFill>
                </w14:textFill>
              </w:rPr>
              <w:t>|</w:t>
            </w: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t xml:space="preserve"> </w:t>
            </w:r>
            <w:r w:rsidR="0095593D" w:rsidRPr="005D2760">
              <w:rPr>
                <w:vertAlign w:val="superscript"/>
              </w:rPr>
              <w:t>5</w:t>
            </w:r>
          </w:p>
        </w:tc>
      </w:tr>
      <w:tr w:rsidR="00826D3B" w:rsidRPr="00C34520" w14:paraId="432E8ECB" w14:textId="77777777" w:rsidTr="00BD1F15">
        <w:tc>
          <w:tcPr>
            <w:tcW w:w="5000" w:type="pct"/>
            <w:gridSpan w:val="7"/>
            <w:shd w:val="clear" w:color="auto" w:fill="auto"/>
            <w:vAlign w:val="center"/>
          </w:tcPr>
          <w:p w14:paraId="7AFFD22A" w14:textId="77777777" w:rsidR="00826D3B" w:rsidRPr="00C34520" w:rsidRDefault="00826D3B" w:rsidP="00DE0052">
            <w:pPr>
              <w:pStyle w:val="TableText0"/>
              <w:rPr>
                <w:color w:val="000000"/>
              </w:rPr>
            </w:pPr>
            <w:r w:rsidRPr="00C34520">
              <w:rPr>
                <w:b/>
                <w:bCs w:val="0"/>
                <w:color w:val="000000"/>
              </w:rPr>
              <w:t>Estimated extent of use – Population 2B (one toddler dose of 3+1 schedule)</w:t>
            </w:r>
          </w:p>
        </w:tc>
      </w:tr>
      <w:tr w:rsidR="00826D3B" w:rsidRPr="00C34520" w14:paraId="750576EE" w14:textId="77777777" w:rsidTr="00BD1F15">
        <w:tc>
          <w:tcPr>
            <w:tcW w:w="1334" w:type="pct"/>
            <w:shd w:val="clear" w:color="auto" w:fill="auto"/>
            <w:vAlign w:val="center"/>
          </w:tcPr>
          <w:p w14:paraId="6C28CD32" w14:textId="77777777" w:rsidR="00826D3B" w:rsidRPr="00C34520" w:rsidRDefault="00826D3B" w:rsidP="00DE0052">
            <w:pPr>
              <w:pStyle w:val="TableText0"/>
            </w:pPr>
            <w:r w:rsidRPr="00C34520">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454F3FE" w14:textId="7C9A0307"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rsidRPr="003F73D9">
              <w:rPr>
                <w:color w:val="000000"/>
                <w:w w:val="18"/>
                <w:shd w:val="solid" w:color="000000" w:fill="000000"/>
                <w:fitText w:val="80" w:id="-1032152827"/>
                <w14:textFill>
                  <w14:solidFill>
                    <w14:srgbClr w14:val="000000">
                      <w14:alpha w14:val="100000"/>
                    </w14:srgbClr>
                  </w14:solidFill>
                </w14:textFill>
              </w:rPr>
              <w:t>|</w:t>
            </w: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t xml:space="preserve"> </w:t>
            </w:r>
            <w:r w:rsidR="00DB524F" w:rsidRPr="000E3F99">
              <w:rPr>
                <w:vertAlign w:val="superscript"/>
              </w:rPr>
              <w:t>2</w:t>
            </w:r>
            <w:r w:rsidR="00826D3B" w:rsidRPr="000E3F99">
              <w:rPr>
                <w:vertAlign w:val="superscript"/>
              </w:rPr>
              <w:t xml:space="preserve"> </w:t>
            </w:r>
          </w:p>
        </w:tc>
        <w:tc>
          <w:tcPr>
            <w:tcW w:w="611" w:type="pct"/>
            <w:tcBorders>
              <w:top w:val="single" w:sz="4" w:space="0" w:color="auto"/>
              <w:left w:val="nil"/>
              <w:bottom w:val="single" w:sz="4" w:space="0" w:color="auto"/>
              <w:right w:val="single" w:sz="4" w:space="0" w:color="auto"/>
            </w:tcBorders>
            <w:shd w:val="clear" w:color="auto" w:fill="auto"/>
            <w:vAlign w:val="center"/>
          </w:tcPr>
          <w:p w14:paraId="7A2148C9" w14:textId="4703CBFF"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rsidRPr="003F73D9">
              <w:rPr>
                <w:color w:val="000000"/>
                <w:w w:val="18"/>
                <w:shd w:val="solid" w:color="000000" w:fill="000000"/>
                <w:fitText w:val="80" w:id="-1032152826"/>
                <w14:textFill>
                  <w14:solidFill>
                    <w14:srgbClr w14:val="000000">
                      <w14:alpha w14:val="100000"/>
                    </w14:srgbClr>
                  </w14:solidFill>
                </w14:textFill>
              </w:rPr>
              <w:t>|</w:t>
            </w: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t xml:space="preserve"> </w:t>
            </w:r>
            <w:r w:rsidR="00DB524F" w:rsidRPr="00D80A8F">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69F24E6A" w14:textId="623C3AC6"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rsidRPr="003F73D9">
              <w:rPr>
                <w:color w:val="000000"/>
                <w:w w:val="18"/>
                <w:shd w:val="solid" w:color="000000" w:fill="000000"/>
                <w:fitText w:val="80" w:id="-1032152825"/>
                <w14:textFill>
                  <w14:solidFill>
                    <w14:srgbClr w14:val="000000">
                      <w14:alpha w14:val="100000"/>
                    </w14:srgbClr>
                  </w14:solidFill>
                </w14:textFill>
              </w:rPr>
              <w:t>|</w:t>
            </w: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t xml:space="preserve"> </w:t>
            </w:r>
            <w:r w:rsidR="0095593D" w:rsidRPr="00D80A8F">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0FB71B0B" w14:textId="50CA0B3B"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rsidRPr="003F73D9">
              <w:rPr>
                <w:color w:val="000000"/>
                <w:w w:val="18"/>
                <w:shd w:val="solid" w:color="000000" w:fill="000000"/>
                <w:fitText w:val="80" w:id="-1032152824"/>
                <w14:textFill>
                  <w14:solidFill>
                    <w14:srgbClr w14:val="000000">
                      <w14:alpha w14:val="100000"/>
                    </w14:srgbClr>
                  </w14:solidFill>
                </w14:textFill>
              </w:rPr>
              <w:t>|</w:t>
            </w: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t xml:space="preserve"> </w:t>
            </w:r>
            <w:r w:rsidR="0095593D" w:rsidRPr="00D80A8F">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7E952300" w14:textId="5AC70CF6"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rsidRPr="003F73D9">
              <w:rPr>
                <w:color w:val="000000"/>
                <w:w w:val="18"/>
                <w:shd w:val="solid" w:color="000000" w:fill="000000"/>
                <w:fitText w:val="80" w:id="-1032152823"/>
                <w14:textFill>
                  <w14:solidFill>
                    <w14:srgbClr w14:val="000000">
                      <w14:alpha w14:val="100000"/>
                    </w14:srgbClr>
                  </w14:solidFill>
                </w14:textFill>
              </w:rPr>
              <w:t>|</w:t>
            </w: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t xml:space="preserve"> </w:t>
            </w:r>
            <w:r w:rsidR="0095593D" w:rsidRPr="00D80A8F">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3A6CA512" w14:textId="0CFA02E4"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rsidRPr="003F73D9">
              <w:rPr>
                <w:color w:val="000000"/>
                <w:w w:val="18"/>
                <w:shd w:val="solid" w:color="000000" w:fill="000000"/>
                <w:fitText w:val="80" w:id="-1032152822"/>
                <w14:textFill>
                  <w14:solidFill>
                    <w14:srgbClr w14:val="000000">
                      <w14:alpha w14:val="100000"/>
                    </w14:srgbClr>
                  </w14:solidFill>
                </w14:textFill>
              </w:rPr>
              <w:t>|</w:t>
            </w: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t xml:space="preserve"> </w:t>
            </w:r>
            <w:r w:rsidR="0095593D" w:rsidRPr="00D80A8F">
              <w:rPr>
                <w:vertAlign w:val="superscript"/>
              </w:rPr>
              <w:t>3</w:t>
            </w:r>
          </w:p>
        </w:tc>
      </w:tr>
      <w:tr w:rsidR="00826D3B" w:rsidRPr="00C34520" w14:paraId="173286B9" w14:textId="77777777" w:rsidTr="00BD1F15">
        <w:tc>
          <w:tcPr>
            <w:tcW w:w="1334" w:type="pct"/>
            <w:shd w:val="clear" w:color="auto" w:fill="auto"/>
            <w:vAlign w:val="center"/>
          </w:tcPr>
          <w:p w14:paraId="6DB08F08" w14:textId="77777777" w:rsidR="00826D3B" w:rsidRPr="00C34520" w:rsidRDefault="00826D3B" w:rsidP="00DE0052">
            <w:pPr>
              <w:pStyle w:val="TableText0"/>
            </w:pPr>
            <w:r w:rsidRPr="00C34520">
              <w:t xml:space="preserve">Number of scripts dispensed </w:t>
            </w:r>
            <w:r w:rsidRPr="00C34520">
              <w:rPr>
                <w:vertAlign w:val="superscript"/>
              </w:rPr>
              <w:t>b</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96C0870" w14:textId="24BBC3F7"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rsidRPr="003F73D9">
              <w:rPr>
                <w:color w:val="000000"/>
                <w:w w:val="18"/>
                <w:shd w:val="solid" w:color="000000" w:fill="000000"/>
                <w:fitText w:val="80" w:id="-1032152821"/>
                <w14:textFill>
                  <w14:solidFill>
                    <w14:srgbClr w14:val="000000">
                      <w14:alpha w14:val="100000"/>
                    </w14:srgbClr>
                  </w14:solidFill>
                </w14:textFill>
              </w:rPr>
              <w:t>|</w:t>
            </w: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t xml:space="preserve"> </w:t>
            </w:r>
            <w:r w:rsidR="00DB524F" w:rsidRPr="00D80A8F">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308C8522" w14:textId="5596A04C"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rsidRPr="003F73D9">
              <w:rPr>
                <w:color w:val="000000"/>
                <w:w w:val="18"/>
                <w:shd w:val="solid" w:color="000000" w:fill="000000"/>
                <w:fitText w:val="80" w:id="-1032152820"/>
                <w14:textFill>
                  <w14:solidFill>
                    <w14:srgbClr w14:val="000000">
                      <w14:alpha w14:val="100000"/>
                    </w14:srgbClr>
                  </w14:solidFill>
                </w14:textFill>
              </w:rPr>
              <w:t>|</w:t>
            </w: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t xml:space="preserve"> </w:t>
            </w:r>
            <w:r w:rsidR="00DB524F" w:rsidRPr="00D80A8F">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19DC3807" w14:textId="1BF9974D"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rsidRPr="003F73D9">
              <w:rPr>
                <w:color w:val="000000"/>
                <w:w w:val="18"/>
                <w:shd w:val="solid" w:color="000000" w:fill="000000"/>
                <w:fitText w:val="80" w:id="-1032152819"/>
                <w14:textFill>
                  <w14:solidFill>
                    <w14:srgbClr w14:val="000000">
                      <w14:alpha w14:val="100000"/>
                    </w14:srgbClr>
                  </w14:solidFill>
                </w14:textFill>
              </w:rPr>
              <w:t>|</w:t>
            </w: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t xml:space="preserve"> </w:t>
            </w:r>
            <w:r w:rsidR="0095593D" w:rsidRPr="00D80A8F">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305E33BE" w14:textId="72555471"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rsidRPr="003F73D9">
              <w:rPr>
                <w:color w:val="000000"/>
                <w:w w:val="18"/>
                <w:shd w:val="solid" w:color="000000" w:fill="000000"/>
                <w:fitText w:val="80" w:id="-1032152818"/>
                <w14:textFill>
                  <w14:solidFill>
                    <w14:srgbClr w14:val="000000">
                      <w14:alpha w14:val="100000"/>
                    </w14:srgbClr>
                  </w14:solidFill>
                </w14:textFill>
              </w:rPr>
              <w:t>|</w:t>
            </w: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t xml:space="preserve"> </w:t>
            </w:r>
            <w:r w:rsidR="00490DAE" w:rsidRPr="00D80A8F">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28F3D9A4" w14:textId="79C66295"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rsidRPr="003F73D9">
              <w:rPr>
                <w:color w:val="000000"/>
                <w:w w:val="18"/>
                <w:shd w:val="solid" w:color="000000" w:fill="000000"/>
                <w:fitText w:val="80" w:id="-1032152817"/>
                <w14:textFill>
                  <w14:solidFill>
                    <w14:srgbClr w14:val="000000">
                      <w14:alpha w14:val="100000"/>
                    </w14:srgbClr>
                  </w14:solidFill>
                </w14:textFill>
              </w:rPr>
              <w:t>|</w:t>
            </w: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t xml:space="preserve"> </w:t>
            </w:r>
            <w:r w:rsidR="0095593D" w:rsidRPr="00D80A8F">
              <w:rPr>
                <w:vertAlign w:val="superscript"/>
              </w:rPr>
              <w:t>3</w:t>
            </w:r>
          </w:p>
        </w:tc>
        <w:tc>
          <w:tcPr>
            <w:tcW w:w="611" w:type="pct"/>
            <w:tcBorders>
              <w:top w:val="single" w:sz="4" w:space="0" w:color="auto"/>
              <w:left w:val="nil"/>
              <w:bottom w:val="single" w:sz="4" w:space="0" w:color="auto"/>
              <w:right w:val="single" w:sz="4" w:space="0" w:color="auto"/>
            </w:tcBorders>
            <w:shd w:val="clear" w:color="auto" w:fill="auto"/>
            <w:vAlign w:val="center"/>
          </w:tcPr>
          <w:p w14:paraId="2DF12559" w14:textId="4103FB10" w:rsidR="00826D3B" w:rsidRPr="00D80A8F" w:rsidRDefault="003F73D9" w:rsidP="00DE0052">
            <w:pPr>
              <w:pStyle w:val="TableText0"/>
              <w:jc w:val="center"/>
              <w:rPr>
                <w:color w:val="000000"/>
              </w:rPr>
            </w:pP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rsidRPr="003F73D9">
              <w:rPr>
                <w:color w:val="000000"/>
                <w:w w:val="18"/>
                <w:shd w:val="solid" w:color="000000" w:fill="000000"/>
                <w:fitText w:val="80" w:id="-1032152816"/>
                <w14:textFill>
                  <w14:solidFill>
                    <w14:srgbClr w14:val="000000">
                      <w14:alpha w14:val="100000"/>
                    </w14:srgbClr>
                  </w14:solidFill>
                </w14:textFill>
              </w:rPr>
              <w:t>|</w:t>
            </w: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t xml:space="preserve"> </w:t>
            </w:r>
            <w:r w:rsidR="0095593D" w:rsidRPr="00D80A8F">
              <w:rPr>
                <w:vertAlign w:val="superscript"/>
              </w:rPr>
              <w:t>3</w:t>
            </w:r>
          </w:p>
        </w:tc>
      </w:tr>
      <w:tr w:rsidR="00826D3B" w:rsidRPr="00C34520" w14:paraId="7A4E9103" w14:textId="77777777" w:rsidTr="00BD1F15">
        <w:tc>
          <w:tcPr>
            <w:tcW w:w="5000" w:type="pct"/>
            <w:gridSpan w:val="7"/>
            <w:shd w:val="clear" w:color="auto" w:fill="auto"/>
            <w:vAlign w:val="center"/>
          </w:tcPr>
          <w:p w14:paraId="08673450" w14:textId="2249630D" w:rsidR="00826D3B" w:rsidRPr="00C34520" w:rsidRDefault="00826D3B" w:rsidP="00DE0052">
            <w:pPr>
              <w:pStyle w:val="TableText0"/>
              <w:rPr>
                <w:color w:val="000000"/>
              </w:rPr>
            </w:pPr>
            <w:r w:rsidRPr="00C34520">
              <w:rPr>
                <w:b/>
                <w:bCs w:val="0"/>
                <w:color w:val="000000"/>
              </w:rPr>
              <w:t xml:space="preserve">Estimated extent of use – Population 3 (additional dose for </w:t>
            </w:r>
            <w:r w:rsidR="00717C91" w:rsidRPr="00C34520">
              <w:rPr>
                <w:b/>
                <w:bCs w:val="0"/>
                <w:color w:val="000000"/>
              </w:rPr>
              <w:t>children aged 12 months or younger</w:t>
            </w:r>
            <w:r w:rsidR="00717C91" w:rsidRPr="00C34520" w:rsidDel="00717C91">
              <w:rPr>
                <w:b/>
                <w:bCs w:val="0"/>
                <w:color w:val="000000"/>
              </w:rPr>
              <w:t xml:space="preserve"> </w:t>
            </w:r>
            <w:r w:rsidRPr="00C34520">
              <w:rPr>
                <w:b/>
                <w:bCs w:val="0"/>
                <w:color w:val="000000"/>
              </w:rPr>
              <w:t>with existing NIP-funded risk conditions)</w:t>
            </w:r>
          </w:p>
        </w:tc>
      </w:tr>
      <w:tr w:rsidR="00826D3B" w:rsidRPr="00C34520" w14:paraId="02CB2EE0" w14:textId="77777777" w:rsidTr="00BD1F15">
        <w:tc>
          <w:tcPr>
            <w:tcW w:w="1334" w:type="pct"/>
            <w:shd w:val="clear" w:color="auto" w:fill="auto"/>
            <w:vAlign w:val="center"/>
          </w:tcPr>
          <w:p w14:paraId="331E29E2" w14:textId="77777777" w:rsidR="00826D3B" w:rsidRPr="00C34520" w:rsidRDefault="00826D3B" w:rsidP="00DE0052">
            <w:pPr>
              <w:pStyle w:val="TableText0"/>
            </w:pPr>
            <w:r w:rsidRPr="00C34520">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7399E71" w14:textId="49266D6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rsidRPr="003F73D9">
              <w:rPr>
                <w:color w:val="000000"/>
                <w:w w:val="18"/>
                <w:shd w:val="solid" w:color="000000" w:fill="000000"/>
                <w:fitText w:val="80" w:id="-1032152832"/>
                <w14:textFill>
                  <w14:solidFill>
                    <w14:srgbClr w14:val="000000">
                      <w14:alpha w14:val="100000"/>
                    </w14:srgbClr>
                  </w14:solidFill>
                </w14:textFill>
              </w:rPr>
              <w:t>|</w:t>
            </w: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t xml:space="preserve"> </w:t>
            </w:r>
            <w:r w:rsidR="00DB524F" w:rsidRPr="000E3F99">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688018A2" w14:textId="391387B1"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rsidRPr="003F73D9">
              <w:rPr>
                <w:color w:val="000000"/>
                <w:w w:val="18"/>
                <w:shd w:val="solid" w:color="000000" w:fill="000000"/>
                <w:fitText w:val="80" w:id="-1032152831"/>
                <w14:textFill>
                  <w14:solidFill>
                    <w14:srgbClr w14:val="000000">
                      <w14:alpha w14:val="100000"/>
                    </w14:srgbClr>
                  </w14:solidFill>
                </w14:textFill>
              </w:rPr>
              <w:t>|</w:t>
            </w: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t xml:space="preserve"> </w:t>
            </w:r>
            <w:r w:rsidR="00DB524F" w:rsidRPr="00DB524F">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153DF8EA" w14:textId="76B29AD1" w:rsidR="00826D3B" w:rsidRPr="00BD1F15" w:rsidRDefault="003F73D9" w:rsidP="00DE0052">
            <w:pPr>
              <w:pStyle w:val="TableText0"/>
              <w:jc w:val="center"/>
              <w:rPr>
                <w:color w:val="000000"/>
                <w:highlight w:val="darkGray"/>
              </w:rPr>
            </w:pP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rsidRPr="003F73D9">
              <w:rPr>
                <w:color w:val="000000"/>
                <w:w w:val="18"/>
                <w:shd w:val="solid" w:color="000000" w:fill="000000"/>
                <w:fitText w:val="80" w:id="-1032152830"/>
                <w14:textFill>
                  <w14:solidFill>
                    <w14:srgbClr w14:val="000000">
                      <w14:alpha w14:val="100000"/>
                    </w14:srgbClr>
                  </w14:solidFill>
                </w14:textFill>
              </w:rPr>
              <w:t>|</w:t>
            </w: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t xml:space="preserve"> </w:t>
            </w:r>
            <w:r w:rsidR="00DB524F" w:rsidRPr="00BD1F15">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0582D85E" w14:textId="65C7C888"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rsidRPr="003F73D9">
              <w:rPr>
                <w:color w:val="000000"/>
                <w:w w:val="18"/>
                <w:shd w:val="solid" w:color="000000" w:fill="000000"/>
                <w:fitText w:val="80" w:id="-1032152829"/>
                <w14:textFill>
                  <w14:solidFill>
                    <w14:srgbClr w14:val="000000">
                      <w14:alpha w14:val="100000"/>
                    </w14:srgbClr>
                  </w14:solidFill>
                </w14:textFill>
              </w:rPr>
              <w:t>|</w:t>
            </w: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07B339D6" w14:textId="37CF978C"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rsidRPr="003F73D9">
              <w:rPr>
                <w:color w:val="000000"/>
                <w:w w:val="18"/>
                <w:shd w:val="solid" w:color="000000" w:fill="000000"/>
                <w:fitText w:val="80" w:id="-1032152828"/>
                <w14:textFill>
                  <w14:solidFill>
                    <w14:srgbClr w14:val="000000">
                      <w14:alpha w14:val="100000"/>
                    </w14:srgbClr>
                  </w14:solidFill>
                </w14:textFill>
              </w:rPr>
              <w:t>|</w:t>
            </w: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01BE7640" w14:textId="273C9CF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rsidRPr="003F73D9">
              <w:rPr>
                <w:color w:val="000000"/>
                <w:w w:val="18"/>
                <w:shd w:val="solid" w:color="000000" w:fill="000000"/>
                <w:fitText w:val="80" w:id="-1032152827"/>
                <w14:textFill>
                  <w14:solidFill>
                    <w14:srgbClr w14:val="000000">
                      <w14:alpha w14:val="100000"/>
                    </w14:srgbClr>
                  </w14:solidFill>
                </w14:textFill>
              </w:rPr>
              <w:t>|</w:t>
            </w: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t xml:space="preserve"> </w:t>
            </w:r>
            <w:r w:rsidR="00DB524F" w:rsidRPr="005D2760">
              <w:rPr>
                <w:vertAlign w:val="superscript"/>
              </w:rPr>
              <w:t>1</w:t>
            </w:r>
            <w:r w:rsidR="00826D3B" w:rsidRPr="00C34520">
              <w:t xml:space="preserve"> </w:t>
            </w:r>
          </w:p>
        </w:tc>
      </w:tr>
      <w:tr w:rsidR="00826D3B" w:rsidRPr="00C34520" w14:paraId="11CE8418" w14:textId="77777777" w:rsidTr="00BD1F15">
        <w:tc>
          <w:tcPr>
            <w:tcW w:w="1334" w:type="pct"/>
            <w:shd w:val="clear" w:color="auto" w:fill="auto"/>
            <w:vAlign w:val="center"/>
          </w:tcPr>
          <w:p w14:paraId="47D1EEA4" w14:textId="77777777" w:rsidR="00826D3B" w:rsidRPr="00C34520" w:rsidRDefault="00826D3B" w:rsidP="00DE0052">
            <w:pPr>
              <w:pStyle w:val="TableText0"/>
            </w:pPr>
            <w:r w:rsidRPr="00C34520">
              <w:t xml:space="preserve">Number of scripts dispensed </w:t>
            </w:r>
            <w:r w:rsidRPr="00C34520">
              <w:rPr>
                <w:vertAlign w:val="superscript"/>
              </w:rPr>
              <w:t>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BBCDAF2" w14:textId="0C880B5C"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rsidRPr="003F73D9">
              <w:rPr>
                <w:color w:val="000000"/>
                <w:w w:val="18"/>
                <w:shd w:val="solid" w:color="000000" w:fill="000000"/>
                <w:fitText w:val="80" w:id="-1032152826"/>
                <w14:textFill>
                  <w14:solidFill>
                    <w14:srgbClr w14:val="000000">
                      <w14:alpha w14:val="100000"/>
                    </w14:srgbClr>
                  </w14:solidFill>
                </w14:textFill>
              </w:rPr>
              <w:t>|</w:t>
            </w: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77285226" w14:textId="43711F5E"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rsidRPr="003F73D9">
              <w:rPr>
                <w:color w:val="000000"/>
                <w:w w:val="18"/>
                <w:shd w:val="solid" w:color="000000" w:fill="000000"/>
                <w:fitText w:val="80" w:id="-1032152825"/>
                <w14:textFill>
                  <w14:solidFill>
                    <w14:srgbClr w14:val="000000">
                      <w14:alpha w14:val="100000"/>
                    </w14:srgbClr>
                  </w14:solidFill>
                </w14:textFill>
              </w:rPr>
              <w:t>|</w:t>
            </w: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60E46CA5" w14:textId="2D8E8378"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rsidRPr="003F73D9">
              <w:rPr>
                <w:color w:val="000000"/>
                <w:w w:val="18"/>
                <w:shd w:val="solid" w:color="000000" w:fill="000000"/>
                <w:fitText w:val="80" w:id="-1032152824"/>
                <w14:textFill>
                  <w14:solidFill>
                    <w14:srgbClr w14:val="000000">
                      <w14:alpha w14:val="100000"/>
                    </w14:srgbClr>
                  </w14:solidFill>
                </w14:textFill>
              </w:rPr>
              <w:t>|</w:t>
            </w: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3628E510" w14:textId="183BBB8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rsidRPr="003F73D9">
              <w:rPr>
                <w:color w:val="000000"/>
                <w:w w:val="18"/>
                <w:shd w:val="solid" w:color="000000" w:fill="000000"/>
                <w:fitText w:val="80" w:id="-1032152823"/>
                <w14:textFill>
                  <w14:solidFill>
                    <w14:srgbClr w14:val="000000">
                      <w14:alpha w14:val="100000"/>
                    </w14:srgbClr>
                  </w14:solidFill>
                </w14:textFill>
              </w:rPr>
              <w:t>|</w:t>
            </w: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59E85899" w14:textId="064F89AD"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rsidRPr="003F73D9">
              <w:rPr>
                <w:color w:val="000000"/>
                <w:w w:val="18"/>
                <w:shd w:val="solid" w:color="000000" w:fill="000000"/>
                <w:fitText w:val="80" w:id="-1032152822"/>
                <w14:textFill>
                  <w14:solidFill>
                    <w14:srgbClr w14:val="000000">
                      <w14:alpha w14:val="100000"/>
                    </w14:srgbClr>
                  </w14:solidFill>
                </w14:textFill>
              </w:rPr>
              <w:t>|</w:t>
            </w: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t xml:space="preserve"> </w:t>
            </w:r>
            <w:r w:rsidR="00DB524F" w:rsidRPr="005D2760">
              <w:rPr>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419BD1DB" w14:textId="54748FA1"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rsidRPr="003F73D9">
              <w:rPr>
                <w:color w:val="000000"/>
                <w:w w:val="18"/>
                <w:shd w:val="solid" w:color="000000" w:fill="000000"/>
                <w:fitText w:val="80" w:id="-1032152821"/>
                <w14:textFill>
                  <w14:solidFill>
                    <w14:srgbClr w14:val="000000">
                      <w14:alpha w14:val="100000"/>
                    </w14:srgbClr>
                  </w14:solidFill>
                </w14:textFill>
              </w:rPr>
              <w:t>|</w:t>
            </w: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t xml:space="preserve"> </w:t>
            </w:r>
            <w:r w:rsidR="00DB524F" w:rsidRPr="005D2760">
              <w:rPr>
                <w:vertAlign w:val="superscript"/>
              </w:rPr>
              <w:t>1</w:t>
            </w:r>
          </w:p>
        </w:tc>
      </w:tr>
      <w:tr w:rsidR="00826D3B" w:rsidRPr="00C34520" w14:paraId="4D1D6A97" w14:textId="77777777" w:rsidTr="00BD1F15">
        <w:tc>
          <w:tcPr>
            <w:tcW w:w="5000" w:type="pct"/>
            <w:gridSpan w:val="7"/>
            <w:shd w:val="clear" w:color="auto" w:fill="auto"/>
            <w:vAlign w:val="center"/>
          </w:tcPr>
          <w:p w14:paraId="3AAE55C6" w14:textId="77777777" w:rsidR="00826D3B" w:rsidRPr="00C34520" w:rsidRDefault="00826D3B" w:rsidP="00DE0052">
            <w:pPr>
              <w:pStyle w:val="TableText0"/>
              <w:rPr>
                <w:color w:val="000000"/>
              </w:rPr>
            </w:pPr>
            <w:r w:rsidRPr="00C34520">
              <w:rPr>
                <w:b/>
                <w:bCs w:val="0"/>
                <w:color w:val="000000"/>
              </w:rPr>
              <w:t>Estimated extent of use – Population 4 (additional dose for children and adolescents newly diagnosed with NIP-funded risk conditions)</w:t>
            </w:r>
          </w:p>
        </w:tc>
      </w:tr>
      <w:tr w:rsidR="00826D3B" w:rsidRPr="00C34520" w14:paraId="1A83CFE7" w14:textId="77777777" w:rsidTr="00BD1F15">
        <w:tc>
          <w:tcPr>
            <w:tcW w:w="1334" w:type="pct"/>
            <w:shd w:val="clear" w:color="auto" w:fill="auto"/>
            <w:vAlign w:val="center"/>
          </w:tcPr>
          <w:p w14:paraId="7C8EFEA4" w14:textId="77777777" w:rsidR="00826D3B" w:rsidRPr="00C34520" w:rsidRDefault="00826D3B" w:rsidP="00DE0052">
            <w:pPr>
              <w:pStyle w:val="TableText0"/>
            </w:pPr>
            <w:r w:rsidRPr="00C34520">
              <w:t>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4CBC6FA" w14:textId="03C6B9D6"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rsidRPr="003F73D9">
              <w:rPr>
                <w:color w:val="000000"/>
                <w:w w:val="18"/>
                <w:shd w:val="solid" w:color="000000" w:fill="000000"/>
                <w:fitText w:val="80" w:id="-1032152820"/>
                <w14:textFill>
                  <w14:solidFill>
                    <w14:srgbClr w14:val="000000">
                      <w14:alpha w14:val="100000"/>
                    </w14:srgbClr>
                  </w14:solidFill>
                </w14:textFill>
              </w:rPr>
              <w:t>|</w:t>
            </w: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t xml:space="preserve"> </w:t>
            </w:r>
            <w:r w:rsidR="00DB524F" w:rsidRPr="000E3F99">
              <w:rPr>
                <w:color w:val="000000"/>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689D1FC9" w14:textId="641401E4"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rsidRPr="003F73D9">
              <w:rPr>
                <w:color w:val="000000"/>
                <w:w w:val="18"/>
                <w:shd w:val="solid" w:color="000000" w:fill="000000"/>
                <w:fitText w:val="80" w:id="-1032152819"/>
                <w14:textFill>
                  <w14:solidFill>
                    <w14:srgbClr w14:val="000000">
                      <w14:alpha w14:val="100000"/>
                    </w14:srgbClr>
                  </w14:solidFill>
                </w14:textFill>
              </w:rPr>
              <w:t>|</w:t>
            </w: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6ED96059" w14:textId="55156C8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rsidRPr="003F73D9">
              <w:rPr>
                <w:color w:val="000000"/>
                <w:w w:val="18"/>
                <w:shd w:val="solid" w:color="000000" w:fill="000000"/>
                <w:fitText w:val="80" w:id="-1032152818"/>
                <w14:textFill>
                  <w14:solidFill>
                    <w14:srgbClr w14:val="000000">
                      <w14:alpha w14:val="100000"/>
                    </w14:srgbClr>
                  </w14:solidFill>
                </w14:textFill>
              </w:rPr>
              <w:t>|</w:t>
            </w: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2452199D" w14:textId="28AB0EBF"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rsidRPr="003F73D9">
              <w:rPr>
                <w:color w:val="000000"/>
                <w:w w:val="18"/>
                <w:shd w:val="solid" w:color="000000" w:fill="000000"/>
                <w:fitText w:val="80" w:id="-1032152817"/>
                <w14:textFill>
                  <w14:solidFill>
                    <w14:srgbClr w14:val="000000">
                      <w14:alpha w14:val="100000"/>
                    </w14:srgbClr>
                  </w14:solidFill>
                </w14:textFill>
              </w:rPr>
              <w:t>|</w:t>
            </w: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7CAD696F" w14:textId="3A66D500"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rsidRPr="003F73D9">
              <w:rPr>
                <w:color w:val="000000"/>
                <w:w w:val="18"/>
                <w:shd w:val="solid" w:color="000000" w:fill="000000"/>
                <w:fitText w:val="80" w:id="-1032152816"/>
                <w14:textFill>
                  <w14:solidFill>
                    <w14:srgbClr w14:val="000000">
                      <w14:alpha w14:val="100000"/>
                    </w14:srgbClr>
                  </w14:solidFill>
                </w14:textFill>
              </w:rPr>
              <w:t>|</w:t>
            </w: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23B2B984" w14:textId="5EA7D6F5"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rsidRPr="003F73D9">
              <w:rPr>
                <w:color w:val="000000"/>
                <w:w w:val="18"/>
                <w:shd w:val="solid" w:color="000000" w:fill="000000"/>
                <w:fitText w:val="80" w:id="-1032152832"/>
                <w14:textFill>
                  <w14:solidFill>
                    <w14:srgbClr w14:val="000000">
                      <w14:alpha w14:val="100000"/>
                    </w14:srgbClr>
                  </w14:solidFill>
                </w14:textFill>
              </w:rPr>
              <w:t>|</w:t>
            </w: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t xml:space="preserve"> </w:t>
            </w:r>
            <w:r w:rsidR="00DB524F" w:rsidRPr="005D2760">
              <w:rPr>
                <w:vertAlign w:val="superscript"/>
              </w:rPr>
              <w:t>2</w:t>
            </w:r>
          </w:p>
        </w:tc>
      </w:tr>
      <w:tr w:rsidR="00826D3B" w:rsidRPr="00C34520" w14:paraId="58608CB1" w14:textId="77777777" w:rsidTr="00BD1F15">
        <w:tc>
          <w:tcPr>
            <w:tcW w:w="1334" w:type="pct"/>
            <w:shd w:val="clear" w:color="auto" w:fill="auto"/>
            <w:vAlign w:val="center"/>
          </w:tcPr>
          <w:p w14:paraId="4DCB8751" w14:textId="77777777" w:rsidR="00826D3B" w:rsidRPr="00C34520" w:rsidRDefault="00826D3B" w:rsidP="00DE0052">
            <w:pPr>
              <w:pStyle w:val="TableText0"/>
            </w:pPr>
            <w:r w:rsidRPr="00C34520">
              <w:t xml:space="preserve">Number of scripts dispensed </w:t>
            </w:r>
            <w:r w:rsidRPr="00C34520">
              <w:rPr>
                <w:vertAlign w:val="superscript"/>
              </w:rPr>
              <w:t>d</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4130353" w14:textId="0CE3E517"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rsidRPr="003F73D9">
              <w:rPr>
                <w:color w:val="000000"/>
                <w:w w:val="18"/>
                <w:shd w:val="solid" w:color="000000" w:fill="000000"/>
                <w:fitText w:val="80" w:id="-1032152831"/>
                <w14:textFill>
                  <w14:solidFill>
                    <w14:srgbClr w14:val="000000">
                      <w14:alpha w14:val="100000"/>
                    </w14:srgbClr>
                  </w14:solidFill>
                </w14:textFill>
              </w:rPr>
              <w:t>|</w:t>
            </w: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t xml:space="preserve"> </w:t>
            </w:r>
            <w:r w:rsidR="00DB524F" w:rsidRPr="000E3F99">
              <w:rPr>
                <w:color w:val="000000"/>
                <w:vertAlign w:val="superscript"/>
              </w:rPr>
              <w:t>1</w:t>
            </w:r>
          </w:p>
        </w:tc>
        <w:tc>
          <w:tcPr>
            <w:tcW w:w="611" w:type="pct"/>
            <w:tcBorders>
              <w:top w:val="single" w:sz="4" w:space="0" w:color="auto"/>
              <w:left w:val="nil"/>
              <w:bottom w:val="single" w:sz="4" w:space="0" w:color="auto"/>
              <w:right w:val="single" w:sz="4" w:space="0" w:color="auto"/>
            </w:tcBorders>
            <w:shd w:val="clear" w:color="auto" w:fill="auto"/>
            <w:vAlign w:val="center"/>
          </w:tcPr>
          <w:p w14:paraId="387332E9" w14:textId="690601BB"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rsidRPr="003F73D9">
              <w:rPr>
                <w:color w:val="000000"/>
                <w:w w:val="18"/>
                <w:shd w:val="solid" w:color="000000" w:fill="000000"/>
                <w:fitText w:val="80" w:id="-1032152830"/>
                <w14:textFill>
                  <w14:solidFill>
                    <w14:srgbClr w14:val="000000">
                      <w14:alpha w14:val="100000"/>
                    </w14:srgbClr>
                  </w14:solidFill>
                </w14:textFill>
              </w:rPr>
              <w:t>|</w:t>
            </w:r>
            <w:r w:rsidRPr="003F73D9">
              <w:rPr>
                <w:rFonts w:hint="eastAsia"/>
                <w:color w:val="000000"/>
                <w:w w:val="18"/>
                <w:shd w:val="solid" w:color="000000" w:fill="000000"/>
                <w:fitText w:val="80" w:id="-1032152830"/>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3674F17B" w14:textId="63A92EBA"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rsidRPr="003F73D9">
              <w:rPr>
                <w:color w:val="000000"/>
                <w:w w:val="18"/>
                <w:shd w:val="solid" w:color="000000" w:fill="000000"/>
                <w:fitText w:val="80" w:id="-1032152829"/>
                <w14:textFill>
                  <w14:solidFill>
                    <w14:srgbClr w14:val="000000">
                      <w14:alpha w14:val="100000"/>
                    </w14:srgbClr>
                  </w14:solidFill>
                </w14:textFill>
              </w:rPr>
              <w:t>|</w:t>
            </w:r>
            <w:r w:rsidRPr="003F73D9">
              <w:rPr>
                <w:rFonts w:hint="eastAsia"/>
                <w:color w:val="000000"/>
                <w:w w:val="18"/>
                <w:shd w:val="solid" w:color="000000" w:fill="000000"/>
                <w:fitText w:val="80" w:id="-1032152829"/>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3F60D78C" w14:textId="1176A793"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rsidRPr="003F73D9">
              <w:rPr>
                <w:color w:val="000000"/>
                <w:w w:val="18"/>
                <w:shd w:val="solid" w:color="000000" w:fill="000000"/>
                <w:fitText w:val="80" w:id="-1032152828"/>
                <w14:textFill>
                  <w14:solidFill>
                    <w14:srgbClr w14:val="000000">
                      <w14:alpha w14:val="100000"/>
                    </w14:srgbClr>
                  </w14:solidFill>
                </w14:textFill>
              </w:rPr>
              <w:t>|</w:t>
            </w:r>
            <w:r w:rsidRPr="003F73D9">
              <w:rPr>
                <w:rFonts w:hint="eastAsia"/>
                <w:color w:val="000000"/>
                <w:w w:val="18"/>
                <w:shd w:val="solid" w:color="000000" w:fill="000000"/>
                <w:fitText w:val="80" w:id="-1032152828"/>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0139E3DD" w14:textId="7A30CCD6"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rsidRPr="003F73D9">
              <w:rPr>
                <w:color w:val="000000"/>
                <w:w w:val="18"/>
                <w:shd w:val="solid" w:color="000000" w:fill="000000"/>
                <w:fitText w:val="80" w:id="-1032152827"/>
                <w14:textFill>
                  <w14:solidFill>
                    <w14:srgbClr w14:val="000000">
                      <w14:alpha w14:val="100000"/>
                    </w14:srgbClr>
                  </w14:solidFill>
                </w14:textFill>
              </w:rPr>
              <w:t>|</w:t>
            </w:r>
            <w:r w:rsidRPr="003F73D9">
              <w:rPr>
                <w:rFonts w:hint="eastAsia"/>
                <w:color w:val="000000"/>
                <w:w w:val="18"/>
                <w:shd w:val="solid" w:color="000000" w:fill="000000"/>
                <w:fitText w:val="80" w:id="-1032152827"/>
                <w14:textFill>
                  <w14:solidFill>
                    <w14:srgbClr w14:val="000000">
                      <w14:alpha w14:val="100000"/>
                    </w14:srgbClr>
                  </w14:solidFill>
                </w14:textFill>
              </w:rPr>
              <w:t xml:space="preserve">　</w:t>
            </w:r>
            <w:r>
              <w:t xml:space="preserve"> </w:t>
            </w:r>
            <w:r w:rsidR="00DB524F" w:rsidRPr="005D2760">
              <w:rPr>
                <w:vertAlign w:val="superscript"/>
              </w:rPr>
              <w:t>2</w:t>
            </w:r>
          </w:p>
        </w:tc>
        <w:tc>
          <w:tcPr>
            <w:tcW w:w="611" w:type="pct"/>
            <w:tcBorders>
              <w:top w:val="single" w:sz="4" w:space="0" w:color="auto"/>
              <w:left w:val="nil"/>
              <w:bottom w:val="single" w:sz="4" w:space="0" w:color="auto"/>
              <w:right w:val="single" w:sz="4" w:space="0" w:color="auto"/>
            </w:tcBorders>
            <w:shd w:val="clear" w:color="auto" w:fill="auto"/>
            <w:vAlign w:val="center"/>
          </w:tcPr>
          <w:p w14:paraId="24E74C22" w14:textId="76DFD120"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rsidRPr="003F73D9">
              <w:rPr>
                <w:color w:val="000000"/>
                <w:w w:val="18"/>
                <w:shd w:val="solid" w:color="000000" w:fill="000000"/>
                <w:fitText w:val="80" w:id="-1032152826"/>
                <w14:textFill>
                  <w14:solidFill>
                    <w14:srgbClr w14:val="000000">
                      <w14:alpha w14:val="100000"/>
                    </w14:srgbClr>
                  </w14:solidFill>
                </w14:textFill>
              </w:rPr>
              <w:t>|</w:t>
            </w:r>
            <w:r w:rsidRPr="003F73D9">
              <w:rPr>
                <w:rFonts w:hint="eastAsia"/>
                <w:color w:val="000000"/>
                <w:w w:val="18"/>
                <w:shd w:val="solid" w:color="000000" w:fill="000000"/>
                <w:fitText w:val="80" w:id="-1032152826"/>
                <w14:textFill>
                  <w14:solidFill>
                    <w14:srgbClr w14:val="000000">
                      <w14:alpha w14:val="100000"/>
                    </w14:srgbClr>
                  </w14:solidFill>
                </w14:textFill>
              </w:rPr>
              <w:t xml:space="preserve">　</w:t>
            </w:r>
            <w:r>
              <w:t xml:space="preserve"> </w:t>
            </w:r>
            <w:r w:rsidR="00DB524F" w:rsidRPr="005D2760">
              <w:rPr>
                <w:vertAlign w:val="superscript"/>
              </w:rPr>
              <w:t>2</w:t>
            </w:r>
          </w:p>
        </w:tc>
      </w:tr>
      <w:tr w:rsidR="00826D3B" w:rsidRPr="00C34520" w14:paraId="726654A4" w14:textId="77777777" w:rsidTr="00BD1F15">
        <w:tc>
          <w:tcPr>
            <w:tcW w:w="5000" w:type="pct"/>
            <w:gridSpan w:val="7"/>
            <w:shd w:val="clear" w:color="auto" w:fill="auto"/>
            <w:vAlign w:val="center"/>
          </w:tcPr>
          <w:p w14:paraId="0B024D90" w14:textId="77777777" w:rsidR="00826D3B" w:rsidRPr="00C34520" w:rsidRDefault="00826D3B" w:rsidP="00DE0052">
            <w:pPr>
              <w:pStyle w:val="TableText0"/>
              <w:rPr>
                <w:b/>
                <w:bCs w:val="0"/>
                <w:color w:val="000000"/>
              </w:rPr>
            </w:pPr>
            <w:r w:rsidRPr="00C34520">
              <w:rPr>
                <w:b/>
                <w:bCs w:val="0"/>
                <w:color w:val="000000"/>
              </w:rPr>
              <w:t>Total script numbers – 20vPCV</w:t>
            </w:r>
          </w:p>
        </w:tc>
      </w:tr>
      <w:tr w:rsidR="00826D3B" w:rsidRPr="00C34520" w14:paraId="567C9431" w14:textId="77777777" w:rsidTr="00BD1F15">
        <w:tc>
          <w:tcPr>
            <w:tcW w:w="1334" w:type="pct"/>
            <w:shd w:val="clear" w:color="auto" w:fill="auto"/>
            <w:vAlign w:val="center"/>
          </w:tcPr>
          <w:p w14:paraId="5ACA14C8" w14:textId="77777777" w:rsidR="00826D3B" w:rsidRPr="00C34520" w:rsidRDefault="00826D3B" w:rsidP="00DE0052">
            <w:pPr>
              <w:pStyle w:val="TableText0"/>
            </w:pPr>
            <w:r w:rsidRPr="00C34520">
              <w:t>Total script numbers – 20vPCV</w:t>
            </w:r>
          </w:p>
        </w:tc>
        <w:tc>
          <w:tcPr>
            <w:tcW w:w="611" w:type="pct"/>
            <w:shd w:val="clear" w:color="auto" w:fill="auto"/>
            <w:vAlign w:val="center"/>
          </w:tcPr>
          <w:p w14:paraId="158C2A94" w14:textId="181CC006"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rsidRPr="003F73D9">
              <w:rPr>
                <w:color w:val="000000"/>
                <w:w w:val="18"/>
                <w:shd w:val="solid" w:color="000000" w:fill="000000"/>
                <w:fitText w:val="80" w:id="-1032152825"/>
                <w14:textFill>
                  <w14:solidFill>
                    <w14:srgbClr w14:val="000000">
                      <w14:alpha w14:val="100000"/>
                    </w14:srgbClr>
                  </w14:solidFill>
                </w14:textFill>
              </w:rPr>
              <w:t>|</w:t>
            </w:r>
            <w:r w:rsidRPr="003F73D9">
              <w:rPr>
                <w:rFonts w:hint="eastAsia"/>
                <w:color w:val="000000"/>
                <w:w w:val="18"/>
                <w:shd w:val="solid" w:color="000000" w:fill="000000"/>
                <w:fitText w:val="80" w:id="-1032152825"/>
                <w14:textFill>
                  <w14:solidFill>
                    <w14:srgbClr w14:val="000000">
                      <w14:alpha w14:val="100000"/>
                    </w14:srgbClr>
                  </w14:solidFill>
                </w14:textFill>
              </w:rPr>
              <w:t xml:space="preserve">　</w:t>
            </w:r>
            <w:r>
              <w:t xml:space="preserve"> </w:t>
            </w:r>
            <w:r w:rsidR="00536805" w:rsidRPr="000E3F99">
              <w:rPr>
                <w:vertAlign w:val="superscript"/>
              </w:rPr>
              <w:t>8</w:t>
            </w:r>
            <w:r w:rsidR="00826D3B" w:rsidRPr="00C34520">
              <w:t xml:space="preserve"> </w:t>
            </w:r>
          </w:p>
        </w:tc>
        <w:tc>
          <w:tcPr>
            <w:tcW w:w="611" w:type="pct"/>
            <w:shd w:val="clear" w:color="auto" w:fill="auto"/>
            <w:vAlign w:val="center"/>
          </w:tcPr>
          <w:p w14:paraId="3D4A3526" w14:textId="09B25045"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rsidRPr="003F73D9">
              <w:rPr>
                <w:color w:val="000000"/>
                <w:w w:val="18"/>
                <w:shd w:val="solid" w:color="000000" w:fill="000000"/>
                <w:fitText w:val="80" w:id="-1032152824"/>
                <w14:textFill>
                  <w14:solidFill>
                    <w14:srgbClr w14:val="000000">
                      <w14:alpha w14:val="100000"/>
                    </w14:srgbClr>
                  </w14:solidFill>
                </w14:textFill>
              </w:rPr>
              <w:t>|</w:t>
            </w:r>
            <w:r w:rsidRPr="003F73D9">
              <w:rPr>
                <w:rFonts w:hint="eastAsia"/>
                <w:color w:val="000000"/>
                <w:w w:val="18"/>
                <w:shd w:val="solid" w:color="000000" w:fill="000000"/>
                <w:fitText w:val="80" w:id="-1032152824"/>
                <w14:textFill>
                  <w14:solidFill>
                    <w14:srgbClr w14:val="000000">
                      <w14:alpha w14:val="100000"/>
                    </w14:srgbClr>
                  </w14:solidFill>
                </w14:textFill>
              </w:rPr>
              <w:t xml:space="preserve">　</w:t>
            </w:r>
            <w:r>
              <w:t xml:space="preserve"> </w:t>
            </w:r>
            <w:r w:rsidR="00536805" w:rsidRPr="005D2760">
              <w:rPr>
                <w:vertAlign w:val="superscript"/>
              </w:rPr>
              <w:t>8</w:t>
            </w:r>
          </w:p>
        </w:tc>
        <w:tc>
          <w:tcPr>
            <w:tcW w:w="611" w:type="pct"/>
            <w:shd w:val="clear" w:color="auto" w:fill="auto"/>
            <w:vAlign w:val="center"/>
          </w:tcPr>
          <w:p w14:paraId="62E5D449" w14:textId="51CC5F8E"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rsidRPr="003F73D9">
              <w:rPr>
                <w:color w:val="000000"/>
                <w:w w:val="18"/>
                <w:shd w:val="solid" w:color="000000" w:fill="000000"/>
                <w:fitText w:val="80" w:id="-1032152823"/>
                <w14:textFill>
                  <w14:solidFill>
                    <w14:srgbClr w14:val="000000">
                      <w14:alpha w14:val="100000"/>
                    </w14:srgbClr>
                  </w14:solidFill>
                </w14:textFill>
              </w:rPr>
              <w:t>|</w:t>
            </w:r>
            <w:r w:rsidRPr="003F73D9">
              <w:rPr>
                <w:rFonts w:hint="eastAsia"/>
                <w:color w:val="000000"/>
                <w:w w:val="18"/>
                <w:shd w:val="solid" w:color="000000" w:fill="000000"/>
                <w:fitText w:val="80" w:id="-1032152823"/>
                <w14:textFill>
                  <w14:solidFill>
                    <w14:srgbClr w14:val="000000">
                      <w14:alpha w14:val="100000"/>
                    </w14:srgbClr>
                  </w14:solidFill>
                </w14:textFill>
              </w:rPr>
              <w:t xml:space="preserve">　</w:t>
            </w:r>
            <w:r>
              <w:t xml:space="preserve"> </w:t>
            </w:r>
            <w:r w:rsidR="00536805" w:rsidRPr="005D2760">
              <w:rPr>
                <w:vertAlign w:val="superscript"/>
              </w:rPr>
              <w:t>8</w:t>
            </w:r>
          </w:p>
        </w:tc>
        <w:tc>
          <w:tcPr>
            <w:tcW w:w="611" w:type="pct"/>
            <w:shd w:val="clear" w:color="auto" w:fill="auto"/>
            <w:vAlign w:val="center"/>
          </w:tcPr>
          <w:p w14:paraId="260DDA6D" w14:textId="348D3258"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rsidRPr="003F73D9">
              <w:rPr>
                <w:color w:val="000000"/>
                <w:w w:val="18"/>
                <w:shd w:val="solid" w:color="000000" w:fill="000000"/>
                <w:fitText w:val="80" w:id="-1032152822"/>
                <w14:textFill>
                  <w14:solidFill>
                    <w14:srgbClr w14:val="000000">
                      <w14:alpha w14:val="100000"/>
                    </w14:srgbClr>
                  </w14:solidFill>
                </w14:textFill>
              </w:rPr>
              <w:t>|</w:t>
            </w:r>
            <w:r w:rsidRPr="003F73D9">
              <w:rPr>
                <w:rFonts w:hint="eastAsia"/>
                <w:color w:val="000000"/>
                <w:w w:val="18"/>
                <w:shd w:val="solid" w:color="000000" w:fill="000000"/>
                <w:fitText w:val="80" w:id="-1032152822"/>
                <w14:textFill>
                  <w14:solidFill>
                    <w14:srgbClr w14:val="000000">
                      <w14:alpha w14:val="100000"/>
                    </w14:srgbClr>
                  </w14:solidFill>
                </w14:textFill>
              </w:rPr>
              <w:t xml:space="preserve">　</w:t>
            </w:r>
            <w:r>
              <w:t xml:space="preserve"> </w:t>
            </w:r>
            <w:r w:rsidR="00536805" w:rsidRPr="005D2760">
              <w:rPr>
                <w:vertAlign w:val="superscript"/>
              </w:rPr>
              <w:t>8</w:t>
            </w:r>
          </w:p>
        </w:tc>
        <w:tc>
          <w:tcPr>
            <w:tcW w:w="611" w:type="pct"/>
            <w:shd w:val="clear" w:color="auto" w:fill="auto"/>
            <w:vAlign w:val="center"/>
          </w:tcPr>
          <w:p w14:paraId="7C813C45" w14:textId="7C529BED"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rsidRPr="003F73D9">
              <w:rPr>
                <w:color w:val="000000"/>
                <w:w w:val="18"/>
                <w:shd w:val="solid" w:color="000000" w:fill="000000"/>
                <w:fitText w:val="80" w:id="-1032152821"/>
                <w14:textFill>
                  <w14:solidFill>
                    <w14:srgbClr w14:val="000000">
                      <w14:alpha w14:val="100000"/>
                    </w14:srgbClr>
                  </w14:solidFill>
                </w14:textFill>
              </w:rPr>
              <w:t>|</w:t>
            </w:r>
            <w:r w:rsidRPr="003F73D9">
              <w:rPr>
                <w:rFonts w:hint="eastAsia"/>
                <w:color w:val="000000"/>
                <w:w w:val="18"/>
                <w:shd w:val="solid" w:color="000000" w:fill="000000"/>
                <w:fitText w:val="80" w:id="-1032152821"/>
                <w14:textFill>
                  <w14:solidFill>
                    <w14:srgbClr w14:val="000000">
                      <w14:alpha w14:val="100000"/>
                    </w14:srgbClr>
                  </w14:solidFill>
                </w14:textFill>
              </w:rPr>
              <w:t xml:space="preserve">　</w:t>
            </w:r>
            <w:r>
              <w:t xml:space="preserve"> </w:t>
            </w:r>
            <w:r w:rsidR="00536805" w:rsidRPr="005D2760">
              <w:rPr>
                <w:vertAlign w:val="superscript"/>
              </w:rPr>
              <w:t>8</w:t>
            </w:r>
          </w:p>
        </w:tc>
        <w:tc>
          <w:tcPr>
            <w:tcW w:w="611" w:type="pct"/>
            <w:shd w:val="clear" w:color="auto" w:fill="auto"/>
            <w:vAlign w:val="center"/>
          </w:tcPr>
          <w:p w14:paraId="04F21782" w14:textId="4BC83834" w:rsidR="00826D3B" w:rsidRPr="00C34520" w:rsidRDefault="003F73D9" w:rsidP="00DE0052">
            <w:pPr>
              <w:pStyle w:val="TableText0"/>
              <w:jc w:val="center"/>
              <w:rPr>
                <w:color w:val="000000"/>
              </w:rPr>
            </w:pP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rsidRPr="003F73D9">
              <w:rPr>
                <w:color w:val="000000"/>
                <w:w w:val="18"/>
                <w:shd w:val="solid" w:color="000000" w:fill="000000"/>
                <w:fitText w:val="80" w:id="-1032152820"/>
                <w14:textFill>
                  <w14:solidFill>
                    <w14:srgbClr w14:val="000000">
                      <w14:alpha w14:val="100000"/>
                    </w14:srgbClr>
                  </w14:solidFill>
                </w14:textFill>
              </w:rPr>
              <w:t>|</w:t>
            </w:r>
            <w:r w:rsidRPr="003F73D9">
              <w:rPr>
                <w:rFonts w:hint="eastAsia"/>
                <w:color w:val="000000"/>
                <w:w w:val="18"/>
                <w:shd w:val="solid" w:color="000000" w:fill="000000"/>
                <w:fitText w:val="80" w:id="-1032152820"/>
                <w14:textFill>
                  <w14:solidFill>
                    <w14:srgbClr w14:val="000000">
                      <w14:alpha w14:val="100000"/>
                    </w14:srgbClr>
                  </w14:solidFill>
                </w14:textFill>
              </w:rPr>
              <w:t xml:space="preserve">　</w:t>
            </w:r>
            <w:r>
              <w:t xml:space="preserve"> </w:t>
            </w:r>
            <w:r w:rsidR="00536805" w:rsidRPr="005D2760">
              <w:rPr>
                <w:vertAlign w:val="superscript"/>
              </w:rPr>
              <w:t>8</w:t>
            </w:r>
          </w:p>
        </w:tc>
      </w:tr>
      <w:tr w:rsidR="00826D3B" w:rsidRPr="00C34520" w14:paraId="3F1477E5" w14:textId="77777777" w:rsidTr="00BD1F15">
        <w:tc>
          <w:tcPr>
            <w:tcW w:w="5000" w:type="pct"/>
            <w:gridSpan w:val="7"/>
            <w:shd w:val="clear" w:color="auto" w:fill="auto"/>
            <w:vAlign w:val="center"/>
          </w:tcPr>
          <w:p w14:paraId="044DFDF6" w14:textId="77777777" w:rsidR="00826D3B" w:rsidRPr="00C34520" w:rsidRDefault="00826D3B" w:rsidP="00DE0052">
            <w:pPr>
              <w:pStyle w:val="In-tableHeading"/>
              <w:rPr>
                <w:lang w:val="en-AU"/>
              </w:rPr>
            </w:pPr>
            <w:r w:rsidRPr="00C34520">
              <w:rPr>
                <w:lang w:val="en-AU"/>
              </w:rPr>
              <w:t>Estimated financial implications 20vPCV</w:t>
            </w:r>
          </w:p>
        </w:tc>
      </w:tr>
      <w:tr w:rsidR="00826D3B" w:rsidRPr="00C34520" w14:paraId="6B624E86" w14:textId="77777777" w:rsidTr="00BD1F15">
        <w:tc>
          <w:tcPr>
            <w:tcW w:w="1334" w:type="pct"/>
            <w:shd w:val="clear" w:color="auto" w:fill="auto"/>
            <w:vAlign w:val="center"/>
          </w:tcPr>
          <w:p w14:paraId="0F486882" w14:textId="77777777" w:rsidR="00826D3B" w:rsidRPr="00C34520" w:rsidRDefault="00826D3B" w:rsidP="00DE0052">
            <w:pPr>
              <w:pStyle w:val="TableText0"/>
              <w:rPr>
                <w:sz w:val="19"/>
                <w:szCs w:val="19"/>
              </w:rPr>
            </w:pPr>
            <w:r w:rsidRPr="00C34520">
              <w:rPr>
                <w:sz w:val="19"/>
                <w:szCs w:val="19"/>
              </w:rPr>
              <w:t>Cost to NIP</w:t>
            </w:r>
          </w:p>
        </w:tc>
        <w:tc>
          <w:tcPr>
            <w:tcW w:w="611" w:type="pct"/>
            <w:shd w:val="clear" w:color="auto" w:fill="auto"/>
            <w:vAlign w:val="center"/>
          </w:tcPr>
          <w:p w14:paraId="67DDEE4F" w14:textId="3C17D65B" w:rsidR="00826D3B" w:rsidRPr="00815267" w:rsidRDefault="003F73D9" w:rsidP="00DE0052">
            <w:pPr>
              <w:pStyle w:val="TableText0"/>
              <w:jc w:val="center"/>
            </w:pP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rsidRPr="003F73D9">
              <w:rPr>
                <w:color w:val="000000"/>
                <w:w w:val="18"/>
                <w:shd w:val="solid" w:color="000000" w:fill="000000"/>
                <w:fitText w:val="80" w:id="-1032152819"/>
                <w14:textFill>
                  <w14:solidFill>
                    <w14:srgbClr w14:val="000000">
                      <w14:alpha w14:val="100000"/>
                    </w14:srgbClr>
                  </w14:solidFill>
                </w14:textFill>
              </w:rPr>
              <w:t>|</w:t>
            </w:r>
            <w:r w:rsidRPr="003F73D9">
              <w:rPr>
                <w:rFonts w:hint="eastAsia"/>
                <w:color w:val="000000"/>
                <w:w w:val="18"/>
                <w:shd w:val="solid" w:color="000000" w:fill="000000"/>
                <w:fitText w:val="80" w:id="-1032152819"/>
                <w14:textFill>
                  <w14:solidFill>
                    <w14:srgbClr w14:val="000000">
                      <w14:alpha w14:val="100000"/>
                    </w14:srgbClr>
                  </w14:solidFill>
                </w14:textFill>
              </w:rPr>
              <w:t xml:space="preserve">　</w:t>
            </w:r>
            <w:r>
              <w:t xml:space="preserve"> </w:t>
            </w:r>
            <w:r w:rsidR="00536805" w:rsidRPr="00815267">
              <w:rPr>
                <w:vertAlign w:val="superscript"/>
              </w:rPr>
              <w:t>9</w:t>
            </w:r>
          </w:p>
        </w:tc>
        <w:tc>
          <w:tcPr>
            <w:tcW w:w="611" w:type="pct"/>
            <w:shd w:val="clear" w:color="auto" w:fill="auto"/>
            <w:vAlign w:val="center"/>
          </w:tcPr>
          <w:p w14:paraId="480C378C" w14:textId="7D0C4979" w:rsidR="00826D3B" w:rsidRPr="00815267" w:rsidRDefault="003F73D9" w:rsidP="00DE0052">
            <w:pPr>
              <w:pStyle w:val="TableText0"/>
              <w:jc w:val="center"/>
            </w:pP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rsidRPr="003F73D9">
              <w:rPr>
                <w:color w:val="000000"/>
                <w:w w:val="18"/>
                <w:shd w:val="solid" w:color="000000" w:fill="000000"/>
                <w:fitText w:val="80" w:id="-1032152818"/>
                <w14:textFill>
                  <w14:solidFill>
                    <w14:srgbClr w14:val="000000">
                      <w14:alpha w14:val="100000"/>
                    </w14:srgbClr>
                  </w14:solidFill>
                </w14:textFill>
              </w:rPr>
              <w:t>|</w:t>
            </w:r>
            <w:r w:rsidRPr="003F73D9">
              <w:rPr>
                <w:rFonts w:hint="eastAsia"/>
                <w:color w:val="000000"/>
                <w:w w:val="18"/>
                <w:shd w:val="solid" w:color="000000" w:fill="000000"/>
                <w:fitText w:val="80" w:id="-1032152818"/>
                <w14:textFill>
                  <w14:solidFill>
                    <w14:srgbClr w14:val="000000">
                      <w14:alpha w14:val="100000"/>
                    </w14:srgbClr>
                  </w14:solidFill>
                </w14:textFill>
              </w:rPr>
              <w:t xml:space="preserve">　</w:t>
            </w:r>
            <w:r>
              <w:t xml:space="preserve"> </w:t>
            </w:r>
            <w:r w:rsidR="00536805" w:rsidRPr="00815267">
              <w:rPr>
                <w:vertAlign w:val="superscript"/>
              </w:rPr>
              <w:t>9</w:t>
            </w:r>
          </w:p>
        </w:tc>
        <w:tc>
          <w:tcPr>
            <w:tcW w:w="611" w:type="pct"/>
            <w:shd w:val="clear" w:color="auto" w:fill="auto"/>
            <w:vAlign w:val="center"/>
          </w:tcPr>
          <w:p w14:paraId="17BBD073" w14:textId="4BA57615" w:rsidR="00826D3B" w:rsidRPr="00815267" w:rsidRDefault="003F73D9" w:rsidP="00DE0052">
            <w:pPr>
              <w:pStyle w:val="TableText0"/>
              <w:jc w:val="center"/>
            </w:pP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rsidRPr="003F73D9">
              <w:rPr>
                <w:color w:val="000000"/>
                <w:w w:val="18"/>
                <w:shd w:val="solid" w:color="000000" w:fill="000000"/>
                <w:fitText w:val="80" w:id="-1032152817"/>
                <w14:textFill>
                  <w14:solidFill>
                    <w14:srgbClr w14:val="000000">
                      <w14:alpha w14:val="100000"/>
                    </w14:srgbClr>
                  </w14:solidFill>
                </w14:textFill>
              </w:rPr>
              <w:t>|</w:t>
            </w:r>
            <w:r w:rsidRPr="003F73D9">
              <w:rPr>
                <w:rFonts w:hint="eastAsia"/>
                <w:color w:val="000000"/>
                <w:w w:val="18"/>
                <w:shd w:val="solid" w:color="000000" w:fill="000000"/>
                <w:fitText w:val="80" w:id="-1032152817"/>
                <w14:textFill>
                  <w14:solidFill>
                    <w14:srgbClr w14:val="000000">
                      <w14:alpha w14:val="100000"/>
                    </w14:srgbClr>
                  </w14:solidFill>
                </w14:textFill>
              </w:rPr>
              <w:t xml:space="preserve">　</w:t>
            </w:r>
            <w:r>
              <w:t xml:space="preserve"> </w:t>
            </w:r>
            <w:r w:rsidR="00536805" w:rsidRPr="00815267">
              <w:rPr>
                <w:vertAlign w:val="superscript"/>
              </w:rPr>
              <w:t>9</w:t>
            </w:r>
          </w:p>
        </w:tc>
        <w:tc>
          <w:tcPr>
            <w:tcW w:w="611" w:type="pct"/>
            <w:shd w:val="clear" w:color="auto" w:fill="auto"/>
            <w:vAlign w:val="center"/>
          </w:tcPr>
          <w:p w14:paraId="1B389669" w14:textId="6DC851F8" w:rsidR="00826D3B" w:rsidRPr="00815267" w:rsidRDefault="003F73D9" w:rsidP="00DE0052">
            <w:pPr>
              <w:pStyle w:val="TableText0"/>
              <w:jc w:val="center"/>
            </w:pP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rsidRPr="003F73D9">
              <w:rPr>
                <w:color w:val="000000"/>
                <w:w w:val="18"/>
                <w:shd w:val="solid" w:color="000000" w:fill="000000"/>
                <w:fitText w:val="80" w:id="-1032152816"/>
                <w14:textFill>
                  <w14:solidFill>
                    <w14:srgbClr w14:val="000000">
                      <w14:alpha w14:val="100000"/>
                    </w14:srgbClr>
                  </w14:solidFill>
                </w14:textFill>
              </w:rPr>
              <w:t>|</w:t>
            </w:r>
            <w:r w:rsidRPr="003F73D9">
              <w:rPr>
                <w:rFonts w:hint="eastAsia"/>
                <w:color w:val="000000"/>
                <w:w w:val="18"/>
                <w:shd w:val="solid" w:color="000000" w:fill="000000"/>
                <w:fitText w:val="80" w:id="-1032152816"/>
                <w14:textFill>
                  <w14:solidFill>
                    <w14:srgbClr w14:val="000000">
                      <w14:alpha w14:val="100000"/>
                    </w14:srgbClr>
                  </w14:solidFill>
                </w14:textFill>
              </w:rPr>
              <w:t xml:space="preserve">　</w:t>
            </w:r>
            <w:r>
              <w:t xml:space="preserve"> </w:t>
            </w:r>
            <w:r w:rsidR="00536805" w:rsidRPr="00815267">
              <w:rPr>
                <w:vertAlign w:val="superscript"/>
              </w:rPr>
              <w:t>9</w:t>
            </w:r>
          </w:p>
        </w:tc>
        <w:tc>
          <w:tcPr>
            <w:tcW w:w="611" w:type="pct"/>
            <w:shd w:val="clear" w:color="auto" w:fill="auto"/>
            <w:vAlign w:val="center"/>
          </w:tcPr>
          <w:p w14:paraId="64EEEA52" w14:textId="7B9C6756" w:rsidR="00826D3B" w:rsidRPr="00815267" w:rsidRDefault="003F73D9" w:rsidP="00DE0052">
            <w:pPr>
              <w:pStyle w:val="TableText0"/>
              <w:jc w:val="center"/>
            </w:pP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rsidRPr="003F73D9">
              <w:rPr>
                <w:color w:val="000000"/>
                <w:w w:val="18"/>
                <w:shd w:val="solid" w:color="000000" w:fill="000000"/>
                <w:fitText w:val="80" w:id="-1032152832"/>
                <w14:textFill>
                  <w14:solidFill>
                    <w14:srgbClr w14:val="000000">
                      <w14:alpha w14:val="100000"/>
                    </w14:srgbClr>
                  </w14:solidFill>
                </w14:textFill>
              </w:rPr>
              <w:t>|</w:t>
            </w:r>
            <w:r w:rsidRPr="003F73D9">
              <w:rPr>
                <w:rFonts w:hint="eastAsia"/>
                <w:color w:val="000000"/>
                <w:w w:val="18"/>
                <w:shd w:val="solid" w:color="000000" w:fill="000000"/>
                <w:fitText w:val="80" w:id="-1032152832"/>
                <w14:textFill>
                  <w14:solidFill>
                    <w14:srgbClr w14:val="000000">
                      <w14:alpha w14:val="100000"/>
                    </w14:srgbClr>
                  </w14:solidFill>
                </w14:textFill>
              </w:rPr>
              <w:t xml:space="preserve">　</w:t>
            </w:r>
            <w:r>
              <w:t xml:space="preserve"> </w:t>
            </w:r>
            <w:r w:rsidR="00536805" w:rsidRPr="00815267">
              <w:rPr>
                <w:vertAlign w:val="superscript"/>
              </w:rPr>
              <w:t>9</w:t>
            </w:r>
          </w:p>
        </w:tc>
        <w:tc>
          <w:tcPr>
            <w:tcW w:w="611" w:type="pct"/>
            <w:shd w:val="clear" w:color="auto" w:fill="auto"/>
            <w:vAlign w:val="center"/>
          </w:tcPr>
          <w:p w14:paraId="3CA04420" w14:textId="6F7EACE7" w:rsidR="00826D3B" w:rsidRPr="00815267" w:rsidRDefault="003F73D9" w:rsidP="00DE0052">
            <w:pPr>
              <w:pStyle w:val="TableText0"/>
              <w:jc w:val="center"/>
            </w:pP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rsidRPr="003F73D9">
              <w:rPr>
                <w:color w:val="000000"/>
                <w:w w:val="18"/>
                <w:shd w:val="solid" w:color="000000" w:fill="000000"/>
                <w:fitText w:val="80" w:id="-1032152831"/>
                <w14:textFill>
                  <w14:solidFill>
                    <w14:srgbClr w14:val="000000">
                      <w14:alpha w14:val="100000"/>
                    </w14:srgbClr>
                  </w14:solidFill>
                </w14:textFill>
              </w:rPr>
              <w:t>|</w:t>
            </w:r>
            <w:r w:rsidRPr="003F73D9">
              <w:rPr>
                <w:rFonts w:hint="eastAsia"/>
                <w:color w:val="000000"/>
                <w:w w:val="18"/>
                <w:shd w:val="solid" w:color="000000" w:fill="000000"/>
                <w:fitText w:val="80" w:id="-1032152831"/>
                <w14:textFill>
                  <w14:solidFill>
                    <w14:srgbClr w14:val="000000">
                      <w14:alpha w14:val="100000"/>
                    </w14:srgbClr>
                  </w14:solidFill>
                </w14:textFill>
              </w:rPr>
              <w:t xml:space="preserve">　</w:t>
            </w:r>
            <w:r>
              <w:t xml:space="preserve"> </w:t>
            </w:r>
            <w:r w:rsidR="00536805" w:rsidRPr="00815267">
              <w:rPr>
                <w:vertAlign w:val="superscript"/>
              </w:rPr>
              <w:t>9</w:t>
            </w:r>
          </w:p>
        </w:tc>
      </w:tr>
      <w:tr w:rsidR="00826D3B" w:rsidRPr="00C34520" w14:paraId="70BA4245" w14:textId="77777777" w:rsidTr="00BD1F15">
        <w:tc>
          <w:tcPr>
            <w:tcW w:w="5000" w:type="pct"/>
            <w:gridSpan w:val="7"/>
            <w:shd w:val="clear" w:color="auto" w:fill="auto"/>
            <w:vAlign w:val="center"/>
          </w:tcPr>
          <w:p w14:paraId="356B4EC9" w14:textId="77777777" w:rsidR="00826D3B" w:rsidRPr="00815267" w:rsidRDefault="00826D3B" w:rsidP="00DE0052">
            <w:pPr>
              <w:pStyle w:val="TableText0"/>
              <w:rPr>
                <w:b/>
                <w:bCs w:val="0"/>
              </w:rPr>
            </w:pPr>
            <w:r w:rsidRPr="00815267">
              <w:rPr>
                <w:b/>
                <w:bCs w:val="0"/>
              </w:rPr>
              <w:t>Estimated financial implications for 13vPCV (and 15vPCV)</w:t>
            </w:r>
          </w:p>
        </w:tc>
      </w:tr>
      <w:tr w:rsidR="00826D3B" w:rsidRPr="00C34520" w14:paraId="0D6EAF10" w14:textId="77777777" w:rsidTr="00BD1F15">
        <w:tc>
          <w:tcPr>
            <w:tcW w:w="1334" w:type="pct"/>
            <w:shd w:val="clear" w:color="auto" w:fill="auto"/>
            <w:vAlign w:val="center"/>
          </w:tcPr>
          <w:p w14:paraId="348D3552" w14:textId="77777777" w:rsidR="00826D3B" w:rsidRPr="00C34520" w:rsidRDefault="00826D3B" w:rsidP="00DE0052">
            <w:pPr>
              <w:pStyle w:val="TableText0"/>
              <w:rPr>
                <w:sz w:val="19"/>
                <w:szCs w:val="19"/>
              </w:rPr>
            </w:pPr>
            <w:r w:rsidRPr="00C34520">
              <w:rPr>
                <w:sz w:val="19"/>
                <w:szCs w:val="19"/>
              </w:rPr>
              <w:t>Cost to NIP</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8436621" w14:textId="1C055739" w:rsidR="00826D3B" w:rsidRPr="00815267" w:rsidRDefault="00826D3B" w:rsidP="00DE0052">
            <w:pPr>
              <w:pStyle w:val="TableText0"/>
              <w:jc w:val="center"/>
            </w:pPr>
            <w:r w:rsidRPr="00815267">
              <w:t>-</w:t>
            </w:r>
            <w:r w:rsidR="003F73D9" w:rsidRPr="003F73D9">
              <w:rPr>
                <w:rFonts w:hint="eastAsia"/>
                <w:color w:val="000000"/>
                <w:w w:val="31"/>
                <w:shd w:val="solid" w:color="000000" w:fill="000000"/>
                <w:fitText w:val="140" w:id="-1032152830"/>
                <w14:textFill>
                  <w14:solidFill>
                    <w14:srgbClr w14:val="000000">
                      <w14:alpha w14:val="100000"/>
                    </w14:srgbClr>
                  </w14:solidFill>
                </w14:textFill>
              </w:rPr>
              <w:t xml:space="preserve">　</w:t>
            </w:r>
            <w:r w:rsidR="003F73D9" w:rsidRPr="003F73D9">
              <w:rPr>
                <w:color w:val="000000"/>
                <w:w w:val="31"/>
                <w:shd w:val="solid" w:color="000000" w:fill="000000"/>
                <w:fitText w:val="140" w:id="-1032152830"/>
                <w14:textFill>
                  <w14:solidFill>
                    <w14:srgbClr w14:val="000000">
                      <w14:alpha w14:val="100000"/>
                    </w14:srgbClr>
                  </w14:solidFill>
                </w14:textFill>
              </w:rPr>
              <w:t>|</w:t>
            </w:r>
            <w:r w:rsidR="003F73D9" w:rsidRPr="003F73D9">
              <w:rPr>
                <w:rFonts w:hint="eastAsia"/>
                <w:color w:val="000000"/>
                <w:spacing w:val="4"/>
                <w:w w:val="31"/>
                <w:shd w:val="solid" w:color="000000" w:fill="000000"/>
                <w:fitText w:val="140" w:id="-1032152830"/>
                <w14:textFill>
                  <w14:solidFill>
                    <w14:srgbClr w14:val="000000">
                      <w14:alpha w14:val="100000"/>
                    </w14:srgbClr>
                  </w14:solidFill>
                </w14:textFill>
              </w:rPr>
              <w:t xml:space="preserve">　</w:t>
            </w:r>
            <w:r w:rsidR="003F73D9">
              <w:t xml:space="preserve"> </w:t>
            </w:r>
            <w:r w:rsidR="00D43D7E" w:rsidRPr="00815267">
              <w:rPr>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3CB1C393" w14:textId="7EAFC608" w:rsidR="00826D3B" w:rsidRPr="00815267" w:rsidRDefault="00826D3B" w:rsidP="00DE0052">
            <w:pPr>
              <w:pStyle w:val="TableText0"/>
              <w:jc w:val="center"/>
            </w:pPr>
            <w:r w:rsidRPr="00815267">
              <w:t>-</w:t>
            </w:r>
            <w:r w:rsidR="003F73D9" w:rsidRPr="003F73D9">
              <w:rPr>
                <w:rFonts w:hint="eastAsia"/>
                <w:color w:val="000000"/>
                <w:w w:val="31"/>
                <w:shd w:val="solid" w:color="000000" w:fill="000000"/>
                <w:fitText w:val="140" w:id="-1032152829"/>
                <w14:textFill>
                  <w14:solidFill>
                    <w14:srgbClr w14:val="000000">
                      <w14:alpha w14:val="100000"/>
                    </w14:srgbClr>
                  </w14:solidFill>
                </w14:textFill>
              </w:rPr>
              <w:t xml:space="preserve">　</w:t>
            </w:r>
            <w:r w:rsidR="003F73D9" w:rsidRPr="003F73D9">
              <w:rPr>
                <w:color w:val="000000"/>
                <w:w w:val="31"/>
                <w:shd w:val="solid" w:color="000000" w:fill="000000"/>
                <w:fitText w:val="140" w:id="-1032152829"/>
                <w14:textFill>
                  <w14:solidFill>
                    <w14:srgbClr w14:val="000000">
                      <w14:alpha w14:val="100000"/>
                    </w14:srgbClr>
                  </w14:solidFill>
                </w14:textFill>
              </w:rPr>
              <w:t>|</w:t>
            </w:r>
            <w:r w:rsidR="003F73D9" w:rsidRPr="003F73D9">
              <w:rPr>
                <w:rFonts w:hint="eastAsia"/>
                <w:color w:val="000000"/>
                <w:spacing w:val="4"/>
                <w:w w:val="31"/>
                <w:shd w:val="solid" w:color="000000" w:fill="000000"/>
                <w:fitText w:val="140" w:id="-1032152829"/>
                <w14:textFill>
                  <w14:solidFill>
                    <w14:srgbClr w14:val="000000">
                      <w14:alpha w14:val="100000"/>
                    </w14:srgbClr>
                  </w14:solidFill>
                </w14:textFill>
              </w:rPr>
              <w:t xml:space="preserve">　</w:t>
            </w:r>
            <w:r w:rsidR="003F73D9">
              <w:t xml:space="preserve"> </w:t>
            </w:r>
            <w:r w:rsidR="00D43D7E" w:rsidRPr="00815267">
              <w:rPr>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0AA8B21A" w14:textId="5563A0F9" w:rsidR="00826D3B" w:rsidRPr="00815267" w:rsidRDefault="00826D3B" w:rsidP="00DE0052">
            <w:pPr>
              <w:pStyle w:val="TableText0"/>
              <w:jc w:val="center"/>
            </w:pPr>
            <w:r w:rsidRPr="00815267">
              <w:t>-</w:t>
            </w:r>
            <w:r w:rsidR="003F73D9" w:rsidRPr="003F73D9">
              <w:rPr>
                <w:rFonts w:hint="eastAsia"/>
                <w:color w:val="000000"/>
                <w:w w:val="31"/>
                <w:shd w:val="solid" w:color="000000" w:fill="000000"/>
                <w:fitText w:val="140" w:id="-1032152828"/>
                <w14:textFill>
                  <w14:solidFill>
                    <w14:srgbClr w14:val="000000">
                      <w14:alpha w14:val="100000"/>
                    </w14:srgbClr>
                  </w14:solidFill>
                </w14:textFill>
              </w:rPr>
              <w:t xml:space="preserve">　</w:t>
            </w:r>
            <w:r w:rsidR="003F73D9" w:rsidRPr="003F73D9">
              <w:rPr>
                <w:color w:val="000000"/>
                <w:w w:val="31"/>
                <w:shd w:val="solid" w:color="000000" w:fill="000000"/>
                <w:fitText w:val="140" w:id="-1032152828"/>
                <w14:textFill>
                  <w14:solidFill>
                    <w14:srgbClr w14:val="000000">
                      <w14:alpha w14:val="100000"/>
                    </w14:srgbClr>
                  </w14:solidFill>
                </w14:textFill>
              </w:rPr>
              <w:t>|</w:t>
            </w:r>
            <w:r w:rsidR="003F73D9" w:rsidRPr="003F73D9">
              <w:rPr>
                <w:rFonts w:hint="eastAsia"/>
                <w:color w:val="000000"/>
                <w:spacing w:val="4"/>
                <w:w w:val="31"/>
                <w:shd w:val="solid" w:color="000000" w:fill="000000"/>
                <w:fitText w:val="140" w:id="-1032152828"/>
                <w14:textFill>
                  <w14:solidFill>
                    <w14:srgbClr w14:val="000000">
                      <w14:alpha w14:val="100000"/>
                    </w14:srgbClr>
                  </w14:solidFill>
                </w14:textFill>
              </w:rPr>
              <w:t xml:space="preserve">　</w:t>
            </w:r>
            <w:r w:rsidR="003F73D9">
              <w:t xml:space="preserve"> </w:t>
            </w:r>
            <w:r w:rsidR="00D43D7E" w:rsidRPr="00815267">
              <w:rPr>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04C53ECE" w14:textId="108481E2" w:rsidR="00826D3B" w:rsidRPr="00815267" w:rsidRDefault="00826D3B" w:rsidP="00DE0052">
            <w:pPr>
              <w:pStyle w:val="TableText0"/>
              <w:jc w:val="center"/>
            </w:pPr>
            <w:r w:rsidRPr="00815267">
              <w:t>-</w:t>
            </w:r>
            <w:r w:rsidR="003F73D9" w:rsidRPr="003F73D9">
              <w:rPr>
                <w:rFonts w:hint="eastAsia"/>
                <w:color w:val="000000"/>
                <w:w w:val="31"/>
                <w:shd w:val="solid" w:color="000000" w:fill="000000"/>
                <w:fitText w:val="140" w:id="-1032152827"/>
                <w14:textFill>
                  <w14:solidFill>
                    <w14:srgbClr w14:val="000000">
                      <w14:alpha w14:val="100000"/>
                    </w14:srgbClr>
                  </w14:solidFill>
                </w14:textFill>
              </w:rPr>
              <w:t xml:space="preserve">　</w:t>
            </w:r>
            <w:r w:rsidR="003F73D9" w:rsidRPr="003F73D9">
              <w:rPr>
                <w:color w:val="000000"/>
                <w:w w:val="31"/>
                <w:shd w:val="solid" w:color="000000" w:fill="000000"/>
                <w:fitText w:val="140" w:id="-1032152827"/>
                <w14:textFill>
                  <w14:solidFill>
                    <w14:srgbClr w14:val="000000">
                      <w14:alpha w14:val="100000"/>
                    </w14:srgbClr>
                  </w14:solidFill>
                </w14:textFill>
              </w:rPr>
              <w:t>|</w:t>
            </w:r>
            <w:r w:rsidR="003F73D9" w:rsidRPr="003F73D9">
              <w:rPr>
                <w:rFonts w:hint="eastAsia"/>
                <w:color w:val="000000"/>
                <w:spacing w:val="4"/>
                <w:w w:val="31"/>
                <w:shd w:val="solid" w:color="000000" w:fill="000000"/>
                <w:fitText w:val="140" w:id="-1032152827"/>
                <w14:textFill>
                  <w14:solidFill>
                    <w14:srgbClr w14:val="000000">
                      <w14:alpha w14:val="100000"/>
                    </w14:srgbClr>
                  </w14:solidFill>
                </w14:textFill>
              </w:rPr>
              <w:t xml:space="preserve">　</w:t>
            </w:r>
            <w:r w:rsidR="003F73D9">
              <w:t xml:space="preserve"> </w:t>
            </w:r>
            <w:r w:rsidR="00D43D7E" w:rsidRPr="00815267">
              <w:rPr>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1E071086" w14:textId="60C70D64" w:rsidR="00826D3B" w:rsidRPr="00815267" w:rsidRDefault="00826D3B" w:rsidP="00DE0052">
            <w:pPr>
              <w:pStyle w:val="TableText0"/>
              <w:jc w:val="center"/>
            </w:pPr>
            <w:r w:rsidRPr="00815267">
              <w:t>-</w:t>
            </w:r>
            <w:r w:rsidR="003F73D9" w:rsidRPr="003F73D9">
              <w:rPr>
                <w:rFonts w:hint="eastAsia"/>
                <w:color w:val="000000"/>
                <w:w w:val="31"/>
                <w:shd w:val="solid" w:color="000000" w:fill="000000"/>
                <w:fitText w:val="140" w:id="-1032152826"/>
                <w14:textFill>
                  <w14:solidFill>
                    <w14:srgbClr w14:val="000000">
                      <w14:alpha w14:val="100000"/>
                    </w14:srgbClr>
                  </w14:solidFill>
                </w14:textFill>
              </w:rPr>
              <w:t xml:space="preserve">　</w:t>
            </w:r>
            <w:r w:rsidR="003F73D9" w:rsidRPr="003F73D9">
              <w:rPr>
                <w:color w:val="000000"/>
                <w:w w:val="31"/>
                <w:shd w:val="solid" w:color="000000" w:fill="000000"/>
                <w:fitText w:val="140" w:id="-1032152826"/>
                <w14:textFill>
                  <w14:solidFill>
                    <w14:srgbClr w14:val="000000">
                      <w14:alpha w14:val="100000"/>
                    </w14:srgbClr>
                  </w14:solidFill>
                </w14:textFill>
              </w:rPr>
              <w:t>|</w:t>
            </w:r>
            <w:r w:rsidR="003F73D9" w:rsidRPr="003F73D9">
              <w:rPr>
                <w:rFonts w:hint="eastAsia"/>
                <w:color w:val="000000"/>
                <w:spacing w:val="4"/>
                <w:w w:val="31"/>
                <w:shd w:val="solid" w:color="000000" w:fill="000000"/>
                <w:fitText w:val="140" w:id="-1032152826"/>
                <w14:textFill>
                  <w14:solidFill>
                    <w14:srgbClr w14:val="000000">
                      <w14:alpha w14:val="100000"/>
                    </w14:srgbClr>
                  </w14:solidFill>
                </w14:textFill>
              </w:rPr>
              <w:t xml:space="preserve">　</w:t>
            </w:r>
            <w:r w:rsidR="003F73D9">
              <w:t xml:space="preserve"> </w:t>
            </w:r>
            <w:r w:rsidR="00D43D7E" w:rsidRPr="00815267">
              <w:rPr>
                <w:vertAlign w:val="superscript"/>
              </w:rPr>
              <w:t>10</w:t>
            </w:r>
          </w:p>
        </w:tc>
        <w:tc>
          <w:tcPr>
            <w:tcW w:w="611" w:type="pct"/>
            <w:tcBorders>
              <w:top w:val="single" w:sz="4" w:space="0" w:color="auto"/>
              <w:left w:val="nil"/>
              <w:bottom w:val="single" w:sz="4" w:space="0" w:color="auto"/>
              <w:right w:val="single" w:sz="4" w:space="0" w:color="auto"/>
            </w:tcBorders>
            <w:shd w:val="clear" w:color="auto" w:fill="auto"/>
            <w:vAlign w:val="center"/>
          </w:tcPr>
          <w:p w14:paraId="10119430" w14:textId="28024F7C" w:rsidR="00826D3B" w:rsidRPr="00815267" w:rsidRDefault="00826D3B" w:rsidP="00DE0052">
            <w:pPr>
              <w:pStyle w:val="TableText0"/>
              <w:jc w:val="center"/>
            </w:pPr>
            <w:r w:rsidRPr="00815267">
              <w:t>-</w:t>
            </w:r>
            <w:r w:rsidR="003F73D9" w:rsidRPr="003F73D9">
              <w:rPr>
                <w:rFonts w:hint="eastAsia"/>
                <w:color w:val="000000"/>
                <w:w w:val="31"/>
                <w:shd w:val="solid" w:color="000000" w:fill="000000"/>
                <w:fitText w:val="140" w:id="-1032152825"/>
                <w14:textFill>
                  <w14:solidFill>
                    <w14:srgbClr w14:val="000000">
                      <w14:alpha w14:val="100000"/>
                    </w14:srgbClr>
                  </w14:solidFill>
                </w14:textFill>
              </w:rPr>
              <w:t xml:space="preserve">　</w:t>
            </w:r>
            <w:r w:rsidR="003F73D9" w:rsidRPr="003F73D9">
              <w:rPr>
                <w:color w:val="000000"/>
                <w:w w:val="31"/>
                <w:shd w:val="solid" w:color="000000" w:fill="000000"/>
                <w:fitText w:val="140" w:id="-1032152825"/>
                <w14:textFill>
                  <w14:solidFill>
                    <w14:srgbClr w14:val="000000">
                      <w14:alpha w14:val="100000"/>
                    </w14:srgbClr>
                  </w14:solidFill>
                </w14:textFill>
              </w:rPr>
              <w:t>|</w:t>
            </w:r>
            <w:r w:rsidR="003F73D9" w:rsidRPr="003F73D9">
              <w:rPr>
                <w:rFonts w:hint="eastAsia"/>
                <w:color w:val="000000"/>
                <w:spacing w:val="4"/>
                <w:w w:val="31"/>
                <w:shd w:val="solid" w:color="000000" w:fill="000000"/>
                <w:fitText w:val="140" w:id="-1032152825"/>
                <w14:textFill>
                  <w14:solidFill>
                    <w14:srgbClr w14:val="000000">
                      <w14:alpha w14:val="100000"/>
                    </w14:srgbClr>
                  </w14:solidFill>
                </w14:textFill>
              </w:rPr>
              <w:t xml:space="preserve">　</w:t>
            </w:r>
            <w:r w:rsidR="003F73D9">
              <w:t xml:space="preserve"> </w:t>
            </w:r>
            <w:r w:rsidR="00D43D7E" w:rsidRPr="00815267">
              <w:rPr>
                <w:vertAlign w:val="superscript"/>
              </w:rPr>
              <w:t>10</w:t>
            </w:r>
          </w:p>
        </w:tc>
      </w:tr>
      <w:tr w:rsidR="00826D3B" w:rsidRPr="00C34520" w14:paraId="7F8FD9A2" w14:textId="77777777" w:rsidTr="00BD1F15">
        <w:tc>
          <w:tcPr>
            <w:tcW w:w="5000" w:type="pct"/>
            <w:gridSpan w:val="7"/>
            <w:shd w:val="clear" w:color="auto" w:fill="auto"/>
            <w:vAlign w:val="center"/>
          </w:tcPr>
          <w:p w14:paraId="6A3EA013" w14:textId="77777777" w:rsidR="00826D3B" w:rsidRPr="00815267" w:rsidRDefault="00826D3B" w:rsidP="00DE0052">
            <w:pPr>
              <w:pStyle w:val="In-tableHeading"/>
              <w:rPr>
                <w:lang w:val="en-AU"/>
              </w:rPr>
            </w:pPr>
            <w:r w:rsidRPr="00815267">
              <w:rPr>
                <w:lang w:val="en-AU"/>
              </w:rPr>
              <w:t>Net financial implications</w:t>
            </w:r>
            <w:r w:rsidRPr="00815267">
              <w:rPr>
                <w:color w:val="4BACC6" w:themeColor="accent5"/>
                <w:lang w:val="en-AU"/>
              </w:rPr>
              <w:t xml:space="preserve"> </w:t>
            </w:r>
          </w:p>
        </w:tc>
      </w:tr>
      <w:tr w:rsidR="00826D3B" w:rsidRPr="00C34520" w14:paraId="023503D5" w14:textId="77777777" w:rsidTr="00BD1F15">
        <w:tc>
          <w:tcPr>
            <w:tcW w:w="1334" w:type="pct"/>
            <w:shd w:val="clear" w:color="auto" w:fill="auto"/>
            <w:vAlign w:val="center"/>
          </w:tcPr>
          <w:p w14:paraId="4C9D08CC" w14:textId="77777777" w:rsidR="00826D3B" w:rsidRPr="00C34520" w:rsidRDefault="00826D3B" w:rsidP="00DE0052">
            <w:pPr>
              <w:pStyle w:val="TableText0"/>
              <w:rPr>
                <w:sz w:val="19"/>
                <w:szCs w:val="19"/>
              </w:rPr>
            </w:pPr>
            <w:r w:rsidRPr="00C34520">
              <w:rPr>
                <w:sz w:val="19"/>
                <w:szCs w:val="19"/>
              </w:rPr>
              <w:t>Net cost to NIP</w:t>
            </w:r>
          </w:p>
        </w:tc>
        <w:tc>
          <w:tcPr>
            <w:tcW w:w="611" w:type="pct"/>
            <w:shd w:val="clear" w:color="auto" w:fill="auto"/>
            <w:vAlign w:val="center"/>
          </w:tcPr>
          <w:p w14:paraId="3F675825" w14:textId="1101EA58" w:rsidR="00826D3B" w:rsidRPr="00815267" w:rsidRDefault="003F73D9" w:rsidP="00DE0052">
            <w:pPr>
              <w:pStyle w:val="TableText0"/>
              <w:jc w:val="center"/>
            </w:pPr>
            <w:r w:rsidRPr="003F73D9">
              <w:rPr>
                <w:rFonts w:hint="eastAsia"/>
                <w:color w:val="000000"/>
                <w:w w:val="24"/>
                <w:shd w:val="solid" w:color="000000" w:fill="000000"/>
                <w:fitText w:val="110" w:id="-1032152824"/>
                <w14:textFill>
                  <w14:solidFill>
                    <w14:srgbClr w14:val="000000">
                      <w14:alpha w14:val="100000"/>
                    </w14:srgbClr>
                  </w14:solidFill>
                </w14:textFill>
              </w:rPr>
              <w:t xml:space="preserve">　</w:t>
            </w:r>
            <w:r w:rsidRPr="003F73D9">
              <w:rPr>
                <w:color w:val="000000"/>
                <w:w w:val="24"/>
                <w:shd w:val="solid" w:color="000000" w:fill="000000"/>
                <w:fitText w:val="110" w:id="-1032152824"/>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4"/>
                <w14:textFill>
                  <w14:solidFill>
                    <w14:srgbClr w14:val="000000">
                      <w14:alpha w14:val="100000"/>
                    </w14:srgbClr>
                  </w14:solidFill>
                </w14:textFill>
              </w:rPr>
              <w:t xml:space="preserve">　</w:t>
            </w:r>
            <w:r>
              <w:t xml:space="preserve"> </w:t>
            </w:r>
            <w:r w:rsidR="00D43D7E" w:rsidRPr="000E3F99">
              <w:rPr>
                <w:vertAlign w:val="superscript"/>
              </w:rPr>
              <w:t>11</w:t>
            </w:r>
          </w:p>
        </w:tc>
        <w:tc>
          <w:tcPr>
            <w:tcW w:w="611" w:type="pct"/>
            <w:shd w:val="clear" w:color="auto" w:fill="auto"/>
            <w:vAlign w:val="center"/>
          </w:tcPr>
          <w:p w14:paraId="7AAD5BB4" w14:textId="39CEC362" w:rsidR="00826D3B" w:rsidRPr="00815267" w:rsidRDefault="003F73D9" w:rsidP="00DE0052">
            <w:pPr>
              <w:pStyle w:val="TableText0"/>
              <w:jc w:val="center"/>
            </w:pPr>
            <w:r w:rsidRPr="003F73D9">
              <w:rPr>
                <w:rFonts w:hint="eastAsia"/>
                <w:color w:val="000000"/>
                <w:w w:val="24"/>
                <w:shd w:val="solid" w:color="000000" w:fill="000000"/>
                <w:fitText w:val="110" w:id="-1032152823"/>
                <w14:textFill>
                  <w14:solidFill>
                    <w14:srgbClr w14:val="000000">
                      <w14:alpha w14:val="100000"/>
                    </w14:srgbClr>
                  </w14:solidFill>
                </w14:textFill>
              </w:rPr>
              <w:t xml:space="preserve">　</w:t>
            </w:r>
            <w:r w:rsidRPr="003F73D9">
              <w:rPr>
                <w:color w:val="000000"/>
                <w:w w:val="24"/>
                <w:shd w:val="solid" w:color="000000" w:fill="000000"/>
                <w:fitText w:val="110" w:id="-1032152823"/>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3"/>
                <w14:textFill>
                  <w14:solidFill>
                    <w14:srgbClr w14:val="000000">
                      <w14:alpha w14:val="100000"/>
                    </w14:srgbClr>
                  </w14:solidFill>
                </w14:textFill>
              </w:rPr>
              <w:t xml:space="preserve">　</w:t>
            </w:r>
            <w:r>
              <w:t xml:space="preserve"> </w:t>
            </w:r>
            <w:r w:rsidR="00D43D7E" w:rsidRPr="00815267">
              <w:rPr>
                <w:vertAlign w:val="superscript"/>
              </w:rPr>
              <w:t>11</w:t>
            </w:r>
          </w:p>
        </w:tc>
        <w:tc>
          <w:tcPr>
            <w:tcW w:w="611" w:type="pct"/>
            <w:shd w:val="clear" w:color="auto" w:fill="auto"/>
            <w:vAlign w:val="center"/>
          </w:tcPr>
          <w:p w14:paraId="67A4078B" w14:textId="48440784"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2"/>
                <w14:textFill>
                  <w14:solidFill>
                    <w14:srgbClr w14:val="000000">
                      <w14:alpha w14:val="100000"/>
                    </w14:srgbClr>
                  </w14:solidFill>
                </w14:textFill>
              </w:rPr>
              <w:t xml:space="preserve">　</w:t>
            </w:r>
            <w:r w:rsidRPr="003F73D9">
              <w:rPr>
                <w:color w:val="000000"/>
                <w:w w:val="24"/>
                <w:shd w:val="solid" w:color="000000" w:fill="000000"/>
                <w:fitText w:val="110" w:id="-1032152822"/>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2"/>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shd w:val="clear" w:color="auto" w:fill="auto"/>
            <w:vAlign w:val="center"/>
          </w:tcPr>
          <w:p w14:paraId="1AC242C7" w14:textId="74914134"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1"/>
                <w14:textFill>
                  <w14:solidFill>
                    <w14:srgbClr w14:val="000000">
                      <w14:alpha w14:val="100000"/>
                    </w14:srgbClr>
                  </w14:solidFill>
                </w14:textFill>
              </w:rPr>
              <w:t xml:space="preserve">　</w:t>
            </w:r>
            <w:r w:rsidRPr="003F73D9">
              <w:rPr>
                <w:color w:val="000000"/>
                <w:w w:val="24"/>
                <w:shd w:val="solid" w:color="000000" w:fill="000000"/>
                <w:fitText w:val="110" w:id="-1032152821"/>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1"/>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shd w:val="clear" w:color="auto" w:fill="auto"/>
            <w:vAlign w:val="center"/>
          </w:tcPr>
          <w:p w14:paraId="2988999F" w14:textId="2C3E6BD4"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0"/>
                <w14:textFill>
                  <w14:solidFill>
                    <w14:srgbClr w14:val="000000">
                      <w14:alpha w14:val="100000"/>
                    </w14:srgbClr>
                  </w14:solidFill>
                </w14:textFill>
              </w:rPr>
              <w:t xml:space="preserve">　</w:t>
            </w:r>
            <w:r w:rsidRPr="003F73D9">
              <w:rPr>
                <w:color w:val="000000"/>
                <w:w w:val="24"/>
                <w:shd w:val="solid" w:color="000000" w:fill="000000"/>
                <w:fitText w:val="110" w:id="-1032152820"/>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0"/>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vAlign w:val="center"/>
          </w:tcPr>
          <w:p w14:paraId="787A2D9E" w14:textId="74F2AD08"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19"/>
                <w14:textFill>
                  <w14:solidFill>
                    <w14:srgbClr w14:val="000000">
                      <w14:alpha w14:val="100000"/>
                    </w14:srgbClr>
                  </w14:solidFill>
                </w14:textFill>
              </w:rPr>
              <w:t xml:space="preserve">　</w:t>
            </w:r>
            <w:r w:rsidRPr="003F73D9">
              <w:rPr>
                <w:color w:val="000000"/>
                <w:w w:val="24"/>
                <w:shd w:val="solid" w:color="000000" w:fill="000000"/>
                <w:fitText w:val="110" w:id="-1032152819"/>
                <w14:textFill>
                  <w14:solidFill>
                    <w14:srgbClr w14:val="000000">
                      <w14:alpha w14:val="100000"/>
                    </w14:srgbClr>
                  </w14:solidFill>
                </w14:textFill>
              </w:rPr>
              <w:t>|</w:t>
            </w:r>
            <w:r w:rsidRPr="003F73D9">
              <w:rPr>
                <w:rFonts w:hint="eastAsia"/>
                <w:color w:val="000000"/>
                <w:spacing w:val="6"/>
                <w:w w:val="24"/>
                <w:shd w:val="solid" w:color="000000" w:fill="000000"/>
                <w:fitText w:val="110" w:id="-1032152819"/>
                <w14:textFill>
                  <w14:solidFill>
                    <w14:srgbClr w14:val="000000">
                      <w14:alpha w14:val="100000"/>
                    </w14:srgbClr>
                  </w14:solidFill>
                </w14:textFill>
              </w:rPr>
              <w:t xml:space="preserve">　</w:t>
            </w:r>
            <w:r>
              <w:t xml:space="preserve"> </w:t>
            </w:r>
            <w:r w:rsidR="00D43D7E" w:rsidRPr="0012527C">
              <w:rPr>
                <w:vertAlign w:val="superscript"/>
              </w:rPr>
              <w:t>11</w:t>
            </w:r>
          </w:p>
        </w:tc>
      </w:tr>
      <w:tr w:rsidR="00826D3B" w:rsidRPr="00C34520" w14:paraId="63D43AE1" w14:textId="77777777" w:rsidTr="00BD1F15">
        <w:tc>
          <w:tcPr>
            <w:tcW w:w="1334" w:type="pct"/>
            <w:shd w:val="clear" w:color="auto" w:fill="auto"/>
            <w:vAlign w:val="center"/>
          </w:tcPr>
          <w:p w14:paraId="46E0B88D" w14:textId="77777777" w:rsidR="00826D3B" w:rsidRPr="00C34520" w:rsidRDefault="00826D3B" w:rsidP="00DE0052">
            <w:pPr>
              <w:pStyle w:val="TableText0"/>
              <w:rPr>
                <w:rFonts w:ascii="Times" w:hAnsi="Times"/>
              </w:rPr>
            </w:pPr>
            <w:r w:rsidRPr="00C34520">
              <w:rPr>
                <w:sz w:val="19"/>
                <w:szCs w:val="19"/>
              </w:rPr>
              <w:t>Net cost to MBS</w:t>
            </w:r>
          </w:p>
        </w:tc>
        <w:tc>
          <w:tcPr>
            <w:tcW w:w="611" w:type="pct"/>
            <w:shd w:val="clear" w:color="auto" w:fill="auto"/>
            <w:vAlign w:val="center"/>
          </w:tcPr>
          <w:p w14:paraId="3614DF94" w14:textId="58F1FEF5" w:rsidR="00826D3B" w:rsidRPr="00815267" w:rsidRDefault="003F73D9" w:rsidP="00DE0052">
            <w:pPr>
              <w:pStyle w:val="TableText0"/>
              <w:jc w:val="center"/>
            </w:pPr>
            <w:r w:rsidRPr="003F73D9">
              <w:rPr>
                <w:rFonts w:hint="eastAsia"/>
                <w:color w:val="000000"/>
                <w:w w:val="24"/>
                <w:shd w:val="solid" w:color="000000" w:fill="000000"/>
                <w:fitText w:val="110" w:id="-1032152818"/>
                <w14:textFill>
                  <w14:solidFill>
                    <w14:srgbClr w14:val="000000">
                      <w14:alpha w14:val="100000"/>
                    </w14:srgbClr>
                  </w14:solidFill>
                </w14:textFill>
              </w:rPr>
              <w:t xml:space="preserve">　</w:t>
            </w:r>
            <w:r w:rsidRPr="003F73D9">
              <w:rPr>
                <w:color w:val="000000"/>
                <w:w w:val="24"/>
                <w:shd w:val="solid" w:color="000000" w:fill="000000"/>
                <w:fitText w:val="110" w:id="-1032152818"/>
                <w14:textFill>
                  <w14:solidFill>
                    <w14:srgbClr w14:val="000000">
                      <w14:alpha w14:val="100000"/>
                    </w14:srgbClr>
                  </w14:solidFill>
                </w14:textFill>
              </w:rPr>
              <w:t>|</w:t>
            </w:r>
            <w:r w:rsidRPr="003F73D9">
              <w:rPr>
                <w:rFonts w:hint="eastAsia"/>
                <w:color w:val="000000"/>
                <w:spacing w:val="6"/>
                <w:w w:val="24"/>
                <w:shd w:val="solid" w:color="000000" w:fill="000000"/>
                <w:fitText w:val="110" w:id="-1032152818"/>
                <w14:textFill>
                  <w14:solidFill>
                    <w14:srgbClr w14:val="000000">
                      <w14:alpha w14:val="100000"/>
                    </w14:srgbClr>
                  </w14:solidFill>
                </w14:textFill>
              </w:rPr>
              <w:t xml:space="preserve">　</w:t>
            </w:r>
            <w:r>
              <w:t xml:space="preserve"> </w:t>
            </w:r>
            <w:r w:rsidR="00BD1F15" w:rsidRPr="00815267">
              <w:rPr>
                <w:vertAlign w:val="superscript"/>
              </w:rPr>
              <w:t>11</w:t>
            </w:r>
          </w:p>
        </w:tc>
        <w:tc>
          <w:tcPr>
            <w:tcW w:w="611" w:type="pct"/>
            <w:shd w:val="clear" w:color="auto" w:fill="auto"/>
            <w:vAlign w:val="center"/>
          </w:tcPr>
          <w:p w14:paraId="59D1FFE3" w14:textId="2659CA0F" w:rsidR="00826D3B" w:rsidRPr="00815267" w:rsidRDefault="003F73D9" w:rsidP="00DE0052">
            <w:pPr>
              <w:pStyle w:val="TableText0"/>
              <w:jc w:val="center"/>
            </w:pPr>
            <w:r w:rsidRPr="003F73D9">
              <w:rPr>
                <w:rFonts w:hint="eastAsia"/>
                <w:color w:val="000000"/>
                <w:w w:val="24"/>
                <w:shd w:val="solid" w:color="000000" w:fill="000000"/>
                <w:fitText w:val="110" w:id="-1032152817"/>
                <w14:textFill>
                  <w14:solidFill>
                    <w14:srgbClr w14:val="000000">
                      <w14:alpha w14:val="100000"/>
                    </w14:srgbClr>
                  </w14:solidFill>
                </w14:textFill>
              </w:rPr>
              <w:t xml:space="preserve">　</w:t>
            </w:r>
            <w:r w:rsidRPr="003F73D9">
              <w:rPr>
                <w:color w:val="000000"/>
                <w:w w:val="24"/>
                <w:shd w:val="solid" w:color="000000" w:fill="000000"/>
                <w:fitText w:val="110" w:id="-1032152817"/>
                <w14:textFill>
                  <w14:solidFill>
                    <w14:srgbClr w14:val="000000">
                      <w14:alpha w14:val="100000"/>
                    </w14:srgbClr>
                  </w14:solidFill>
                </w14:textFill>
              </w:rPr>
              <w:t>|</w:t>
            </w:r>
            <w:r w:rsidRPr="003F73D9">
              <w:rPr>
                <w:rFonts w:hint="eastAsia"/>
                <w:color w:val="000000"/>
                <w:spacing w:val="6"/>
                <w:w w:val="24"/>
                <w:shd w:val="solid" w:color="000000" w:fill="000000"/>
                <w:fitText w:val="110" w:id="-1032152817"/>
                <w14:textFill>
                  <w14:solidFill>
                    <w14:srgbClr w14:val="000000">
                      <w14:alpha w14:val="100000"/>
                    </w14:srgbClr>
                  </w14:solidFill>
                </w14:textFill>
              </w:rPr>
              <w:t xml:space="preserve">　</w:t>
            </w:r>
            <w:r>
              <w:t xml:space="preserve"> </w:t>
            </w:r>
            <w:r w:rsidR="00D43D7E" w:rsidRPr="00815267">
              <w:rPr>
                <w:vertAlign w:val="superscript"/>
              </w:rPr>
              <w:t>11</w:t>
            </w:r>
          </w:p>
        </w:tc>
        <w:tc>
          <w:tcPr>
            <w:tcW w:w="611" w:type="pct"/>
            <w:shd w:val="clear" w:color="auto" w:fill="auto"/>
            <w:vAlign w:val="center"/>
          </w:tcPr>
          <w:p w14:paraId="6852A079" w14:textId="632C043D"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16"/>
                <w14:textFill>
                  <w14:solidFill>
                    <w14:srgbClr w14:val="000000">
                      <w14:alpha w14:val="100000"/>
                    </w14:srgbClr>
                  </w14:solidFill>
                </w14:textFill>
              </w:rPr>
              <w:t xml:space="preserve">　</w:t>
            </w:r>
            <w:r w:rsidRPr="003F73D9">
              <w:rPr>
                <w:color w:val="000000"/>
                <w:w w:val="24"/>
                <w:shd w:val="solid" w:color="000000" w:fill="000000"/>
                <w:fitText w:val="110" w:id="-1032152816"/>
                <w14:textFill>
                  <w14:solidFill>
                    <w14:srgbClr w14:val="000000">
                      <w14:alpha w14:val="100000"/>
                    </w14:srgbClr>
                  </w14:solidFill>
                </w14:textFill>
              </w:rPr>
              <w:t>|</w:t>
            </w:r>
            <w:r w:rsidRPr="003F73D9">
              <w:rPr>
                <w:rFonts w:hint="eastAsia"/>
                <w:color w:val="000000"/>
                <w:spacing w:val="6"/>
                <w:w w:val="24"/>
                <w:shd w:val="solid" w:color="000000" w:fill="000000"/>
                <w:fitText w:val="110" w:id="-1032152816"/>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shd w:val="clear" w:color="auto" w:fill="auto"/>
            <w:vAlign w:val="center"/>
          </w:tcPr>
          <w:p w14:paraId="44E32935" w14:textId="48633D91"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32"/>
                <w14:textFill>
                  <w14:solidFill>
                    <w14:srgbClr w14:val="000000">
                      <w14:alpha w14:val="100000"/>
                    </w14:srgbClr>
                  </w14:solidFill>
                </w14:textFill>
              </w:rPr>
              <w:t xml:space="preserve">　</w:t>
            </w:r>
            <w:r w:rsidRPr="003F73D9">
              <w:rPr>
                <w:color w:val="000000"/>
                <w:w w:val="24"/>
                <w:shd w:val="solid" w:color="000000" w:fill="000000"/>
                <w:fitText w:val="110" w:id="-1032152832"/>
                <w14:textFill>
                  <w14:solidFill>
                    <w14:srgbClr w14:val="000000">
                      <w14:alpha w14:val="100000"/>
                    </w14:srgbClr>
                  </w14:solidFill>
                </w14:textFill>
              </w:rPr>
              <w:t>|</w:t>
            </w:r>
            <w:r w:rsidRPr="003F73D9">
              <w:rPr>
                <w:rFonts w:hint="eastAsia"/>
                <w:color w:val="000000"/>
                <w:spacing w:val="6"/>
                <w:w w:val="24"/>
                <w:shd w:val="solid" w:color="000000" w:fill="000000"/>
                <w:fitText w:val="110" w:id="-1032152832"/>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shd w:val="clear" w:color="auto" w:fill="auto"/>
            <w:vAlign w:val="center"/>
          </w:tcPr>
          <w:p w14:paraId="59B0BBA1" w14:textId="27966B63"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31"/>
                <w14:textFill>
                  <w14:solidFill>
                    <w14:srgbClr w14:val="000000">
                      <w14:alpha w14:val="100000"/>
                    </w14:srgbClr>
                  </w14:solidFill>
                </w14:textFill>
              </w:rPr>
              <w:t xml:space="preserve">　</w:t>
            </w:r>
            <w:r w:rsidRPr="003F73D9">
              <w:rPr>
                <w:color w:val="000000"/>
                <w:w w:val="24"/>
                <w:shd w:val="solid" w:color="000000" w:fill="000000"/>
                <w:fitText w:val="110" w:id="-1032152831"/>
                <w14:textFill>
                  <w14:solidFill>
                    <w14:srgbClr w14:val="000000">
                      <w14:alpha w14:val="100000"/>
                    </w14:srgbClr>
                  </w14:solidFill>
                </w14:textFill>
              </w:rPr>
              <w:t>|</w:t>
            </w:r>
            <w:r w:rsidRPr="003F73D9">
              <w:rPr>
                <w:rFonts w:hint="eastAsia"/>
                <w:color w:val="000000"/>
                <w:spacing w:val="6"/>
                <w:w w:val="24"/>
                <w:shd w:val="solid" w:color="000000" w:fill="000000"/>
                <w:fitText w:val="110" w:id="-1032152831"/>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vAlign w:val="center"/>
          </w:tcPr>
          <w:p w14:paraId="6C1B0679" w14:textId="260398C4"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30"/>
                <w14:textFill>
                  <w14:solidFill>
                    <w14:srgbClr w14:val="000000">
                      <w14:alpha w14:val="100000"/>
                    </w14:srgbClr>
                  </w14:solidFill>
                </w14:textFill>
              </w:rPr>
              <w:t xml:space="preserve">　</w:t>
            </w:r>
            <w:r w:rsidRPr="003F73D9">
              <w:rPr>
                <w:color w:val="000000"/>
                <w:w w:val="24"/>
                <w:shd w:val="solid" w:color="000000" w:fill="000000"/>
                <w:fitText w:val="110" w:id="-1032152830"/>
                <w14:textFill>
                  <w14:solidFill>
                    <w14:srgbClr w14:val="000000">
                      <w14:alpha w14:val="100000"/>
                    </w14:srgbClr>
                  </w14:solidFill>
                </w14:textFill>
              </w:rPr>
              <w:t>|</w:t>
            </w:r>
            <w:r w:rsidRPr="003F73D9">
              <w:rPr>
                <w:rFonts w:hint="eastAsia"/>
                <w:color w:val="000000"/>
                <w:spacing w:val="6"/>
                <w:w w:val="24"/>
                <w:shd w:val="solid" w:color="000000" w:fill="000000"/>
                <w:fitText w:val="110" w:id="-1032152830"/>
                <w14:textFill>
                  <w14:solidFill>
                    <w14:srgbClr w14:val="000000">
                      <w14:alpha w14:val="100000"/>
                    </w14:srgbClr>
                  </w14:solidFill>
                </w14:textFill>
              </w:rPr>
              <w:t xml:space="preserve">　</w:t>
            </w:r>
            <w:r>
              <w:t xml:space="preserve"> </w:t>
            </w:r>
            <w:r w:rsidR="00D43D7E" w:rsidRPr="0012527C">
              <w:rPr>
                <w:vertAlign w:val="superscript"/>
              </w:rPr>
              <w:t>11</w:t>
            </w:r>
          </w:p>
        </w:tc>
      </w:tr>
      <w:tr w:rsidR="00826D3B" w:rsidRPr="00C34520" w14:paraId="7375849F" w14:textId="77777777" w:rsidTr="00BD1F15">
        <w:tc>
          <w:tcPr>
            <w:tcW w:w="1334" w:type="pct"/>
            <w:shd w:val="clear" w:color="auto" w:fill="auto"/>
            <w:vAlign w:val="center"/>
          </w:tcPr>
          <w:p w14:paraId="5FE3AB5E" w14:textId="77777777" w:rsidR="00826D3B" w:rsidRPr="00C34520" w:rsidRDefault="00826D3B" w:rsidP="00DE0052">
            <w:pPr>
              <w:pStyle w:val="TableText0"/>
              <w:rPr>
                <w:sz w:val="19"/>
                <w:szCs w:val="19"/>
              </w:rPr>
            </w:pPr>
            <w:r w:rsidRPr="00C34520">
              <w:rPr>
                <w:sz w:val="19"/>
                <w:szCs w:val="19"/>
              </w:rPr>
              <w:t>Net cost to Government</w:t>
            </w:r>
          </w:p>
        </w:tc>
        <w:tc>
          <w:tcPr>
            <w:tcW w:w="611" w:type="pct"/>
            <w:shd w:val="clear" w:color="auto" w:fill="auto"/>
            <w:vAlign w:val="center"/>
          </w:tcPr>
          <w:p w14:paraId="3C3228FD" w14:textId="68FA60FA" w:rsidR="00826D3B" w:rsidRPr="00815267" w:rsidRDefault="003F73D9" w:rsidP="00DE0052">
            <w:pPr>
              <w:pStyle w:val="TableText0"/>
              <w:jc w:val="center"/>
            </w:pPr>
            <w:r w:rsidRPr="003F73D9">
              <w:rPr>
                <w:rFonts w:hint="eastAsia"/>
                <w:color w:val="000000"/>
                <w:w w:val="24"/>
                <w:shd w:val="solid" w:color="000000" w:fill="000000"/>
                <w:fitText w:val="110" w:id="-1032152829"/>
                <w14:textFill>
                  <w14:solidFill>
                    <w14:srgbClr w14:val="000000">
                      <w14:alpha w14:val="100000"/>
                    </w14:srgbClr>
                  </w14:solidFill>
                </w14:textFill>
              </w:rPr>
              <w:t xml:space="preserve">　</w:t>
            </w:r>
            <w:r w:rsidRPr="003F73D9">
              <w:rPr>
                <w:color w:val="000000"/>
                <w:w w:val="24"/>
                <w:shd w:val="solid" w:color="000000" w:fill="000000"/>
                <w:fitText w:val="110" w:id="-1032152829"/>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9"/>
                <w14:textFill>
                  <w14:solidFill>
                    <w14:srgbClr w14:val="000000">
                      <w14:alpha w14:val="100000"/>
                    </w14:srgbClr>
                  </w14:solidFill>
                </w14:textFill>
              </w:rPr>
              <w:t xml:space="preserve">　</w:t>
            </w:r>
            <w:r>
              <w:t xml:space="preserve"> </w:t>
            </w:r>
            <w:r w:rsidR="00BD1F15" w:rsidRPr="000E3F99">
              <w:rPr>
                <w:vertAlign w:val="superscript"/>
              </w:rPr>
              <w:t>11</w:t>
            </w:r>
          </w:p>
        </w:tc>
        <w:tc>
          <w:tcPr>
            <w:tcW w:w="611" w:type="pct"/>
            <w:shd w:val="clear" w:color="auto" w:fill="auto"/>
            <w:vAlign w:val="center"/>
          </w:tcPr>
          <w:p w14:paraId="6B5B44B4" w14:textId="20F5D8CE" w:rsidR="00826D3B" w:rsidRPr="00815267" w:rsidRDefault="003F73D9" w:rsidP="00DE0052">
            <w:pPr>
              <w:pStyle w:val="TableText0"/>
              <w:jc w:val="center"/>
            </w:pPr>
            <w:r w:rsidRPr="003F73D9">
              <w:rPr>
                <w:rFonts w:hint="eastAsia"/>
                <w:color w:val="000000"/>
                <w:w w:val="24"/>
                <w:shd w:val="solid" w:color="000000" w:fill="000000"/>
                <w:fitText w:val="110" w:id="-1032152828"/>
                <w14:textFill>
                  <w14:solidFill>
                    <w14:srgbClr w14:val="000000">
                      <w14:alpha w14:val="100000"/>
                    </w14:srgbClr>
                  </w14:solidFill>
                </w14:textFill>
              </w:rPr>
              <w:t xml:space="preserve">　</w:t>
            </w:r>
            <w:r w:rsidRPr="003F73D9">
              <w:rPr>
                <w:color w:val="000000"/>
                <w:w w:val="24"/>
                <w:shd w:val="solid" w:color="000000" w:fill="000000"/>
                <w:fitText w:val="110" w:id="-1032152828"/>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8"/>
                <w14:textFill>
                  <w14:solidFill>
                    <w14:srgbClr w14:val="000000">
                      <w14:alpha w14:val="100000"/>
                    </w14:srgbClr>
                  </w14:solidFill>
                </w14:textFill>
              </w:rPr>
              <w:t xml:space="preserve">　</w:t>
            </w:r>
            <w:r>
              <w:t xml:space="preserve"> </w:t>
            </w:r>
            <w:r w:rsidR="00D43D7E" w:rsidRPr="00815267">
              <w:rPr>
                <w:vertAlign w:val="superscript"/>
              </w:rPr>
              <w:t>11</w:t>
            </w:r>
          </w:p>
        </w:tc>
        <w:tc>
          <w:tcPr>
            <w:tcW w:w="611" w:type="pct"/>
            <w:shd w:val="clear" w:color="auto" w:fill="auto"/>
            <w:vAlign w:val="center"/>
          </w:tcPr>
          <w:p w14:paraId="2767A295" w14:textId="2FF3A109"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7"/>
                <w14:textFill>
                  <w14:solidFill>
                    <w14:srgbClr w14:val="000000">
                      <w14:alpha w14:val="100000"/>
                    </w14:srgbClr>
                  </w14:solidFill>
                </w14:textFill>
              </w:rPr>
              <w:t xml:space="preserve">　</w:t>
            </w:r>
            <w:r w:rsidRPr="003F73D9">
              <w:rPr>
                <w:color w:val="000000"/>
                <w:w w:val="24"/>
                <w:shd w:val="solid" w:color="000000" w:fill="000000"/>
                <w:fitText w:val="110" w:id="-1032152827"/>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7"/>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shd w:val="clear" w:color="auto" w:fill="auto"/>
            <w:vAlign w:val="center"/>
          </w:tcPr>
          <w:p w14:paraId="4DD4E4E7" w14:textId="5ED7DB64"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6"/>
                <w14:textFill>
                  <w14:solidFill>
                    <w14:srgbClr w14:val="000000">
                      <w14:alpha w14:val="100000"/>
                    </w14:srgbClr>
                  </w14:solidFill>
                </w14:textFill>
              </w:rPr>
              <w:t xml:space="preserve">　</w:t>
            </w:r>
            <w:r w:rsidRPr="003F73D9">
              <w:rPr>
                <w:color w:val="000000"/>
                <w:w w:val="24"/>
                <w:shd w:val="solid" w:color="000000" w:fill="000000"/>
                <w:fitText w:val="110" w:id="-1032152826"/>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6"/>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shd w:val="clear" w:color="auto" w:fill="auto"/>
            <w:vAlign w:val="center"/>
          </w:tcPr>
          <w:p w14:paraId="7B5E4349" w14:textId="1BF118CB"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5"/>
                <w14:textFill>
                  <w14:solidFill>
                    <w14:srgbClr w14:val="000000">
                      <w14:alpha w14:val="100000"/>
                    </w14:srgbClr>
                  </w14:solidFill>
                </w14:textFill>
              </w:rPr>
              <w:t xml:space="preserve">　</w:t>
            </w:r>
            <w:r w:rsidRPr="003F73D9">
              <w:rPr>
                <w:color w:val="000000"/>
                <w:w w:val="24"/>
                <w:shd w:val="solid" w:color="000000" w:fill="000000"/>
                <w:fitText w:val="110" w:id="-1032152825"/>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5"/>
                <w14:textFill>
                  <w14:solidFill>
                    <w14:srgbClr w14:val="000000">
                      <w14:alpha w14:val="100000"/>
                    </w14:srgbClr>
                  </w14:solidFill>
                </w14:textFill>
              </w:rPr>
              <w:t xml:space="preserve">　</w:t>
            </w:r>
            <w:r>
              <w:t xml:space="preserve"> </w:t>
            </w:r>
            <w:r w:rsidR="00D43D7E" w:rsidRPr="0012527C">
              <w:rPr>
                <w:vertAlign w:val="superscript"/>
              </w:rPr>
              <w:t>11</w:t>
            </w:r>
          </w:p>
        </w:tc>
        <w:tc>
          <w:tcPr>
            <w:tcW w:w="611" w:type="pct"/>
            <w:vAlign w:val="center"/>
          </w:tcPr>
          <w:p w14:paraId="6A4851C3" w14:textId="3E2BAAE6" w:rsidR="00826D3B" w:rsidRPr="000E3F99" w:rsidRDefault="003F73D9" w:rsidP="00DE0052">
            <w:pPr>
              <w:pStyle w:val="TableText0"/>
              <w:jc w:val="center"/>
              <w:rPr>
                <w:highlight w:val="darkGray"/>
              </w:rPr>
            </w:pPr>
            <w:r w:rsidRPr="003F73D9">
              <w:rPr>
                <w:rFonts w:hint="eastAsia"/>
                <w:color w:val="000000"/>
                <w:w w:val="24"/>
                <w:shd w:val="solid" w:color="000000" w:fill="000000"/>
                <w:fitText w:val="110" w:id="-1032152824"/>
                <w14:textFill>
                  <w14:solidFill>
                    <w14:srgbClr w14:val="000000">
                      <w14:alpha w14:val="100000"/>
                    </w14:srgbClr>
                  </w14:solidFill>
                </w14:textFill>
              </w:rPr>
              <w:t xml:space="preserve">　</w:t>
            </w:r>
            <w:r w:rsidRPr="003F73D9">
              <w:rPr>
                <w:color w:val="000000"/>
                <w:w w:val="24"/>
                <w:shd w:val="solid" w:color="000000" w:fill="000000"/>
                <w:fitText w:val="110" w:id="-1032152824"/>
                <w14:textFill>
                  <w14:solidFill>
                    <w14:srgbClr w14:val="000000">
                      <w14:alpha w14:val="100000"/>
                    </w14:srgbClr>
                  </w14:solidFill>
                </w14:textFill>
              </w:rPr>
              <w:t>|</w:t>
            </w:r>
            <w:r w:rsidRPr="003F73D9">
              <w:rPr>
                <w:rFonts w:hint="eastAsia"/>
                <w:color w:val="000000"/>
                <w:spacing w:val="6"/>
                <w:w w:val="24"/>
                <w:shd w:val="solid" w:color="000000" w:fill="000000"/>
                <w:fitText w:val="110" w:id="-1032152824"/>
                <w14:textFill>
                  <w14:solidFill>
                    <w14:srgbClr w14:val="000000">
                      <w14:alpha w14:val="100000"/>
                    </w14:srgbClr>
                  </w14:solidFill>
                </w14:textFill>
              </w:rPr>
              <w:t xml:space="preserve">　</w:t>
            </w:r>
            <w:r>
              <w:t xml:space="preserve"> </w:t>
            </w:r>
            <w:r w:rsidR="00D43D7E" w:rsidRPr="0012527C">
              <w:rPr>
                <w:vertAlign w:val="superscript"/>
              </w:rPr>
              <w:t>11</w:t>
            </w:r>
          </w:p>
        </w:tc>
      </w:tr>
    </w:tbl>
    <w:p w14:paraId="7E6DBF58" w14:textId="77777777" w:rsidR="00826D3B" w:rsidRPr="00C34520" w:rsidRDefault="00826D3B" w:rsidP="00826D3B">
      <w:pPr>
        <w:pStyle w:val="FooterTableFigure"/>
      </w:pPr>
      <w:r w:rsidRPr="00C34520">
        <w:t>Source: Tables 4.2.4, 4.2.5, 4.3.3 &amp; 4.4.1, pp341-342, 344 &amp; 346-347 of the submission; Sheets ‘3a. Scripts – proposed and 4a. Scripts – affected’ of the Section 4 workbook.</w:t>
      </w:r>
    </w:p>
    <w:p w14:paraId="53528F46" w14:textId="77777777" w:rsidR="00826D3B" w:rsidRPr="00C34520" w:rsidRDefault="00826D3B" w:rsidP="00826D3B">
      <w:pPr>
        <w:pStyle w:val="FooterTableFigure"/>
        <w:rPr>
          <w:rStyle w:val="CommentReference"/>
        </w:rPr>
      </w:pPr>
      <w:r w:rsidRPr="00C34520">
        <w:t>13vPCV = 13 valent pneumococcal conjugate vaccine; 15vPCV = 15 valent pneumococcal conjugate vaccine; 20vPCV = 20 valent pneumococcal conjugate vaccine; MBS = Medicare Benefits Schedule; NIP = National Immunisation Program.</w:t>
      </w:r>
    </w:p>
    <w:p w14:paraId="214F5775" w14:textId="77777777" w:rsidR="00826D3B" w:rsidRPr="00C34520" w:rsidRDefault="00826D3B" w:rsidP="00826D3B">
      <w:pPr>
        <w:pStyle w:val="FooterTableFigure"/>
      </w:pPr>
      <w:proofErr w:type="gramStart"/>
      <w:r w:rsidRPr="00C34520">
        <w:rPr>
          <w:vertAlign w:val="superscript"/>
        </w:rPr>
        <w:t>a</w:t>
      </w:r>
      <w:proofErr w:type="gramEnd"/>
      <w:r w:rsidRPr="00C34520">
        <w:t xml:space="preserve"> Assuming two infant vaccines per patient as estimated by the submission.</w:t>
      </w:r>
    </w:p>
    <w:p w14:paraId="7BDAF3F9" w14:textId="77777777" w:rsidR="00826D3B" w:rsidRPr="00C34520" w:rsidRDefault="00826D3B" w:rsidP="00826D3B">
      <w:pPr>
        <w:pStyle w:val="FooterTableFigure"/>
      </w:pPr>
      <w:r w:rsidRPr="00C34520">
        <w:rPr>
          <w:vertAlign w:val="superscript"/>
        </w:rPr>
        <w:t>b</w:t>
      </w:r>
      <w:r w:rsidRPr="00C34520">
        <w:t xml:space="preserve"> Assuming one toddler vaccine per patient as estimated by the submission.</w:t>
      </w:r>
    </w:p>
    <w:p w14:paraId="19CE9ACF" w14:textId="77777777" w:rsidR="00826D3B" w:rsidRPr="00C34520" w:rsidRDefault="00826D3B" w:rsidP="00826D3B">
      <w:pPr>
        <w:pStyle w:val="FooterTableFigure"/>
      </w:pPr>
      <w:r w:rsidRPr="00C34520">
        <w:rPr>
          <w:vertAlign w:val="superscript"/>
        </w:rPr>
        <w:t>c</w:t>
      </w:r>
      <w:r w:rsidRPr="00C34520">
        <w:t xml:space="preserve"> Assuming three infant vaccine per patient as estimated by the submission.</w:t>
      </w:r>
    </w:p>
    <w:p w14:paraId="2615BAB6" w14:textId="1EBE9238" w:rsidR="00826D3B" w:rsidRDefault="00826D3B" w:rsidP="00826D3B">
      <w:pPr>
        <w:pStyle w:val="FooterTableFigure"/>
      </w:pPr>
      <w:r w:rsidRPr="00C34520">
        <w:rPr>
          <w:vertAlign w:val="superscript"/>
        </w:rPr>
        <w:t>d</w:t>
      </w:r>
      <w:r w:rsidRPr="00C34520">
        <w:t xml:space="preserve"> Assuming one additional vaccine for patients with an NIP-funded risk condition.</w:t>
      </w:r>
    </w:p>
    <w:p w14:paraId="24E1BFDC" w14:textId="77777777" w:rsidR="00DB524F" w:rsidRPr="00DB524F" w:rsidRDefault="00DB524F" w:rsidP="000E3F99">
      <w:pPr>
        <w:pStyle w:val="FooterTableFigure"/>
        <w:spacing w:after="0"/>
        <w:rPr>
          <w:bCs/>
          <w:i/>
          <w:iCs/>
        </w:rPr>
      </w:pPr>
      <w:r w:rsidRPr="00DB524F">
        <w:rPr>
          <w:bCs/>
          <w:i/>
          <w:iCs/>
        </w:rPr>
        <w:t>The redacted values correspond to the following ranges:</w:t>
      </w:r>
    </w:p>
    <w:p w14:paraId="18DDC868" w14:textId="42F8AF41" w:rsidR="00DB524F" w:rsidRPr="000E3F99" w:rsidRDefault="00DB524F"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1</w:t>
      </w:r>
      <w:r w:rsidRPr="000E3F99">
        <w:rPr>
          <w:rFonts w:ascii="Arial Narrow" w:hAnsi="Arial Narrow"/>
          <w:bCs/>
          <w:i/>
          <w:iCs/>
          <w:snapToGrid w:val="0"/>
          <w:sz w:val="18"/>
          <w:szCs w:val="22"/>
        </w:rPr>
        <w:t xml:space="preserve"> 500 to &lt; 5,000</w:t>
      </w:r>
    </w:p>
    <w:p w14:paraId="0F5DED84" w14:textId="31C8D3CA" w:rsidR="00DB524F" w:rsidRPr="000E3F99" w:rsidRDefault="00DB524F"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2</w:t>
      </w:r>
      <w:r w:rsidRPr="000E3F99">
        <w:rPr>
          <w:rFonts w:ascii="Arial Narrow" w:hAnsi="Arial Narrow"/>
          <w:bCs/>
          <w:i/>
          <w:iCs/>
          <w:snapToGrid w:val="0"/>
          <w:sz w:val="18"/>
          <w:szCs w:val="22"/>
        </w:rPr>
        <w:t xml:space="preserve"> 5,000 to &lt; 10,000</w:t>
      </w:r>
    </w:p>
    <w:p w14:paraId="216D891E" w14:textId="65D0E256" w:rsidR="00DB524F" w:rsidRPr="000E3F99" w:rsidRDefault="0095593D"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3</w:t>
      </w:r>
      <w:r w:rsidRPr="000E3F99">
        <w:rPr>
          <w:rFonts w:ascii="Arial Narrow" w:hAnsi="Arial Narrow"/>
          <w:bCs/>
          <w:i/>
          <w:iCs/>
          <w:snapToGrid w:val="0"/>
          <w:sz w:val="18"/>
          <w:szCs w:val="22"/>
        </w:rPr>
        <w:t xml:space="preserve"> </w:t>
      </w:r>
      <w:r w:rsidR="00DB524F" w:rsidRPr="000E3F99">
        <w:rPr>
          <w:rFonts w:ascii="Arial Narrow" w:hAnsi="Arial Narrow"/>
          <w:bCs/>
          <w:i/>
          <w:iCs/>
          <w:snapToGrid w:val="0"/>
          <w:sz w:val="18"/>
          <w:szCs w:val="22"/>
        </w:rPr>
        <w:t>10,000 to &lt; 20,000</w:t>
      </w:r>
    </w:p>
    <w:p w14:paraId="0232052A" w14:textId="03B437CF" w:rsidR="00DB524F" w:rsidRPr="000E3F99" w:rsidRDefault="0095593D"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 xml:space="preserve">4 </w:t>
      </w:r>
      <w:r w:rsidR="00DB524F" w:rsidRPr="000E3F99">
        <w:rPr>
          <w:rFonts w:ascii="Arial Narrow" w:hAnsi="Arial Narrow"/>
          <w:bCs/>
          <w:i/>
          <w:iCs/>
          <w:snapToGrid w:val="0"/>
          <w:sz w:val="18"/>
          <w:szCs w:val="22"/>
        </w:rPr>
        <w:t>20,000 to &lt; 30,000</w:t>
      </w:r>
    </w:p>
    <w:p w14:paraId="53FCD7C0" w14:textId="634A5023" w:rsidR="00DB524F" w:rsidRPr="000E3F99" w:rsidRDefault="0095593D"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5</w:t>
      </w:r>
      <w:r w:rsidRPr="000E3F99">
        <w:rPr>
          <w:rFonts w:ascii="Arial Narrow" w:hAnsi="Arial Narrow"/>
          <w:bCs/>
          <w:i/>
          <w:iCs/>
          <w:snapToGrid w:val="0"/>
          <w:sz w:val="18"/>
          <w:szCs w:val="22"/>
        </w:rPr>
        <w:t xml:space="preserve"> </w:t>
      </w:r>
      <w:r w:rsidR="00DB524F" w:rsidRPr="000E3F99">
        <w:rPr>
          <w:rFonts w:ascii="Arial Narrow" w:hAnsi="Arial Narrow"/>
          <w:bCs/>
          <w:i/>
          <w:iCs/>
          <w:snapToGrid w:val="0"/>
          <w:sz w:val="18"/>
          <w:szCs w:val="22"/>
        </w:rPr>
        <w:t>30,000 to &lt; 40,000</w:t>
      </w:r>
    </w:p>
    <w:p w14:paraId="50ECA3C6" w14:textId="3D7C4096" w:rsidR="00DB524F" w:rsidRPr="000E3F99" w:rsidRDefault="0095593D"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6</w:t>
      </w:r>
      <w:r w:rsidRPr="000E3F99">
        <w:rPr>
          <w:rFonts w:ascii="Arial Narrow" w:hAnsi="Arial Narrow"/>
          <w:bCs/>
          <w:i/>
          <w:iCs/>
          <w:snapToGrid w:val="0"/>
          <w:sz w:val="18"/>
          <w:szCs w:val="22"/>
        </w:rPr>
        <w:t xml:space="preserve"> </w:t>
      </w:r>
      <w:r w:rsidR="00DB524F" w:rsidRPr="000E3F99">
        <w:rPr>
          <w:rFonts w:ascii="Arial Narrow" w:hAnsi="Arial Narrow"/>
          <w:bCs/>
          <w:i/>
          <w:iCs/>
          <w:snapToGrid w:val="0"/>
          <w:sz w:val="18"/>
          <w:szCs w:val="22"/>
        </w:rPr>
        <w:t>300,000 to &lt; 400,000</w:t>
      </w:r>
    </w:p>
    <w:p w14:paraId="5741E68A" w14:textId="2810E659" w:rsidR="00DB524F" w:rsidRPr="000E3F99" w:rsidRDefault="00536805"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7</w:t>
      </w:r>
      <w:r w:rsidRPr="000E3F99">
        <w:rPr>
          <w:rFonts w:ascii="Arial Narrow" w:hAnsi="Arial Narrow"/>
          <w:bCs/>
          <w:i/>
          <w:iCs/>
          <w:snapToGrid w:val="0"/>
          <w:sz w:val="18"/>
          <w:szCs w:val="22"/>
        </w:rPr>
        <w:t xml:space="preserve"> </w:t>
      </w:r>
      <w:r w:rsidR="00DB524F" w:rsidRPr="000E3F99">
        <w:rPr>
          <w:rFonts w:ascii="Arial Narrow" w:hAnsi="Arial Narrow"/>
          <w:bCs/>
          <w:i/>
          <w:iCs/>
          <w:snapToGrid w:val="0"/>
          <w:sz w:val="18"/>
          <w:szCs w:val="22"/>
        </w:rPr>
        <w:t>600,000 to &lt; 700,000</w:t>
      </w:r>
    </w:p>
    <w:p w14:paraId="008EE3C1" w14:textId="0468EA18" w:rsidR="00DB524F" w:rsidRPr="000E3F99" w:rsidRDefault="00536805" w:rsidP="00DB524F">
      <w:pPr>
        <w:ind w:right="147"/>
        <w:rPr>
          <w:rFonts w:ascii="Arial Narrow" w:hAnsi="Arial Narrow"/>
          <w:bCs/>
          <w:i/>
          <w:iCs/>
          <w:snapToGrid w:val="0"/>
          <w:sz w:val="18"/>
          <w:szCs w:val="22"/>
        </w:rPr>
      </w:pPr>
      <w:r w:rsidRPr="000E3F99">
        <w:rPr>
          <w:rFonts w:ascii="Arial Narrow" w:hAnsi="Arial Narrow"/>
          <w:bCs/>
          <w:i/>
          <w:iCs/>
          <w:snapToGrid w:val="0"/>
          <w:sz w:val="18"/>
          <w:szCs w:val="22"/>
          <w:vertAlign w:val="superscript"/>
        </w:rPr>
        <w:t>8</w:t>
      </w:r>
      <w:r w:rsidRPr="000E3F99">
        <w:rPr>
          <w:rFonts w:ascii="Arial Narrow" w:hAnsi="Arial Narrow"/>
          <w:bCs/>
          <w:i/>
          <w:iCs/>
          <w:snapToGrid w:val="0"/>
          <w:sz w:val="18"/>
          <w:szCs w:val="22"/>
        </w:rPr>
        <w:t xml:space="preserve"> </w:t>
      </w:r>
      <w:r w:rsidR="00DB524F" w:rsidRPr="000E3F99">
        <w:rPr>
          <w:rFonts w:ascii="Arial Narrow" w:hAnsi="Arial Narrow"/>
          <w:bCs/>
          <w:i/>
          <w:iCs/>
          <w:snapToGrid w:val="0"/>
          <w:sz w:val="18"/>
          <w:szCs w:val="22"/>
        </w:rPr>
        <w:t>1,000,000 to &lt; 2,000,000</w:t>
      </w:r>
    </w:p>
    <w:p w14:paraId="1C612403" w14:textId="2D7AD34C" w:rsidR="00536805" w:rsidRDefault="00536805" w:rsidP="00536805">
      <w:pPr>
        <w:ind w:right="150"/>
        <w:rPr>
          <w:rFonts w:ascii="Arial Narrow" w:hAnsi="Arial Narrow"/>
          <w:bCs/>
          <w:i/>
          <w:iCs/>
          <w:snapToGrid w:val="0"/>
          <w:sz w:val="18"/>
          <w:szCs w:val="22"/>
        </w:rPr>
      </w:pPr>
      <w:r w:rsidRPr="000E3F99">
        <w:rPr>
          <w:rFonts w:ascii="Arial Narrow" w:hAnsi="Arial Narrow"/>
          <w:bCs/>
          <w:i/>
          <w:iCs/>
          <w:snapToGrid w:val="0"/>
          <w:sz w:val="18"/>
          <w:szCs w:val="22"/>
          <w:vertAlign w:val="superscript"/>
        </w:rPr>
        <w:t>9</w:t>
      </w:r>
      <w:r w:rsidRPr="000E3F99">
        <w:rPr>
          <w:rFonts w:ascii="Arial Narrow" w:hAnsi="Arial Narrow"/>
          <w:bCs/>
          <w:i/>
          <w:iCs/>
          <w:snapToGrid w:val="0"/>
          <w:sz w:val="18"/>
          <w:szCs w:val="22"/>
        </w:rPr>
        <w:t xml:space="preserve"> $80 million to &lt; $90 million</w:t>
      </w:r>
    </w:p>
    <w:p w14:paraId="36B420A9" w14:textId="7B6EC423" w:rsidR="0042716D" w:rsidRPr="0042716D" w:rsidRDefault="0042716D" w:rsidP="0042716D">
      <w:pPr>
        <w:ind w:right="150"/>
        <w:rPr>
          <w:rFonts w:ascii="Arial Narrow" w:hAnsi="Arial Narrow"/>
          <w:bCs/>
          <w:i/>
          <w:iCs/>
          <w:snapToGrid w:val="0"/>
          <w:sz w:val="18"/>
          <w:szCs w:val="22"/>
        </w:rPr>
      </w:pPr>
      <w:r w:rsidRPr="000E3F99">
        <w:rPr>
          <w:rFonts w:ascii="Arial Narrow" w:hAnsi="Arial Narrow"/>
          <w:bCs/>
          <w:i/>
          <w:iCs/>
          <w:snapToGrid w:val="0"/>
          <w:sz w:val="18"/>
          <w:szCs w:val="22"/>
          <w:vertAlign w:val="superscript"/>
        </w:rPr>
        <w:t>10</w:t>
      </w:r>
      <w:r>
        <w:rPr>
          <w:rFonts w:ascii="Arial Narrow" w:hAnsi="Arial Narrow"/>
          <w:bCs/>
          <w:i/>
          <w:iCs/>
          <w:snapToGrid w:val="0"/>
          <w:sz w:val="18"/>
          <w:szCs w:val="22"/>
        </w:rPr>
        <w:t xml:space="preserve"> </w:t>
      </w:r>
      <w:r w:rsidRPr="0042716D">
        <w:rPr>
          <w:rFonts w:ascii="Arial Narrow" w:hAnsi="Arial Narrow"/>
          <w:bCs/>
          <w:i/>
          <w:iCs/>
          <w:snapToGrid w:val="0"/>
          <w:sz w:val="18"/>
          <w:szCs w:val="22"/>
        </w:rPr>
        <w:t>net cost saving</w:t>
      </w:r>
    </w:p>
    <w:p w14:paraId="715D9802" w14:textId="2FDD4C85" w:rsidR="0042716D" w:rsidRPr="0012527C" w:rsidRDefault="0012527C" w:rsidP="000E3F99">
      <w:pPr>
        <w:spacing w:after="120"/>
        <w:ind w:right="150"/>
        <w:rPr>
          <w:rFonts w:ascii="Arial Narrow" w:hAnsi="Arial Narrow"/>
          <w:bCs/>
          <w:i/>
          <w:iCs/>
          <w:snapToGrid w:val="0"/>
          <w:sz w:val="18"/>
          <w:szCs w:val="22"/>
        </w:rPr>
      </w:pPr>
      <w:r w:rsidRPr="000E3F99">
        <w:rPr>
          <w:rFonts w:ascii="Arial Narrow" w:hAnsi="Arial Narrow"/>
          <w:bCs/>
          <w:i/>
          <w:iCs/>
          <w:snapToGrid w:val="0"/>
          <w:sz w:val="18"/>
          <w:szCs w:val="22"/>
          <w:vertAlign w:val="superscript"/>
        </w:rPr>
        <w:t xml:space="preserve">11 </w:t>
      </w:r>
      <w:r w:rsidRPr="0012527C">
        <w:rPr>
          <w:rFonts w:ascii="Arial Narrow" w:hAnsi="Arial Narrow"/>
          <w:bCs/>
          <w:i/>
          <w:iCs/>
          <w:snapToGrid w:val="0"/>
          <w:sz w:val="18"/>
          <w:szCs w:val="22"/>
        </w:rPr>
        <w:t>$0 to &lt; $</w:t>
      </w:r>
      <w:r w:rsidR="00BD08E7">
        <w:rPr>
          <w:rFonts w:ascii="Arial Narrow" w:hAnsi="Arial Narrow"/>
          <w:bCs/>
          <w:i/>
          <w:iCs/>
          <w:snapToGrid w:val="0"/>
          <w:sz w:val="18"/>
          <w:szCs w:val="22"/>
        </w:rPr>
        <w:t>1</w:t>
      </w:r>
      <w:r w:rsidR="00BD08E7" w:rsidRPr="00D70CAC">
        <w:rPr>
          <w:rFonts w:ascii="Arial Narrow" w:hAnsi="Arial Narrow"/>
          <w:bCs/>
          <w:i/>
          <w:iCs/>
          <w:snapToGrid w:val="0"/>
          <w:sz w:val="18"/>
          <w:szCs w:val="22"/>
        </w:rPr>
        <w:t>0 million</w:t>
      </w:r>
    </w:p>
    <w:p w14:paraId="2AA8A4D8" w14:textId="644AF670" w:rsidR="00826D3B" w:rsidRPr="00D15D0C" w:rsidRDefault="00826D3B" w:rsidP="00F625A4">
      <w:pPr>
        <w:pStyle w:val="3-BodyText"/>
      </w:pPr>
      <w:r w:rsidRPr="00D15D0C">
        <w:t xml:space="preserve">Populations 1A and 1B represent the same patient population (2+1 schedule in </w:t>
      </w:r>
      <w:r w:rsidR="00717C91" w:rsidRPr="00D15D0C">
        <w:t>children aged 12 months or younger</w:t>
      </w:r>
      <w:r w:rsidR="00717C91" w:rsidRPr="00D15D0C" w:rsidDel="00717C91">
        <w:t xml:space="preserve"> </w:t>
      </w:r>
      <w:r w:rsidRPr="00D15D0C">
        <w:t xml:space="preserve">in NSW, VIC, ACT, and TAS, and non-Indigenous </w:t>
      </w:r>
      <w:r w:rsidR="00717C91" w:rsidRPr="00D15D0C">
        <w:t>children aged 12 months or younger</w:t>
      </w:r>
      <w:r w:rsidR="00717C91" w:rsidRPr="00D15D0C" w:rsidDel="00717C91">
        <w:t xml:space="preserve"> </w:t>
      </w:r>
      <w:r w:rsidRPr="00D15D0C">
        <w:t xml:space="preserve">QLD, NT, WA, and SA). However, Population 1B </w:t>
      </w:r>
      <w:r w:rsidRPr="00D15D0C">
        <w:lastRenderedPageBreak/>
        <w:t>had more patients during Year 2</w:t>
      </w:r>
      <w:r w:rsidR="006134DF" w:rsidRPr="00D15D0C">
        <w:t xml:space="preserve"> and beyond</w:t>
      </w:r>
      <w:r w:rsidRPr="00D15D0C">
        <w:t xml:space="preserve"> than existed in Population 1A during Year 1</w:t>
      </w:r>
      <w:r w:rsidR="006134DF" w:rsidRPr="00D15D0C">
        <w:t xml:space="preserve"> and beyond</w:t>
      </w:r>
      <w:r w:rsidRPr="00D15D0C">
        <w:t xml:space="preserve">. This was due to the way patient cohorts were estimated </w:t>
      </w:r>
      <w:r w:rsidRPr="00C874D6">
        <w:t xml:space="preserve">(see Paragraphs </w:t>
      </w:r>
      <w:r w:rsidR="002F776D" w:rsidRPr="00C874D6">
        <w:fldChar w:fldCharType="begin"/>
      </w:r>
      <w:r w:rsidR="002F776D" w:rsidRPr="00C874D6">
        <w:instrText xml:space="preserve"> REF _Ref143095967 \r \h </w:instrText>
      </w:r>
      <w:r w:rsidR="00D15D0C" w:rsidRPr="00C874D6">
        <w:instrText xml:space="preserve"> \* MERGEFORMAT </w:instrText>
      </w:r>
      <w:r w:rsidR="002F776D" w:rsidRPr="00C874D6">
        <w:fldChar w:fldCharType="separate"/>
      </w:r>
      <w:r w:rsidR="009523CC">
        <w:t>6.58</w:t>
      </w:r>
      <w:r w:rsidR="002F776D" w:rsidRPr="00C874D6">
        <w:fldChar w:fldCharType="end"/>
      </w:r>
      <w:r w:rsidRPr="00C874D6">
        <w:t xml:space="preserve"> and </w:t>
      </w:r>
      <w:r w:rsidR="002F776D" w:rsidRPr="00C874D6">
        <w:fldChar w:fldCharType="begin"/>
      </w:r>
      <w:r w:rsidR="002F776D" w:rsidRPr="00C874D6">
        <w:instrText xml:space="preserve"> REF _Ref145345952 \r \h </w:instrText>
      </w:r>
      <w:r w:rsidR="00D15D0C" w:rsidRPr="00C874D6">
        <w:instrText xml:space="preserve"> \* MERGEFORMAT </w:instrText>
      </w:r>
      <w:r w:rsidR="002F776D" w:rsidRPr="00C874D6">
        <w:fldChar w:fldCharType="separate"/>
      </w:r>
      <w:r w:rsidR="009523CC">
        <w:t>6.59</w:t>
      </w:r>
      <w:r w:rsidR="002F776D" w:rsidRPr="00C874D6">
        <w:fldChar w:fldCharType="end"/>
      </w:r>
      <w:r w:rsidRPr="00C874D6">
        <w:t xml:space="preserve"> for further detail).</w:t>
      </w:r>
      <w:r w:rsidRPr="00D15D0C">
        <w:t xml:space="preserve"> </w:t>
      </w:r>
    </w:p>
    <w:p w14:paraId="22C8CC4F" w14:textId="28569751" w:rsidR="00826D3B" w:rsidRPr="00D15D0C" w:rsidRDefault="00826D3B" w:rsidP="00F625A4">
      <w:pPr>
        <w:pStyle w:val="3-BodyText"/>
      </w:pPr>
      <w:r w:rsidRPr="00D15D0C">
        <w:t xml:space="preserve">The number of persons estimated on sheet ‘8. ABS population’ of the </w:t>
      </w:r>
      <w:r w:rsidR="00C874D6" w:rsidRPr="00C874D6">
        <w:t xml:space="preserve">financial </w:t>
      </w:r>
      <w:proofErr w:type="gramStart"/>
      <w:r w:rsidR="00C874D6" w:rsidRPr="00C874D6">
        <w:t>estimates</w:t>
      </w:r>
      <w:proofErr w:type="gramEnd"/>
      <w:r w:rsidRPr="00D15D0C">
        <w:t xml:space="preserve"> workbook did not match the source provided (ABS 3222.0 – Series B, years 2012 to 2030). The number of patients in Populations 1 and 3 were overestimated and the number of patients in Population 4 were underestimated. As a result, the number of 20vPCV vaccines dispensed, the total cost of 20vPCV to the NIP and the total cost offsets for 13vPCV and 15vPCV to the NIP were all overestimated. </w:t>
      </w:r>
    </w:p>
    <w:p w14:paraId="0C52C460" w14:textId="7A16BD7F" w:rsidR="00826D3B" w:rsidRPr="00D15D0C" w:rsidRDefault="00826D3B" w:rsidP="00F625A4">
      <w:pPr>
        <w:pStyle w:val="3-BodyText"/>
      </w:pPr>
      <w:r w:rsidRPr="00D15D0C">
        <w:t xml:space="preserve">The ATAGI Advice to the PBAC stated </w:t>
      </w:r>
      <w:r w:rsidR="005E306A" w:rsidRPr="00D15D0C">
        <w:t>that ‘</w:t>
      </w:r>
      <w:r w:rsidRPr="00D15D0C">
        <w:t>It is expected that the programmatic requirements for 20vPCV would be the same as for 13vPCV (or 15vPCV) and the vaccination would be delivered primarily in a GP setting. There are no substantial changes to administration costs, training, or storage requirements</w:t>
      </w:r>
      <w:r w:rsidR="005E306A" w:rsidRPr="00D15D0C">
        <w:t>’</w:t>
      </w:r>
      <w:r w:rsidRPr="00D15D0C">
        <w:t xml:space="preserve"> </w:t>
      </w:r>
      <w:bookmarkStart w:id="76" w:name="_Hlk143082473"/>
      <w:r w:rsidRPr="00D15D0C">
        <w:t xml:space="preserve">(ATAGI Advice to the PBAC). </w:t>
      </w:r>
      <w:bookmarkEnd w:id="76"/>
      <w:r w:rsidRPr="00D15D0C">
        <w:t>Overall,</w:t>
      </w:r>
      <w:r w:rsidR="00646DE4">
        <w:t xml:space="preserve"> the evaluation considered that</w:t>
      </w:r>
      <w:r w:rsidRPr="00D15D0C">
        <w:t xml:space="preserve"> it was reasonable to expect that no changes to the Medicare Benefits Schedule (MBS) would occur due to including 20vPCV on the NIP.</w:t>
      </w:r>
    </w:p>
    <w:p w14:paraId="5E4449E6" w14:textId="40784114" w:rsidR="00826D3B" w:rsidRPr="00D15D0C" w:rsidRDefault="00826D3B" w:rsidP="00F625A4">
      <w:pPr>
        <w:pStyle w:val="3-BodyText"/>
      </w:pPr>
      <w:r w:rsidRPr="00D15D0C">
        <w:t xml:space="preserve">The submission expected the program to be cost-neutral to the NIP, the MBS, and the Australian Government health budget in the first </w:t>
      </w:r>
      <w:r w:rsidR="001631A8" w:rsidRPr="00D15D0C">
        <w:t xml:space="preserve">6 </w:t>
      </w:r>
      <w:r w:rsidRPr="00D15D0C">
        <w:t>years of listing. The program remained cost-neutral when the ABS population data were updated to match the source provided.</w:t>
      </w:r>
    </w:p>
    <w:p w14:paraId="7CD3F124" w14:textId="0CA10A55" w:rsidR="00826D3B" w:rsidRDefault="00826D3B" w:rsidP="00F625A4">
      <w:pPr>
        <w:pStyle w:val="3-BodyText"/>
      </w:pPr>
      <w:r w:rsidRPr="00D15D0C">
        <w:t>The submission identified the prevalence of NIP-funded risk conditions and uptake rates as potential sources of uncertainty. Including 20vPCV on the NIP remained cost-neutral to the NIP, MBS, and Australian Government health budget in all sensitivity analyses conducted in the submission.</w:t>
      </w:r>
    </w:p>
    <w:p w14:paraId="69D6E431" w14:textId="77777777" w:rsidR="00826D3B" w:rsidRPr="00C34520" w:rsidRDefault="00826D3B" w:rsidP="00826D3B">
      <w:pPr>
        <w:pStyle w:val="4-SubsectionHeading"/>
      </w:pPr>
      <w:bookmarkStart w:id="77" w:name="_Toc22897648"/>
      <w:bookmarkStart w:id="78" w:name="_Toc143027855"/>
      <w:bookmarkStart w:id="79" w:name="_Toc145498624"/>
      <w:r w:rsidRPr="00C34520">
        <w:t>Quality Use of Medicines</w:t>
      </w:r>
      <w:bookmarkEnd w:id="77"/>
      <w:bookmarkEnd w:id="78"/>
      <w:bookmarkEnd w:id="79"/>
    </w:p>
    <w:p w14:paraId="73FD1E37" w14:textId="2E928F0F" w:rsidR="00826D3B" w:rsidRPr="00C34520" w:rsidRDefault="00826D3B" w:rsidP="00F625A4">
      <w:pPr>
        <w:pStyle w:val="3-BodyText"/>
      </w:pPr>
      <w:r w:rsidRPr="00C34520">
        <w:t xml:space="preserve">The submission presented ATAGI advice that </w:t>
      </w:r>
      <w:r w:rsidR="005E306A" w:rsidRPr="00C34520">
        <w:t>‘</w:t>
      </w:r>
      <w:r w:rsidRPr="00C34520">
        <w:t>the vaccine will not require any additional measures for implementation to manage vaccine safety</w:t>
      </w:r>
      <w:r w:rsidR="005E306A" w:rsidRPr="00C34520">
        <w:t>’</w:t>
      </w:r>
      <w:r w:rsidRPr="00C34520">
        <w:t xml:space="preserve"> (ATAGI Advice to the PBAC).</w:t>
      </w:r>
    </w:p>
    <w:p w14:paraId="507D0BD5" w14:textId="0B83B7ED" w:rsidR="00826D3B" w:rsidRDefault="00826D3B" w:rsidP="00F625A4">
      <w:pPr>
        <w:pStyle w:val="3-BodyText"/>
      </w:pPr>
      <w:r w:rsidRPr="00C34520">
        <w:t xml:space="preserve">The submission stated that education, resources, and training on 20vPCV would be provided to healthcare professionals and that trained field personnel, a Medical Information hotline and an online portal would be available to address queries in a timely manner). </w:t>
      </w:r>
      <w:r w:rsidRPr="00EA65C4">
        <w:t>The</w:t>
      </w:r>
      <w:r w:rsidRPr="00602BFD">
        <w:rPr>
          <w:iCs/>
        </w:rPr>
        <w:t xml:space="preserve"> </w:t>
      </w:r>
      <w:r w:rsidR="00903188" w:rsidRPr="00602BFD">
        <w:rPr>
          <w:iCs/>
        </w:rPr>
        <w:t>evaluation considered</w:t>
      </w:r>
      <w:r w:rsidR="00EA344E" w:rsidRPr="00602BFD">
        <w:rPr>
          <w:iCs/>
        </w:rPr>
        <w:t xml:space="preserve"> the</w:t>
      </w:r>
      <w:r w:rsidR="00903188" w:rsidRPr="00602BFD">
        <w:rPr>
          <w:iCs/>
        </w:rPr>
        <w:t xml:space="preserve"> </w:t>
      </w:r>
      <w:r w:rsidRPr="00EA65C4">
        <w:t>proposed quality use of medicines activities were adequate.</w:t>
      </w:r>
    </w:p>
    <w:p w14:paraId="0AA7CB11" w14:textId="10CA2B04" w:rsidR="00863713" w:rsidRPr="00C34520" w:rsidRDefault="00863713" w:rsidP="00863713">
      <w:pPr>
        <w:pStyle w:val="3-BodyText"/>
      </w:pPr>
      <w:r w:rsidRPr="00602BFD">
        <w:t>The ESC noted the implementation issue raised by the ATAGI, that all three pneumococcal conjugate vaccines (13v, 15v, 20v) and 23vPPV may be available at the next request for tender for NIP pneumococcal vaccines (ATAGI Advice to the PBAC)</w:t>
      </w:r>
      <w:r>
        <w:t>.</w:t>
      </w:r>
    </w:p>
    <w:p w14:paraId="6C09B245" w14:textId="77777777" w:rsidR="00863713" w:rsidRDefault="00826D3B" w:rsidP="00863713">
      <w:pPr>
        <w:pStyle w:val="4-SubsectionHeading"/>
      </w:pPr>
      <w:bookmarkStart w:id="80" w:name="_Toc22897649"/>
      <w:bookmarkStart w:id="81" w:name="_Toc143027856"/>
      <w:bookmarkStart w:id="82" w:name="_Toc145498625"/>
      <w:r w:rsidRPr="00C34520">
        <w:t>Financial Management – Risk Sharing Arrangements</w:t>
      </w:r>
      <w:bookmarkEnd w:id="80"/>
      <w:bookmarkEnd w:id="81"/>
      <w:bookmarkEnd w:id="82"/>
    </w:p>
    <w:p w14:paraId="549B90D0" w14:textId="77777777" w:rsidR="00863713" w:rsidRDefault="00826D3B" w:rsidP="00863713">
      <w:pPr>
        <w:pStyle w:val="3-BodyText"/>
      </w:pPr>
      <w:r w:rsidRPr="00C34520">
        <w:t xml:space="preserve">The submission did not propose a risk-sharing arrangement. </w:t>
      </w:r>
    </w:p>
    <w:p w14:paraId="3300A495" w14:textId="4B714CC9" w:rsidR="001A547C" w:rsidRPr="00863713" w:rsidRDefault="001A547C" w:rsidP="00863713">
      <w:pPr>
        <w:pStyle w:val="3-BodyText"/>
        <w:numPr>
          <w:ilvl w:val="0"/>
          <w:numId w:val="0"/>
        </w:numPr>
        <w:ind w:left="720"/>
        <w:rPr>
          <w:i/>
          <w:iCs/>
        </w:rPr>
      </w:pPr>
      <w:r w:rsidRPr="00863713">
        <w:rPr>
          <w:i/>
          <w:iCs/>
        </w:rPr>
        <w:lastRenderedPageBreak/>
        <w:t>For more detail on PBAC’s view, see section 7 PBAC outcome.</w:t>
      </w:r>
    </w:p>
    <w:p w14:paraId="68F63D88" w14:textId="156940C2" w:rsidR="00124200" w:rsidRDefault="00124200" w:rsidP="00CD3830">
      <w:pPr>
        <w:pStyle w:val="2-SectionHeading"/>
        <w:numPr>
          <w:ilvl w:val="0"/>
          <w:numId w:val="1"/>
        </w:numPr>
      </w:pPr>
      <w:bookmarkStart w:id="83" w:name="_Hlk76381249"/>
      <w:bookmarkStart w:id="84" w:name="_Hlk76377955"/>
      <w:r w:rsidRPr="0090150D">
        <w:t>PBAC Outcome</w:t>
      </w:r>
    </w:p>
    <w:p w14:paraId="1C72C40B" w14:textId="49ADCE86" w:rsidR="002C24CD" w:rsidRDefault="002C24CD" w:rsidP="00F625A4">
      <w:pPr>
        <w:pStyle w:val="3-BodyText"/>
      </w:pPr>
      <w:r>
        <w:t xml:space="preserve">The PBAC recommended </w:t>
      </w:r>
      <w:r w:rsidR="00DE0052">
        <w:t xml:space="preserve">that </w:t>
      </w:r>
      <w:r>
        <w:t>20-valent pneumococcal conjugate vaccine (20vPCV</w:t>
      </w:r>
      <w:r w:rsidR="00B13ABD">
        <w:t>; Prevenar</w:t>
      </w:r>
      <w:r w:rsidR="002A250E">
        <w:t xml:space="preserve"> </w:t>
      </w:r>
      <w:r w:rsidR="00B13ABD">
        <w:t>20</w:t>
      </w:r>
      <w:r w:rsidR="002A250E">
        <w:rPr>
          <w:rFonts w:cstheme="minorHAnsi"/>
        </w:rPr>
        <w:t>®</w:t>
      </w:r>
      <w:r>
        <w:t xml:space="preserve">) </w:t>
      </w:r>
      <w:r w:rsidR="00DE0052" w:rsidRPr="00632140">
        <w:rPr>
          <w:lang w:val="en-GB"/>
        </w:rPr>
        <w:t xml:space="preserve">be a designated vaccine for the purposes of the </w:t>
      </w:r>
      <w:r w:rsidR="00DE0052" w:rsidRPr="00FB1B13">
        <w:rPr>
          <w:i/>
          <w:iCs/>
          <w:lang w:val="en-GB"/>
        </w:rPr>
        <w:t>National Health Act 1953</w:t>
      </w:r>
      <w:r w:rsidR="00DE0052" w:rsidRPr="00632140">
        <w:rPr>
          <w:lang w:val="en-GB"/>
        </w:rPr>
        <w:t>,</w:t>
      </w:r>
      <w:r w:rsidR="00DE0052">
        <w:rPr>
          <w:lang w:val="en-GB"/>
        </w:rPr>
        <w:t xml:space="preserve"> for the prevention of pneumococcal disease</w:t>
      </w:r>
      <w:r w:rsidR="002A250E">
        <w:rPr>
          <w:lang w:val="en-GB"/>
        </w:rPr>
        <w:t xml:space="preserve"> in the following </w:t>
      </w:r>
      <w:r>
        <w:t>paediatric populations:</w:t>
      </w:r>
    </w:p>
    <w:p w14:paraId="747A83CB" w14:textId="77777777" w:rsidR="002A250E" w:rsidRDefault="002A250E" w:rsidP="00863713">
      <w:pPr>
        <w:pStyle w:val="3-BodyText"/>
        <w:numPr>
          <w:ilvl w:val="1"/>
          <w:numId w:val="47"/>
        </w:numPr>
        <w:ind w:left="1134"/>
      </w:pPr>
      <w:r>
        <w:t xml:space="preserve">Children aged 12 months or younger in NSW, VIC, ACT, and TAS and </w:t>
      </w:r>
      <w:proofErr w:type="spellStart"/>
      <w:r>
        <w:t>non Indigenous</w:t>
      </w:r>
      <w:proofErr w:type="spellEnd"/>
      <w:r>
        <w:t xml:space="preserve"> children aged 12 months or younger in QLD, NT, WA and SA (2+1 schedule).</w:t>
      </w:r>
    </w:p>
    <w:p w14:paraId="1B1EFAEF" w14:textId="77777777" w:rsidR="002A250E" w:rsidRDefault="002A250E" w:rsidP="00863713">
      <w:pPr>
        <w:pStyle w:val="3-BodyText"/>
        <w:numPr>
          <w:ilvl w:val="1"/>
          <w:numId w:val="47"/>
        </w:numPr>
        <w:ind w:left="1134"/>
      </w:pPr>
      <w:r>
        <w:t>Aboriginal and Torres Strait Islander children aged 12 months or younger in QLD, NT, WA and SA (3+1 schedule).</w:t>
      </w:r>
    </w:p>
    <w:p w14:paraId="0E8D63CA" w14:textId="77777777" w:rsidR="002A250E" w:rsidRDefault="002A250E" w:rsidP="00863713">
      <w:pPr>
        <w:pStyle w:val="3-BodyText"/>
        <w:numPr>
          <w:ilvl w:val="1"/>
          <w:numId w:val="47"/>
        </w:numPr>
        <w:ind w:left="1134"/>
      </w:pPr>
      <w:r>
        <w:t>Children aged 12 months or younger with currently NIP-funded risk conditions (3+1 schedule).</w:t>
      </w:r>
    </w:p>
    <w:p w14:paraId="613A025D" w14:textId="77777777" w:rsidR="002A250E" w:rsidRDefault="002A250E" w:rsidP="00863713">
      <w:pPr>
        <w:pStyle w:val="3-BodyText"/>
        <w:numPr>
          <w:ilvl w:val="1"/>
          <w:numId w:val="47"/>
        </w:numPr>
        <w:ind w:left="1134"/>
      </w:pPr>
      <w:r>
        <w:t>Children aged more than 12 months with currently NIP-funded risk conditions (single dose).</w:t>
      </w:r>
    </w:p>
    <w:p w14:paraId="01E60309" w14:textId="1B1F9A17" w:rsidR="00570585" w:rsidRDefault="008D4E99" w:rsidP="00F625A4">
      <w:pPr>
        <w:pStyle w:val="3-BodyText"/>
        <w:numPr>
          <w:ilvl w:val="0"/>
          <w:numId w:val="0"/>
        </w:numPr>
        <w:ind w:left="709"/>
      </w:pPr>
      <w:r>
        <w:t>These populations match those recommended for 13- valent pneumococcal conjugate vaccine (13vPCV) and 15- valent pneumococcal conjugate vaccine (15vPCV).</w:t>
      </w:r>
      <w:r w:rsidR="004A0690">
        <w:t xml:space="preserve"> </w:t>
      </w:r>
      <w:r w:rsidR="00762268">
        <w:t>The PBAC’s recommendation for listing was based on, among other matters, its assessment that the cost-effectiveness of 20vPCV would be acceptable if it were cost-minimised against the nominated comparators, 13vPCV and 15vPCV.</w:t>
      </w:r>
    </w:p>
    <w:p w14:paraId="267D5C8A" w14:textId="46F42FAA" w:rsidR="001D160B" w:rsidRDefault="001D160B" w:rsidP="00F625A4">
      <w:pPr>
        <w:pStyle w:val="3-BodyText"/>
      </w:pPr>
      <w:r>
        <w:t xml:space="preserve">The PBAC welcomed the input from the Immunisation Foundation of Australia that described a range of benefits that the listing of 20vPCV for paediatric populations on the NIP will have </w:t>
      </w:r>
      <w:r w:rsidR="008D4E99">
        <w:t xml:space="preserve">for </w:t>
      </w:r>
      <w:r>
        <w:t xml:space="preserve">the </w:t>
      </w:r>
      <w:r w:rsidR="00283BDC">
        <w:t>Australian</w:t>
      </w:r>
      <w:r>
        <w:t xml:space="preserve"> population. </w:t>
      </w:r>
    </w:p>
    <w:p w14:paraId="56112463" w14:textId="5040C766" w:rsidR="00E148B9" w:rsidRDefault="001D160B" w:rsidP="00F625A4">
      <w:pPr>
        <w:pStyle w:val="3-BodyText"/>
      </w:pPr>
      <w:r>
        <w:t xml:space="preserve">The PBAC noted </w:t>
      </w:r>
      <w:r w:rsidR="001058BF">
        <w:t xml:space="preserve">the </w:t>
      </w:r>
      <w:r w:rsidR="00E148B9">
        <w:t>ATAGI advice</w:t>
      </w:r>
      <w:r w:rsidR="001F35C0">
        <w:t xml:space="preserve"> to the PBAC</w:t>
      </w:r>
      <w:r w:rsidR="001058BF">
        <w:t xml:space="preserve"> </w:t>
      </w:r>
      <w:r w:rsidR="00B6643D">
        <w:t>stating</w:t>
      </w:r>
      <w:r w:rsidR="00E148B9">
        <w:t xml:space="preserve"> there is</w:t>
      </w:r>
      <w:r w:rsidR="001058BF">
        <w:t xml:space="preserve"> currently</w:t>
      </w:r>
      <w:r w:rsidR="00E148B9">
        <w:t xml:space="preserve"> an appreciable incidence of pneumococcal disease in Australia driven by serotypes not included in 13vPCV</w:t>
      </w:r>
      <w:r w:rsidR="001F35C0">
        <w:t>,</w:t>
      </w:r>
      <w:r w:rsidR="00E148B9">
        <w:t xml:space="preserve"> and serotype 3 against which the current vaccine has limited efficacy </w:t>
      </w:r>
      <w:r w:rsidR="001058BF">
        <w:t>and considered that there remained a need for further pneumococcal vaccines in Australia</w:t>
      </w:r>
      <w:r w:rsidR="00E148B9">
        <w:t xml:space="preserve">. </w:t>
      </w:r>
    </w:p>
    <w:p w14:paraId="3EBBD9C9" w14:textId="00B87462" w:rsidR="007C28D4" w:rsidRDefault="007C28D4" w:rsidP="00F625A4">
      <w:pPr>
        <w:pStyle w:val="3-BodyText"/>
      </w:pPr>
      <w:r>
        <w:t>The PBAC considered th</w:t>
      </w:r>
      <w:r w:rsidR="001F35C0">
        <w:t>e</w:t>
      </w:r>
      <w:r>
        <w:t xml:space="preserve"> nomination of 13vPCV and 15vPCV as main comparators was appropriate.</w:t>
      </w:r>
    </w:p>
    <w:p w14:paraId="47217FEF" w14:textId="542A1704" w:rsidR="007C28D4" w:rsidRDefault="007C28D4" w:rsidP="00F625A4">
      <w:pPr>
        <w:pStyle w:val="3-BodyText"/>
      </w:pPr>
      <w:r>
        <w:t>The PBAC advised that the equi-effective doses were 1 x 0.5 mL 20vPCV, 1 x 0.5 mL 15vPCV and 1 x 0.5 mL 13vPCV.</w:t>
      </w:r>
    </w:p>
    <w:p w14:paraId="24DFA8CB" w14:textId="25DF82EF" w:rsidR="00031C5A" w:rsidRDefault="00360482" w:rsidP="00F625A4">
      <w:pPr>
        <w:pStyle w:val="3-BodyText"/>
      </w:pPr>
      <w:r>
        <w:t xml:space="preserve">The submission was </w:t>
      </w:r>
      <w:r w:rsidRPr="00C34520">
        <w:t xml:space="preserve">based on </w:t>
      </w:r>
      <w:r w:rsidR="00031C5A">
        <w:t>four</w:t>
      </w:r>
      <w:r w:rsidRPr="00C34520">
        <w:t xml:space="preserve"> head-to-head randomised controlled trials (RCTs) comparing 20vPCV to 13vPCV</w:t>
      </w:r>
      <w:r w:rsidR="00DD69BF">
        <w:t xml:space="preserve">, </w:t>
      </w:r>
      <w:r w:rsidRPr="00C34520">
        <w:t xml:space="preserve">one single-arm </w:t>
      </w:r>
      <w:r w:rsidR="00DD69BF" w:rsidRPr="00C34520">
        <w:t xml:space="preserve">20vPCV </w:t>
      </w:r>
      <w:r w:rsidRPr="00C34520">
        <w:t>study</w:t>
      </w:r>
      <w:r w:rsidR="00DD69BF">
        <w:t>,</w:t>
      </w:r>
      <w:r w:rsidR="00031C5A">
        <w:t xml:space="preserve"> and three head-to-head RCTs comparing 15vPCV to 13vPCV. </w:t>
      </w:r>
      <w:r w:rsidR="00575999">
        <w:t xml:space="preserve">The PBAC noted that the assessment of comparative effectiveness was based on </w:t>
      </w:r>
      <w:r w:rsidR="00636998">
        <w:t>a</w:t>
      </w:r>
      <w:r w:rsidR="00636998" w:rsidRPr="00636998">
        <w:t xml:space="preserve">n immunological </w:t>
      </w:r>
      <w:r w:rsidR="00636998">
        <w:t>‘</w:t>
      </w:r>
      <w:r w:rsidR="00636998" w:rsidRPr="00636998">
        <w:t>bridge to a bridge</w:t>
      </w:r>
      <w:r w:rsidR="00636998">
        <w:t>’</w:t>
      </w:r>
      <w:r w:rsidR="00636998" w:rsidRPr="00636998">
        <w:t xml:space="preserve"> </w:t>
      </w:r>
      <w:r w:rsidR="00636998">
        <w:t>approach</w:t>
      </w:r>
      <w:r w:rsidR="00636998" w:rsidRPr="00636998">
        <w:t>.</w:t>
      </w:r>
      <w:r w:rsidR="00636998">
        <w:t xml:space="preserve"> The PBAC considered this approach reasonable,</w:t>
      </w:r>
      <w:r w:rsidR="00FF687A">
        <w:t xml:space="preserve"> noting</w:t>
      </w:r>
      <w:r w:rsidR="00636998">
        <w:t xml:space="preserve"> </w:t>
      </w:r>
      <w:r w:rsidR="00E0798F">
        <w:t xml:space="preserve">20vPCV is based on </w:t>
      </w:r>
      <w:r w:rsidR="00E0798F">
        <w:lastRenderedPageBreak/>
        <w:t>the same technology and platform as 7vPCV and 13vPCV</w:t>
      </w:r>
      <w:r w:rsidR="00FF687A">
        <w:t>, and other advisory bodies such as the ATAGI and the TGA had previously accepted this approach</w:t>
      </w:r>
      <w:r w:rsidR="00E0798F">
        <w:t>.</w:t>
      </w:r>
    </w:p>
    <w:p w14:paraId="33B3D5BA" w14:textId="34B5B1ED" w:rsidR="00E6445F" w:rsidRDefault="00E6445F" w:rsidP="00F625A4">
      <w:pPr>
        <w:pStyle w:val="3-BodyText"/>
      </w:pPr>
      <w:r>
        <w:t xml:space="preserve">The PBAC noted that </w:t>
      </w:r>
      <w:r w:rsidRPr="00C25CAC">
        <w:t>serotype 3 missed the non-inferiority criteria for the difference in IgG response rates after the final infant dose in both the 2+1 and 3+1</w:t>
      </w:r>
      <w:r w:rsidR="009B15E6">
        <w:t xml:space="preserve"> pivotal clinical</w:t>
      </w:r>
      <w:r w:rsidRPr="00C25CAC">
        <w:t xml:space="preserve"> trials. </w:t>
      </w:r>
      <w:r w:rsidR="00597164">
        <w:t>The PBAC</w:t>
      </w:r>
      <w:r w:rsidR="007E59F0">
        <w:t xml:space="preserve"> </w:t>
      </w:r>
      <w:r w:rsidR="009B15E6">
        <w:t xml:space="preserve">also </w:t>
      </w:r>
      <w:r w:rsidR="007E59F0">
        <w:t>noted</w:t>
      </w:r>
      <w:r w:rsidR="009B15E6">
        <w:t xml:space="preserve"> </w:t>
      </w:r>
      <w:r w:rsidR="007E59F0">
        <w:t>that</w:t>
      </w:r>
      <w:r w:rsidR="00597164">
        <w:t xml:space="preserve"> </w:t>
      </w:r>
      <w:r w:rsidR="00C01748">
        <w:t>there was</w:t>
      </w:r>
      <w:r w:rsidR="00597164">
        <w:t xml:space="preserve"> evidence to suggest that </w:t>
      </w:r>
      <w:r w:rsidR="00C01748">
        <w:t xml:space="preserve">a </w:t>
      </w:r>
      <w:r w:rsidR="00597164" w:rsidRPr="00597164">
        <w:t xml:space="preserve">higher immune response </w:t>
      </w:r>
      <w:r w:rsidR="00C01748">
        <w:t>may be</w:t>
      </w:r>
      <w:r w:rsidR="00597164" w:rsidRPr="00597164">
        <w:t xml:space="preserve"> needed for serotype 3 </w:t>
      </w:r>
      <w:r w:rsidR="00C01748">
        <w:t>compared with</w:t>
      </w:r>
      <w:r w:rsidR="00597164" w:rsidRPr="00597164">
        <w:t xml:space="preserve"> other serotypes for clinical protection</w:t>
      </w:r>
      <w:r w:rsidR="007E59F0">
        <w:t xml:space="preserve"> (</w:t>
      </w:r>
      <w:r w:rsidR="009B15E6">
        <w:t>ATAGI advice to the PBAC</w:t>
      </w:r>
      <w:r w:rsidR="007E59F0">
        <w:t>)</w:t>
      </w:r>
      <w:r w:rsidR="007E59F0">
        <w:rPr>
          <w:rStyle w:val="FootnoteReference"/>
        </w:rPr>
        <w:footnoteReference w:id="8"/>
      </w:r>
      <w:r w:rsidR="00597164">
        <w:t>.</w:t>
      </w:r>
      <w:r w:rsidR="00B914DE">
        <w:t xml:space="preserve"> The PBAC noted the trade-off analysis presented in the PSCR assessing the </w:t>
      </w:r>
      <w:r w:rsidR="00B914DE" w:rsidRPr="00B914DE">
        <w:t xml:space="preserve">potential risk of breakthrough cases </w:t>
      </w:r>
      <w:r w:rsidR="00B914DE" w:rsidRPr="00902DEA">
        <w:t>due to the serotypes that did not meet the non-inferiority criteria</w:t>
      </w:r>
      <w:r w:rsidR="00B914DE">
        <w:t xml:space="preserve"> (including serotype 3)</w:t>
      </w:r>
      <w:r w:rsidR="00B914DE" w:rsidRPr="00902DEA">
        <w:t xml:space="preserve"> </w:t>
      </w:r>
      <w:r w:rsidR="00B914DE" w:rsidRPr="00B914DE">
        <w:t>exceeding the benefits of protection against th</w:t>
      </w:r>
      <w:r w:rsidR="00B914DE">
        <w:t>e</w:t>
      </w:r>
      <w:r w:rsidR="00B914DE" w:rsidRPr="00B914DE">
        <w:t xml:space="preserve"> additional serotypes</w:t>
      </w:r>
      <w:r w:rsidR="00B914DE">
        <w:t xml:space="preserve"> covered in 20vPCV</w:t>
      </w:r>
      <w:r w:rsidR="00B914DE" w:rsidRPr="00B914DE">
        <w:t xml:space="preserve"> for </w:t>
      </w:r>
      <w:r w:rsidR="00B914DE">
        <w:t>infants aged</w:t>
      </w:r>
      <w:r w:rsidR="00B914DE" w:rsidRPr="00B914DE">
        <w:t xml:space="preserve"> </w:t>
      </w:r>
      <w:r w:rsidR="00B914DE">
        <w:t>less than</w:t>
      </w:r>
      <w:r w:rsidR="00B914DE" w:rsidRPr="00B914DE">
        <w:t xml:space="preserve"> 12 months of age</w:t>
      </w:r>
      <w:r w:rsidR="00B914DE">
        <w:t xml:space="preserve"> (pre-toddler dose). </w:t>
      </w:r>
    </w:p>
    <w:p w14:paraId="0718D364" w14:textId="31A9A3A8" w:rsidR="00C9591E" w:rsidRPr="00C16279" w:rsidRDefault="00C82BEE" w:rsidP="00C16279">
      <w:pPr>
        <w:pStyle w:val="3-BodyText"/>
        <w:rPr>
          <w:rFonts w:eastAsia="Calibri"/>
        </w:rPr>
      </w:pPr>
      <w:r>
        <w:t>Overall, consistent with its conclusion for 20vPCV for adults, the PBAC considered the submission’s claim of non-inferior effectiveness for 20vPCV versus 13vPCV (and 15vPCV) for the shared serotypes was not well supported. The PBAC considered that the submission’s claim of superior comparative effectiveness for the additional 7 (5) serotypes in 20vPCV versus 13vPCV (15vPCV) to be supported although the magnitude of benefit in terms of disease prevention is uncertain. On the basis of the available evidence, the PBAC considered a claim of non</w:t>
      </w:r>
      <w:r w:rsidR="00CF5D44">
        <w:t>-</w:t>
      </w:r>
      <w:r>
        <w:t>inferior comparative effectiveness of 20vPCV compared with 13vPCV (and 15vPCV) to be appropriate.</w:t>
      </w:r>
    </w:p>
    <w:p w14:paraId="2878F8DE" w14:textId="3EC9460C" w:rsidR="00C6039D" w:rsidRPr="00383B81" w:rsidRDefault="0054354B" w:rsidP="00F625A4">
      <w:pPr>
        <w:pStyle w:val="3-BodyText"/>
        <w:rPr>
          <w:rFonts w:eastAsia="Calibri"/>
        </w:rPr>
      </w:pPr>
      <w:r>
        <w:t>T</w:t>
      </w:r>
      <w:r w:rsidRPr="0054354B">
        <w:t>he PBAC noted that the ATAGI advice</w:t>
      </w:r>
      <w:r w:rsidR="005D5F7C">
        <w:t xml:space="preserve"> to the PBAC</w:t>
      </w:r>
      <w:r w:rsidRPr="0054354B">
        <w:t xml:space="preserve"> </w:t>
      </w:r>
      <w:r w:rsidR="00836C74">
        <w:t>stated</w:t>
      </w:r>
      <w:r w:rsidRPr="0054354B">
        <w:t xml:space="preserve"> </w:t>
      </w:r>
      <w:r>
        <w:t xml:space="preserve">that the </w:t>
      </w:r>
      <w:r w:rsidRPr="0054354B">
        <w:t>‘Phase 3 safety data indicated that 20vPCV has a similar safety profile to</w:t>
      </w:r>
      <w:r>
        <w:t xml:space="preserve"> 13vPCV’</w:t>
      </w:r>
      <w:r w:rsidR="005D5F7C">
        <w:t>.</w:t>
      </w:r>
      <w:r w:rsidRPr="0054354B">
        <w:t xml:space="preserve"> </w:t>
      </w:r>
      <w:r w:rsidR="005F4F8B">
        <w:t xml:space="preserve">While noting </w:t>
      </w:r>
      <w:r w:rsidR="00FF607E">
        <w:t>that</w:t>
      </w:r>
      <w:r>
        <w:t xml:space="preserve"> the</w:t>
      </w:r>
      <w:r w:rsidR="005F4F8B">
        <w:t xml:space="preserve"> </w:t>
      </w:r>
      <w:r w:rsidR="00FF607E">
        <w:t xml:space="preserve">availability of </w:t>
      </w:r>
      <w:r w:rsidR="005F4F8B">
        <w:t>comparative safety data</w:t>
      </w:r>
      <w:r w:rsidR="00FF607E">
        <w:t xml:space="preserve"> </w:t>
      </w:r>
      <w:proofErr w:type="gramStart"/>
      <w:r w:rsidR="00FF607E">
        <w:t>were</w:t>
      </w:r>
      <w:proofErr w:type="gramEnd"/>
      <w:r w:rsidR="00FF607E">
        <w:t xml:space="preserve"> limited and </w:t>
      </w:r>
      <w:r w:rsidR="00FF607E" w:rsidRPr="0054354B">
        <w:t>no data were available for Aboriginal or Torres Strait Islander children, or medically at-risk infants and children</w:t>
      </w:r>
      <w:r w:rsidR="005F4F8B">
        <w:t xml:space="preserve">, the PBAC considered </w:t>
      </w:r>
      <w:r>
        <w:t>the claim of non-inferior comparative safety</w:t>
      </w:r>
      <w:r w:rsidR="005F4F8B">
        <w:t xml:space="preserve"> </w:t>
      </w:r>
      <w:r w:rsidR="00FF607E" w:rsidRPr="00FF607E">
        <w:t xml:space="preserve">to 13vPCV </w:t>
      </w:r>
      <w:r>
        <w:t xml:space="preserve">and 15vPCV </w:t>
      </w:r>
      <w:r w:rsidR="00FF607E" w:rsidRPr="00FF607E">
        <w:t>was reasonable.</w:t>
      </w:r>
    </w:p>
    <w:p w14:paraId="7FA32FF8" w14:textId="01796178" w:rsidR="00383B81" w:rsidRPr="004260F6" w:rsidRDefault="00383B81" w:rsidP="00F625A4">
      <w:pPr>
        <w:pStyle w:val="3-BodyText"/>
        <w:rPr>
          <w:rFonts w:eastAsia="Calibri"/>
        </w:rPr>
      </w:pPr>
      <w:r>
        <w:t>The PBAC noted that 20vPCV doses will replace 13vPCV and 15vPCV doses and, as the submission stated it would accept a cost-minimisation to the nationally negotiated price of 13vPCV and 15vPCV for children and infants, there would be no net cost to government.</w:t>
      </w:r>
    </w:p>
    <w:p w14:paraId="04B3D920" w14:textId="7B661052" w:rsidR="00383B81" w:rsidRPr="0054354B" w:rsidRDefault="00383B81" w:rsidP="00F625A4">
      <w:pPr>
        <w:pStyle w:val="3-BodyText"/>
        <w:rPr>
          <w:rFonts w:eastAsia="Calibri"/>
        </w:rPr>
      </w:pPr>
      <w:r>
        <w:t>The PBAC noted that this submission is not eligible for an independent review as independent review is only relevant to requests for PBS listing.</w:t>
      </w:r>
    </w:p>
    <w:p w14:paraId="5B461359" w14:textId="77777777" w:rsidR="00124200" w:rsidRPr="00525B39" w:rsidRDefault="00124200" w:rsidP="0012420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D211DDB" w14:textId="6FA434FF" w:rsidR="00124200" w:rsidRPr="00667D81" w:rsidRDefault="00124200" w:rsidP="00667D81">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83"/>
    <w:p w14:paraId="083E4E99" w14:textId="5B4C2980" w:rsidR="00124200" w:rsidRPr="00CD3830" w:rsidRDefault="00124200" w:rsidP="00CD3830">
      <w:pPr>
        <w:pStyle w:val="2-SectionHeading"/>
        <w:numPr>
          <w:ilvl w:val="0"/>
          <w:numId w:val="1"/>
        </w:numPr>
      </w:pPr>
      <w:r w:rsidRPr="00CD3830">
        <w:lastRenderedPageBreak/>
        <w:t>Recommended listing</w:t>
      </w:r>
    </w:p>
    <w:p w14:paraId="60D41257" w14:textId="7F8CAC47" w:rsidR="004E45F5" w:rsidRDefault="004E45F5" w:rsidP="00F625A4">
      <w:pPr>
        <w:pStyle w:val="3-BodyText"/>
      </w:pPr>
      <w:r>
        <w:t>Add new item</w:t>
      </w:r>
      <w:r w:rsidR="0098433E">
        <w:t xml:space="preserve"> to the Determination</w:t>
      </w:r>
      <w:r>
        <w:t>:</w:t>
      </w:r>
    </w:p>
    <w:tbl>
      <w:tblPr>
        <w:tblW w:w="5000" w:type="pct"/>
        <w:tblInd w:w="28" w:type="dxa"/>
        <w:tblCellMar>
          <w:left w:w="28" w:type="dxa"/>
          <w:right w:w="28" w:type="dxa"/>
        </w:tblCellMar>
        <w:tblLook w:val="0000" w:firstRow="0" w:lastRow="0" w:firstColumn="0" w:lastColumn="0" w:noHBand="0" w:noVBand="0"/>
      </w:tblPr>
      <w:tblGrid>
        <w:gridCol w:w="2084"/>
        <w:gridCol w:w="1053"/>
        <w:gridCol w:w="1225"/>
        <w:gridCol w:w="2691"/>
        <w:gridCol w:w="1964"/>
      </w:tblGrid>
      <w:tr w:rsidR="004E45F5" w:rsidRPr="00903188" w14:paraId="07EBBCE5" w14:textId="77777777" w:rsidTr="00665F2A">
        <w:trPr>
          <w:cantSplit/>
          <w:trHeight w:val="463"/>
        </w:trPr>
        <w:tc>
          <w:tcPr>
            <w:tcW w:w="1156" w:type="pct"/>
            <w:tcBorders>
              <w:top w:val="single" w:sz="4" w:space="0" w:color="auto"/>
              <w:left w:val="single" w:sz="4" w:space="0" w:color="auto"/>
              <w:bottom w:val="single" w:sz="4" w:space="0" w:color="auto"/>
              <w:right w:val="single" w:sz="4" w:space="0" w:color="auto"/>
            </w:tcBorders>
            <w:vAlign w:val="bottom"/>
          </w:tcPr>
          <w:p w14:paraId="51EEF3A9" w14:textId="77777777" w:rsidR="004E45F5" w:rsidRPr="00EA65C4" w:rsidRDefault="004E45F5" w:rsidP="00667D81">
            <w:pPr>
              <w:keepNext/>
              <w:jc w:val="left"/>
              <w:rPr>
                <w:rFonts w:ascii="Arial Narrow" w:hAnsi="Arial Narrow"/>
                <w:b/>
                <w:sz w:val="20"/>
              </w:rPr>
            </w:pPr>
            <w:r w:rsidRPr="00EA65C4">
              <w:rPr>
                <w:rFonts w:ascii="Arial Narrow" w:hAnsi="Arial Narrow"/>
                <w:b/>
                <w:sz w:val="20"/>
              </w:rPr>
              <w:t>Vaccine and the circumstances in which vaccine may be provided</w:t>
            </w:r>
          </w:p>
        </w:tc>
        <w:tc>
          <w:tcPr>
            <w:tcW w:w="584" w:type="pct"/>
            <w:tcBorders>
              <w:top w:val="single" w:sz="4" w:space="0" w:color="auto"/>
              <w:left w:val="single" w:sz="4" w:space="0" w:color="auto"/>
              <w:bottom w:val="single" w:sz="4" w:space="0" w:color="auto"/>
              <w:right w:val="single" w:sz="4" w:space="0" w:color="auto"/>
            </w:tcBorders>
            <w:vAlign w:val="center"/>
          </w:tcPr>
          <w:p w14:paraId="57066CF7" w14:textId="77777777" w:rsidR="004E45F5" w:rsidRPr="00EA65C4" w:rsidRDefault="004E45F5" w:rsidP="00667D81">
            <w:pPr>
              <w:keepNext/>
              <w:jc w:val="center"/>
              <w:rPr>
                <w:rFonts w:ascii="Arial Narrow" w:hAnsi="Arial Narrow"/>
                <w:b/>
                <w:sz w:val="20"/>
              </w:rPr>
            </w:pPr>
            <w:r w:rsidRPr="00EA65C4">
              <w:rPr>
                <w:rFonts w:ascii="Arial Narrow" w:hAnsi="Arial Narrow"/>
                <w:b/>
                <w:sz w:val="20"/>
              </w:rPr>
              <w:t>Brand</w:t>
            </w:r>
          </w:p>
        </w:tc>
        <w:tc>
          <w:tcPr>
            <w:tcW w:w="679" w:type="pct"/>
            <w:tcBorders>
              <w:top w:val="single" w:sz="4" w:space="0" w:color="auto"/>
              <w:left w:val="single" w:sz="4" w:space="0" w:color="auto"/>
              <w:bottom w:val="single" w:sz="4" w:space="0" w:color="auto"/>
              <w:right w:val="single" w:sz="4" w:space="0" w:color="auto"/>
            </w:tcBorders>
            <w:vAlign w:val="center"/>
          </w:tcPr>
          <w:p w14:paraId="2C8F2004" w14:textId="77777777" w:rsidR="004E45F5" w:rsidRPr="00EA65C4" w:rsidRDefault="004E45F5" w:rsidP="00667D81">
            <w:pPr>
              <w:keepNext/>
              <w:jc w:val="center"/>
              <w:rPr>
                <w:rFonts w:ascii="Arial Narrow" w:hAnsi="Arial Narrow"/>
                <w:b/>
                <w:sz w:val="20"/>
              </w:rPr>
            </w:pPr>
            <w:r w:rsidRPr="00EA65C4">
              <w:rPr>
                <w:rFonts w:ascii="Arial Narrow" w:hAnsi="Arial Narrow"/>
                <w:b/>
                <w:sz w:val="20"/>
              </w:rPr>
              <w:t>Formulation</w:t>
            </w:r>
          </w:p>
        </w:tc>
        <w:tc>
          <w:tcPr>
            <w:tcW w:w="1492" w:type="pct"/>
            <w:tcBorders>
              <w:top w:val="single" w:sz="4" w:space="0" w:color="auto"/>
              <w:left w:val="single" w:sz="4" w:space="0" w:color="auto"/>
              <w:bottom w:val="single" w:sz="4" w:space="0" w:color="auto"/>
              <w:right w:val="single" w:sz="4" w:space="0" w:color="auto"/>
            </w:tcBorders>
            <w:vAlign w:val="center"/>
          </w:tcPr>
          <w:p w14:paraId="09CBFC98" w14:textId="77777777" w:rsidR="004E45F5" w:rsidRPr="00EA65C4" w:rsidRDefault="004E45F5" w:rsidP="00667D81">
            <w:pPr>
              <w:keepNext/>
              <w:jc w:val="center"/>
              <w:rPr>
                <w:rFonts w:ascii="Arial Narrow" w:hAnsi="Arial Narrow"/>
                <w:b/>
                <w:sz w:val="20"/>
              </w:rPr>
            </w:pPr>
            <w:r w:rsidRPr="00EA65C4">
              <w:rPr>
                <w:rFonts w:ascii="Arial Narrow" w:hAnsi="Arial Narrow"/>
                <w:b/>
                <w:sz w:val="20"/>
              </w:rPr>
              <w:t>Active ingredient and strength</w:t>
            </w:r>
          </w:p>
        </w:tc>
        <w:tc>
          <w:tcPr>
            <w:tcW w:w="1089" w:type="pct"/>
            <w:tcBorders>
              <w:top w:val="single" w:sz="4" w:space="0" w:color="auto"/>
              <w:left w:val="single" w:sz="4" w:space="0" w:color="auto"/>
              <w:bottom w:val="single" w:sz="4" w:space="0" w:color="auto"/>
              <w:right w:val="single" w:sz="4" w:space="0" w:color="auto"/>
            </w:tcBorders>
            <w:vAlign w:val="center"/>
          </w:tcPr>
          <w:p w14:paraId="71A5FD1A" w14:textId="77777777" w:rsidR="004E45F5" w:rsidRPr="00EA65C4" w:rsidRDefault="004E45F5" w:rsidP="00667D81">
            <w:pPr>
              <w:keepNext/>
              <w:jc w:val="left"/>
              <w:rPr>
                <w:rFonts w:ascii="Arial Narrow" w:hAnsi="Arial Narrow"/>
                <w:b/>
                <w:sz w:val="20"/>
              </w:rPr>
            </w:pPr>
            <w:r w:rsidRPr="00EA65C4">
              <w:rPr>
                <w:rFonts w:ascii="Arial Narrow" w:hAnsi="Arial Narrow"/>
                <w:b/>
                <w:sz w:val="20"/>
              </w:rPr>
              <w:t>Number and timing of doses</w:t>
            </w:r>
          </w:p>
        </w:tc>
      </w:tr>
      <w:tr w:rsidR="004E45F5" w:rsidRPr="00903188" w14:paraId="70F5C3C3" w14:textId="77777777" w:rsidTr="00665F2A">
        <w:trPr>
          <w:cantSplit/>
          <w:trHeight w:val="567"/>
        </w:trPr>
        <w:tc>
          <w:tcPr>
            <w:tcW w:w="1156" w:type="pct"/>
            <w:tcBorders>
              <w:top w:val="single" w:sz="4" w:space="0" w:color="auto"/>
              <w:left w:val="single" w:sz="4" w:space="0" w:color="auto"/>
              <w:bottom w:val="single" w:sz="4" w:space="0" w:color="auto"/>
              <w:right w:val="single" w:sz="4" w:space="0" w:color="auto"/>
            </w:tcBorders>
            <w:vAlign w:val="center"/>
          </w:tcPr>
          <w:p w14:paraId="79BA46C6" w14:textId="77777777" w:rsidR="004E45F5" w:rsidRPr="00EA65C4" w:rsidRDefault="004E45F5" w:rsidP="00667D81">
            <w:pPr>
              <w:keepNext/>
              <w:rPr>
                <w:rFonts w:ascii="Arial Narrow" w:hAnsi="Arial Narrow"/>
                <w:sz w:val="20"/>
              </w:rPr>
            </w:pPr>
            <w:r w:rsidRPr="00EA65C4">
              <w:rPr>
                <w:rFonts w:ascii="Arial Narrow" w:hAnsi="Arial Narrow"/>
                <w:sz w:val="20"/>
              </w:rPr>
              <w:t>Pneumococcal (conjugate, 20-valent)</w:t>
            </w:r>
          </w:p>
        </w:tc>
        <w:tc>
          <w:tcPr>
            <w:tcW w:w="584" w:type="pct"/>
            <w:tcBorders>
              <w:top w:val="single" w:sz="4" w:space="0" w:color="auto"/>
              <w:left w:val="single" w:sz="4" w:space="0" w:color="auto"/>
              <w:bottom w:val="single" w:sz="4" w:space="0" w:color="auto"/>
              <w:right w:val="single" w:sz="4" w:space="0" w:color="auto"/>
            </w:tcBorders>
            <w:vAlign w:val="center"/>
          </w:tcPr>
          <w:p w14:paraId="7A3A12DC" w14:textId="77777777" w:rsidR="004E45F5" w:rsidRPr="00EA65C4" w:rsidRDefault="004E45F5" w:rsidP="00667D81">
            <w:pPr>
              <w:keepNext/>
              <w:jc w:val="center"/>
              <w:rPr>
                <w:rFonts w:ascii="Arial Narrow" w:hAnsi="Arial Narrow"/>
                <w:sz w:val="20"/>
              </w:rPr>
            </w:pPr>
            <w:r w:rsidRPr="00903188">
              <w:rPr>
                <w:rFonts w:ascii="Arial Narrow" w:hAnsi="Arial Narrow"/>
                <w:sz w:val="20"/>
              </w:rPr>
              <w:t>Prevenar</w:t>
            </w:r>
            <w:r w:rsidRPr="00EA65C4">
              <w:rPr>
                <w:rFonts w:ascii="Arial Narrow" w:hAnsi="Arial Narrow"/>
                <w:sz w:val="20"/>
              </w:rPr>
              <w:t xml:space="preserve"> 20</w:t>
            </w:r>
          </w:p>
        </w:tc>
        <w:tc>
          <w:tcPr>
            <w:tcW w:w="679" w:type="pct"/>
            <w:tcBorders>
              <w:top w:val="single" w:sz="4" w:space="0" w:color="auto"/>
              <w:left w:val="single" w:sz="4" w:space="0" w:color="auto"/>
              <w:bottom w:val="single" w:sz="4" w:space="0" w:color="auto"/>
              <w:right w:val="single" w:sz="4" w:space="0" w:color="auto"/>
            </w:tcBorders>
            <w:vAlign w:val="center"/>
          </w:tcPr>
          <w:p w14:paraId="20F288B8" w14:textId="77777777" w:rsidR="004E45F5" w:rsidRPr="00EA65C4" w:rsidRDefault="004E45F5" w:rsidP="00667D81">
            <w:pPr>
              <w:keepNext/>
              <w:jc w:val="center"/>
              <w:rPr>
                <w:rFonts w:ascii="Arial Narrow" w:hAnsi="Arial Narrow"/>
                <w:sz w:val="20"/>
              </w:rPr>
            </w:pPr>
            <w:r w:rsidRPr="00EA65C4">
              <w:rPr>
                <w:rFonts w:ascii="Arial Narrow" w:hAnsi="Arial Narrow"/>
                <w:sz w:val="20"/>
              </w:rPr>
              <w:t>Injection (0.5mL)</w:t>
            </w:r>
          </w:p>
        </w:tc>
        <w:tc>
          <w:tcPr>
            <w:tcW w:w="1492" w:type="pct"/>
            <w:tcBorders>
              <w:top w:val="single" w:sz="4" w:space="0" w:color="auto"/>
              <w:left w:val="single" w:sz="4" w:space="0" w:color="auto"/>
              <w:bottom w:val="single" w:sz="4" w:space="0" w:color="auto"/>
              <w:right w:val="single" w:sz="4" w:space="0" w:color="auto"/>
            </w:tcBorders>
            <w:vAlign w:val="center"/>
          </w:tcPr>
          <w:p w14:paraId="1373CBFE" w14:textId="77777777" w:rsidR="004E45F5" w:rsidRPr="00EA65C4" w:rsidRDefault="004E45F5" w:rsidP="00667D81">
            <w:pPr>
              <w:keepNext/>
              <w:jc w:val="left"/>
              <w:rPr>
                <w:rFonts w:ascii="Arial Narrow" w:hAnsi="Arial Narrow"/>
                <w:sz w:val="20"/>
              </w:rPr>
            </w:pPr>
            <w:r w:rsidRPr="00EA65C4">
              <w:rPr>
                <w:rFonts w:ascii="Arial Narrow" w:hAnsi="Arial Narrow"/>
                <w:sz w:val="20"/>
              </w:rPr>
              <w:t>Polysaccharides of the capsular antigens of S. pneumoniae serotypes 1, 3, 4, 5, 6A, 6B, 7F, 9V, 14, 18C, 19A, 19F, 22F, 23F, and 33F individually conjugated to CRM197.</w:t>
            </w:r>
          </w:p>
        </w:tc>
        <w:tc>
          <w:tcPr>
            <w:tcW w:w="1089" w:type="pct"/>
            <w:tcBorders>
              <w:top w:val="single" w:sz="4" w:space="0" w:color="auto"/>
              <w:left w:val="single" w:sz="4" w:space="0" w:color="auto"/>
              <w:bottom w:val="single" w:sz="4" w:space="0" w:color="auto"/>
              <w:right w:val="single" w:sz="4" w:space="0" w:color="auto"/>
            </w:tcBorders>
            <w:vAlign w:val="center"/>
          </w:tcPr>
          <w:p w14:paraId="5C659E3F" w14:textId="77777777" w:rsidR="004E45F5" w:rsidRPr="00EA65C4" w:rsidRDefault="004E45F5" w:rsidP="00667D81">
            <w:pPr>
              <w:keepNext/>
              <w:jc w:val="left"/>
              <w:rPr>
                <w:rFonts w:ascii="Arial Narrow" w:hAnsi="Arial Narrow"/>
                <w:sz w:val="20"/>
              </w:rPr>
            </w:pPr>
            <w:r w:rsidRPr="00EA65C4">
              <w:rPr>
                <w:rFonts w:ascii="Arial Narrow" w:hAnsi="Arial Narrow"/>
                <w:sz w:val="20"/>
              </w:rPr>
              <w:t>2 or 3 doses of a primary course plus a booster dose</w:t>
            </w:r>
          </w:p>
          <w:p w14:paraId="4174C1F6" w14:textId="77777777" w:rsidR="004E45F5" w:rsidRPr="00EA65C4" w:rsidRDefault="004E45F5" w:rsidP="00667D81">
            <w:pPr>
              <w:keepNext/>
              <w:jc w:val="left"/>
              <w:rPr>
                <w:rFonts w:ascii="Arial Narrow" w:hAnsi="Arial Narrow"/>
                <w:sz w:val="20"/>
              </w:rPr>
            </w:pPr>
          </w:p>
          <w:p w14:paraId="3741C380" w14:textId="77777777" w:rsidR="004E45F5" w:rsidRPr="00EA65C4" w:rsidRDefault="004E45F5" w:rsidP="00667D81">
            <w:pPr>
              <w:keepNext/>
              <w:jc w:val="left"/>
              <w:rPr>
                <w:rFonts w:ascii="Arial Narrow" w:hAnsi="Arial Narrow"/>
                <w:sz w:val="20"/>
              </w:rPr>
            </w:pPr>
            <w:r w:rsidRPr="00EA65C4">
              <w:rPr>
                <w:rFonts w:ascii="Arial Narrow" w:hAnsi="Arial Narrow"/>
                <w:sz w:val="20"/>
              </w:rPr>
              <w:t>or a single supplementary dose</w:t>
            </w:r>
          </w:p>
        </w:tc>
      </w:tr>
      <w:tr w:rsidR="004E45F5" w:rsidRPr="00903188" w14:paraId="0BFBCD00" w14:textId="77777777" w:rsidTr="00665F2A">
        <w:trPr>
          <w:cantSplit/>
          <w:trHeight w:val="56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F640DDF" w14:textId="77777777" w:rsidR="004E45F5" w:rsidRPr="00EA65C4" w:rsidRDefault="004E45F5" w:rsidP="00667D81">
            <w:pPr>
              <w:keepNext/>
              <w:spacing w:before="120"/>
              <w:rPr>
                <w:rFonts w:ascii="Arial Narrow" w:hAnsi="Arial Narrow"/>
                <w:sz w:val="20"/>
              </w:rPr>
            </w:pPr>
            <w:bookmarkStart w:id="85" w:name="_Hlk92379819"/>
            <w:r w:rsidRPr="00EA65C4">
              <w:rPr>
                <w:rFonts w:ascii="Arial Narrow" w:hAnsi="Arial Narrow"/>
                <w:sz w:val="20"/>
              </w:rPr>
              <w:t>Circumstances</w:t>
            </w:r>
          </w:p>
          <w:p w14:paraId="5C74EB91" w14:textId="77777777" w:rsidR="004E45F5" w:rsidRPr="00EA65C4" w:rsidRDefault="004E45F5" w:rsidP="00667D81">
            <w:pPr>
              <w:keepNext/>
              <w:rPr>
                <w:rFonts w:ascii="Arial Narrow" w:hAnsi="Arial Narrow"/>
                <w:sz w:val="20"/>
              </w:rPr>
            </w:pPr>
            <w:r w:rsidRPr="00EA65C4">
              <w:rPr>
                <w:rFonts w:ascii="Arial Narrow" w:hAnsi="Arial Narrow"/>
                <w:sz w:val="20"/>
              </w:rPr>
              <w:t>Vaccine may be provided:</w:t>
            </w:r>
          </w:p>
          <w:p w14:paraId="0C7E056D" w14:textId="77777777" w:rsidR="004E45F5" w:rsidRPr="00EA65C4" w:rsidRDefault="004E45F5" w:rsidP="00667D81">
            <w:pPr>
              <w:pStyle w:val="ListParagraph"/>
              <w:keepNext/>
              <w:numPr>
                <w:ilvl w:val="0"/>
                <w:numId w:val="30"/>
              </w:numPr>
              <w:spacing w:after="0"/>
              <w:contextualSpacing/>
              <w:jc w:val="left"/>
              <w:rPr>
                <w:rFonts w:ascii="Arial Narrow" w:hAnsi="Arial Narrow"/>
                <w:sz w:val="20"/>
              </w:rPr>
            </w:pPr>
            <w:r w:rsidRPr="00EA65C4">
              <w:rPr>
                <w:rFonts w:ascii="Arial Narrow" w:hAnsi="Arial Narrow"/>
                <w:sz w:val="20"/>
              </w:rPr>
              <w:t>to a child who is:</w:t>
            </w:r>
          </w:p>
          <w:p w14:paraId="59A2E1B7" w14:textId="77777777" w:rsidR="004E45F5" w:rsidRPr="00EA65C4" w:rsidRDefault="004E45F5" w:rsidP="00667D81">
            <w:pPr>
              <w:pStyle w:val="ListParagraph"/>
              <w:keepNext/>
              <w:numPr>
                <w:ilvl w:val="0"/>
                <w:numId w:val="31"/>
              </w:numPr>
              <w:spacing w:after="0"/>
              <w:contextualSpacing/>
              <w:jc w:val="left"/>
              <w:rPr>
                <w:rFonts w:ascii="Arial Narrow" w:hAnsi="Arial Narrow"/>
                <w:sz w:val="20"/>
              </w:rPr>
            </w:pPr>
            <w:r w:rsidRPr="00EA65C4">
              <w:rPr>
                <w:rFonts w:ascii="Arial Narrow" w:hAnsi="Arial Narrow"/>
                <w:sz w:val="20"/>
              </w:rPr>
              <w:t>about 2 months old, and</w:t>
            </w:r>
          </w:p>
          <w:p w14:paraId="58BA0F62" w14:textId="77777777" w:rsidR="004E45F5" w:rsidRPr="00EA65C4" w:rsidRDefault="004E45F5" w:rsidP="00667D81">
            <w:pPr>
              <w:pStyle w:val="ListParagraph"/>
              <w:keepNext/>
              <w:numPr>
                <w:ilvl w:val="0"/>
                <w:numId w:val="31"/>
              </w:numPr>
              <w:spacing w:after="0"/>
              <w:contextualSpacing/>
              <w:jc w:val="left"/>
              <w:rPr>
                <w:rFonts w:ascii="Arial Narrow" w:hAnsi="Arial Narrow"/>
                <w:sz w:val="20"/>
              </w:rPr>
            </w:pPr>
            <w:r w:rsidRPr="00EA65C4">
              <w:rPr>
                <w:rFonts w:ascii="Arial Narrow" w:hAnsi="Arial Narrow"/>
                <w:sz w:val="20"/>
              </w:rPr>
              <w:t xml:space="preserve">about 4 months old; </w:t>
            </w:r>
          </w:p>
          <w:p w14:paraId="74ECFDA3" w14:textId="77777777" w:rsidR="004E45F5" w:rsidRPr="00EA65C4" w:rsidRDefault="004E45F5" w:rsidP="00667D81">
            <w:pPr>
              <w:pStyle w:val="ListParagraph"/>
              <w:keepNext/>
              <w:numPr>
                <w:ilvl w:val="0"/>
                <w:numId w:val="31"/>
              </w:numPr>
              <w:spacing w:after="0"/>
              <w:contextualSpacing/>
              <w:jc w:val="left"/>
              <w:rPr>
                <w:rFonts w:ascii="Arial Narrow" w:hAnsi="Arial Narrow"/>
                <w:sz w:val="20"/>
              </w:rPr>
            </w:pPr>
            <w:r w:rsidRPr="00EA65C4">
              <w:rPr>
                <w:rFonts w:ascii="Arial Narrow" w:hAnsi="Arial Narrow"/>
                <w:sz w:val="20"/>
              </w:rPr>
              <w:t xml:space="preserve">in their second year of life; and </w:t>
            </w:r>
          </w:p>
          <w:p w14:paraId="42CB4AA7" w14:textId="77777777" w:rsidR="004E45F5" w:rsidRPr="00EA65C4" w:rsidRDefault="004E45F5" w:rsidP="00667D81">
            <w:pPr>
              <w:pStyle w:val="ListParagraph"/>
              <w:keepNext/>
              <w:numPr>
                <w:ilvl w:val="0"/>
                <w:numId w:val="30"/>
              </w:numPr>
              <w:contextualSpacing/>
              <w:jc w:val="left"/>
              <w:rPr>
                <w:rFonts w:ascii="Arial Narrow" w:hAnsi="Arial Narrow"/>
                <w:sz w:val="20"/>
              </w:rPr>
            </w:pPr>
            <w:r w:rsidRPr="00EA65C4">
              <w:rPr>
                <w:rFonts w:ascii="Arial Narrow" w:hAnsi="Arial Narrow"/>
                <w:sz w:val="20"/>
              </w:rPr>
              <w:t>the vaccine may be provided in the circumstances set out in subsection 7 (1)</w:t>
            </w:r>
            <w:bookmarkEnd w:id="85"/>
          </w:p>
        </w:tc>
      </w:tr>
    </w:tbl>
    <w:p w14:paraId="69D43E64" w14:textId="48436812" w:rsidR="004E45F5" w:rsidRDefault="004E45F5" w:rsidP="000E3F99">
      <w:pPr>
        <w:spacing w:before="120" w:after="160" w:line="259" w:lineRule="auto"/>
        <w:jc w:val="left"/>
        <w:rPr>
          <w:rFonts w:eastAsiaTheme="minorHAnsi" w:cs="Times New Roman"/>
          <w:b/>
          <w:i/>
          <w:lang w:eastAsia="en-US"/>
        </w:rPr>
      </w:pPr>
      <w:r w:rsidRPr="004E45F5">
        <w:rPr>
          <w:rFonts w:eastAsiaTheme="minorHAnsi" w:cs="Times New Roman"/>
          <w:b/>
          <w:i/>
          <w:lang w:eastAsia="en-US"/>
        </w:rPr>
        <w:t>The wording of the item may be subject to further review. Should there be any changes made to the item the sponsor will be informed.</w:t>
      </w:r>
    </w:p>
    <w:p w14:paraId="1F387D07" w14:textId="77777777" w:rsidR="00490DAE" w:rsidRPr="00490DAE" w:rsidRDefault="00490DAE" w:rsidP="00490DAE">
      <w:pPr>
        <w:keepNext/>
        <w:spacing w:before="240" w:after="120"/>
        <w:ind w:left="720" w:hanging="720"/>
        <w:jc w:val="left"/>
        <w:outlineLvl w:val="0"/>
        <w:rPr>
          <w:rFonts w:asciiTheme="minorHAnsi" w:hAnsiTheme="minorHAnsi"/>
          <w:b/>
          <w:bCs/>
          <w:snapToGrid w:val="0"/>
          <w:sz w:val="32"/>
          <w:szCs w:val="32"/>
          <w:lang w:val="en-GB"/>
        </w:rPr>
      </w:pPr>
      <w:r w:rsidRPr="00490DAE">
        <w:rPr>
          <w:rFonts w:asciiTheme="minorHAnsi" w:hAnsiTheme="minorHAnsi"/>
          <w:b/>
          <w:snapToGrid w:val="0"/>
          <w:sz w:val="32"/>
          <w:szCs w:val="32"/>
        </w:rPr>
        <w:t>9</w:t>
      </w:r>
      <w:r w:rsidRPr="00490DAE">
        <w:rPr>
          <w:rFonts w:asciiTheme="minorHAnsi" w:hAnsiTheme="minorHAnsi"/>
          <w:b/>
          <w:snapToGrid w:val="0"/>
          <w:sz w:val="32"/>
          <w:szCs w:val="32"/>
        </w:rPr>
        <w:tab/>
        <w:t>Context for Decision</w:t>
      </w:r>
    </w:p>
    <w:p w14:paraId="55212D24" w14:textId="77777777" w:rsidR="00490DAE" w:rsidRPr="00490DAE" w:rsidRDefault="00490DAE" w:rsidP="00490DAE">
      <w:pPr>
        <w:spacing w:after="120"/>
        <w:ind w:left="720"/>
        <w:rPr>
          <w:rFonts w:asciiTheme="minorHAnsi" w:hAnsiTheme="minorHAnsi"/>
          <w:bCs/>
          <w:lang w:val="en-GB"/>
        </w:rPr>
      </w:pPr>
      <w:r w:rsidRPr="00490DAE">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4CD8F5F" w14:textId="77777777" w:rsidR="00490DAE" w:rsidRPr="00490DAE" w:rsidRDefault="00490DAE" w:rsidP="00490DAE">
      <w:pPr>
        <w:keepNext/>
        <w:spacing w:before="240" w:after="120"/>
        <w:ind w:left="720" w:hanging="720"/>
        <w:jc w:val="left"/>
        <w:outlineLvl w:val="0"/>
        <w:rPr>
          <w:rFonts w:asciiTheme="minorHAnsi" w:hAnsiTheme="minorHAnsi"/>
          <w:b/>
          <w:snapToGrid w:val="0"/>
          <w:sz w:val="32"/>
          <w:szCs w:val="32"/>
        </w:rPr>
      </w:pPr>
      <w:r w:rsidRPr="00490DAE">
        <w:rPr>
          <w:rFonts w:asciiTheme="minorHAnsi" w:hAnsiTheme="minorHAnsi"/>
          <w:b/>
          <w:snapToGrid w:val="0"/>
          <w:sz w:val="32"/>
          <w:szCs w:val="32"/>
        </w:rPr>
        <w:t>10</w:t>
      </w:r>
      <w:r w:rsidRPr="00490DAE">
        <w:rPr>
          <w:rFonts w:asciiTheme="minorHAnsi" w:hAnsiTheme="minorHAnsi"/>
          <w:b/>
          <w:snapToGrid w:val="0"/>
          <w:sz w:val="32"/>
          <w:szCs w:val="32"/>
        </w:rPr>
        <w:tab/>
        <w:t>Sponsor’s Comment</w:t>
      </w:r>
    </w:p>
    <w:p w14:paraId="7266D38B" w14:textId="72FDB5A2" w:rsidR="00DF238D" w:rsidRDefault="00DF238D" w:rsidP="00DF238D">
      <w:pPr>
        <w:spacing w:after="120" w:line="276" w:lineRule="auto"/>
        <w:ind w:left="720"/>
        <w:rPr>
          <w:rStyle w:val="ui-provider"/>
        </w:rPr>
      </w:pPr>
      <w:r>
        <w:rPr>
          <w:rStyle w:val="ui-provider"/>
        </w:rPr>
        <w:t xml:space="preserve">Pfizer welcomes the PBAC recommendation for 20vPCV for NIP-listing for the prevention of pneumococcal disease in paediatric populations. While the PBAC recommended NIP-listing on the basis of a cost minimisation approach to 13vPCV or 15vPCV, Pfizer considers the clinical and economic benefits of the additional serotype coverage will have value for the Australian </w:t>
      </w:r>
      <w:r>
        <w:rPr>
          <w:rStyle w:val="Strong"/>
        </w:rPr>
        <w:t xml:space="preserve">paediatric population </w:t>
      </w:r>
      <w:r>
        <w:rPr>
          <w:rStyle w:val="ui-provider"/>
        </w:rPr>
        <w:t>vaccinated with 20vPCV.</w:t>
      </w:r>
    </w:p>
    <w:bookmarkEnd w:id="84"/>
    <w:p w14:paraId="54B5DBCE" w14:textId="77777777" w:rsidR="00570585" w:rsidRDefault="00570585" w:rsidP="00124200">
      <w:pPr>
        <w:tabs>
          <w:tab w:val="left" w:pos="1080"/>
        </w:tabs>
        <w:autoSpaceDE w:val="0"/>
        <w:autoSpaceDN w:val="0"/>
        <w:adjustRightInd w:val="0"/>
        <w:rPr>
          <w:rFonts w:asciiTheme="minorHAnsi" w:hAnsiTheme="minorHAnsi" w:cstheme="minorHAnsi"/>
        </w:rPr>
      </w:pPr>
    </w:p>
    <w:sectPr w:rsidR="00570585" w:rsidSect="00F870C5">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32C8" w14:textId="77777777" w:rsidR="00544068" w:rsidRDefault="00544068" w:rsidP="00124A51">
      <w:r>
        <w:separator/>
      </w:r>
    </w:p>
    <w:p w14:paraId="721F1D9C" w14:textId="77777777" w:rsidR="00544068" w:rsidRDefault="00544068"/>
  </w:endnote>
  <w:endnote w:type="continuationSeparator" w:id="0">
    <w:p w14:paraId="13E66344" w14:textId="77777777" w:rsidR="00544068" w:rsidRDefault="00544068" w:rsidP="00124A51">
      <w:r>
        <w:continuationSeparator/>
      </w:r>
    </w:p>
    <w:p w14:paraId="087ADBB5" w14:textId="77777777" w:rsidR="00544068" w:rsidRDefault="00544068"/>
  </w:endnote>
  <w:endnote w:type="continuationNotice" w:id="1">
    <w:p w14:paraId="235A7F3A" w14:textId="77777777" w:rsidR="00544068" w:rsidRDefault="00544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mesNewRoman">
    <w:altName w:val="Yu Gothic UI"/>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A3E6" w14:textId="77777777" w:rsidR="003F73D9" w:rsidRDefault="003F7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4CA0" w14:textId="77777777" w:rsidR="00F870C5" w:rsidRDefault="00F870C5" w:rsidP="00753B29">
    <w:pPr>
      <w:pStyle w:val="Footer"/>
      <w:jc w:val="center"/>
    </w:pPr>
  </w:p>
  <w:p w14:paraId="4D114FBF" w14:textId="4D054B06" w:rsidR="00F870C5" w:rsidRPr="007C1CD9" w:rsidRDefault="00815B75" w:rsidP="00815B75">
    <w:pPr>
      <w:pStyle w:val="Footer"/>
      <w:jc w:val="center"/>
    </w:pPr>
    <w:r w:rsidRPr="00836F75">
      <w:rPr>
        <w:b/>
      </w:rPr>
      <w:fldChar w:fldCharType="begin"/>
    </w:r>
    <w:r w:rsidRPr="00836F75">
      <w:rPr>
        <w:b/>
      </w:rPr>
      <w:instrText xml:space="preserve"> PAGE   \* MERGEFORMAT </w:instrText>
    </w:r>
    <w:r w:rsidRPr="00836F75">
      <w:rPr>
        <w:b/>
      </w:rPr>
      <w:fldChar w:fldCharType="separate"/>
    </w:r>
    <w:r>
      <w:rPr>
        <w:b/>
      </w:rPr>
      <w:t>29</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1F2A" w14:textId="77777777" w:rsidR="003F73D9" w:rsidRDefault="003F7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D4AF" w14:textId="77777777" w:rsidR="00544068" w:rsidRDefault="00544068" w:rsidP="00124A51">
      <w:r>
        <w:separator/>
      </w:r>
    </w:p>
    <w:p w14:paraId="64DDFE63" w14:textId="77777777" w:rsidR="00544068" w:rsidRDefault="00544068"/>
  </w:footnote>
  <w:footnote w:type="continuationSeparator" w:id="0">
    <w:p w14:paraId="29B6099F" w14:textId="77777777" w:rsidR="00544068" w:rsidRDefault="00544068" w:rsidP="00124A51">
      <w:r>
        <w:continuationSeparator/>
      </w:r>
    </w:p>
    <w:p w14:paraId="479BDCF2" w14:textId="77777777" w:rsidR="00544068" w:rsidRDefault="00544068"/>
  </w:footnote>
  <w:footnote w:type="continuationNotice" w:id="1">
    <w:p w14:paraId="36CA2F63" w14:textId="77777777" w:rsidR="00544068" w:rsidRDefault="00544068"/>
  </w:footnote>
  <w:footnote w:id="2">
    <w:p w14:paraId="42398D9B" w14:textId="7C3D3C1C" w:rsidR="00826D3B" w:rsidRPr="002011CA" w:rsidRDefault="00826D3B" w:rsidP="00826D3B">
      <w:pPr>
        <w:pStyle w:val="FootnoteText"/>
        <w:rPr>
          <w:lang w:val="en-US"/>
        </w:rPr>
      </w:pPr>
      <w:r>
        <w:rPr>
          <w:rStyle w:val="FootnoteReference"/>
        </w:rPr>
        <w:footnoteRef/>
      </w:r>
      <w:r w:rsidR="00462922">
        <w:t xml:space="preserve"> </w:t>
      </w:r>
      <w:r w:rsidRPr="002011CA">
        <w:t>https://www.health.gov.au/resources/publications/national-notifiable-diseases-surveillance-system-nndss-public-dataset-pneumococcal-disease-invasive?language=en</w:t>
      </w:r>
      <w:r w:rsidR="00462922">
        <w:t xml:space="preserve"> [accessed 9 September 2023] </w:t>
      </w:r>
    </w:p>
  </w:footnote>
  <w:footnote w:id="3">
    <w:p w14:paraId="0AFCBE12" w14:textId="77777777" w:rsidR="00410E60" w:rsidRPr="004207D7" w:rsidRDefault="00410E60" w:rsidP="00410E60">
      <w:pPr>
        <w:pStyle w:val="pf0"/>
        <w:tabs>
          <w:tab w:val="left" w:pos="196"/>
        </w:tabs>
        <w:spacing w:before="0" w:beforeAutospacing="0" w:after="0" w:afterAutospacing="0"/>
        <w:rPr>
          <w:rFonts w:asciiTheme="minorHAnsi" w:hAnsiTheme="minorHAnsi" w:cstheme="minorHAnsi"/>
          <w:color w:val="000000" w:themeColor="text1"/>
          <w:sz w:val="20"/>
          <w:szCs w:val="20"/>
        </w:rPr>
      </w:pPr>
      <w:r w:rsidRPr="004207D7">
        <w:rPr>
          <w:rStyle w:val="FootnoteReference"/>
          <w:rFonts w:asciiTheme="minorHAnsi" w:hAnsiTheme="minorHAnsi" w:cstheme="minorHAnsi"/>
          <w:sz w:val="20"/>
          <w:szCs w:val="20"/>
        </w:rPr>
        <w:footnoteRef/>
      </w:r>
      <w:r w:rsidRPr="004207D7">
        <w:rPr>
          <w:rFonts w:asciiTheme="minorHAnsi" w:hAnsiTheme="minorHAnsi" w:cstheme="minorHAnsi"/>
          <w:sz w:val="20"/>
          <w:szCs w:val="20"/>
        </w:rPr>
        <w:t xml:space="preserve"> </w:t>
      </w:r>
      <w:r w:rsidRPr="004207D7">
        <w:rPr>
          <w:rFonts w:asciiTheme="minorHAnsi" w:hAnsiTheme="minorHAnsi" w:cstheme="minorHAnsi"/>
          <w:color w:val="000000" w:themeColor="text1"/>
          <w:sz w:val="20"/>
          <w:szCs w:val="20"/>
        </w:rPr>
        <w:t>Savulescu C, Krizova P, Valentiner-Branth P, et al. Effectiveness of 10 and 13-valent pneumococcal conjugate vaccines against invasive pneumococcal disease in European children: SpIDnet observational multicentre study. Vaccine. 2022;40(29):3963-74.</w:t>
      </w:r>
    </w:p>
  </w:footnote>
  <w:footnote w:id="4">
    <w:p w14:paraId="1D14736F" w14:textId="77777777" w:rsidR="00410E60" w:rsidRPr="004207D7" w:rsidRDefault="00410E60" w:rsidP="00410E60">
      <w:pPr>
        <w:pStyle w:val="pf0"/>
        <w:tabs>
          <w:tab w:val="left" w:pos="196"/>
        </w:tabs>
        <w:spacing w:before="0" w:beforeAutospacing="0" w:after="0" w:afterAutospacing="0"/>
        <w:rPr>
          <w:rFonts w:asciiTheme="minorHAnsi" w:hAnsiTheme="minorHAnsi" w:cstheme="minorHAnsi"/>
          <w:color w:val="000000" w:themeColor="text1"/>
          <w:sz w:val="20"/>
          <w:szCs w:val="20"/>
        </w:rPr>
      </w:pPr>
      <w:r w:rsidRPr="004207D7">
        <w:rPr>
          <w:rStyle w:val="FootnoteReference"/>
          <w:rFonts w:asciiTheme="minorHAnsi" w:hAnsiTheme="minorHAnsi" w:cstheme="minorHAnsi"/>
          <w:sz w:val="20"/>
          <w:szCs w:val="20"/>
        </w:rPr>
        <w:footnoteRef/>
      </w:r>
      <w:r w:rsidRPr="004207D7">
        <w:rPr>
          <w:rFonts w:asciiTheme="minorHAnsi" w:hAnsiTheme="minorHAnsi" w:cstheme="minorHAnsi"/>
          <w:sz w:val="20"/>
          <w:szCs w:val="20"/>
        </w:rPr>
        <w:t xml:space="preserve"> </w:t>
      </w:r>
      <w:r w:rsidRPr="004207D7">
        <w:rPr>
          <w:rFonts w:asciiTheme="minorHAnsi" w:hAnsiTheme="minorHAnsi" w:cstheme="minorHAnsi"/>
          <w:color w:val="000000" w:themeColor="text1"/>
          <w:sz w:val="20"/>
          <w:szCs w:val="20"/>
        </w:rPr>
        <w:t>Savulescu C, Krizova P, Valentiner-Branth P, et al. Effectiveness of 10 and 13-valent pneumococcal conjugate vaccines against invasive pneumococcal disease in European children: SpIDnet observational multicentre study. Vaccine. 2022;40(29):3963-74.</w:t>
      </w:r>
    </w:p>
  </w:footnote>
  <w:footnote w:id="5">
    <w:p w14:paraId="0ED34332" w14:textId="2D0AEA15" w:rsidR="00410E60" w:rsidRPr="00862138" w:rsidRDefault="00410E60" w:rsidP="00862138">
      <w:pPr>
        <w:pStyle w:val="pf0"/>
        <w:tabs>
          <w:tab w:val="left" w:pos="196"/>
        </w:tabs>
        <w:spacing w:before="0" w:beforeAutospacing="0" w:after="0" w:afterAutospacing="0"/>
        <w:rPr>
          <w:rFonts w:asciiTheme="minorHAnsi" w:hAnsiTheme="minorHAnsi" w:cstheme="minorHAnsi"/>
          <w:color w:val="000000" w:themeColor="text1"/>
          <w:sz w:val="20"/>
          <w:szCs w:val="20"/>
        </w:rPr>
      </w:pPr>
      <w:r w:rsidRPr="00024F70">
        <w:rPr>
          <w:rFonts w:asciiTheme="minorHAnsi" w:hAnsiTheme="minorHAnsi" w:cstheme="minorHAnsi"/>
          <w:color w:val="000000" w:themeColor="text1"/>
          <w:sz w:val="20"/>
          <w:szCs w:val="20"/>
          <w:vertAlign w:val="superscript"/>
        </w:rPr>
        <w:footnoteRef/>
      </w:r>
      <w:r w:rsidRPr="00024F70">
        <w:rPr>
          <w:rFonts w:asciiTheme="minorHAnsi" w:hAnsiTheme="minorHAnsi" w:cstheme="minorHAnsi"/>
          <w:color w:val="000000" w:themeColor="text1"/>
          <w:sz w:val="20"/>
          <w:szCs w:val="20"/>
        </w:rPr>
        <w:t xml:space="preserve"> Hanquet G, Krizova P, Dalby T, Ladhani SN, Nuorti JP, Danis K, et al. Serotype replacement after introduction of 10-valent and 13-valent pneumococcal conjugate vaccines in 10 countries, Europe. Emerg Infect Dis. 2022;28(1):137-</w:t>
      </w:r>
      <w:r>
        <w:rPr>
          <w:rFonts w:asciiTheme="minorHAnsi" w:hAnsiTheme="minorHAnsi" w:cstheme="minorHAnsi"/>
          <w:color w:val="000000" w:themeColor="text1"/>
          <w:sz w:val="20"/>
          <w:szCs w:val="20"/>
        </w:rPr>
        <w:t>8.</w:t>
      </w:r>
    </w:p>
  </w:footnote>
  <w:footnote w:id="6">
    <w:p w14:paraId="462D92D2" w14:textId="77777777" w:rsidR="00CF56C1" w:rsidRDefault="00CF56C1" w:rsidP="00CF56C1">
      <w:pPr>
        <w:pStyle w:val="FootnoteText"/>
      </w:pPr>
      <w:r>
        <w:rPr>
          <w:rStyle w:val="FootnoteReference"/>
        </w:rPr>
        <w:footnoteRef/>
      </w:r>
      <w:r>
        <w:t xml:space="preserve"> </w:t>
      </w:r>
      <w:r w:rsidRPr="00ED34F2">
        <w:t>Choi EH, Zhang F, Lu YJ, Malley R. Capsular Polysaccharide (CPS) Release by Serotype 3 Pneumococcal Strains Reduces the Protective Effect of Anti-Type 3 CPS Antibodies. Clin Vaccine Immunol. 2015 Dec 16;23(2):162-7.</w:t>
      </w:r>
    </w:p>
  </w:footnote>
  <w:footnote w:id="7">
    <w:p w14:paraId="5D666B90" w14:textId="77777777" w:rsidR="00CF56C1" w:rsidRDefault="00CF56C1" w:rsidP="00CF56C1">
      <w:pPr>
        <w:pStyle w:val="FootnoteText"/>
      </w:pPr>
      <w:r>
        <w:rPr>
          <w:rStyle w:val="FootnoteReference"/>
        </w:rPr>
        <w:footnoteRef/>
      </w:r>
      <w:r>
        <w:t xml:space="preserve"> </w:t>
      </w:r>
      <w:r w:rsidRPr="00ED34F2">
        <w:t>Luck JN, Tettelin H, Orihuela CJ. Sugar-Coated Killer: Serotype 3 Pneumococcal Disease. Front Cell Infect Microbiol. 2020 Dec 23;10:613287.</w:t>
      </w:r>
    </w:p>
  </w:footnote>
  <w:footnote w:id="8">
    <w:p w14:paraId="13108D9D" w14:textId="34284BA4" w:rsidR="007E59F0" w:rsidRDefault="007E59F0">
      <w:pPr>
        <w:pStyle w:val="FootnoteText"/>
      </w:pPr>
      <w:r>
        <w:rPr>
          <w:rStyle w:val="FootnoteReference"/>
        </w:rPr>
        <w:footnoteRef/>
      </w:r>
      <w:r>
        <w:t xml:space="preserve"> </w:t>
      </w:r>
      <w:r w:rsidRPr="007E59F0">
        <w:t>Andrews NJ, Waight PA, Burbidge P, Pearce E, Roalfe L, Zancolli M, et al. Serotype-specific effectiveness and correlates of protection for the 13-valent pneumococcal conjugate vaccine: A postlicensure indirect cohort study. Lancet Infect Dis. 2014;14(9):839–46.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A67C" w14:textId="77777777" w:rsidR="003F73D9" w:rsidRDefault="003F7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A2E3" w14:textId="3F959B53" w:rsidR="00667D81" w:rsidRDefault="005110B3" w:rsidP="005110B3">
    <w:pPr>
      <w:pStyle w:val="Header"/>
      <w:rPr>
        <w:rFonts w:asciiTheme="minorHAnsi" w:hAnsiTheme="minorHAnsi" w:cstheme="minorHAnsi"/>
        <w:i/>
        <w:color w:val="808080"/>
      </w:rPr>
    </w:pPr>
    <w:r>
      <w:rPr>
        <w:rFonts w:asciiTheme="minorHAnsi" w:hAnsiTheme="minorHAnsi"/>
        <w:i/>
        <w:color w:val="808080"/>
      </w:rPr>
      <w:t>Public Summary Document</w:t>
    </w:r>
    <w:r w:rsidRPr="00865E80">
      <w:rPr>
        <w:rFonts w:asciiTheme="minorHAnsi" w:eastAsiaTheme="minorEastAsia" w:hAnsiTheme="minorHAnsi" w:cstheme="minorHAnsi"/>
        <w:i/>
        <w:color w:val="808080"/>
      </w:rPr>
      <w:t xml:space="preserve"> </w:t>
    </w:r>
    <w:r w:rsidR="00667D81" w:rsidRPr="007C13CC">
      <w:rPr>
        <w:rFonts w:asciiTheme="minorHAnsi" w:hAnsiTheme="minorHAnsi" w:cstheme="minorHAnsi"/>
        <w:i/>
        <w:color w:val="808080"/>
      </w:rPr>
      <w:t xml:space="preserve">– </w:t>
    </w:r>
    <w:r w:rsidR="00667D81">
      <w:rPr>
        <w:rFonts w:asciiTheme="minorHAnsi" w:hAnsiTheme="minorHAnsi" w:cstheme="minorHAnsi"/>
        <w:i/>
        <w:color w:val="808080"/>
      </w:rPr>
      <w:t>November 2023</w:t>
    </w:r>
    <w:r w:rsidR="00667D81" w:rsidRPr="007C13CC">
      <w:rPr>
        <w:rFonts w:asciiTheme="minorHAnsi" w:hAnsiTheme="minorHAnsi" w:cstheme="minorHAnsi"/>
        <w:i/>
        <w:color w:val="808080"/>
      </w:rPr>
      <w:t xml:space="preserve"> PBAC Meeting</w:t>
    </w:r>
  </w:p>
  <w:p w14:paraId="561F3389" w14:textId="77777777" w:rsidR="00667D81" w:rsidRDefault="00667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C2F7" w14:textId="77777777" w:rsidR="003F73D9" w:rsidRDefault="003F7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237D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19A84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CB12C5"/>
    <w:multiLevelType w:val="hybridMultilevel"/>
    <w:tmpl w:val="A114F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31A1E4B"/>
    <w:multiLevelType w:val="hybridMultilevel"/>
    <w:tmpl w:val="57885C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3FF0641"/>
    <w:multiLevelType w:val="hybridMultilevel"/>
    <w:tmpl w:val="1EBED2FC"/>
    <w:lvl w:ilvl="0" w:tplc="5F1654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A26B6A"/>
    <w:multiLevelType w:val="hybridMultilevel"/>
    <w:tmpl w:val="A07C4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BF7CAF"/>
    <w:multiLevelType w:val="hybridMultilevel"/>
    <w:tmpl w:val="1714B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7910593"/>
    <w:multiLevelType w:val="multilevel"/>
    <w:tmpl w:val="3E3E52B6"/>
    <w:lvl w:ilvl="0">
      <w:start w:val="1"/>
      <w:numFmt w:val="decimal"/>
      <w:lvlText w:val="%1"/>
      <w:lvlJc w:val="left"/>
      <w:pPr>
        <w:ind w:left="720" w:hanging="720"/>
      </w:pPr>
      <w:rPr>
        <w:rFonts w:hint="default"/>
        <w:b/>
        <w:sz w:val="32"/>
        <w:szCs w:val="32"/>
      </w:rPr>
    </w:lvl>
    <w:lvl w:ilvl="1">
      <w:start w:val="1"/>
      <w:numFmt w:val="decimal"/>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rPr>
        <w:rFonts w:hint="default"/>
      </w:rPr>
    </w:lvl>
  </w:abstractNum>
  <w:abstractNum w:abstractNumId="9"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067D7"/>
    <w:multiLevelType w:val="hybridMultilevel"/>
    <w:tmpl w:val="CD245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735EAE"/>
    <w:multiLevelType w:val="hybridMultilevel"/>
    <w:tmpl w:val="27428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674CAE"/>
    <w:multiLevelType w:val="hybridMultilevel"/>
    <w:tmpl w:val="0E66C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CCC7810"/>
    <w:multiLevelType w:val="hybridMultilevel"/>
    <w:tmpl w:val="86864410"/>
    <w:lvl w:ilvl="0" w:tplc="86E0BD3E">
      <w:start w:val="1"/>
      <w:numFmt w:val="bullet"/>
      <w:lvlText w:val="•"/>
      <w:lvlJc w:val="left"/>
      <w:pPr>
        <w:tabs>
          <w:tab w:val="num" w:pos="720"/>
        </w:tabs>
        <w:ind w:left="720" w:hanging="360"/>
      </w:pPr>
      <w:rPr>
        <w:rFonts w:ascii="Arial" w:hAnsi="Arial" w:hint="default"/>
      </w:rPr>
    </w:lvl>
    <w:lvl w:ilvl="1" w:tplc="9C6A1436" w:tentative="1">
      <w:start w:val="1"/>
      <w:numFmt w:val="bullet"/>
      <w:lvlText w:val="•"/>
      <w:lvlJc w:val="left"/>
      <w:pPr>
        <w:tabs>
          <w:tab w:val="num" w:pos="1440"/>
        </w:tabs>
        <w:ind w:left="1440" w:hanging="360"/>
      </w:pPr>
      <w:rPr>
        <w:rFonts w:ascii="Arial" w:hAnsi="Arial" w:hint="default"/>
      </w:rPr>
    </w:lvl>
    <w:lvl w:ilvl="2" w:tplc="B03EE474" w:tentative="1">
      <w:start w:val="1"/>
      <w:numFmt w:val="bullet"/>
      <w:lvlText w:val="•"/>
      <w:lvlJc w:val="left"/>
      <w:pPr>
        <w:tabs>
          <w:tab w:val="num" w:pos="2160"/>
        </w:tabs>
        <w:ind w:left="2160" w:hanging="360"/>
      </w:pPr>
      <w:rPr>
        <w:rFonts w:ascii="Arial" w:hAnsi="Arial" w:hint="default"/>
      </w:rPr>
    </w:lvl>
    <w:lvl w:ilvl="3" w:tplc="B2B4202A" w:tentative="1">
      <w:start w:val="1"/>
      <w:numFmt w:val="bullet"/>
      <w:lvlText w:val="•"/>
      <w:lvlJc w:val="left"/>
      <w:pPr>
        <w:tabs>
          <w:tab w:val="num" w:pos="2880"/>
        </w:tabs>
        <w:ind w:left="2880" w:hanging="360"/>
      </w:pPr>
      <w:rPr>
        <w:rFonts w:ascii="Arial" w:hAnsi="Arial" w:hint="default"/>
      </w:rPr>
    </w:lvl>
    <w:lvl w:ilvl="4" w:tplc="3FCE23FE" w:tentative="1">
      <w:start w:val="1"/>
      <w:numFmt w:val="bullet"/>
      <w:lvlText w:val="•"/>
      <w:lvlJc w:val="left"/>
      <w:pPr>
        <w:tabs>
          <w:tab w:val="num" w:pos="3600"/>
        </w:tabs>
        <w:ind w:left="3600" w:hanging="360"/>
      </w:pPr>
      <w:rPr>
        <w:rFonts w:ascii="Arial" w:hAnsi="Arial" w:hint="default"/>
      </w:rPr>
    </w:lvl>
    <w:lvl w:ilvl="5" w:tplc="4D645F3A" w:tentative="1">
      <w:start w:val="1"/>
      <w:numFmt w:val="bullet"/>
      <w:lvlText w:val="•"/>
      <w:lvlJc w:val="left"/>
      <w:pPr>
        <w:tabs>
          <w:tab w:val="num" w:pos="4320"/>
        </w:tabs>
        <w:ind w:left="4320" w:hanging="360"/>
      </w:pPr>
      <w:rPr>
        <w:rFonts w:ascii="Arial" w:hAnsi="Arial" w:hint="default"/>
      </w:rPr>
    </w:lvl>
    <w:lvl w:ilvl="6" w:tplc="C4941C98" w:tentative="1">
      <w:start w:val="1"/>
      <w:numFmt w:val="bullet"/>
      <w:lvlText w:val="•"/>
      <w:lvlJc w:val="left"/>
      <w:pPr>
        <w:tabs>
          <w:tab w:val="num" w:pos="5040"/>
        </w:tabs>
        <w:ind w:left="5040" w:hanging="360"/>
      </w:pPr>
      <w:rPr>
        <w:rFonts w:ascii="Arial" w:hAnsi="Arial" w:hint="default"/>
      </w:rPr>
    </w:lvl>
    <w:lvl w:ilvl="7" w:tplc="524EFDA4" w:tentative="1">
      <w:start w:val="1"/>
      <w:numFmt w:val="bullet"/>
      <w:lvlText w:val="•"/>
      <w:lvlJc w:val="left"/>
      <w:pPr>
        <w:tabs>
          <w:tab w:val="num" w:pos="5760"/>
        </w:tabs>
        <w:ind w:left="5760" w:hanging="360"/>
      </w:pPr>
      <w:rPr>
        <w:rFonts w:ascii="Arial" w:hAnsi="Arial" w:hint="default"/>
      </w:rPr>
    </w:lvl>
    <w:lvl w:ilvl="8" w:tplc="0D2EEA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271CAD"/>
    <w:multiLevelType w:val="multilevel"/>
    <w:tmpl w:val="A736769E"/>
    <w:lvl w:ilvl="0">
      <w:start w:val="1"/>
      <w:numFmt w:val="bullet"/>
      <w:pStyle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505C07"/>
    <w:multiLevelType w:val="hybridMultilevel"/>
    <w:tmpl w:val="9134E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CF88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D51DD8"/>
    <w:multiLevelType w:val="hybridMultilevel"/>
    <w:tmpl w:val="443E5A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FE729E"/>
    <w:multiLevelType w:val="hybridMultilevel"/>
    <w:tmpl w:val="C81A2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3B6491"/>
    <w:multiLevelType w:val="hybridMultilevel"/>
    <w:tmpl w:val="1CBE1F80"/>
    <w:lvl w:ilvl="0" w:tplc="CF42CB9E">
      <w:start w:val="1"/>
      <w:numFmt w:val="decimal"/>
      <w:lvlText w:val="%1."/>
      <w:lvlJc w:val="left"/>
      <w:pPr>
        <w:ind w:left="720" w:hanging="360"/>
      </w:pPr>
      <w:rPr>
        <w:rFonts w:ascii="Times New Roman" w:hAnsi="Times New Roman" w:cs="Times New Roman" w:hint="default"/>
        <w:color w:val="auto"/>
        <w:sz w:val="24"/>
        <w:szCs w:val="24"/>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D35F89"/>
    <w:multiLevelType w:val="hybridMultilevel"/>
    <w:tmpl w:val="AE208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EDD72B6"/>
    <w:multiLevelType w:val="multilevel"/>
    <w:tmpl w:val="A63E147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6E5DE8"/>
    <w:multiLevelType w:val="hybridMultilevel"/>
    <w:tmpl w:val="A20ADB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19743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42D2C23"/>
    <w:multiLevelType w:val="hybridMultilevel"/>
    <w:tmpl w:val="F0CA1A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844805"/>
    <w:multiLevelType w:val="hybridMultilevel"/>
    <w:tmpl w:val="590CA2F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F330EC1"/>
    <w:multiLevelType w:val="hybridMultilevel"/>
    <w:tmpl w:val="46300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2C51D1"/>
    <w:multiLevelType w:val="hybridMultilevel"/>
    <w:tmpl w:val="211A29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CC369D3"/>
    <w:multiLevelType w:val="hybridMultilevel"/>
    <w:tmpl w:val="56E6263E"/>
    <w:lvl w:ilvl="0" w:tplc="49CEF6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12A453C"/>
    <w:multiLevelType w:val="hybridMultilevel"/>
    <w:tmpl w:val="AB6AB3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9D43587"/>
    <w:multiLevelType w:val="hybridMultilevel"/>
    <w:tmpl w:val="F75C3EC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6F22CB52">
      <w:numFmt w:val="bullet"/>
      <w:lvlText w:val="•"/>
      <w:lvlJc w:val="left"/>
      <w:pPr>
        <w:ind w:left="2880" w:hanging="720"/>
      </w:pPr>
      <w:rPr>
        <w:rFonts w:ascii="Calibri" w:eastAsia="Times New Roman" w:hAnsi="Calibri" w:cs="Calibri"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26623F"/>
    <w:multiLevelType w:val="hybridMultilevel"/>
    <w:tmpl w:val="B3A444B4"/>
    <w:lvl w:ilvl="0" w:tplc="36941DAA">
      <w:start w:val="1"/>
      <w:numFmt w:val="bullet"/>
      <w:lvlText w:val="•"/>
      <w:lvlJc w:val="left"/>
      <w:pPr>
        <w:tabs>
          <w:tab w:val="num" w:pos="720"/>
        </w:tabs>
        <w:ind w:left="720" w:hanging="360"/>
      </w:pPr>
      <w:rPr>
        <w:rFonts w:ascii="Arial" w:hAnsi="Arial" w:hint="default"/>
      </w:rPr>
    </w:lvl>
    <w:lvl w:ilvl="1" w:tplc="6150A8A8" w:tentative="1">
      <w:start w:val="1"/>
      <w:numFmt w:val="bullet"/>
      <w:lvlText w:val="•"/>
      <w:lvlJc w:val="left"/>
      <w:pPr>
        <w:tabs>
          <w:tab w:val="num" w:pos="1440"/>
        </w:tabs>
        <w:ind w:left="1440" w:hanging="360"/>
      </w:pPr>
      <w:rPr>
        <w:rFonts w:ascii="Arial" w:hAnsi="Arial" w:hint="default"/>
      </w:rPr>
    </w:lvl>
    <w:lvl w:ilvl="2" w:tplc="D5A0FE2A" w:tentative="1">
      <w:start w:val="1"/>
      <w:numFmt w:val="bullet"/>
      <w:lvlText w:val="•"/>
      <w:lvlJc w:val="left"/>
      <w:pPr>
        <w:tabs>
          <w:tab w:val="num" w:pos="2160"/>
        </w:tabs>
        <w:ind w:left="2160" w:hanging="360"/>
      </w:pPr>
      <w:rPr>
        <w:rFonts w:ascii="Arial" w:hAnsi="Arial" w:hint="default"/>
      </w:rPr>
    </w:lvl>
    <w:lvl w:ilvl="3" w:tplc="1D48D808" w:tentative="1">
      <w:start w:val="1"/>
      <w:numFmt w:val="bullet"/>
      <w:lvlText w:val="•"/>
      <w:lvlJc w:val="left"/>
      <w:pPr>
        <w:tabs>
          <w:tab w:val="num" w:pos="2880"/>
        </w:tabs>
        <w:ind w:left="2880" w:hanging="360"/>
      </w:pPr>
      <w:rPr>
        <w:rFonts w:ascii="Arial" w:hAnsi="Arial" w:hint="default"/>
      </w:rPr>
    </w:lvl>
    <w:lvl w:ilvl="4" w:tplc="21CC0DAC" w:tentative="1">
      <w:start w:val="1"/>
      <w:numFmt w:val="bullet"/>
      <w:lvlText w:val="•"/>
      <w:lvlJc w:val="left"/>
      <w:pPr>
        <w:tabs>
          <w:tab w:val="num" w:pos="3600"/>
        </w:tabs>
        <w:ind w:left="3600" w:hanging="360"/>
      </w:pPr>
      <w:rPr>
        <w:rFonts w:ascii="Arial" w:hAnsi="Arial" w:hint="default"/>
      </w:rPr>
    </w:lvl>
    <w:lvl w:ilvl="5" w:tplc="FCDC4C00" w:tentative="1">
      <w:start w:val="1"/>
      <w:numFmt w:val="bullet"/>
      <w:lvlText w:val="•"/>
      <w:lvlJc w:val="left"/>
      <w:pPr>
        <w:tabs>
          <w:tab w:val="num" w:pos="4320"/>
        </w:tabs>
        <w:ind w:left="4320" w:hanging="360"/>
      </w:pPr>
      <w:rPr>
        <w:rFonts w:ascii="Arial" w:hAnsi="Arial" w:hint="default"/>
      </w:rPr>
    </w:lvl>
    <w:lvl w:ilvl="6" w:tplc="2E107DCA" w:tentative="1">
      <w:start w:val="1"/>
      <w:numFmt w:val="bullet"/>
      <w:lvlText w:val="•"/>
      <w:lvlJc w:val="left"/>
      <w:pPr>
        <w:tabs>
          <w:tab w:val="num" w:pos="5040"/>
        </w:tabs>
        <w:ind w:left="5040" w:hanging="360"/>
      </w:pPr>
      <w:rPr>
        <w:rFonts w:ascii="Arial" w:hAnsi="Arial" w:hint="default"/>
      </w:rPr>
    </w:lvl>
    <w:lvl w:ilvl="7" w:tplc="1908AD44" w:tentative="1">
      <w:start w:val="1"/>
      <w:numFmt w:val="bullet"/>
      <w:lvlText w:val="•"/>
      <w:lvlJc w:val="left"/>
      <w:pPr>
        <w:tabs>
          <w:tab w:val="num" w:pos="5760"/>
        </w:tabs>
        <w:ind w:left="5760" w:hanging="360"/>
      </w:pPr>
      <w:rPr>
        <w:rFonts w:ascii="Arial" w:hAnsi="Arial" w:hint="default"/>
      </w:rPr>
    </w:lvl>
    <w:lvl w:ilvl="8" w:tplc="8CEA92E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41E6403"/>
    <w:multiLevelType w:val="hybridMultilevel"/>
    <w:tmpl w:val="31808C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5A22386"/>
    <w:multiLevelType w:val="multilevel"/>
    <w:tmpl w:val="A63E147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4D033C"/>
    <w:multiLevelType w:val="multilevel"/>
    <w:tmpl w:val="23B4148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214C58"/>
    <w:multiLevelType w:val="hybridMultilevel"/>
    <w:tmpl w:val="3E84CC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795171F7"/>
    <w:multiLevelType w:val="hybridMultilevel"/>
    <w:tmpl w:val="C7D6F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4766804">
    <w:abstractNumId w:val="47"/>
  </w:num>
  <w:num w:numId="2" w16cid:durableId="353044437">
    <w:abstractNumId w:val="30"/>
  </w:num>
  <w:num w:numId="3" w16cid:durableId="797801453">
    <w:abstractNumId w:val="31"/>
  </w:num>
  <w:num w:numId="4" w16cid:durableId="2018261838">
    <w:abstractNumId w:val="1"/>
  </w:num>
  <w:num w:numId="5" w16cid:durableId="1974826476">
    <w:abstractNumId w:val="47"/>
  </w:num>
  <w:num w:numId="6" w16cid:durableId="105853355">
    <w:abstractNumId w:val="16"/>
  </w:num>
  <w:num w:numId="7" w16cid:durableId="2102681194">
    <w:abstractNumId w:val="40"/>
  </w:num>
  <w:num w:numId="8" w16cid:durableId="694158310">
    <w:abstractNumId w:val="12"/>
  </w:num>
  <w:num w:numId="9" w16cid:durableId="774834289">
    <w:abstractNumId w:val="6"/>
  </w:num>
  <w:num w:numId="10" w16cid:durableId="251087057">
    <w:abstractNumId w:val="21"/>
  </w:num>
  <w:num w:numId="11" w16cid:durableId="1048257165">
    <w:abstractNumId w:val="39"/>
  </w:num>
  <w:num w:numId="12" w16cid:durableId="606425029">
    <w:abstractNumId w:val="48"/>
  </w:num>
  <w:num w:numId="13" w16cid:durableId="25375639">
    <w:abstractNumId w:val="17"/>
  </w:num>
  <w:num w:numId="14" w16cid:durableId="1429040970">
    <w:abstractNumId w:val="23"/>
  </w:num>
  <w:num w:numId="15" w16cid:durableId="918098491">
    <w:abstractNumId w:val="41"/>
  </w:num>
  <w:num w:numId="16" w16cid:durableId="271206346">
    <w:abstractNumId w:val="45"/>
  </w:num>
  <w:num w:numId="17" w16cid:durableId="1299455148">
    <w:abstractNumId w:val="29"/>
  </w:num>
  <w:num w:numId="18" w16cid:durableId="589654868">
    <w:abstractNumId w:val="36"/>
  </w:num>
  <w:num w:numId="19" w16cid:durableId="863055998">
    <w:abstractNumId w:val="4"/>
  </w:num>
  <w:num w:numId="20" w16cid:durableId="2076277976">
    <w:abstractNumId w:val="27"/>
  </w:num>
  <w:num w:numId="21" w16cid:durableId="931624367">
    <w:abstractNumId w:val="32"/>
  </w:num>
  <w:num w:numId="22" w16cid:durableId="2096047553">
    <w:abstractNumId w:val="7"/>
  </w:num>
  <w:num w:numId="23" w16cid:durableId="661860028">
    <w:abstractNumId w:val="3"/>
  </w:num>
  <w:num w:numId="24" w16cid:durableId="1636371286">
    <w:abstractNumId w:val="15"/>
  </w:num>
  <w:num w:numId="25" w16cid:durableId="2116047784">
    <w:abstractNumId w:val="11"/>
  </w:num>
  <w:num w:numId="26" w16cid:durableId="1060516614">
    <w:abstractNumId w:val="25"/>
  </w:num>
  <w:num w:numId="27" w16cid:durableId="509107425">
    <w:abstractNumId w:val="49"/>
  </w:num>
  <w:num w:numId="28" w16cid:durableId="1152452589">
    <w:abstractNumId w:val="33"/>
  </w:num>
  <w:num w:numId="29" w16cid:durableId="1071120730">
    <w:abstractNumId w:val="13"/>
  </w:num>
  <w:num w:numId="30" w16cid:durableId="1750079437">
    <w:abstractNumId w:val="5"/>
  </w:num>
  <w:num w:numId="31" w16cid:durableId="1327906162">
    <w:abstractNumId w:val="37"/>
  </w:num>
  <w:num w:numId="32" w16cid:durableId="1657684587">
    <w:abstractNumId w:val="42"/>
  </w:num>
  <w:num w:numId="33" w16cid:durableId="540099102">
    <w:abstractNumId w:val="9"/>
  </w:num>
  <w:num w:numId="34" w16cid:durableId="2069105985">
    <w:abstractNumId w:val="34"/>
  </w:num>
  <w:num w:numId="35" w16cid:durableId="478039751">
    <w:abstractNumId w:val="35"/>
  </w:num>
  <w:num w:numId="36" w16cid:durableId="1899627865">
    <w:abstractNumId w:val="10"/>
  </w:num>
  <w:num w:numId="37" w16cid:durableId="1488279997">
    <w:abstractNumId w:val="2"/>
  </w:num>
  <w:num w:numId="38" w16cid:durableId="1632705709">
    <w:abstractNumId w:val="20"/>
  </w:num>
  <w:num w:numId="39" w16cid:durableId="1318463260">
    <w:abstractNumId w:val="22"/>
  </w:num>
  <w:num w:numId="40" w16cid:durableId="148132638">
    <w:abstractNumId w:val="19"/>
  </w:num>
  <w:num w:numId="41" w16cid:durableId="129744317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8859800">
    <w:abstractNumId w:val="43"/>
  </w:num>
  <w:num w:numId="43" w16cid:durableId="643391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2631264">
    <w:abstractNumId w:val="14"/>
  </w:num>
  <w:num w:numId="45" w16cid:durableId="1024669497">
    <w:abstractNumId w:val="44"/>
  </w:num>
  <w:num w:numId="46" w16cid:durableId="221672684">
    <w:abstractNumId w:val="46"/>
  </w:num>
  <w:num w:numId="47" w16cid:durableId="468934023">
    <w:abstractNumId w:val="26"/>
  </w:num>
  <w:num w:numId="48" w16cid:durableId="531236562">
    <w:abstractNumId w:val="28"/>
  </w:num>
  <w:num w:numId="49" w16cid:durableId="1697346130">
    <w:abstractNumId w:val="0"/>
  </w:num>
  <w:num w:numId="50" w16cid:durableId="1899708427">
    <w:abstractNumId w:val="18"/>
  </w:num>
  <w:num w:numId="51" w16cid:durableId="831066670">
    <w:abstractNumId w:val="47"/>
  </w:num>
  <w:num w:numId="52" w16cid:durableId="1558667494">
    <w:abstractNumId w:val="47"/>
  </w:num>
  <w:num w:numId="53" w16cid:durableId="594706415">
    <w:abstractNumId w:val="47"/>
  </w:num>
  <w:num w:numId="54" w16cid:durableId="1399203121">
    <w:abstractNumId w:val="47"/>
  </w:num>
  <w:num w:numId="55" w16cid:durableId="247931036">
    <w:abstractNumId w:val="47"/>
  </w:num>
  <w:num w:numId="56" w16cid:durableId="21504681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0MrY0NTa2MLWwMDBV0lEKTi0uzszPAykwNq0FAGYNiYAtAAAA"/>
  </w:docVars>
  <w:rsids>
    <w:rsidRoot w:val="00E65E79"/>
    <w:rsid w:val="00000790"/>
    <w:rsid w:val="0000110B"/>
    <w:rsid w:val="00003499"/>
    <w:rsid w:val="000039B7"/>
    <w:rsid w:val="000056B9"/>
    <w:rsid w:val="0000639A"/>
    <w:rsid w:val="0001266B"/>
    <w:rsid w:val="00013247"/>
    <w:rsid w:val="000138E3"/>
    <w:rsid w:val="00015886"/>
    <w:rsid w:val="000162EF"/>
    <w:rsid w:val="0001640D"/>
    <w:rsid w:val="000207C9"/>
    <w:rsid w:val="0002225F"/>
    <w:rsid w:val="00022A2D"/>
    <w:rsid w:val="00023763"/>
    <w:rsid w:val="00024EB5"/>
    <w:rsid w:val="00024F70"/>
    <w:rsid w:val="000274B8"/>
    <w:rsid w:val="00031C5A"/>
    <w:rsid w:val="00033863"/>
    <w:rsid w:val="00035DC0"/>
    <w:rsid w:val="00036829"/>
    <w:rsid w:val="000404A7"/>
    <w:rsid w:val="00040895"/>
    <w:rsid w:val="000410A0"/>
    <w:rsid w:val="000435EE"/>
    <w:rsid w:val="00043C37"/>
    <w:rsid w:val="00043DD2"/>
    <w:rsid w:val="000441E2"/>
    <w:rsid w:val="00045017"/>
    <w:rsid w:val="00045A2B"/>
    <w:rsid w:val="0004698F"/>
    <w:rsid w:val="00046D64"/>
    <w:rsid w:val="000508C2"/>
    <w:rsid w:val="00051941"/>
    <w:rsid w:val="00052760"/>
    <w:rsid w:val="0005276F"/>
    <w:rsid w:val="000539D0"/>
    <w:rsid w:val="00054621"/>
    <w:rsid w:val="000546D7"/>
    <w:rsid w:val="00054A8D"/>
    <w:rsid w:val="00055941"/>
    <w:rsid w:val="00055ADE"/>
    <w:rsid w:val="00056869"/>
    <w:rsid w:val="00056ECF"/>
    <w:rsid w:val="00057FF6"/>
    <w:rsid w:val="000604DF"/>
    <w:rsid w:val="00062DBC"/>
    <w:rsid w:val="000653B5"/>
    <w:rsid w:val="00066360"/>
    <w:rsid w:val="00066AF8"/>
    <w:rsid w:val="00071248"/>
    <w:rsid w:val="000720B9"/>
    <w:rsid w:val="00072506"/>
    <w:rsid w:val="0007300C"/>
    <w:rsid w:val="000737F7"/>
    <w:rsid w:val="00073AD1"/>
    <w:rsid w:val="00074236"/>
    <w:rsid w:val="000749CE"/>
    <w:rsid w:val="0007672F"/>
    <w:rsid w:val="00076B54"/>
    <w:rsid w:val="000774F0"/>
    <w:rsid w:val="00077CE4"/>
    <w:rsid w:val="00080909"/>
    <w:rsid w:val="000812CA"/>
    <w:rsid w:val="00081E63"/>
    <w:rsid w:val="0008258D"/>
    <w:rsid w:val="00083396"/>
    <w:rsid w:val="00083E99"/>
    <w:rsid w:val="00084FA8"/>
    <w:rsid w:val="000856C5"/>
    <w:rsid w:val="00085C31"/>
    <w:rsid w:val="0008635E"/>
    <w:rsid w:val="00087E4A"/>
    <w:rsid w:val="000902D9"/>
    <w:rsid w:val="00090C7E"/>
    <w:rsid w:val="000911AC"/>
    <w:rsid w:val="000912A4"/>
    <w:rsid w:val="000914D6"/>
    <w:rsid w:val="00092600"/>
    <w:rsid w:val="0009262B"/>
    <w:rsid w:val="00093310"/>
    <w:rsid w:val="0009445C"/>
    <w:rsid w:val="00095200"/>
    <w:rsid w:val="00095FE5"/>
    <w:rsid w:val="00096284"/>
    <w:rsid w:val="000A0009"/>
    <w:rsid w:val="000A049A"/>
    <w:rsid w:val="000A1670"/>
    <w:rsid w:val="000A1BC0"/>
    <w:rsid w:val="000A2192"/>
    <w:rsid w:val="000A2CD5"/>
    <w:rsid w:val="000A2F9E"/>
    <w:rsid w:val="000A3E47"/>
    <w:rsid w:val="000A522B"/>
    <w:rsid w:val="000A6039"/>
    <w:rsid w:val="000A7453"/>
    <w:rsid w:val="000A7D08"/>
    <w:rsid w:val="000B0121"/>
    <w:rsid w:val="000B0670"/>
    <w:rsid w:val="000B0E75"/>
    <w:rsid w:val="000B2DCB"/>
    <w:rsid w:val="000B349C"/>
    <w:rsid w:val="000B3F76"/>
    <w:rsid w:val="000B557F"/>
    <w:rsid w:val="000B57A8"/>
    <w:rsid w:val="000B5CE0"/>
    <w:rsid w:val="000B6735"/>
    <w:rsid w:val="000B6CAC"/>
    <w:rsid w:val="000B7612"/>
    <w:rsid w:val="000B78AE"/>
    <w:rsid w:val="000C2335"/>
    <w:rsid w:val="000C3DF9"/>
    <w:rsid w:val="000C4CF2"/>
    <w:rsid w:val="000C6713"/>
    <w:rsid w:val="000C72B1"/>
    <w:rsid w:val="000D04B3"/>
    <w:rsid w:val="000D1BFC"/>
    <w:rsid w:val="000D1D5D"/>
    <w:rsid w:val="000D281A"/>
    <w:rsid w:val="000D2848"/>
    <w:rsid w:val="000D326A"/>
    <w:rsid w:val="000D38E5"/>
    <w:rsid w:val="000D51FB"/>
    <w:rsid w:val="000D6921"/>
    <w:rsid w:val="000D7F10"/>
    <w:rsid w:val="000E0640"/>
    <w:rsid w:val="000E135D"/>
    <w:rsid w:val="000E1AC1"/>
    <w:rsid w:val="000E2266"/>
    <w:rsid w:val="000E3F99"/>
    <w:rsid w:val="000E5892"/>
    <w:rsid w:val="000E6513"/>
    <w:rsid w:val="000E7014"/>
    <w:rsid w:val="000F00BA"/>
    <w:rsid w:val="000F1CFA"/>
    <w:rsid w:val="000F316A"/>
    <w:rsid w:val="000F3C74"/>
    <w:rsid w:val="000F41B3"/>
    <w:rsid w:val="000F421E"/>
    <w:rsid w:val="000F4BB8"/>
    <w:rsid w:val="000F4FA9"/>
    <w:rsid w:val="000F53FB"/>
    <w:rsid w:val="000F7127"/>
    <w:rsid w:val="000F71C1"/>
    <w:rsid w:val="000F7B54"/>
    <w:rsid w:val="001000B3"/>
    <w:rsid w:val="00100F8A"/>
    <w:rsid w:val="0010452E"/>
    <w:rsid w:val="0010575E"/>
    <w:rsid w:val="001058BF"/>
    <w:rsid w:val="00105AE2"/>
    <w:rsid w:val="001060C6"/>
    <w:rsid w:val="00106B80"/>
    <w:rsid w:val="0011032E"/>
    <w:rsid w:val="0011348B"/>
    <w:rsid w:val="00115982"/>
    <w:rsid w:val="00116984"/>
    <w:rsid w:val="00116C53"/>
    <w:rsid w:val="00121799"/>
    <w:rsid w:val="001222FC"/>
    <w:rsid w:val="00123902"/>
    <w:rsid w:val="00124200"/>
    <w:rsid w:val="00124A51"/>
    <w:rsid w:val="00124FA6"/>
    <w:rsid w:val="0012527C"/>
    <w:rsid w:val="00126621"/>
    <w:rsid w:val="00126B1D"/>
    <w:rsid w:val="001301E9"/>
    <w:rsid w:val="001301F1"/>
    <w:rsid w:val="00131D82"/>
    <w:rsid w:val="00132B22"/>
    <w:rsid w:val="00133D36"/>
    <w:rsid w:val="0013727C"/>
    <w:rsid w:val="00137645"/>
    <w:rsid w:val="0014015A"/>
    <w:rsid w:val="00140E99"/>
    <w:rsid w:val="001427E6"/>
    <w:rsid w:val="00143F67"/>
    <w:rsid w:val="00145234"/>
    <w:rsid w:val="00145540"/>
    <w:rsid w:val="001456B0"/>
    <w:rsid w:val="00151638"/>
    <w:rsid w:val="00152E65"/>
    <w:rsid w:val="001547AB"/>
    <w:rsid w:val="00155060"/>
    <w:rsid w:val="0015544B"/>
    <w:rsid w:val="00156F8F"/>
    <w:rsid w:val="00157130"/>
    <w:rsid w:val="001576B1"/>
    <w:rsid w:val="0016047B"/>
    <w:rsid w:val="00160A4C"/>
    <w:rsid w:val="00160C16"/>
    <w:rsid w:val="001610A9"/>
    <w:rsid w:val="00162913"/>
    <w:rsid w:val="001631A8"/>
    <w:rsid w:val="00163EFF"/>
    <w:rsid w:val="00163F66"/>
    <w:rsid w:val="0016478E"/>
    <w:rsid w:val="00165EC4"/>
    <w:rsid w:val="001661FB"/>
    <w:rsid w:val="001671A0"/>
    <w:rsid w:val="0016767F"/>
    <w:rsid w:val="00167EEF"/>
    <w:rsid w:val="00173565"/>
    <w:rsid w:val="00173B07"/>
    <w:rsid w:val="001751FA"/>
    <w:rsid w:val="00177D66"/>
    <w:rsid w:val="001803FE"/>
    <w:rsid w:val="00181C10"/>
    <w:rsid w:val="00181D9C"/>
    <w:rsid w:val="001829AB"/>
    <w:rsid w:val="001837FF"/>
    <w:rsid w:val="00184B0E"/>
    <w:rsid w:val="0018752F"/>
    <w:rsid w:val="00193838"/>
    <w:rsid w:val="00194AD8"/>
    <w:rsid w:val="001950C8"/>
    <w:rsid w:val="00195222"/>
    <w:rsid w:val="00195452"/>
    <w:rsid w:val="001960D6"/>
    <w:rsid w:val="00196FA3"/>
    <w:rsid w:val="001975D8"/>
    <w:rsid w:val="001A178E"/>
    <w:rsid w:val="001A43FA"/>
    <w:rsid w:val="001A45B5"/>
    <w:rsid w:val="001A47C5"/>
    <w:rsid w:val="001A547C"/>
    <w:rsid w:val="001A59FB"/>
    <w:rsid w:val="001A5E9E"/>
    <w:rsid w:val="001A6354"/>
    <w:rsid w:val="001A6366"/>
    <w:rsid w:val="001A7AE8"/>
    <w:rsid w:val="001B0025"/>
    <w:rsid w:val="001B204E"/>
    <w:rsid w:val="001B2372"/>
    <w:rsid w:val="001B3443"/>
    <w:rsid w:val="001B3F8A"/>
    <w:rsid w:val="001B4D20"/>
    <w:rsid w:val="001B68EA"/>
    <w:rsid w:val="001B6BB1"/>
    <w:rsid w:val="001B7F84"/>
    <w:rsid w:val="001C2A9B"/>
    <w:rsid w:val="001C3DD6"/>
    <w:rsid w:val="001C4299"/>
    <w:rsid w:val="001C4874"/>
    <w:rsid w:val="001C56BC"/>
    <w:rsid w:val="001C5F94"/>
    <w:rsid w:val="001C630F"/>
    <w:rsid w:val="001C6E66"/>
    <w:rsid w:val="001D0732"/>
    <w:rsid w:val="001D07EC"/>
    <w:rsid w:val="001D097D"/>
    <w:rsid w:val="001D1100"/>
    <w:rsid w:val="001D1391"/>
    <w:rsid w:val="001D160B"/>
    <w:rsid w:val="001D1879"/>
    <w:rsid w:val="001D25D7"/>
    <w:rsid w:val="001D479B"/>
    <w:rsid w:val="001D50B2"/>
    <w:rsid w:val="001D71F4"/>
    <w:rsid w:val="001D7645"/>
    <w:rsid w:val="001E1224"/>
    <w:rsid w:val="001E1E86"/>
    <w:rsid w:val="001E238E"/>
    <w:rsid w:val="001E2483"/>
    <w:rsid w:val="001E2B1E"/>
    <w:rsid w:val="001E2CFF"/>
    <w:rsid w:val="001E2F24"/>
    <w:rsid w:val="001E30D4"/>
    <w:rsid w:val="001E34DF"/>
    <w:rsid w:val="001E52EB"/>
    <w:rsid w:val="001E61D2"/>
    <w:rsid w:val="001E740C"/>
    <w:rsid w:val="001F1127"/>
    <w:rsid w:val="001F1235"/>
    <w:rsid w:val="001F1CB3"/>
    <w:rsid w:val="001F29DF"/>
    <w:rsid w:val="001F35C0"/>
    <w:rsid w:val="001F38B5"/>
    <w:rsid w:val="001F4081"/>
    <w:rsid w:val="001F7361"/>
    <w:rsid w:val="0020097E"/>
    <w:rsid w:val="002011B0"/>
    <w:rsid w:val="00203181"/>
    <w:rsid w:val="00203783"/>
    <w:rsid w:val="0020385F"/>
    <w:rsid w:val="00205907"/>
    <w:rsid w:val="002068A0"/>
    <w:rsid w:val="00207021"/>
    <w:rsid w:val="0020732F"/>
    <w:rsid w:val="00207D00"/>
    <w:rsid w:val="002105C1"/>
    <w:rsid w:val="002116FD"/>
    <w:rsid w:val="00213EF5"/>
    <w:rsid w:val="00214186"/>
    <w:rsid w:val="00214FC7"/>
    <w:rsid w:val="00216BF5"/>
    <w:rsid w:val="002170B0"/>
    <w:rsid w:val="00220DC9"/>
    <w:rsid w:val="002211D0"/>
    <w:rsid w:val="00223B49"/>
    <w:rsid w:val="00223D5A"/>
    <w:rsid w:val="0022494F"/>
    <w:rsid w:val="00224DD4"/>
    <w:rsid w:val="002278A0"/>
    <w:rsid w:val="002309CC"/>
    <w:rsid w:val="00231BA9"/>
    <w:rsid w:val="0023209F"/>
    <w:rsid w:val="00233C01"/>
    <w:rsid w:val="0023413C"/>
    <w:rsid w:val="002346F0"/>
    <w:rsid w:val="00234C06"/>
    <w:rsid w:val="00235B89"/>
    <w:rsid w:val="0023629D"/>
    <w:rsid w:val="00237255"/>
    <w:rsid w:val="002400E9"/>
    <w:rsid w:val="002424AF"/>
    <w:rsid w:val="00243871"/>
    <w:rsid w:val="002439DC"/>
    <w:rsid w:val="002441D2"/>
    <w:rsid w:val="00244DC8"/>
    <w:rsid w:val="002455F3"/>
    <w:rsid w:val="002458BA"/>
    <w:rsid w:val="00245CE9"/>
    <w:rsid w:val="0024636C"/>
    <w:rsid w:val="00247925"/>
    <w:rsid w:val="00251006"/>
    <w:rsid w:val="002524D5"/>
    <w:rsid w:val="00253125"/>
    <w:rsid w:val="00253B1D"/>
    <w:rsid w:val="00254DCF"/>
    <w:rsid w:val="0025534B"/>
    <w:rsid w:val="00255BB7"/>
    <w:rsid w:val="00257541"/>
    <w:rsid w:val="00257A39"/>
    <w:rsid w:val="00257AC4"/>
    <w:rsid w:val="00257BBE"/>
    <w:rsid w:val="00261EEF"/>
    <w:rsid w:val="00262A1A"/>
    <w:rsid w:val="00262A87"/>
    <w:rsid w:val="00263A8C"/>
    <w:rsid w:val="002649A2"/>
    <w:rsid w:val="00264D26"/>
    <w:rsid w:val="002651E1"/>
    <w:rsid w:val="00267642"/>
    <w:rsid w:val="00267AEA"/>
    <w:rsid w:val="00267F2E"/>
    <w:rsid w:val="002700E6"/>
    <w:rsid w:val="0027294B"/>
    <w:rsid w:val="00273EB4"/>
    <w:rsid w:val="00274682"/>
    <w:rsid w:val="00274979"/>
    <w:rsid w:val="00275158"/>
    <w:rsid w:val="00275B2C"/>
    <w:rsid w:val="00275C5A"/>
    <w:rsid w:val="00280F52"/>
    <w:rsid w:val="00281014"/>
    <w:rsid w:val="00283BDC"/>
    <w:rsid w:val="00285BCE"/>
    <w:rsid w:val="0028665D"/>
    <w:rsid w:val="002910AC"/>
    <w:rsid w:val="00297F48"/>
    <w:rsid w:val="002A0CAB"/>
    <w:rsid w:val="002A0F7A"/>
    <w:rsid w:val="002A14AB"/>
    <w:rsid w:val="002A14B4"/>
    <w:rsid w:val="002A250E"/>
    <w:rsid w:val="002A2ADE"/>
    <w:rsid w:val="002A2F50"/>
    <w:rsid w:val="002A31B6"/>
    <w:rsid w:val="002A7943"/>
    <w:rsid w:val="002B05A1"/>
    <w:rsid w:val="002B09A4"/>
    <w:rsid w:val="002B0D15"/>
    <w:rsid w:val="002B1C1F"/>
    <w:rsid w:val="002B271D"/>
    <w:rsid w:val="002B432F"/>
    <w:rsid w:val="002B62B3"/>
    <w:rsid w:val="002B6754"/>
    <w:rsid w:val="002B6CCE"/>
    <w:rsid w:val="002B7393"/>
    <w:rsid w:val="002C24CD"/>
    <w:rsid w:val="002C2510"/>
    <w:rsid w:val="002C2775"/>
    <w:rsid w:val="002C27C1"/>
    <w:rsid w:val="002C36E3"/>
    <w:rsid w:val="002C37B1"/>
    <w:rsid w:val="002C5099"/>
    <w:rsid w:val="002C5889"/>
    <w:rsid w:val="002C71CE"/>
    <w:rsid w:val="002D08F8"/>
    <w:rsid w:val="002D577C"/>
    <w:rsid w:val="002D7832"/>
    <w:rsid w:val="002E1071"/>
    <w:rsid w:val="002E15B9"/>
    <w:rsid w:val="002E2158"/>
    <w:rsid w:val="002E2DA7"/>
    <w:rsid w:val="002E3E11"/>
    <w:rsid w:val="002E4F02"/>
    <w:rsid w:val="002E52B9"/>
    <w:rsid w:val="002E58C7"/>
    <w:rsid w:val="002E6A84"/>
    <w:rsid w:val="002E70FB"/>
    <w:rsid w:val="002E7722"/>
    <w:rsid w:val="002F07BA"/>
    <w:rsid w:val="002F0DA9"/>
    <w:rsid w:val="002F1014"/>
    <w:rsid w:val="002F1E3B"/>
    <w:rsid w:val="002F21E3"/>
    <w:rsid w:val="002F24F0"/>
    <w:rsid w:val="002F410A"/>
    <w:rsid w:val="002F643C"/>
    <w:rsid w:val="002F71C0"/>
    <w:rsid w:val="002F74F1"/>
    <w:rsid w:val="002F776D"/>
    <w:rsid w:val="002F7E3E"/>
    <w:rsid w:val="00300E1A"/>
    <w:rsid w:val="00301017"/>
    <w:rsid w:val="0030155F"/>
    <w:rsid w:val="003036F9"/>
    <w:rsid w:val="00304B85"/>
    <w:rsid w:val="0030569A"/>
    <w:rsid w:val="0030587B"/>
    <w:rsid w:val="00306D98"/>
    <w:rsid w:val="00306EBA"/>
    <w:rsid w:val="0030786C"/>
    <w:rsid w:val="0031031A"/>
    <w:rsid w:val="00310981"/>
    <w:rsid w:val="00311230"/>
    <w:rsid w:val="00311D9B"/>
    <w:rsid w:val="003124D9"/>
    <w:rsid w:val="00312594"/>
    <w:rsid w:val="00315498"/>
    <w:rsid w:val="00316474"/>
    <w:rsid w:val="003164B9"/>
    <w:rsid w:val="00316877"/>
    <w:rsid w:val="00320678"/>
    <w:rsid w:val="00321D08"/>
    <w:rsid w:val="003220A4"/>
    <w:rsid w:val="00322107"/>
    <w:rsid w:val="00322355"/>
    <w:rsid w:val="00322846"/>
    <w:rsid w:val="00325852"/>
    <w:rsid w:val="00326DA7"/>
    <w:rsid w:val="003270E4"/>
    <w:rsid w:val="00330DAA"/>
    <w:rsid w:val="00330DD8"/>
    <w:rsid w:val="00330F5C"/>
    <w:rsid w:val="00333050"/>
    <w:rsid w:val="00334332"/>
    <w:rsid w:val="003366C9"/>
    <w:rsid w:val="003369D4"/>
    <w:rsid w:val="003371B0"/>
    <w:rsid w:val="00337272"/>
    <w:rsid w:val="00340DF1"/>
    <w:rsid w:val="0034311E"/>
    <w:rsid w:val="0034690B"/>
    <w:rsid w:val="003517F9"/>
    <w:rsid w:val="00351BA9"/>
    <w:rsid w:val="003526A7"/>
    <w:rsid w:val="003526A9"/>
    <w:rsid w:val="00354F64"/>
    <w:rsid w:val="00355E1C"/>
    <w:rsid w:val="0035620E"/>
    <w:rsid w:val="003575BE"/>
    <w:rsid w:val="00360345"/>
    <w:rsid w:val="00360482"/>
    <w:rsid w:val="00361A05"/>
    <w:rsid w:val="003624C4"/>
    <w:rsid w:val="00362BAC"/>
    <w:rsid w:val="00363B00"/>
    <w:rsid w:val="003654AC"/>
    <w:rsid w:val="003710CF"/>
    <w:rsid w:val="0037358A"/>
    <w:rsid w:val="0037397F"/>
    <w:rsid w:val="003750F6"/>
    <w:rsid w:val="003760FC"/>
    <w:rsid w:val="00381617"/>
    <w:rsid w:val="003818FE"/>
    <w:rsid w:val="00382BDB"/>
    <w:rsid w:val="0038365C"/>
    <w:rsid w:val="0038369B"/>
    <w:rsid w:val="00383B78"/>
    <w:rsid w:val="00383B81"/>
    <w:rsid w:val="00385A9D"/>
    <w:rsid w:val="00385FE6"/>
    <w:rsid w:val="00387121"/>
    <w:rsid w:val="003902B1"/>
    <w:rsid w:val="0039179C"/>
    <w:rsid w:val="00393622"/>
    <w:rsid w:val="00396896"/>
    <w:rsid w:val="00396F70"/>
    <w:rsid w:val="00396FD0"/>
    <w:rsid w:val="003A1A7A"/>
    <w:rsid w:val="003A2392"/>
    <w:rsid w:val="003A2831"/>
    <w:rsid w:val="003A3CB6"/>
    <w:rsid w:val="003A3ED1"/>
    <w:rsid w:val="003A3F03"/>
    <w:rsid w:val="003A44DB"/>
    <w:rsid w:val="003A4C14"/>
    <w:rsid w:val="003B0D60"/>
    <w:rsid w:val="003B339D"/>
    <w:rsid w:val="003B3971"/>
    <w:rsid w:val="003B55D1"/>
    <w:rsid w:val="003B5B61"/>
    <w:rsid w:val="003B768C"/>
    <w:rsid w:val="003C1654"/>
    <w:rsid w:val="003C5542"/>
    <w:rsid w:val="003C7C15"/>
    <w:rsid w:val="003C7CAB"/>
    <w:rsid w:val="003C7D19"/>
    <w:rsid w:val="003C7D2F"/>
    <w:rsid w:val="003D0C5A"/>
    <w:rsid w:val="003D1828"/>
    <w:rsid w:val="003D1DE4"/>
    <w:rsid w:val="003D1E9A"/>
    <w:rsid w:val="003D2422"/>
    <w:rsid w:val="003D28E3"/>
    <w:rsid w:val="003D39A1"/>
    <w:rsid w:val="003D3C5C"/>
    <w:rsid w:val="003D3FBF"/>
    <w:rsid w:val="003D4A30"/>
    <w:rsid w:val="003D51B6"/>
    <w:rsid w:val="003D64EA"/>
    <w:rsid w:val="003D6BA6"/>
    <w:rsid w:val="003D7452"/>
    <w:rsid w:val="003D7622"/>
    <w:rsid w:val="003D79BB"/>
    <w:rsid w:val="003D7C98"/>
    <w:rsid w:val="003D7D9D"/>
    <w:rsid w:val="003E0543"/>
    <w:rsid w:val="003E5603"/>
    <w:rsid w:val="003E749E"/>
    <w:rsid w:val="003F19BA"/>
    <w:rsid w:val="003F4156"/>
    <w:rsid w:val="003F5ADF"/>
    <w:rsid w:val="003F73D9"/>
    <w:rsid w:val="00400B29"/>
    <w:rsid w:val="00400FE7"/>
    <w:rsid w:val="0040183E"/>
    <w:rsid w:val="00402812"/>
    <w:rsid w:val="00404ADF"/>
    <w:rsid w:val="0040504B"/>
    <w:rsid w:val="004059F4"/>
    <w:rsid w:val="00407FE5"/>
    <w:rsid w:val="004101B0"/>
    <w:rsid w:val="00410326"/>
    <w:rsid w:val="00410708"/>
    <w:rsid w:val="00410E60"/>
    <w:rsid w:val="00410EC7"/>
    <w:rsid w:val="00411B39"/>
    <w:rsid w:val="004127A7"/>
    <w:rsid w:val="00413A1E"/>
    <w:rsid w:val="00414476"/>
    <w:rsid w:val="00414C2E"/>
    <w:rsid w:val="004151CF"/>
    <w:rsid w:val="004155FB"/>
    <w:rsid w:val="0041578B"/>
    <w:rsid w:val="004159D6"/>
    <w:rsid w:val="00415E54"/>
    <w:rsid w:val="00416364"/>
    <w:rsid w:val="00416E45"/>
    <w:rsid w:val="0042047F"/>
    <w:rsid w:val="004207D7"/>
    <w:rsid w:val="00420AA6"/>
    <w:rsid w:val="00420B9F"/>
    <w:rsid w:val="0042192C"/>
    <w:rsid w:val="00422260"/>
    <w:rsid w:val="0042413F"/>
    <w:rsid w:val="0042521E"/>
    <w:rsid w:val="004260F6"/>
    <w:rsid w:val="0042716D"/>
    <w:rsid w:val="004319F8"/>
    <w:rsid w:val="00431E55"/>
    <w:rsid w:val="004321F6"/>
    <w:rsid w:val="00432F98"/>
    <w:rsid w:val="00433044"/>
    <w:rsid w:val="00434088"/>
    <w:rsid w:val="00436532"/>
    <w:rsid w:val="004375B9"/>
    <w:rsid w:val="00437A72"/>
    <w:rsid w:val="004421E3"/>
    <w:rsid w:val="004426E4"/>
    <w:rsid w:val="004428D0"/>
    <w:rsid w:val="00444185"/>
    <w:rsid w:val="004443A7"/>
    <w:rsid w:val="0044442C"/>
    <w:rsid w:val="00445941"/>
    <w:rsid w:val="004464EB"/>
    <w:rsid w:val="00447D26"/>
    <w:rsid w:val="00447DFC"/>
    <w:rsid w:val="00451BE3"/>
    <w:rsid w:val="004547D7"/>
    <w:rsid w:val="00455D45"/>
    <w:rsid w:val="00460900"/>
    <w:rsid w:val="00462672"/>
    <w:rsid w:val="00462922"/>
    <w:rsid w:val="00462E26"/>
    <w:rsid w:val="00463637"/>
    <w:rsid w:val="00464595"/>
    <w:rsid w:val="004658B5"/>
    <w:rsid w:val="0046770C"/>
    <w:rsid w:val="00471EA5"/>
    <w:rsid w:val="00472A79"/>
    <w:rsid w:val="00473169"/>
    <w:rsid w:val="00473DA1"/>
    <w:rsid w:val="00473E45"/>
    <w:rsid w:val="00473F19"/>
    <w:rsid w:val="0047587E"/>
    <w:rsid w:val="00475C2D"/>
    <w:rsid w:val="00475E22"/>
    <w:rsid w:val="004769C0"/>
    <w:rsid w:val="0048088E"/>
    <w:rsid w:val="00480F2B"/>
    <w:rsid w:val="00482720"/>
    <w:rsid w:val="00482E1F"/>
    <w:rsid w:val="004835E7"/>
    <w:rsid w:val="004859E1"/>
    <w:rsid w:val="004867E2"/>
    <w:rsid w:val="00487A2B"/>
    <w:rsid w:val="00490B17"/>
    <w:rsid w:val="00490DAE"/>
    <w:rsid w:val="00491B3A"/>
    <w:rsid w:val="00492CFD"/>
    <w:rsid w:val="0049382B"/>
    <w:rsid w:val="00494207"/>
    <w:rsid w:val="00494DD5"/>
    <w:rsid w:val="004962D2"/>
    <w:rsid w:val="004A0690"/>
    <w:rsid w:val="004A0DA1"/>
    <w:rsid w:val="004A13D6"/>
    <w:rsid w:val="004A4A80"/>
    <w:rsid w:val="004A52E9"/>
    <w:rsid w:val="004A54BF"/>
    <w:rsid w:val="004A6040"/>
    <w:rsid w:val="004A6597"/>
    <w:rsid w:val="004A7848"/>
    <w:rsid w:val="004A793B"/>
    <w:rsid w:val="004B0413"/>
    <w:rsid w:val="004B1CB4"/>
    <w:rsid w:val="004B2668"/>
    <w:rsid w:val="004B2F18"/>
    <w:rsid w:val="004B3DDB"/>
    <w:rsid w:val="004B44FD"/>
    <w:rsid w:val="004B5CFC"/>
    <w:rsid w:val="004B6F79"/>
    <w:rsid w:val="004B774D"/>
    <w:rsid w:val="004C2AC2"/>
    <w:rsid w:val="004C4AED"/>
    <w:rsid w:val="004D08BC"/>
    <w:rsid w:val="004D2C2D"/>
    <w:rsid w:val="004D69B5"/>
    <w:rsid w:val="004D7227"/>
    <w:rsid w:val="004D7B5E"/>
    <w:rsid w:val="004E0E7F"/>
    <w:rsid w:val="004E0EB8"/>
    <w:rsid w:val="004E18E9"/>
    <w:rsid w:val="004E2ADC"/>
    <w:rsid w:val="004E2D9A"/>
    <w:rsid w:val="004E43B2"/>
    <w:rsid w:val="004E45F5"/>
    <w:rsid w:val="004F0F48"/>
    <w:rsid w:val="004F16F0"/>
    <w:rsid w:val="004F1D02"/>
    <w:rsid w:val="004F2679"/>
    <w:rsid w:val="004F2F21"/>
    <w:rsid w:val="004F3DE5"/>
    <w:rsid w:val="004F5877"/>
    <w:rsid w:val="004F6913"/>
    <w:rsid w:val="004F7865"/>
    <w:rsid w:val="005002A6"/>
    <w:rsid w:val="0050174E"/>
    <w:rsid w:val="00501854"/>
    <w:rsid w:val="00501A1A"/>
    <w:rsid w:val="005020B3"/>
    <w:rsid w:val="0050219B"/>
    <w:rsid w:val="005029D9"/>
    <w:rsid w:val="00503F17"/>
    <w:rsid w:val="00503F3A"/>
    <w:rsid w:val="00506928"/>
    <w:rsid w:val="005077EF"/>
    <w:rsid w:val="005110B3"/>
    <w:rsid w:val="005110CD"/>
    <w:rsid w:val="00511AD5"/>
    <w:rsid w:val="00511DC7"/>
    <w:rsid w:val="0051309C"/>
    <w:rsid w:val="005142C5"/>
    <w:rsid w:val="005147BF"/>
    <w:rsid w:val="0051501B"/>
    <w:rsid w:val="005152B5"/>
    <w:rsid w:val="00515886"/>
    <w:rsid w:val="0052123C"/>
    <w:rsid w:val="00521319"/>
    <w:rsid w:val="00522045"/>
    <w:rsid w:val="00522BC8"/>
    <w:rsid w:val="00522BF9"/>
    <w:rsid w:val="00523C28"/>
    <w:rsid w:val="00527065"/>
    <w:rsid w:val="0053176B"/>
    <w:rsid w:val="005320A8"/>
    <w:rsid w:val="005341B3"/>
    <w:rsid w:val="00534D13"/>
    <w:rsid w:val="00535A4A"/>
    <w:rsid w:val="00536805"/>
    <w:rsid w:val="00536C78"/>
    <w:rsid w:val="00536EB4"/>
    <w:rsid w:val="00536F42"/>
    <w:rsid w:val="00537182"/>
    <w:rsid w:val="00541EDD"/>
    <w:rsid w:val="00542743"/>
    <w:rsid w:val="00542C2D"/>
    <w:rsid w:val="0054354B"/>
    <w:rsid w:val="005437D8"/>
    <w:rsid w:val="00544068"/>
    <w:rsid w:val="00545D2B"/>
    <w:rsid w:val="005478BD"/>
    <w:rsid w:val="005479E3"/>
    <w:rsid w:val="00547BC0"/>
    <w:rsid w:val="00551985"/>
    <w:rsid w:val="00552BD3"/>
    <w:rsid w:val="005532A0"/>
    <w:rsid w:val="00554B49"/>
    <w:rsid w:val="00554D8F"/>
    <w:rsid w:val="00555109"/>
    <w:rsid w:val="00555EE2"/>
    <w:rsid w:val="00556B35"/>
    <w:rsid w:val="0055741A"/>
    <w:rsid w:val="00557F11"/>
    <w:rsid w:val="005611B7"/>
    <w:rsid w:val="005618D4"/>
    <w:rsid w:val="005632C1"/>
    <w:rsid w:val="00563B31"/>
    <w:rsid w:val="00564867"/>
    <w:rsid w:val="00564EA0"/>
    <w:rsid w:val="00565C79"/>
    <w:rsid w:val="00565DF0"/>
    <w:rsid w:val="0056696F"/>
    <w:rsid w:val="00570585"/>
    <w:rsid w:val="00571321"/>
    <w:rsid w:val="00572269"/>
    <w:rsid w:val="0057244A"/>
    <w:rsid w:val="005728CA"/>
    <w:rsid w:val="00572F26"/>
    <w:rsid w:val="0057456C"/>
    <w:rsid w:val="00574E84"/>
    <w:rsid w:val="005750C5"/>
    <w:rsid w:val="005752DE"/>
    <w:rsid w:val="00575999"/>
    <w:rsid w:val="00575D60"/>
    <w:rsid w:val="00575D8D"/>
    <w:rsid w:val="00575EEB"/>
    <w:rsid w:val="00576972"/>
    <w:rsid w:val="00577248"/>
    <w:rsid w:val="00583699"/>
    <w:rsid w:val="005854A7"/>
    <w:rsid w:val="00585CDD"/>
    <w:rsid w:val="00587058"/>
    <w:rsid w:val="005915C4"/>
    <w:rsid w:val="00591957"/>
    <w:rsid w:val="00594491"/>
    <w:rsid w:val="00594FE1"/>
    <w:rsid w:val="00597164"/>
    <w:rsid w:val="0059717F"/>
    <w:rsid w:val="00597BF9"/>
    <w:rsid w:val="005A03E0"/>
    <w:rsid w:val="005A0C11"/>
    <w:rsid w:val="005A309A"/>
    <w:rsid w:val="005A373D"/>
    <w:rsid w:val="005A79C1"/>
    <w:rsid w:val="005B0B58"/>
    <w:rsid w:val="005B4E53"/>
    <w:rsid w:val="005B4F16"/>
    <w:rsid w:val="005B5857"/>
    <w:rsid w:val="005C039D"/>
    <w:rsid w:val="005C19C4"/>
    <w:rsid w:val="005C1B83"/>
    <w:rsid w:val="005C25FF"/>
    <w:rsid w:val="005C26CB"/>
    <w:rsid w:val="005C2D55"/>
    <w:rsid w:val="005C346B"/>
    <w:rsid w:val="005C4C6F"/>
    <w:rsid w:val="005C5ABC"/>
    <w:rsid w:val="005D044D"/>
    <w:rsid w:val="005D0ABD"/>
    <w:rsid w:val="005D18AD"/>
    <w:rsid w:val="005D1D8E"/>
    <w:rsid w:val="005D26B4"/>
    <w:rsid w:val="005D5F7C"/>
    <w:rsid w:val="005E1995"/>
    <w:rsid w:val="005E306A"/>
    <w:rsid w:val="005E3F88"/>
    <w:rsid w:val="005E6CBC"/>
    <w:rsid w:val="005E72FF"/>
    <w:rsid w:val="005E73C0"/>
    <w:rsid w:val="005F07ED"/>
    <w:rsid w:val="005F2706"/>
    <w:rsid w:val="005F4F8B"/>
    <w:rsid w:val="005F6A8F"/>
    <w:rsid w:val="005F6BB7"/>
    <w:rsid w:val="005F7588"/>
    <w:rsid w:val="00602BFD"/>
    <w:rsid w:val="00603DB9"/>
    <w:rsid w:val="00606FBA"/>
    <w:rsid w:val="00607669"/>
    <w:rsid w:val="006076F4"/>
    <w:rsid w:val="00607AFD"/>
    <w:rsid w:val="00607B83"/>
    <w:rsid w:val="006114D1"/>
    <w:rsid w:val="00611B12"/>
    <w:rsid w:val="006126C0"/>
    <w:rsid w:val="00612F97"/>
    <w:rsid w:val="0061345D"/>
    <w:rsid w:val="006134DF"/>
    <w:rsid w:val="00614A71"/>
    <w:rsid w:val="0061549B"/>
    <w:rsid w:val="00615C1B"/>
    <w:rsid w:val="00616802"/>
    <w:rsid w:val="00616A96"/>
    <w:rsid w:val="00617E12"/>
    <w:rsid w:val="00620C25"/>
    <w:rsid w:val="00621477"/>
    <w:rsid w:val="00621ADA"/>
    <w:rsid w:val="00623F7B"/>
    <w:rsid w:val="00624BD4"/>
    <w:rsid w:val="0063158F"/>
    <w:rsid w:val="00631D6B"/>
    <w:rsid w:val="00631E11"/>
    <w:rsid w:val="00632183"/>
    <w:rsid w:val="006330A1"/>
    <w:rsid w:val="0063479F"/>
    <w:rsid w:val="006353F0"/>
    <w:rsid w:val="006357B5"/>
    <w:rsid w:val="006364A1"/>
    <w:rsid w:val="0063678E"/>
    <w:rsid w:val="00636998"/>
    <w:rsid w:val="00637BFD"/>
    <w:rsid w:val="00637C5C"/>
    <w:rsid w:val="00640D33"/>
    <w:rsid w:val="0064168A"/>
    <w:rsid w:val="00641C4E"/>
    <w:rsid w:val="00641FB3"/>
    <w:rsid w:val="0064257C"/>
    <w:rsid w:val="00642B3F"/>
    <w:rsid w:val="0064434C"/>
    <w:rsid w:val="00646DE4"/>
    <w:rsid w:val="006471CC"/>
    <w:rsid w:val="006472FE"/>
    <w:rsid w:val="00647A29"/>
    <w:rsid w:val="00647B6E"/>
    <w:rsid w:val="0065079F"/>
    <w:rsid w:val="00651907"/>
    <w:rsid w:val="006520D3"/>
    <w:rsid w:val="00652A28"/>
    <w:rsid w:val="00652AEB"/>
    <w:rsid w:val="00652C9F"/>
    <w:rsid w:val="0065379F"/>
    <w:rsid w:val="00654801"/>
    <w:rsid w:val="00655E08"/>
    <w:rsid w:val="00655EBC"/>
    <w:rsid w:val="00656188"/>
    <w:rsid w:val="0065715A"/>
    <w:rsid w:val="00660767"/>
    <w:rsid w:val="006610F1"/>
    <w:rsid w:val="006614C8"/>
    <w:rsid w:val="00661C6B"/>
    <w:rsid w:val="00662D3E"/>
    <w:rsid w:val="00665FEF"/>
    <w:rsid w:val="00666085"/>
    <w:rsid w:val="00666527"/>
    <w:rsid w:val="00667BE3"/>
    <w:rsid w:val="00667D81"/>
    <w:rsid w:val="00670810"/>
    <w:rsid w:val="00671004"/>
    <w:rsid w:val="00672646"/>
    <w:rsid w:val="00674774"/>
    <w:rsid w:val="00674E42"/>
    <w:rsid w:val="00676563"/>
    <w:rsid w:val="00676FF5"/>
    <w:rsid w:val="00680E41"/>
    <w:rsid w:val="006813F8"/>
    <w:rsid w:val="00682112"/>
    <w:rsid w:val="00682560"/>
    <w:rsid w:val="00682BA6"/>
    <w:rsid w:val="00686413"/>
    <w:rsid w:val="00686957"/>
    <w:rsid w:val="006872BA"/>
    <w:rsid w:val="0068737C"/>
    <w:rsid w:val="00690795"/>
    <w:rsid w:val="00691648"/>
    <w:rsid w:val="006917D7"/>
    <w:rsid w:val="0069434C"/>
    <w:rsid w:val="00694F44"/>
    <w:rsid w:val="00696EF9"/>
    <w:rsid w:val="00696F51"/>
    <w:rsid w:val="006979A5"/>
    <w:rsid w:val="006A016F"/>
    <w:rsid w:val="006A0DF7"/>
    <w:rsid w:val="006A2425"/>
    <w:rsid w:val="006A4321"/>
    <w:rsid w:val="006A43D9"/>
    <w:rsid w:val="006A6B99"/>
    <w:rsid w:val="006A7E5F"/>
    <w:rsid w:val="006B0326"/>
    <w:rsid w:val="006B261B"/>
    <w:rsid w:val="006B2C90"/>
    <w:rsid w:val="006B35E6"/>
    <w:rsid w:val="006B465A"/>
    <w:rsid w:val="006B6DD0"/>
    <w:rsid w:val="006B7DF6"/>
    <w:rsid w:val="006C0399"/>
    <w:rsid w:val="006C2A8E"/>
    <w:rsid w:val="006C3255"/>
    <w:rsid w:val="006C3E38"/>
    <w:rsid w:val="006C3F26"/>
    <w:rsid w:val="006C4484"/>
    <w:rsid w:val="006C5C58"/>
    <w:rsid w:val="006C6645"/>
    <w:rsid w:val="006D0D17"/>
    <w:rsid w:val="006D1758"/>
    <w:rsid w:val="006D3C7D"/>
    <w:rsid w:val="006D4659"/>
    <w:rsid w:val="006D5D5F"/>
    <w:rsid w:val="006D60E3"/>
    <w:rsid w:val="006D66B3"/>
    <w:rsid w:val="006D68FB"/>
    <w:rsid w:val="006D6C17"/>
    <w:rsid w:val="006D7E76"/>
    <w:rsid w:val="006E17D2"/>
    <w:rsid w:val="006E1EB7"/>
    <w:rsid w:val="006E2868"/>
    <w:rsid w:val="006E4B7D"/>
    <w:rsid w:val="006E5486"/>
    <w:rsid w:val="006E7CDA"/>
    <w:rsid w:val="006F1C07"/>
    <w:rsid w:val="006F306C"/>
    <w:rsid w:val="006F44E2"/>
    <w:rsid w:val="006F4AEF"/>
    <w:rsid w:val="006F63A5"/>
    <w:rsid w:val="006F6886"/>
    <w:rsid w:val="006F78C4"/>
    <w:rsid w:val="0070142B"/>
    <w:rsid w:val="0070276E"/>
    <w:rsid w:val="00702F8F"/>
    <w:rsid w:val="00703D8B"/>
    <w:rsid w:val="007079FC"/>
    <w:rsid w:val="00711A36"/>
    <w:rsid w:val="007125D3"/>
    <w:rsid w:val="00714C01"/>
    <w:rsid w:val="00714C26"/>
    <w:rsid w:val="0071529C"/>
    <w:rsid w:val="007170DA"/>
    <w:rsid w:val="007172AD"/>
    <w:rsid w:val="00717546"/>
    <w:rsid w:val="00717847"/>
    <w:rsid w:val="00717C91"/>
    <w:rsid w:val="00720801"/>
    <w:rsid w:val="00722B1B"/>
    <w:rsid w:val="0072416F"/>
    <w:rsid w:val="007260EE"/>
    <w:rsid w:val="0072712A"/>
    <w:rsid w:val="00727C94"/>
    <w:rsid w:val="00731B0A"/>
    <w:rsid w:val="00731EAE"/>
    <w:rsid w:val="00733073"/>
    <w:rsid w:val="00735033"/>
    <w:rsid w:val="00735328"/>
    <w:rsid w:val="00735E1A"/>
    <w:rsid w:val="007364F5"/>
    <w:rsid w:val="0073685B"/>
    <w:rsid w:val="007449BF"/>
    <w:rsid w:val="00745820"/>
    <w:rsid w:val="007463FE"/>
    <w:rsid w:val="0074665D"/>
    <w:rsid w:val="00746868"/>
    <w:rsid w:val="007468FE"/>
    <w:rsid w:val="00746BC0"/>
    <w:rsid w:val="007510B4"/>
    <w:rsid w:val="00751187"/>
    <w:rsid w:val="00752142"/>
    <w:rsid w:val="007523F9"/>
    <w:rsid w:val="0075357E"/>
    <w:rsid w:val="00753B29"/>
    <w:rsid w:val="007573E8"/>
    <w:rsid w:val="00760006"/>
    <w:rsid w:val="0076048A"/>
    <w:rsid w:val="00760C4E"/>
    <w:rsid w:val="00760F9E"/>
    <w:rsid w:val="007616E6"/>
    <w:rsid w:val="00761C43"/>
    <w:rsid w:val="00762268"/>
    <w:rsid w:val="007627BE"/>
    <w:rsid w:val="00762F2F"/>
    <w:rsid w:val="007638B8"/>
    <w:rsid w:val="007642E4"/>
    <w:rsid w:val="00764F03"/>
    <w:rsid w:val="00765B1A"/>
    <w:rsid w:val="00765DC1"/>
    <w:rsid w:val="00766FB9"/>
    <w:rsid w:val="00771091"/>
    <w:rsid w:val="00771398"/>
    <w:rsid w:val="00773E3E"/>
    <w:rsid w:val="00777307"/>
    <w:rsid w:val="00777335"/>
    <w:rsid w:val="00781EC6"/>
    <w:rsid w:val="007843F2"/>
    <w:rsid w:val="007846FA"/>
    <w:rsid w:val="00785A9F"/>
    <w:rsid w:val="007925DF"/>
    <w:rsid w:val="007A08AA"/>
    <w:rsid w:val="007A0A12"/>
    <w:rsid w:val="007A132D"/>
    <w:rsid w:val="007A1345"/>
    <w:rsid w:val="007A2DDB"/>
    <w:rsid w:val="007A64DE"/>
    <w:rsid w:val="007A6518"/>
    <w:rsid w:val="007A70BA"/>
    <w:rsid w:val="007A7AE5"/>
    <w:rsid w:val="007A7C83"/>
    <w:rsid w:val="007B0D68"/>
    <w:rsid w:val="007B251D"/>
    <w:rsid w:val="007B3533"/>
    <w:rsid w:val="007B4F58"/>
    <w:rsid w:val="007B528D"/>
    <w:rsid w:val="007B63CA"/>
    <w:rsid w:val="007B77D1"/>
    <w:rsid w:val="007B7CE2"/>
    <w:rsid w:val="007C07C7"/>
    <w:rsid w:val="007C1CD9"/>
    <w:rsid w:val="007C219B"/>
    <w:rsid w:val="007C28D4"/>
    <w:rsid w:val="007C2C68"/>
    <w:rsid w:val="007C32EF"/>
    <w:rsid w:val="007C361D"/>
    <w:rsid w:val="007C4B84"/>
    <w:rsid w:val="007C70FF"/>
    <w:rsid w:val="007C7C25"/>
    <w:rsid w:val="007D004F"/>
    <w:rsid w:val="007D035F"/>
    <w:rsid w:val="007D06B2"/>
    <w:rsid w:val="007D0B38"/>
    <w:rsid w:val="007D5440"/>
    <w:rsid w:val="007D69EB"/>
    <w:rsid w:val="007D7ED4"/>
    <w:rsid w:val="007E128F"/>
    <w:rsid w:val="007E17AB"/>
    <w:rsid w:val="007E568D"/>
    <w:rsid w:val="007E59F0"/>
    <w:rsid w:val="007F1017"/>
    <w:rsid w:val="007F4A3F"/>
    <w:rsid w:val="007F4A61"/>
    <w:rsid w:val="007F5255"/>
    <w:rsid w:val="007F56CC"/>
    <w:rsid w:val="007F61C2"/>
    <w:rsid w:val="007F6C47"/>
    <w:rsid w:val="0080059C"/>
    <w:rsid w:val="00801146"/>
    <w:rsid w:val="0080329F"/>
    <w:rsid w:val="00803C0F"/>
    <w:rsid w:val="00804F16"/>
    <w:rsid w:val="00805142"/>
    <w:rsid w:val="00805558"/>
    <w:rsid w:val="00805FCE"/>
    <w:rsid w:val="0080764C"/>
    <w:rsid w:val="00807A8B"/>
    <w:rsid w:val="00811383"/>
    <w:rsid w:val="00811E66"/>
    <w:rsid w:val="00812149"/>
    <w:rsid w:val="00812CAC"/>
    <w:rsid w:val="00813591"/>
    <w:rsid w:val="00815267"/>
    <w:rsid w:val="00815B75"/>
    <w:rsid w:val="0081631E"/>
    <w:rsid w:val="00816361"/>
    <w:rsid w:val="008166EF"/>
    <w:rsid w:val="00816FEF"/>
    <w:rsid w:val="00820A8C"/>
    <w:rsid w:val="008215FB"/>
    <w:rsid w:val="008220CC"/>
    <w:rsid w:val="00823174"/>
    <w:rsid w:val="00824F63"/>
    <w:rsid w:val="00825751"/>
    <w:rsid w:val="008264EB"/>
    <w:rsid w:val="00826533"/>
    <w:rsid w:val="008268CE"/>
    <w:rsid w:val="00826D3B"/>
    <w:rsid w:val="00827C23"/>
    <w:rsid w:val="00827C7B"/>
    <w:rsid w:val="00830A79"/>
    <w:rsid w:val="00833B05"/>
    <w:rsid w:val="00833C7D"/>
    <w:rsid w:val="00835049"/>
    <w:rsid w:val="008362B4"/>
    <w:rsid w:val="00836C74"/>
    <w:rsid w:val="00840CA2"/>
    <w:rsid w:val="0084374F"/>
    <w:rsid w:val="00844A22"/>
    <w:rsid w:val="00845433"/>
    <w:rsid w:val="00845D2E"/>
    <w:rsid w:val="008471D2"/>
    <w:rsid w:val="00847703"/>
    <w:rsid w:val="00847DF5"/>
    <w:rsid w:val="0085309D"/>
    <w:rsid w:val="00853846"/>
    <w:rsid w:val="00856897"/>
    <w:rsid w:val="00856E9A"/>
    <w:rsid w:val="0086075D"/>
    <w:rsid w:val="00862138"/>
    <w:rsid w:val="00862502"/>
    <w:rsid w:val="00862CC1"/>
    <w:rsid w:val="00863713"/>
    <w:rsid w:val="008642A7"/>
    <w:rsid w:val="008660D4"/>
    <w:rsid w:val="00871FA9"/>
    <w:rsid w:val="008728E9"/>
    <w:rsid w:val="0087327D"/>
    <w:rsid w:val="008754BE"/>
    <w:rsid w:val="00882874"/>
    <w:rsid w:val="00882B31"/>
    <w:rsid w:val="00882E3C"/>
    <w:rsid w:val="0088308A"/>
    <w:rsid w:val="00883160"/>
    <w:rsid w:val="00883787"/>
    <w:rsid w:val="008855E4"/>
    <w:rsid w:val="00886050"/>
    <w:rsid w:val="00886CD2"/>
    <w:rsid w:val="008874D7"/>
    <w:rsid w:val="00890C38"/>
    <w:rsid w:val="008913D4"/>
    <w:rsid w:val="00891E6F"/>
    <w:rsid w:val="008925AA"/>
    <w:rsid w:val="0089275D"/>
    <w:rsid w:val="00892A36"/>
    <w:rsid w:val="00893239"/>
    <w:rsid w:val="00894489"/>
    <w:rsid w:val="00894CD6"/>
    <w:rsid w:val="008959C1"/>
    <w:rsid w:val="008963A5"/>
    <w:rsid w:val="00896D5D"/>
    <w:rsid w:val="00897925"/>
    <w:rsid w:val="008A1557"/>
    <w:rsid w:val="008A3158"/>
    <w:rsid w:val="008A3363"/>
    <w:rsid w:val="008A3371"/>
    <w:rsid w:val="008A3C3E"/>
    <w:rsid w:val="008A79DE"/>
    <w:rsid w:val="008B0235"/>
    <w:rsid w:val="008B13A6"/>
    <w:rsid w:val="008B1757"/>
    <w:rsid w:val="008B1C33"/>
    <w:rsid w:val="008B4B6F"/>
    <w:rsid w:val="008B5900"/>
    <w:rsid w:val="008B7992"/>
    <w:rsid w:val="008B7AC3"/>
    <w:rsid w:val="008B7D7E"/>
    <w:rsid w:val="008C0264"/>
    <w:rsid w:val="008C480A"/>
    <w:rsid w:val="008C5610"/>
    <w:rsid w:val="008C5739"/>
    <w:rsid w:val="008C7152"/>
    <w:rsid w:val="008C7282"/>
    <w:rsid w:val="008C75E3"/>
    <w:rsid w:val="008C7ECB"/>
    <w:rsid w:val="008D1C38"/>
    <w:rsid w:val="008D253E"/>
    <w:rsid w:val="008D3B86"/>
    <w:rsid w:val="008D43FD"/>
    <w:rsid w:val="008D4755"/>
    <w:rsid w:val="008D4C3D"/>
    <w:rsid w:val="008D4E99"/>
    <w:rsid w:val="008D5159"/>
    <w:rsid w:val="008D5B82"/>
    <w:rsid w:val="008D7356"/>
    <w:rsid w:val="008D743C"/>
    <w:rsid w:val="008E0D3C"/>
    <w:rsid w:val="008E1B9E"/>
    <w:rsid w:val="008E55AB"/>
    <w:rsid w:val="008E757A"/>
    <w:rsid w:val="008F0254"/>
    <w:rsid w:val="008F120A"/>
    <w:rsid w:val="008F1C83"/>
    <w:rsid w:val="008F27E0"/>
    <w:rsid w:val="008F3345"/>
    <w:rsid w:val="008F4419"/>
    <w:rsid w:val="008F48EB"/>
    <w:rsid w:val="008F4F0B"/>
    <w:rsid w:val="00902DEA"/>
    <w:rsid w:val="00903188"/>
    <w:rsid w:val="00903C80"/>
    <w:rsid w:val="009041D8"/>
    <w:rsid w:val="009046C4"/>
    <w:rsid w:val="009062A5"/>
    <w:rsid w:val="00907699"/>
    <w:rsid w:val="00910FA7"/>
    <w:rsid w:val="00911272"/>
    <w:rsid w:val="00911339"/>
    <w:rsid w:val="009135D6"/>
    <w:rsid w:val="00913651"/>
    <w:rsid w:val="00914C77"/>
    <w:rsid w:val="00921ACB"/>
    <w:rsid w:val="0092369B"/>
    <w:rsid w:val="00925EC9"/>
    <w:rsid w:val="009273D8"/>
    <w:rsid w:val="009277EB"/>
    <w:rsid w:val="009301A7"/>
    <w:rsid w:val="00930264"/>
    <w:rsid w:val="00933D94"/>
    <w:rsid w:val="00934831"/>
    <w:rsid w:val="00934988"/>
    <w:rsid w:val="00935A81"/>
    <w:rsid w:val="00937089"/>
    <w:rsid w:val="00941776"/>
    <w:rsid w:val="00941A9F"/>
    <w:rsid w:val="00944F8A"/>
    <w:rsid w:val="00945922"/>
    <w:rsid w:val="009510A2"/>
    <w:rsid w:val="009523CC"/>
    <w:rsid w:val="00953257"/>
    <w:rsid w:val="0095474C"/>
    <w:rsid w:val="009556D5"/>
    <w:rsid w:val="0095593D"/>
    <w:rsid w:val="00955FF3"/>
    <w:rsid w:val="00956E12"/>
    <w:rsid w:val="00957D92"/>
    <w:rsid w:val="00960390"/>
    <w:rsid w:val="00962CB9"/>
    <w:rsid w:val="00964312"/>
    <w:rsid w:val="00964E95"/>
    <w:rsid w:val="00965B8A"/>
    <w:rsid w:val="00965C51"/>
    <w:rsid w:val="0096780E"/>
    <w:rsid w:val="0097071F"/>
    <w:rsid w:val="009717AC"/>
    <w:rsid w:val="009751C1"/>
    <w:rsid w:val="009811F1"/>
    <w:rsid w:val="0098123D"/>
    <w:rsid w:val="00982282"/>
    <w:rsid w:val="009829D1"/>
    <w:rsid w:val="00983E57"/>
    <w:rsid w:val="0098433E"/>
    <w:rsid w:val="00985A70"/>
    <w:rsid w:val="00985DE2"/>
    <w:rsid w:val="009863D0"/>
    <w:rsid w:val="0098675D"/>
    <w:rsid w:val="00987BA4"/>
    <w:rsid w:val="00990112"/>
    <w:rsid w:val="009908D6"/>
    <w:rsid w:val="009926E0"/>
    <w:rsid w:val="00994146"/>
    <w:rsid w:val="0099451E"/>
    <w:rsid w:val="00994620"/>
    <w:rsid w:val="009961AF"/>
    <w:rsid w:val="00996B1A"/>
    <w:rsid w:val="009A18F6"/>
    <w:rsid w:val="009A26AE"/>
    <w:rsid w:val="009A2DCC"/>
    <w:rsid w:val="009A5ABC"/>
    <w:rsid w:val="009A5D56"/>
    <w:rsid w:val="009A7D4D"/>
    <w:rsid w:val="009A7F10"/>
    <w:rsid w:val="009B08AC"/>
    <w:rsid w:val="009B15E6"/>
    <w:rsid w:val="009B3838"/>
    <w:rsid w:val="009B3E26"/>
    <w:rsid w:val="009B4CB6"/>
    <w:rsid w:val="009B4E91"/>
    <w:rsid w:val="009B67D0"/>
    <w:rsid w:val="009C0C17"/>
    <w:rsid w:val="009C1271"/>
    <w:rsid w:val="009C267B"/>
    <w:rsid w:val="009C3706"/>
    <w:rsid w:val="009C3A3A"/>
    <w:rsid w:val="009C3B42"/>
    <w:rsid w:val="009C55D5"/>
    <w:rsid w:val="009C63A1"/>
    <w:rsid w:val="009C69DC"/>
    <w:rsid w:val="009C6CEA"/>
    <w:rsid w:val="009C7B85"/>
    <w:rsid w:val="009D0254"/>
    <w:rsid w:val="009D0D43"/>
    <w:rsid w:val="009D1A64"/>
    <w:rsid w:val="009D3EAA"/>
    <w:rsid w:val="009D5662"/>
    <w:rsid w:val="009D5B91"/>
    <w:rsid w:val="009D763F"/>
    <w:rsid w:val="009D792E"/>
    <w:rsid w:val="009D798F"/>
    <w:rsid w:val="009E0DFE"/>
    <w:rsid w:val="009E27CB"/>
    <w:rsid w:val="009E31F6"/>
    <w:rsid w:val="009E34CD"/>
    <w:rsid w:val="009E3D19"/>
    <w:rsid w:val="009E4C07"/>
    <w:rsid w:val="009E7030"/>
    <w:rsid w:val="009E777F"/>
    <w:rsid w:val="009F1727"/>
    <w:rsid w:val="009F18E2"/>
    <w:rsid w:val="009F1CE5"/>
    <w:rsid w:val="009F3686"/>
    <w:rsid w:val="009F6120"/>
    <w:rsid w:val="00A009BC"/>
    <w:rsid w:val="00A00D76"/>
    <w:rsid w:val="00A01184"/>
    <w:rsid w:val="00A01449"/>
    <w:rsid w:val="00A037C2"/>
    <w:rsid w:val="00A03D43"/>
    <w:rsid w:val="00A03ED5"/>
    <w:rsid w:val="00A04380"/>
    <w:rsid w:val="00A04786"/>
    <w:rsid w:val="00A05472"/>
    <w:rsid w:val="00A05C32"/>
    <w:rsid w:val="00A05D8F"/>
    <w:rsid w:val="00A0653F"/>
    <w:rsid w:val="00A11CD0"/>
    <w:rsid w:val="00A13948"/>
    <w:rsid w:val="00A1555B"/>
    <w:rsid w:val="00A155C5"/>
    <w:rsid w:val="00A16AD8"/>
    <w:rsid w:val="00A2021E"/>
    <w:rsid w:val="00A20C92"/>
    <w:rsid w:val="00A21C95"/>
    <w:rsid w:val="00A21CF3"/>
    <w:rsid w:val="00A24813"/>
    <w:rsid w:val="00A27AEC"/>
    <w:rsid w:val="00A31AF0"/>
    <w:rsid w:val="00A320DB"/>
    <w:rsid w:val="00A32C22"/>
    <w:rsid w:val="00A35D16"/>
    <w:rsid w:val="00A37BCD"/>
    <w:rsid w:val="00A40D48"/>
    <w:rsid w:val="00A41689"/>
    <w:rsid w:val="00A42592"/>
    <w:rsid w:val="00A43C59"/>
    <w:rsid w:val="00A50979"/>
    <w:rsid w:val="00A50ECD"/>
    <w:rsid w:val="00A518F3"/>
    <w:rsid w:val="00A51B6B"/>
    <w:rsid w:val="00A52729"/>
    <w:rsid w:val="00A53675"/>
    <w:rsid w:val="00A564D7"/>
    <w:rsid w:val="00A56B6A"/>
    <w:rsid w:val="00A577CE"/>
    <w:rsid w:val="00A578DC"/>
    <w:rsid w:val="00A63573"/>
    <w:rsid w:val="00A63DB0"/>
    <w:rsid w:val="00A640E2"/>
    <w:rsid w:val="00A64D65"/>
    <w:rsid w:val="00A657DB"/>
    <w:rsid w:val="00A66B18"/>
    <w:rsid w:val="00A66D36"/>
    <w:rsid w:val="00A6725B"/>
    <w:rsid w:val="00A70605"/>
    <w:rsid w:val="00A73134"/>
    <w:rsid w:val="00A7365A"/>
    <w:rsid w:val="00A75493"/>
    <w:rsid w:val="00A76001"/>
    <w:rsid w:val="00A777B2"/>
    <w:rsid w:val="00A77C27"/>
    <w:rsid w:val="00A813E1"/>
    <w:rsid w:val="00A825D4"/>
    <w:rsid w:val="00A8261F"/>
    <w:rsid w:val="00A828F6"/>
    <w:rsid w:val="00A82B73"/>
    <w:rsid w:val="00A86E8B"/>
    <w:rsid w:val="00A87164"/>
    <w:rsid w:val="00A93072"/>
    <w:rsid w:val="00A938BD"/>
    <w:rsid w:val="00A93953"/>
    <w:rsid w:val="00A959D8"/>
    <w:rsid w:val="00A97843"/>
    <w:rsid w:val="00AA113D"/>
    <w:rsid w:val="00AA3544"/>
    <w:rsid w:val="00AA4F7F"/>
    <w:rsid w:val="00AA6BD5"/>
    <w:rsid w:val="00AA6BD8"/>
    <w:rsid w:val="00AA6C7D"/>
    <w:rsid w:val="00AA7FD6"/>
    <w:rsid w:val="00AB042A"/>
    <w:rsid w:val="00AB11AD"/>
    <w:rsid w:val="00AB19EF"/>
    <w:rsid w:val="00AB2495"/>
    <w:rsid w:val="00AB2D34"/>
    <w:rsid w:val="00AB3430"/>
    <w:rsid w:val="00AB37B9"/>
    <w:rsid w:val="00AB4AD1"/>
    <w:rsid w:val="00AB5E07"/>
    <w:rsid w:val="00AB7CFA"/>
    <w:rsid w:val="00AC3FB5"/>
    <w:rsid w:val="00AC4B91"/>
    <w:rsid w:val="00AC51B4"/>
    <w:rsid w:val="00AC58B9"/>
    <w:rsid w:val="00AC5B42"/>
    <w:rsid w:val="00AC5B48"/>
    <w:rsid w:val="00AC6E12"/>
    <w:rsid w:val="00AD1450"/>
    <w:rsid w:val="00AD157E"/>
    <w:rsid w:val="00AD15E8"/>
    <w:rsid w:val="00AD356D"/>
    <w:rsid w:val="00AD4239"/>
    <w:rsid w:val="00AD5222"/>
    <w:rsid w:val="00AD616C"/>
    <w:rsid w:val="00AD6502"/>
    <w:rsid w:val="00AE0695"/>
    <w:rsid w:val="00AE0706"/>
    <w:rsid w:val="00AE3E7E"/>
    <w:rsid w:val="00AE5C7A"/>
    <w:rsid w:val="00AE7560"/>
    <w:rsid w:val="00AE7E53"/>
    <w:rsid w:val="00AF1315"/>
    <w:rsid w:val="00AF19BF"/>
    <w:rsid w:val="00AF2DC3"/>
    <w:rsid w:val="00AF7D14"/>
    <w:rsid w:val="00B0073D"/>
    <w:rsid w:val="00B023E9"/>
    <w:rsid w:val="00B033E5"/>
    <w:rsid w:val="00B036CC"/>
    <w:rsid w:val="00B03A63"/>
    <w:rsid w:val="00B12770"/>
    <w:rsid w:val="00B129A4"/>
    <w:rsid w:val="00B13ABD"/>
    <w:rsid w:val="00B15D13"/>
    <w:rsid w:val="00B160CD"/>
    <w:rsid w:val="00B201A4"/>
    <w:rsid w:val="00B201D1"/>
    <w:rsid w:val="00B20882"/>
    <w:rsid w:val="00B20FF6"/>
    <w:rsid w:val="00B213A6"/>
    <w:rsid w:val="00B235B0"/>
    <w:rsid w:val="00B24DF6"/>
    <w:rsid w:val="00B25CBF"/>
    <w:rsid w:val="00B27A61"/>
    <w:rsid w:val="00B34CB4"/>
    <w:rsid w:val="00B34FE2"/>
    <w:rsid w:val="00B35166"/>
    <w:rsid w:val="00B35568"/>
    <w:rsid w:val="00B357D8"/>
    <w:rsid w:val="00B360F4"/>
    <w:rsid w:val="00B36A00"/>
    <w:rsid w:val="00B3792B"/>
    <w:rsid w:val="00B37BFC"/>
    <w:rsid w:val="00B40155"/>
    <w:rsid w:val="00B40358"/>
    <w:rsid w:val="00B41614"/>
    <w:rsid w:val="00B42851"/>
    <w:rsid w:val="00B42F80"/>
    <w:rsid w:val="00B435CB"/>
    <w:rsid w:val="00B4445A"/>
    <w:rsid w:val="00B465EC"/>
    <w:rsid w:val="00B505C8"/>
    <w:rsid w:val="00B50DB8"/>
    <w:rsid w:val="00B50FE9"/>
    <w:rsid w:val="00B53654"/>
    <w:rsid w:val="00B53698"/>
    <w:rsid w:val="00B53905"/>
    <w:rsid w:val="00B546DB"/>
    <w:rsid w:val="00B54B5B"/>
    <w:rsid w:val="00B54EC5"/>
    <w:rsid w:val="00B5562E"/>
    <w:rsid w:val="00B55862"/>
    <w:rsid w:val="00B55D65"/>
    <w:rsid w:val="00B56305"/>
    <w:rsid w:val="00B568E7"/>
    <w:rsid w:val="00B57000"/>
    <w:rsid w:val="00B60939"/>
    <w:rsid w:val="00B60AFD"/>
    <w:rsid w:val="00B62715"/>
    <w:rsid w:val="00B64DD8"/>
    <w:rsid w:val="00B65611"/>
    <w:rsid w:val="00B6643D"/>
    <w:rsid w:val="00B70E8E"/>
    <w:rsid w:val="00B749EB"/>
    <w:rsid w:val="00B76C92"/>
    <w:rsid w:val="00B80EFD"/>
    <w:rsid w:val="00B816A2"/>
    <w:rsid w:val="00B818A4"/>
    <w:rsid w:val="00B81E5B"/>
    <w:rsid w:val="00B83739"/>
    <w:rsid w:val="00B84117"/>
    <w:rsid w:val="00B84627"/>
    <w:rsid w:val="00B858F0"/>
    <w:rsid w:val="00B85AA2"/>
    <w:rsid w:val="00B85B46"/>
    <w:rsid w:val="00B8649C"/>
    <w:rsid w:val="00B8695D"/>
    <w:rsid w:val="00B87F0A"/>
    <w:rsid w:val="00B914DE"/>
    <w:rsid w:val="00B92D0B"/>
    <w:rsid w:val="00B94945"/>
    <w:rsid w:val="00B94DD6"/>
    <w:rsid w:val="00B95299"/>
    <w:rsid w:val="00B96117"/>
    <w:rsid w:val="00BA2603"/>
    <w:rsid w:val="00BA322D"/>
    <w:rsid w:val="00BA63FA"/>
    <w:rsid w:val="00BB00B3"/>
    <w:rsid w:val="00BB0BDD"/>
    <w:rsid w:val="00BB0E7F"/>
    <w:rsid w:val="00BB176C"/>
    <w:rsid w:val="00BB2A73"/>
    <w:rsid w:val="00BB3A45"/>
    <w:rsid w:val="00BB4ACC"/>
    <w:rsid w:val="00BB703E"/>
    <w:rsid w:val="00BB732D"/>
    <w:rsid w:val="00BB7405"/>
    <w:rsid w:val="00BC20CC"/>
    <w:rsid w:val="00BC28A9"/>
    <w:rsid w:val="00BC3631"/>
    <w:rsid w:val="00BC4131"/>
    <w:rsid w:val="00BC591F"/>
    <w:rsid w:val="00BC6821"/>
    <w:rsid w:val="00BC7D6D"/>
    <w:rsid w:val="00BD0467"/>
    <w:rsid w:val="00BD08E7"/>
    <w:rsid w:val="00BD1F15"/>
    <w:rsid w:val="00BD2108"/>
    <w:rsid w:val="00BD38E2"/>
    <w:rsid w:val="00BD68A3"/>
    <w:rsid w:val="00BD6938"/>
    <w:rsid w:val="00BD6CF3"/>
    <w:rsid w:val="00BD7F72"/>
    <w:rsid w:val="00BE0ECA"/>
    <w:rsid w:val="00BE2180"/>
    <w:rsid w:val="00BE21F2"/>
    <w:rsid w:val="00BE4275"/>
    <w:rsid w:val="00BF06AE"/>
    <w:rsid w:val="00BF0783"/>
    <w:rsid w:val="00BF0B43"/>
    <w:rsid w:val="00BF0F95"/>
    <w:rsid w:val="00BF2433"/>
    <w:rsid w:val="00BF2E6E"/>
    <w:rsid w:val="00BF374F"/>
    <w:rsid w:val="00BF4A18"/>
    <w:rsid w:val="00BF61C9"/>
    <w:rsid w:val="00BF6C94"/>
    <w:rsid w:val="00C00424"/>
    <w:rsid w:val="00C00BB0"/>
    <w:rsid w:val="00C01748"/>
    <w:rsid w:val="00C1179F"/>
    <w:rsid w:val="00C127B9"/>
    <w:rsid w:val="00C128FA"/>
    <w:rsid w:val="00C12C14"/>
    <w:rsid w:val="00C15A65"/>
    <w:rsid w:val="00C15F04"/>
    <w:rsid w:val="00C16279"/>
    <w:rsid w:val="00C1724D"/>
    <w:rsid w:val="00C179B3"/>
    <w:rsid w:val="00C17E3F"/>
    <w:rsid w:val="00C200AA"/>
    <w:rsid w:val="00C237ED"/>
    <w:rsid w:val="00C24632"/>
    <w:rsid w:val="00C25418"/>
    <w:rsid w:val="00C25CAC"/>
    <w:rsid w:val="00C25D9C"/>
    <w:rsid w:val="00C266A0"/>
    <w:rsid w:val="00C2778B"/>
    <w:rsid w:val="00C31649"/>
    <w:rsid w:val="00C3399D"/>
    <w:rsid w:val="00C3434C"/>
    <w:rsid w:val="00C34520"/>
    <w:rsid w:val="00C40385"/>
    <w:rsid w:val="00C41122"/>
    <w:rsid w:val="00C41768"/>
    <w:rsid w:val="00C460F9"/>
    <w:rsid w:val="00C461C5"/>
    <w:rsid w:val="00C46322"/>
    <w:rsid w:val="00C466BB"/>
    <w:rsid w:val="00C475AA"/>
    <w:rsid w:val="00C47D89"/>
    <w:rsid w:val="00C527C7"/>
    <w:rsid w:val="00C53C98"/>
    <w:rsid w:val="00C56FCF"/>
    <w:rsid w:val="00C57B6C"/>
    <w:rsid w:val="00C6039D"/>
    <w:rsid w:val="00C61A59"/>
    <w:rsid w:val="00C62711"/>
    <w:rsid w:val="00C628A6"/>
    <w:rsid w:val="00C64344"/>
    <w:rsid w:val="00C65108"/>
    <w:rsid w:val="00C65576"/>
    <w:rsid w:val="00C66165"/>
    <w:rsid w:val="00C66BC4"/>
    <w:rsid w:val="00C678A3"/>
    <w:rsid w:val="00C703F1"/>
    <w:rsid w:val="00C7060A"/>
    <w:rsid w:val="00C7151A"/>
    <w:rsid w:val="00C717E3"/>
    <w:rsid w:val="00C71F60"/>
    <w:rsid w:val="00C72241"/>
    <w:rsid w:val="00C750C8"/>
    <w:rsid w:val="00C7560F"/>
    <w:rsid w:val="00C77CD8"/>
    <w:rsid w:val="00C80A0E"/>
    <w:rsid w:val="00C81456"/>
    <w:rsid w:val="00C8213F"/>
    <w:rsid w:val="00C82BEE"/>
    <w:rsid w:val="00C8303F"/>
    <w:rsid w:val="00C84600"/>
    <w:rsid w:val="00C84769"/>
    <w:rsid w:val="00C85154"/>
    <w:rsid w:val="00C85A70"/>
    <w:rsid w:val="00C86B94"/>
    <w:rsid w:val="00C86DD1"/>
    <w:rsid w:val="00C874D6"/>
    <w:rsid w:val="00C8797A"/>
    <w:rsid w:val="00C900B8"/>
    <w:rsid w:val="00C90197"/>
    <w:rsid w:val="00C90C71"/>
    <w:rsid w:val="00C91D38"/>
    <w:rsid w:val="00C91FD1"/>
    <w:rsid w:val="00C931CF"/>
    <w:rsid w:val="00C931DC"/>
    <w:rsid w:val="00C938CF"/>
    <w:rsid w:val="00C94053"/>
    <w:rsid w:val="00C9591E"/>
    <w:rsid w:val="00C9624D"/>
    <w:rsid w:val="00C969DA"/>
    <w:rsid w:val="00CA28A8"/>
    <w:rsid w:val="00CA2C77"/>
    <w:rsid w:val="00CA3206"/>
    <w:rsid w:val="00CA444F"/>
    <w:rsid w:val="00CA5245"/>
    <w:rsid w:val="00CA71F4"/>
    <w:rsid w:val="00CA7B09"/>
    <w:rsid w:val="00CB12A5"/>
    <w:rsid w:val="00CB1CAC"/>
    <w:rsid w:val="00CB2F2A"/>
    <w:rsid w:val="00CB5B1A"/>
    <w:rsid w:val="00CB6260"/>
    <w:rsid w:val="00CB6B22"/>
    <w:rsid w:val="00CB6E6A"/>
    <w:rsid w:val="00CB71D9"/>
    <w:rsid w:val="00CB72F7"/>
    <w:rsid w:val="00CB7F5F"/>
    <w:rsid w:val="00CC1B39"/>
    <w:rsid w:val="00CC1BFA"/>
    <w:rsid w:val="00CC2E9F"/>
    <w:rsid w:val="00CC35EA"/>
    <w:rsid w:val="00CC3848"/>
    <w:rsid w:val="00CC548D"/>
    <w:rsid w:val="00CC6D5E"/>
    <w:rsid w:val="00CD0200"/>
    <w:rsid w:val="00CD0B17"/>
    <w:rsid w:val="00CD2A4A"/>
    <w:rsid w:val="00CD3830"/>
    <w:rsid w:val="00CD3C6B"/>
    <w:rsid w:val="00CD3F77"/>
    <w:rsid w:val="00CD5A4E"/>
    <w:rsid w:val="00CD6ADC"/>
    <w:rsid w:val="00CD7193"/>
    <w:rsid w:val="00CE0C96"/>
    <w:rsid w:val="00CE30C8"/>
    <w:rsid w:val="00CE38C8"/>
    <w:rsid w:val="00CE524F"/>
    <w:rsid w:val="00CE58CC"/>
    <w:rsid w:val="00CE6274"/>
    <w:rsid w:val="00CE77B6"/>
    <w:rsid w:val="00CF0F45"/>
    <w:rsid w:val="00CF2531"/>
    <w:rsid w:val="00CF2B8D"/>
    <w:rsid w:val="00CF2DD5"/>
    <w:rsid w:val="00CF3A1B"/>
    <w:rsid w:val="00CF456B"/>
    <w:rsid w:val="00CF499E"/>
    <w:rsid w:val="00CF4A06"/>
    <w:rsid w:val="00CF56C1"/>
    <w:rsid w:val="00CF5A22"/>
    <w:rsid w:val="00CF5D44"/>
    <w:rsid w:val="00D01E94"/>
    <w:rsid w:val="00D0262E"/>
    <w:rsid w:val="00D0337E"/>
    <w:rsid w:val="00D03679"/>
    <w:rsid w:val="00D05E3D"/>
    <w:rsid w:val="00D06139"/>
    <w:rsid w:val="00D110BD"/>
    <w:rsid w:val="00D122D8"/>
    <w:rsid w:val="00D132A0"/>
    <w:rsid w:val="00D13675"/>
    <w:rsid w:val="00D141E1"/>
    <w:rsid w:val="00D14B7B"/>
    <w:rsid w:val="00D150E7"/>
    <w:rsid w:val="00D15314"/>
    <w:rsid w:val="00D15B48"/>
    <w:rsid w:val="00D15D0C"/>
    <w:rsid w:val="00D17D6C"/>
    <w:rsid w:val="00D2155B"/>
    <w:rsid w:val="00D23D11"/>
    <w:rsid w:val="00D244B6"/>
    <w:rsid w:val="00D24D68"/>
    <w:rsid w:val="00D26918"/>
    <w:rsid w:val="00D26A29"/>
    <w:rsid w:val="00D2754D"/>
    <w:rsid w:val="00D27B27"/>
    <w:rsid w:val="00D30D5B"/>
    <w:rsid w:val="00D3185A"/>
    <w:rsid w:val="00D327CE"/>
    <w:rsid w:val="00D33BE9"/>
    <w:rsid w:val="00D33F93"/>
    <w:rsid w:val="00D357FF"/>
    <w:rsid w:val="00D424C7"/>
    <w:rsid w:val="00D43B2A"/>
    <w:rsid w:val="00D43CF1"/>
    <w:rsid w:val="00D43D7E"/>
    <w:rsid w:val="00D43D83"/>
    <w:rsid w:val="00D46E79"/>
    <w:rsid w:val="00D47575"/>
    <w:rsid w:val="00D501AD"/>
    <w:rsid w:val="00D51B95"/>
    <w:rsid w:val="00D5243B"/>
    <w:rsid w:val="00D533EC"/>
    <w:rsid w:val="00D56A95"/>
    <w:rsid w:val="00D6076E"/>
    <w:rsid w:val="00D63B99"/>
    <w:rsid w:val="00D6407D"/>
    <w:rsid w:val="00D6525B"/>
    <w:rsid w:val="00D70BBB"/>
    <w:rsid w:val="00D70F16"/>
    <w:rsid w:val="00D7181A"/>
    <w:rsid w:val="00D72617"/>
    <w:rsid w:val="00D72F57"/>
    <w:rsid w:val="00D76A44"/>
    <w:rsid w:val="00D77378"/>
    <w:rsid w:val="00D80A8F"/>
    <w:rsid w:val="00D815EF"/>
    <w:rsid w:val="00D81949"/>
    <w:rsid w:val="00D81F26"/>
    <w:rsid w:val="00D822E2"/>
    <w:rsid w:val="00D843F2"/>
    <w:rsid w:val="00D84F70"/>
    <w:rsid w:val="00D86231"/>
    <w:rsid w:val="00D875B9"/>
    <w:rsid w:val="00D912AB"/>
    <w:rsid w:val="00D91923"/>
    <w:rsid w:val="00D93753"/>
    <w:rsid w:val="00D93A3E"/>
    <w:rsid w:val="00D96638"/>
    <w:rsid w:val="00DA1D9E"/>
    <w:rsid w:val="00DA3167"/>
    <w:rsid w:val="00DA326A"/>
    <w:rsid w:val="00DA4DC3"/>
    <w:rsid w:val="00DA77A5"/>
    <w:rsid w:val="00DB0E36"/>
    <w:rsid w:val="00DB223B"/>
    <w:rsid w:val="00DB3DBF"/>
    <w:rsid w:val="00DB484F"/>
    <w:rsid w:val="00DB4B1F"/>
    <w:rsid w:val="00DB524F"/>
    <w:rsid w:val="00DB5951"/>
    <w:rsid w:val="00DC04F6"/>
    <w:rsid w:val="00DC0690"/>
    <w:rsid w:val="00DC1D65"/>
    <w:rsid w:val="00DC26A4"/>
    <w:rsid w:val="00DC3C57"/>
    <w:rsid w:val="00DC51C9"/>
    <w:rsid w:val="00DC5501"/>
    <w:rsid w:val="00DC5DE4"/>
    <w:rsid w:val="00DC7154"/>
    <w:rsid w:val="00DC7E8A"/>
    <w:rsid w:val="00DD0F78"/>
    <w:rsid w:val="00DD24A4"/>
    <w:rsid w:val="00DD273C"/>
    <w:rsid w:val="00DD3096"/>
    <w:rsid w:val="00DD3F28"/>
    <w:rsid w:val="00DD4446"/>
    <w:rsid w:val="00DD4537"/>
    <w:rsid w:val="00DD4E15"/>
    <w:rsid w:val="00DD5031"/>
    <w:rsid w:val="00DD55AE"/>
    <w:rsid w:val="00DD69BF"/>
    <w:rsid w:val="00DE0052"/>
    <w:rsid w:val="00DE020A"/>
    <w:rsid w:val="00DE041B"/>
    <w:rsid w:val="00DE2134"/>
    <w:rsid w:val="00DE2304"/>
    <w:rsid w:val="00DE3138"/>
    <w:rsid w:val="00DE37F8"/>
    <w:rsid w:val="00DE4273"/>
    <w:rsid w:val="00DE4279"/>
    <w:rsid w:val="00DE4FCB"/>
    <w:rsid w:val="00DE54F5"/>
    <w:rsid w:val="00DE596F"/>
    <w:rsid w:val="00DE5D07"/>
    <w:rsid w:val="00DE6DD8"/>
    <w:rsid w:val="00DE72A7"/>
    <w:rsid w:val="00DE7832"/>
    <w:rsid w:val="00DF18FC"/>
    <w:rsid w:val="00DF238D"/>
    <w:rsid w:val="00DF4231"/>
    <w:rsid w:val="00DF5D2B"/>
    <w:rsid w:val="00DF6341"/>
    <w:rsid w:val="00DF7AD0"/>
    <w:rsid w:val="00E00E8E"/>
    <w:rsid w:val="00E05630"/>
    <w:rsid w:val="00E06DBB"/>
    <w:rsid w:val="00E0798F"/>
    <w:rsid w:val="00E10149"/>
    <w:rsid w:val="00E11340"/>
    <w:rsid w:val="00E122A1"/>
    <w:rsid w:val="00E148B9"/>
    <w:rsid w:val="00E15CF8"/>
    <w:rsid w:val="00E16372"/>
    <w:rsid w:val="00E16AD8"/>
    <w:rsid w:val="00E17FFA"/>
    <w:rsid w:val="00E2011C"/>
    <w:rsid w:val="00E20E4D"/>
    <w:rsid w:val="00E20ED6"/>
    <w:rsid w:val="00E21358"/>
    <w:rsid w:val="00E21CE5"/>
    <w:rsid w:val="00E2249B"/>
    <w:rsid w:val="00E22A0D"/>
    <w:rsid w:val="00E231E1"/>
    <w:rsid w:val="00E23F87"/>
    <w:rsid w:val="00E244F6"/>
    <w:rsid w:val="00E258DB"/>
    <w:rsid w:val="00E271B4"/>
    <w:rsid w:val="00E2771E"/>
    <w:rsid w:val="00E27B80"/>
    <w:rsid w:val="00E311EF"/>
    <w:rsid w:val="00E32180"/>
    <w:rsid w:val="00E33802"/>
    <w:rsid w:val="00E3390F"/>
    <w:rsid w:val="00E33964"/>
    <w:rsid w:val="00E343D3"/>
    <w:rsid w:val="00E34948"/>
    <w:rsid w:val="00E349A3"/>
    <w:rsid w:val="00E36547"/>
    <w:rsid w:val="00E37569"/>
    <w:rsid w:val="00E401B2"/>
    <w:rsid w:val="00E41E30"/>
    <w:rsid w:val="00E42F73"/>
    <w:rsid w:val="00E43D70"/>
    <w:rsid w:val="00E44772"/>
    <w:rsid w:val="00E450EA"/>
    <w:rsid w:val="00E4594D"/>
    <w:rsid w:val="00E4658E"/>
    <w:rsid w:val="00E466F3"/>
    <w:rsid w:val="00E473A0"/>
    <w:rsid w:val="00E47B2C"/>
    <w:rsid w:val="00E51560"/>
    <w:rsid w:val="00E51821"/>
    <w:rsid w:val="00E51E76"/>
    <w:rsid w:val="00E53DDE"/>
    <w:rsid w:val="00E53FC8"/>
    <w:rsid w:val="00E54347"/>
    <w:rsid w:val="00E55424"/>
    <w:rsid w:val="00E55915"/>
    <w:rsid w:val="00E55BB5"/>
    <w:rsid w:val="00E611DF"/>
    <w:rsid w:val="00E6445F"/>
    <w:rsid w:val="00E647B7"/>
    <w:rsid w:val="00E65E79"/>
    <w:rsid w:val="00E66BA2"/>
    <w:rsid w:val="00E67269"/>
    <w:rsid w:val="00E67416"/>
    <w:rsid w:val="00E67481"/>
    <w:rsid w:val="00E67711"/>
    <w:rsid w:val="00E67AEE"/>
    <w:rsid w:val="00E718B6"/>
    <w:rsid w:val="00E723BA"/>
    <w:rsid w:val="00E73581"/>
    <w:rsid w:val="00E74DC5"/>
    <w:rsid w:val="00E75CBC"/>
    <w:rsid w:val="00E81FB9"/>
    <w:rsid w:val="00E82451"/>
    <w:rsid w:val="00E833F7"/>
    <w:rsid w:val="00E83BDF"/>
    <w:rsid w:val="00E85788"/>
    <w:rsid w:val="00E86FCC"/>
    <w:rsid w:val="00E87A1D"/>
    <w:rsid w:val="00E9074A"/>
    <w:rsid w:val="00E9094A"/>
    <w:rsid w:val="00E91D35"/>
    <w:rsid w:val="00E926A5"/>
    <w:rsid w:val="00E939B5"/>
    <w:rsid w:val="00E962CC"/>
    <w:rsid w:val="00EA17C3"/>
    <w:rsid w:val="00EA2CAA"/>
    <w:rsid w:val="00EA3402"/>
    <w:rsid w:val="00EA344E"/>
    <w:rsid w:val="00EA3864"/>
    <w:rsid w:val="00EA4A5B"/>
    <w:rsid w:val="00EA65C4"/>
    <w:rsid w:val="00EA6714"/>
    <w:rsid w:val="00EA7E1C"/>
    <w:rsid w:val="00EA7F1C"/>
    <w:rsid w:val="00EB0D02"/>
    <w:rsid w:val="00EB15B6"/>
    <w:rsid w:val="00EB2007"/>
    <w:rsid w:val="00EB3D06"/>
    <w:rsid w:val="00EB43F8"/>
    <w:rsid w:val="00EB4916"/>
    <w:rsid w:val="00EC00C9"/>
    <w:rsid w:val="00EC0DD9"/>
    <w:rsid w:val="00EC2649"/>
    <w:rsid w:val="00EC31ED"/>
    <w:rsid w:val="00EC5836"/>
    <w:rsid w:val="00EC5C51"/>
    <w:rsid w:val="00EC688C"/>
    <w:rsid w:val="00ED12E3"/>
    <w:rsid w:val="00ED34F2"/>
    <w:rsid w:val="00ED4B04"/>
    <w:rsid w:val="00ED57EA"/>
    <w:rsid w:val="00ED5BD4"/>
    <w:rsid w:val="00ED6386"/>
    <w:rsid w:val="00EE07D3"/>
    <w:rsid w:val="00EE1996"/>
    <w:rsid w:val="00EE1C01"/>
    <w:rsid w:val="00EE22AF"/>
    <w:rsid w:val="00EE53A3"/>
    <w:rsid w:val="00EE625F"/>
    <w:rsid w:val="00EF0171"/>
    <w:rsid w:val="00EF0E49"/>
    <w:rsid w:val="00EF1B25"/>
    <w:rsid w:val="00EF1DA0"/>
    <w:rsid w:val="00EF454A"/>
    <w:rsid w:val="00EF4747"/>
    <w:rsid w:val="00EF4BF8"/>
    <w:rsid w:val="00F01771"/>
    <w:rsid w:val="00F02253"/>
    <w:rsid w:val="00F02DC8"/>
    <w:rsid w:val="00F03C2E"/>
    <w:rsid w:val="00F04A66"/>
    <w:rsid w:val="00F04B4B"/>
    <w:rsid w:val="00F04C14"/>
    <w:rsid w:val="00F0509D"/>
    <w:rsid w:val="00F0516C"/>
    <w:rsid w:val="00F067A2"/>
    <w:rsid w:val="00F068CB"/>
    <w:rsid w:val="00F07B9E"/>
    <w:rsid w:val="00F07F84"/>
    <w:rsid w:val="00F10359"/>
    <w:rsid w:val="00F1116F"/>
    <w:rsid w:val="00F12112"/>
    <w:rsid w:val="00F12286"/>
    <w:rsid w:val="00F1263A"/>
    <w:rsid w:val="00F139C5"/>
    <w:rsid w:val="00F15065"/>
    <w:rsid w:val="00F15B77"/>
    <w:rsid w:val="00F1623D"/>
    <w:rsid w:val="00F21236"/>
    <w:rsid w:val="00F24837"/>
    <w:rsid w:val="00F2575F"/>
    <w:rsid w:val="00F27565"/>
    <w:rsid w:val="00F277BF"/>
    <w:rsid w:val="00F310D4"/>
    <w:rsid w:val="00F31426"/>
    <w:rsid w:val="00F315E4"/>
    <w:rsid w:val="00F31D5A"/>
    <w:rsid w:val="00F33975"/>
    <w:rsid w:val="00F339AE"/>
    <w:rsid w:val="00F33DE9"/>
    <w:rsid w:val="00F35E6D"/>
    <w:rsid w:val="00F3619A"/>
    <w:rsid w:val="00F37849"/>
    <w:rsid w:val="00F37D54"/>
    <w:rsid w:val="00F40AAA"/>
    <w:rsid w:val="00F40BA7"/>
    <w:rsid w:val="00F40F9D"/>
    <w:rsid w:val="00F41ACD"/>
    <w:rsid w:val="00F43D30"/>
    <w:rsid w:val="00F45D70"/>
    <w:rsid w:val="00F46187"/>
    <w:rsid w:val="00F46CB6"/>
    <w:rsid w:val="00F46D7E"/>
    <w:rsid w:val="00F4756D"/>
    <w:rsid w:val="00F47DE8"/>
    <w:rsid w:val="00F520ED"/>
    <w:rsid w:val="00F542C1"/>
    <w:rsid w:val="00F550E3"/>
    <w:rsid w:val="00F55DBF"/>
    <w:rsid w:val="00F55E73"/>
    <w:rsid w:val="00F55EDA"/>
    <w:rsid w:val="00F56C80"/>
    <w:rsid w:val="00F57324"/>
    <w:rsid w:val="00F60092"/>
    <w:rsid w:val="00F6142E"/>
    <w:rsid w:val="00F61C18"/>
    <w:rsid w:val="00F625A4"/>
    <w:rsid w:val="00F63236"/>
    <w:rsid w:val="00F65F4B"/>
    <w:rsid w:val="00F66C65"/>
    <w:rsid w:val="00F67A69"/>
    <w:rsid w:val="00F70BFF"/>
    <w:rsid w:val="00F70C9D"/>
    <w:rsid w:val="00F7148C"/>
    <w:rsid w:val="00F72F64"/>
    <w:rsid w:val="00F73E08"/>
    <w:rsid w:val="00F74603"/>
    <w:rsid w:val="00F74CD9"/>
    <w:rsid w:val="00F8076E"/>
    <w:rsid w:val="00F80A7B"/>
    <w:rsid w:val="00F80E5D"/>
    <w:rsid w:val="00F81E78"/>
    <w:rsid w:val="00F83916"/>
    <w:rsid w:val="00F851CE"/>
    <w:rsid w:val="00F870C5"/>
    <w:rsid w:val="00F91219"/>
    <w:rsid w:val="00F92444"/>
    <w:rsid w:val="00F92C23"/>
    <w:rsid w:val="00F9393E"/>
    <w:rsid w:val="00F96FD0"/>
    <w:rsid w:val="00F97A78"/>
    <w:rsid w:val="00F97EC8"/>
    <w:rsid w:val="00FA0B20"/>
    <w:rsid w:val="00FA24E7"/>
    <w:rsid w:val="00FA2CDC"/>
    <w:rsid w:val="00FA3DFD"/>
    <w:rsid w:val="00FA5EE6"/>
    <w:rsid w:val="00FA7956"/>
    <w:rsid w:val="00FA7FF3"/>
    <w:rsid w:val="00FB0824"/>
    <w:rsid w:val="00FB1ACE"/>
    <w:rsid w:val="00FB2B65"/>
    <w:rsid w:val="00FB2FCB"/>
    <w:rsid w:val="00FB4C9C"/>
    <w:rsid w:val="00FB72B5"/>
    <w:rsid w:val="00FB7C55"/>
    <w:rsid w:val="00FC1074"/>
    <w:rsid w:val="00FC1513"/>
    <w:rsid w:val="00FC152B"/>
    <w:rsid w:val="00FC1884"/>
    <w:rsid w:val="00FC371D"/>
    <w:rsid w:val="00FC5F0B"/>
    <w:rsid w:val="00FC7DA2"/>
    <w:rsid w:val="00FD2100"/>
    <w:rsid w:val="00FD2DD3"/>
    <w:rsid w:val="00FD436C"/>
    <w:rsid w:val="00FD446D"/>
    <w:rsid w:val="00FD4CAD"/>
    <w:rsid w:val="00FD4F2C"/>
    <w:rsid w:val="00FD5F06"/>
    <w:rsid w:val="00FD6394"/>
    <w:rsid w:val="00FE0E6C"/>
    <w:rsid w:val="00FE1CDC"/>
    <w:rsid w:val="00FE70C3"/>
    <w:rsid w:val="00FF0BF9"/>
    <w:rsid w:val="00FF1A8B"/>
    <w:rsid w:val="00FF246E"/>
    <w:rsid w:val="00FF2AD9"/>
    <w:rsid w:val="00FF3035"/>
    <w:rsid w:val="00FF359F"/>
    <w:rsid w:val="00FF3DCF"/>
    <w:rsid w:val="00FF492C"/>
    <w:rsid w:val="00FF4A21"/>
    <w:rsid w:val="00FF555B"/>
    <w:rsid w:val="00FF5AA3"/>
    <w:rsid w:val="00FF5AD8"/>
    <w:rsid w:val="00FF5C63"/>
    <w:rsid w:val="00FF607E"/>
    <w:rsid w:val="00FF687A"/>
    <w:rsid w:val="01B120C1"/>
    <w:rsid w:val="16B29E70"/>
    <w:rsid w:val="55A29CA2"/>
    <w:rsid w:val="59C6F41A"/>
    <w:rsid w:val="6E5B6EAE"/>
    <w:rsid w:val="70A73A03"/>
    <w:rsid w:val="7160C093"/>
    <w:rsid w:val="79F68614"/>
    <w:rsid w:val="7F5EBC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Caption Char1 Char Char,Caption Char Char Char Char,Caption Char2 Char Char1 Char Char,Caption Char1 Char Char Char Char Char,Caption Char Char Char Char Char Char Char,Caption Char Char1 Char Char Char Char,Bayer"/>
    <w:basedOn w:val="TableFigureHeading"/>
    <w:next w:val="Normal"/>
    <w:link w:val="CaptionChar"/>
    <w:unhideWhenUsed/>
    <w:qFormat/>
    <w:rsid w:val="00D132A0"/>
  </w:style>
  <w:style w:type="character" w:customStyle="1" w:styleId="CaptionChar">
    <w:name w:val="Caption Char"/>
    <w:aliases w:val="Caption Char1 Char,Caption Char Char Char,Caption Char1 Char Char Char,Caption Char Char Char Char Char,Caption Char2 Char Char1 Char Char Char,Caption Char1 Char Char Char Char Char Char,Caption Char Char Char Char Char Char Char Char"/>
    <w:link w:val="Caption"/>
    <w:rsid w:val="00D132A0"/>
    <w:rPr>
      <w:rFonts w:ascii="Arial Narrow" w:eastAsiaTheme="majorEastAsia" w:hAnsi="Arial Narrow" w:cstheme="majorBidi"/>
      <w:b/>
      <w:bCs/>
      <w:szCs w:val="24"/>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Bullet List,FooterText,Colorful List Accent 1,Colorful List - Accent 11,numbered,Figure_name"/>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Char,Bullet List Char,Footer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MSD Table Grid,HTAtableplain,Dossier table,Section 3- footnotes,Header Table,Table Grid No Line,Summary Table,Source table_,NICE instruction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E3390F"/>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B0D60"/>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ExecSumBodyText"/>
    <w:link w:val="3-BodyTextChar"/>
    <w:qFormat/>
    <w:rsid w:val="00F625A4"/>
    <w:pPr>
      <w:numPr>
        <w:ilvl w:val="1"/>
        <w:numId w:val="1"/>
      </w:numPr>
    </w:pPr>
  </w:style>
  <w:style w:type="character" w:customStyle="1" w:styleId="3-BodyTextChar">
    <w:name w:val="3-Body Text Char"/>
    <w:basedOn w:val="ListParagraphChar"/>
    <w:link w:val="3-BodyText"/>
    <w:rsid w:val="00F625A4"/>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qFormat/>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7"/>
      </w:numPr>
      <w:ind w:left="360"/>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paragraph" w:styleId="FootnoteText">
    <w:name w:val="footnote text"/>
    <w:basedOn w:val="Normal"/>
    <w:link w:val="FootnoteTextChar"/>
    <w:semiHidden/>
    <w:unhideWhenUsed/>
    <w:rsid w:val="00826D3B"/>
    <w:rPr>
      <w:sz w:val="20"/>
      <w:szCs w:val="20"/>
    </w:rPr>
  </w:style>
  <w:style w:type="character" w:customStyle="1" w:styleId="FootnoteTextChar">
    <w:name w:val="Footnote Text Char"/>
    <w:basedOn w:val="DefaultParagraphFont"/>
    <w:link w:val="FootnoteText"/>
    <w:semiHidden/>
    <w:rsid w:val="00826D3B"/>
    <w:rPr>
      <w:rFonts w:ascii="Calibri" w:hAnsi="Calibri" w:cs="Arial"/>
    </w:rPr>
  </w:style>
  <w:style w:type="character" w:styleId="FootnoteReference">
    <w:name w:val="footnote reference"/>
    <w:basedOn w:val="DefaultParagraphFont"/>
    <w:uiPriority w:val="99"/>
    <w:unhideWhenUsed/>
    <w:rsid w:val="00826D3B"/>
    <w:rPr>
      <w:vertAlign w:val="superscript"/>
    </w:rPr>
  </w:style>
  <w:style w:type="character" w:customStyle="1" w:styleId="hgkelc">
    <w:name w:val="hgkelc"/>
    <w:basedOn w:val="DefaultParagraphFont"/>
    <w:rsid w:val="00826D3B"/>
  </w:style>
  <w:style w:type="paragraph" w:customStyle="1" w:styleId="Bullet">
    <w:name w:val="Bullet"/>
    <w:basedOn w:val="Normal"/>
    <w:qFormat/>
    <w:rsid w:val="00826D3B"/>
    <w:pPr>
      <w:numPr>
        <w:numId w:val="24"/>
      </w:numPr>
      <w:spacing w:after="120"/>
      <w:jc w:val="left"/>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826D3B"/>
    <w:rPr>
      <w:color w:val="808080"/>
    </w:rPr>
  </w:style>
  <w:style w:type="paragraph" w:customStyle="1" w:styleId="Source">
    <w:name w:val="Source"/>
    <w:basedOn w:val="Normal"/>
    <w:rsid w:val="007642E4"/>
    <w:pPr>
      <w:ind w:left="720" w:hanging="720"/>
    </w:pPr>
  </w:style>
  <w:style w:type="paragraph" w:customStyle="1" w:styleId="pf0">
    <w:name w:val="pf0"/>
    <w:basedOn w:val="Normal"/>
    <w:rsid w:val="004207D7"/>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12420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24200"/>
    <w:rPr>
      <w:rFonts w:asciiTheme="minorHAnsi" w:eastAsiaTheme="majorEastAsia" w:hAnsiTheme="minorHAnsi" w:cstheme="majorBidi"/>
      <w:b/>
      <w:i/>
      <w:snapToGrid/>
      <w:spacing w:val="5"/>
      <w:kern w:val="28"/>
      <w:sz w:val="28"/>
      <w:szCs w:val="36"/>
      <w:lang w:eastAsia="en-US"/>
    </w:rPr>
  </w:style>
  <w:style w:type="character" w:customStyle="1" w:styleId="null1">
    <w:name w:val="null1"/>
    <w:basedOn w:val="DefaultParagraphFont"/>
    <w:rsid w:val="00DB524F"/>
  </w:style>
  <w:style w:type="character" w:customStyle="1" w:styleId="ui-provider">
    <w:name w:val="ui-provider"/>
    <w:basedOn w:val="DefaultParagraphFont"/>
    <w:rsid w:val="00DF238D"/>
  </w:style>
  <w:style w:type="character" w:styleId="Strong">
    <w:name w:val="Strong"/>
    <w:basedOn w:val="DefaultParagraphFont"/>
    <w:uiPriority w:val="22"/>
    <w:qFormat/>
    <w:rsid w:val="00DF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842">
      <w:bodyDiv w:val="1"/>
      <w:marLeft w:val="0"/>
      <w:marRight w:val="0"/>
      <w:marTop w:val="0"/>
      <w:marBottom w:val="0"/>
      <w:divBdr>
        <w:top w:val="none" w:sz="0" w:space="0" w:color="auto"/>
        <w:left w:val="none" w:sz="0" w:space="0" w:color="auto"/>
        <w:bottom w:val="none" w:sz="0" w:space="0" w:color="auto"/>
        <w:right w:val="none" w:sz="0" w:space="0" w:color="auto"/>
      </w:divBdr>
      <w:divsChild>
        <w:div w:id="99835841">
          <w:marLeft w:val="274"/>
          <w:marRight w:val="0"/>
          <w:marTop w:val="24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2853">
      <w:bodyDiv w:val="1"/>
      <w:marLeft w:val="0"/>
      <w:marRight w:val="0"/>
      <w:marTop w:val="0"/>
      <w:marBottom w:val="0"/>
      <w:divBdr>
        <w:top w:val="none" w:sz="0" w:space="0" w:color="auto"/>
        <w:left w:val="none" w:sz="0" w:space="0" w:color="auto"/>
        <w:bottom w:val="none" w:sz="0" w:space="0" w:color="auto"/>
        <w:right w:val="none" w:sz="0" w:space="0" w:color="auto"/>
      </w:divBdr>
    </w:div>
    <w:div w:id="22113646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4704181">
      <w:bodyDiv w:val="1"/>
      <w:marLeft w:val="0"/>
      <w:marRight w:val="0"/>
      <w:marTop w:val="0"/>
      <w:marBottom w:val="0"/>
      <w:divBdr>
        <w:top w:val="none" w:sz="0" w:space="0" w:color="auto"/>
        <w:left w:val="none" w:sz="0" w:space="0" w:color="auto"/>
        <w:bottom w:val="none" w:sz="0" w:space="0" w:color="auto"/>
        <w:right w:val="none" w:sz="0" w:space="0" w:color="auto"/>
      </w:divBdr>
      <w:divsChild>
        <w:div w:id="738482034">
          <w:marLeft w:val="274"/>
          <w:marRight w:val="0"/>
          <w:marTop w:val="240"/>
          <w:marBottom w:val="0"/>
          <w:divBdr>
            <w:top w:val="none" w:sz="0" w:space="0" w:color="auto"/>
            <w:left w:val="none" w:sz="0" w:space="0" w:color="auto"/>
            <w:bottom w:val="none" w:sz="0" w:space="0" w:color="auto"/>
            <w:right w:val="none" w:sz="0" w:space="0" w:color="auto"/>
          </w:divBdr>
        </w:div>
      </w:divsChild>
    </w:div>
    <w:div w:id="1451129215">
      <w:bodyDiv w:val="1"/>
      <w:marLeft w:val="0"/>
      <w:marRight w:val="0"/>
      <w:marTop w:val="0"/>
      <w:marBottom w:val="0"/>
      <w:divBdr>
        <w:top w:val="none" w:sz="0" w:space="0" w:color="auto"/>
        <w:left w:val="none" w:sz="0" w:space="0" w:color="auto"/>
        <w:bottom w:val="none" w:sz="0" w:space="0" w:color="auto"/>
        <w:right w:val="none" w:sz="0" w:space="0" w:color="auto"/>
      </w:divBdr>
    </w:div>
    <w:div w:id="1908613693">
      <w:bodyDiv w:val="1"/>
      <w:marLeft w:val="0"/>
      <w:marRight w:val="0"/>
      <w:marTop w:val="0"/>
      <w:marBottom w:val="0"/>
      <w:divBdr>
        <w:top w:val="none" w:sz="0" w:space="0" w:color="auto"/>
        <w:left w:val="none" w:sz="0" w:space="0" w:color="auto"/>
        <w:bottom w:val="none" w:sz="0" w:space="0" w:color="auto"/>
        <w:right w:val="none" w:sz="0" w:space="0" w:color="auto"/>
      </w:divBdr>
      <w:divsChild>
        <w:div w:id="2010520364">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12012</Words>
  <Characters>68473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2024-02-27T23:35:00Z</dcterms:created>
  <dcterms:modified xsi:type="dcterms:W3CDTF">2024-02-27T23:44:00Z</dcterms:modified>
</cp:coreProperties>
</file>