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8A08" w14:textId="61FB6B3C" w:rsidR="00590457" w:rsidRPr="001C125F" w:rsidRDefault="009C5893" w:rsidP="00C4165C">
      <w:pPr>
        <w:pStyle w:val="1-MainHeading"/>
        <w:ind w:left="756" w:hanging="756"/>
      </w:pPr>
      <w:r>
        <w:t>6</w:t>
      </w:r>
      <w:r w:rsidR="70971A32" w:rsidRPr="00E1157E">
        <w:t>.</w:t>
      </w:r>
      <w:r w:rsidR="00E3541A">
        <w:t>0</w:t>
      </w:r>
      <w:r>
        <w:t>1</w:t>
      </w:r>
      <w:r w:rsidR="00C4165C">
        <w:t xml:space="preserve"> </w:t>
      </w:r>
      <w:r w:rsidR="00E3541A" w:rsidRPr="001210EB">
        <w:t>SOMATROPIN</w:t>
      </w:r>
      <w:r w:rsidR="70971A32" w:rsidRPr="001210EB">
        <w:t>,</w:t>
      </w:r>
      <w:r w:rsidR="00C4165C">
        <w:br/>
      </w:r>
      <w:bookmarkStart w:id="0" w:name="_Hlk144804152"/>
      <w:r w:rsidR="006E6385" w:rsidRPr="00D456C0">
        <w:t>Solution for injection 6 mg (18 i.u.) in 1.03 mL cartridge (with preservative),</w:t>
      </w:r>
      <w:r w:rsidR="006E6385" w:rsidRPr="00D456C0">
        <w:br/>
        <w:t>Solution for injection 12 mg (36 i.u.) in 1.5 mL cartridge (with preservative),</w:t>
      </w:r>
      <w:bookmarkEnd w:id="0"/>
      <w:r w:rsidR="006E6385" w:rsidRPr="00D456C0">
        <w:br/>
        <w:t>Saizen®,</w:t>
      </w:r>
      <w:r w:rsidR="006E6385" w:rsidRPr="00D456C0">
        <w:br/>
        <w:t>Merck Healthcare Pty Ltd</w:t>
      </w:r>
    </w:p>
    <w:p w14:paraId="5F4D54C1" w14:textId="565AA036" w:rsidR="00E11F44" w:rsidRPr="00E1157E" w:rsidRDefault="007E490F" w:rsidP="00CD6257">
      <w:pPr>
        <w:pStyle w:val="2-SectionHeading"/>
        <w:rPr>
          <w:rFonts w:cstheme="minorHAnsi"/>
          <w:color w:val="FF0000"/>
        </w:rPr>
      </w:pPr>
      <w:r w:rsidRPr="00E1157E">
        <w:t xml:space="preserve">Purpose of </w:t>
      </w:r>
      <w:r w:rsidR="00FA0B04" w:rsidRPr="00E1157E">
        <w:t>Submission</w:t>
      </w:r>
      <w:r w:rsidRPr="00E1157E">
        <w:t xml:space="preserve"> </w:t>
      </w:r>
    </w:p>
    <w:p w14:paraId="6F15A0E2" w14:textId="2392B5F8" w:rsidR="006A5230" w:rsidRDefault="006C6C10" w:rsidP="00110FC9">
      <w:pPr>
        <w:pStyle w:val="3Bodytext"/>
      </w:pPr>
      <w:bookmarkStart w:id="1" w:name="_Hlk143683654"/>
      <w:r w:rsidRPr="00B65B09">
        <w:rPr>
          <w:szCs w:val="24"/>
        </w:rPr>
        <w:t xml:space="preserve">The </w:t>
      </w:r>
      <w:r w:rsidR="006A5230">
        <w:rPr>
          <w:szCs w:val="24"/>
        </w:rPr>
        <w:t>Category 3</w:t>
      </w:r>
      <w:r w:rsidR="00C96EC0" w:rsidRPr="00B65B09">
        <w:rPr>
          <w:szCs w:val="24"/>
        </w:rPr>
        <w:t xml:space="preserve"> </w:t>
      </w:r>
      <w:r w:rsidRPr="00B65B09">
        <w:rPr>
          <w:szCs w:val="24"/>
        </w:rPr>
        <w:t xml:space="preserve">submission </w:t>
      </w:r>
      <w:r w:rsidR="0023466E" w:rsidRPr="00B65B09">
        <w:rPr>
          <w:szCs w:val="24"/>
        </w:rPr>
        <w:t>sought</w:t>
      </w:r>
      <w:r w:rsidRPr="00B65B09">
        <w:rPr>
          <w:szCs w:val="24"/>
        </w:rPr>
        <w:t xml:space="preserve"> to</w:t>
      </w:r>
      <w:r w:rsidR="00246306">
        <w:rPr>
          <w:szCs w:val="24"/>
        </w:rPr>
        <w:t xml:space="preserve"> extend the</w:t>
      </w:r>
      <w:r w:rsidR="004E1B1F">
        <w:rPr>
          <w:szCs w:val="24"/>
        </w:rPr>
        <w:t xml:space="preserve"> Pharmaceutical Benefits Scheme (PBS)</w:t>
      </w:r>
      <w:r w:rsidR="007E490F" w:rsidRPr="00B65B09">
        <w:rPr>
          <w:szCs w:val="24"/>
        </w:rPr>
        <w:t xml:space="preserve"> </w:t>
      </w:r>
      <w:r w:rsidR="00E11F44" w:rsidRPr="00B65B09">
        <w:t>list</w:t>
      </w:r>
      <w:r w:rsidR="00246306">
        <w:t>ing of</w:t>
      </w:r>
      <w:r w:rsidR="00E11F44" w:rsidRPr="00B65B09">
        <w:t xml:space="preserve"> </w:t>
      </w:r>
      <w:r w:rsidR="00A75D4C" w:rsidRPr="00B65B09">
        <w:t xml:space="preserve">somatropin solution for injection </w:t>
      </w:r>
      <w:r w:rsidR="00015883" w:rsidRPr="00B65B09">
        <w:t>6 mg</w:t>
      </w:r>
      <w:r w:rsidR="00947BA7">
        <w:t xml:space="preserve"> (18 i.u.) in 1.03 mL</w:t>
      </w:r>
      <w:r w:rsidR="00246306">
        <w:t xml:space="preserve"> and</w:t>
      </w:r>
      <w:r w:rsidR="00015883" w:rsidRPr="00B65B09">
        <w:t xml:space="preserve"> 12 mg</w:t>
      </w:r>
      <w:r w:rsidR="00947BA7">
        <w:t xml:space="preserve"> (36 i.u.) in 1.5 mL</w:t>
      </w:r>
      <w:r w:rsidR="00015883" w:rsidRPr="00B65B09">
        <w:t xml:space="preserve"> </w:t>
      </w:r>
      <w:r w:rsidR="00E11F44" w:rsidRPr="00B65B09">
        <w:t>(</w:t>
      </w:r>
      <w:r w:rsidR="00015883" w:rsidRPr="00B65B09">
        <w:t>Saizen</w:t>
      </w:r>
      <w:r w:rsidR="00E11F44" w:rsidRPr="00B65B09">
        <w:t xml:space="preserve">®) </w:t>
      </w:r>
      <w:r w:rsidR="00246306">
        <w:t>to include the</w:t>
      </w:r>
      <w:r w:rsidR="00015883" w:rsidRPr="00B65B09">
        <w:t xml:space="preserve"> treatment of </w:t>
      </w:r>
      <w:r w:rsidR="000A1F3C" w:rsidRPr="00B65B09">
        <w:t xml:space="preserve">severe </w:t>
      </w:r>
      <w:r w:rsidR="00AF099C" w:rsidRPr="00B65B09">
        <w:t>late onset</w:t>
      </w:r>
      <w:r w:rsidR="00015883" w:rsidRPr="00B65B09">
        <w:t xml:space="preserve"> growth hormone deficiency (GHD</w:t>
      </w:r>
      <w:r w:rsidR="00F409BF" w:rsidRPr="00B65B09">
        <w:t>)</w:t>
      </w:r>
      <w:r w:rsidR="00B56019">
        <w:t>.</w:t>
      </w:r>
    </w:p>
    <w:bookmarkEnd w:id="1"/>
    <w:p w14:paraId="3D1D4320" w14:textId="77777777" w:rsidR="007E490F" w:rsidRPr="00E1157E" w:rsidRDefault="007E490F" w:rsidP="001F2311">
      <w:pPr>
        <w:pStyle w:val="2-SectionHeading"/>
        <w:numPr>
          <w:ilvl w:val="0"/>
          <w:numId w:val="2"/>
        </w:numPr>
      </w:pPr>
      <w:r w:rsidRPr="00E1157E">
        <w:t xml:space="preserve">Background </w:t>
      </w:r>
    </w:p>
    <w:p w14:paraId="4AC9403F" w14:textId="665EBE3D" w:rsidR="004D60A4" w:rsidRPr="00F9719A" w:rsidRDefault="00395FF7" w:rsidP="00110FC9">
      <w:pPr>
        <w:pStyle w:val="3Bodytext"/>
      </w:pPr>
      <w:r w:rsidRPr="00F9719A">
        <w:t>Saizen 6 mg</w:t>
      </w:r>
      <w:r w:rsidR="0063742C">
        <w:t>,</w:t>
      </w:r>
      <w:r w:rsidRPr="00F9719A">
        <w:t xml:space="preserve"> 12 mg </w:t>
      </w:r>
      <w:r w:rsidR="0063742C">
        <w:t>and 20 mg are</w:t>
      </w:r>
      <w:r w:rsidR="001F2311" w:rsidRPr="00F9719A">
        <w:t xml:space="preserve"> currently listed on the PBS as</w:t>
      </w:r>
      <w:r w:rsidR="00777D20">
        <w:t xml:space="preserve"> </w:t>
      </w:r>
      <w:r w:rsidR="00777D20" w:rsidRPr="00F9719A">
        <w:t>Authority Required (</w:t>
      </w:r>
      <w:r w:rsidR="00777D20" w:rsidRPr="006A2EC9">
        <w:rPr>
          <w:rFonts w:eastAsia="Calibri" w:cstheme="minorHAnsi"/>
          <w:szCs w:val="24"/>
        </w:rPr>
        <w:t>in writing only via post/HPOS upload</w:t>
      </w:r>
      <w:r w:rsidR="00777D20" w:rsidRPr="00F9719A">
        <w:t>) listing</w:t>
      </w:r>
      <w:r w:rsidR="00777D20">
        <w:t>s under the</w:t>
      </w:r>
      <w:r w:rsidR="001F2311" w:rsidRPr="00F9719A">
        <w:t xml:space="preserve"> </w:t>
      </w:r>
      <w:r w:rsidR="00E67FD1" w:rsidRPr="00F9719A">
        <w:t>Section 100 Growth Hormone Programme</w:t>
      </w:r>
      <w:r w:rsidR="001F2311" w:rsidRPr="00F9719A">
        <w:t xml:space="preserve"> for</w:t>
      </w:r>
      <w:r w:rsidR="00777D20">
        <w:t xml:space="preserve"> the treatment of</w:t>
      </w:r>
      <w:r w:rsidR="004D60A4" w:rsidRPr="00F9719A">
        <w:t>:</w:t>
      </w:r>
    </w:p>
    <w:p w14:paraId="33F6DD24" w14:textId="7FFD5428" w:rsidR="004D60A4" w:rsidRPr="00E67FD1" w:rsidRDefault="00A33AD8" w:rsidP="00110FC9">
      <w:pPr>
        <w:pStyle w:val="3Bodytext"/>
        <w:numPr>
          <w:ilvl w:val="0"/>
          <w:numId w:val="28"/>
        </w:numPr>
      </w:pPr>
      <w:r w:rsidRPr="00E67FD1">
        <w:t>short stature and slow growth</w:t>
      </w:r>
    </w:p>
    <w:p w14:paraId="16268948" w14:textId="77777777" w:rsidR="004D60A4" w:rsidRPr="00E67FD1" w:rsidRDefault="004D60A4" w:rsidP="00110FC9">
      <w:pPr>
        <w:pStyle w:val="3Bodytext"/>
        <w:numPr>
          <w:ilvl w:val="0"/>
          <w:numId w:val="28"/>
        </w:numPr>
      </w:pPr>
      <w:r w:rsidRPr="00E67FD1">
        <w:t>short stature associated with biochemical growth hormone deficiency</w:t>
      </w:r>
    </w:p>
    <w:p w14:paraId="5ECB8D70" w14:textId="77777777" w:rsidR="004C0009" w:rsidRPr="00E67FD1" w:rsidRDefault="004D60A4" w:rsidP="00110FC9">
      <w:pPr>
        <w:pStyle w:val="3Bodytext"/>
        <w:numPr>
          <w:ilvl w:val="0"/>
          <w:numId w:val="28"/>
        </w:numPr>
      </w:pPr>
      <w:r w:rsidRPr="00E67FD1">
        <w:t xml:space="preserve">growth retardation secondary to </w:t>
      </w:r>
      <w:r w:rsidR="004C0009" w:rsidRPr="00E67FD1">
        <w:t>an intracranial lesion, or cranial irradiation</w:t>
      </w:r>
    </w:p>
    <w:p w14:paraId="5F824C40" w14:textId="77777777" w:rsidR="004C0009" w:rsidRPr="00E67FD1" w:rsidRDefault="004C0009" w:rsidP="00110FC9">
      <w:pPr>
        <w:pStyle w:val="3Bodytext"/>
        <w:numPr>
          <w:ilvl w:val="0"/>
          <w:numId w:val="28"/>
        </w:numPr>
      </w:pPr>
      <w:r w:rsidRPr="00E67FD1">
        <w:t>risk of hypoglycaemia secondary to growth hormone deficiency in neonates/infants</w:t>
      </w:r>
    </w:p>
    <w:p w14:paraId="18310A7C" w14:textId="77777777" w:rsidR="00527768" w:rsidRPr="00E67FD1" w:rsidRDefault="004C0009" w:rsidP="00110FC9">
      <w:pPr>
        <w:pStyle w:val="3Bodytext"/>
        <w:numPr>
          <w:ilvl w:val="0"/>
          <w:numId w:val="28"/>
        </w:numPr>
      </w:pPr>
      <w:r w:rsidRPr="00E67FD1">
        <w:t xml:space="preserve">biochemical growth hormone </w:t>
      </w:r>
      <w:r w:rsidR="00527768" w:rsidRPr="00E67FD1">
        <w:t>deficiency and precocious puberty</w:t>
      </w:r>
    </w:p>
    <w:p w14:paraId="4EF2072B" w14:textId="77777777" w:rsidR="00527768" w:rsidRPr="00E67FD1" w:rsidRDefault="00527768" w:rsidP="00110FC9">
      <w:pPr>
        <w:pStyle w:val="3Bodytext"/>
        <w:numPr>
          <w:ilvl w:val="0"/>
          <w:numId w:val="28"/>
        </w:numPr>
      </w:pPr>
      <w:r w:rsidRPr="00E67FD1">
        <w:t>hypothalamic-pituitary disease secondary to a structural lesion, with hypothalamic obesity driven growth</w:t>
      </w:r>
    </w:p>
    <w:p w14:paraId="3A6EF937" w14:textId="77777777" w:rsidR="009D100B" w:rsidRPr="00E67FD1" w:rsidRDefault="009D100B" w:rsidP="00110FC9">
      <w:pPr>
        <w:pStyle w:val="3Bodytext"/>
        <w:numPr>
          <w:ilvl w:val="0"/>
          <w:numId w:val="28"/>
        </w:numPr>
      </w:pPr>
      <w:r w:rsidRPr="00E67FD1">
        <w:t>short stature associated with Turner syndrome</w:t>
      </w:r>
    </w:p>
    <w:p w14:paraId="48D192C2" w14:textId="77777777" w:rsidR="009D100B" w:rsidRPr="00E67FD1" w:rsidRDefault="009D100B" w:rsidP="00110FC9">
      <w:pPr>
        <w:pStyle w:val="3Bodytext"/>
        <w:numPr>
          <w:ilvl w:val="0"/>
          <w:numId w:val="28"/>
        </w:numPr>
      </w:pPr>
      <w:r w:rsidRPr="00E67FD1">
        <w:t>short stature due to short stature homeobox (SHOX) gene disorders</w:t>
      </w:r>
    </w:p>
    <w:p w14:paraId="196FAD9C" w14:textId="0A1F3D86" w:rsidR="001F2311" w:rsidRDefault="004E5CEC" w:rsidP="00110FC9">
      <w:pPr>
        <w:pStyle w:val="3Bodytext"/>
        <w:numPr>
          <w:ilvl w:val="0"/>
          <w:numId w:val="28"/>
        </w:numPr>
      </w:pPr>
      <w:r w:rsidRPr="00E67FD1">
        <w:t>short stature associated with chronic renal insufficiency</w:t>
      </w:r>
      <w:r w:rsidR="00E67FD1" w:rsidRPr="00E67FD1">
        <w:t>.</w:t>
      </w:r>
    </w:p>
    <w:p w14:paraId="191F4D87" w14:textId="3A51DC21" w:rsidR="00AA4327" w:rsidRPr="00C21A76" w:rsidRDefault="00AA4327" w:rsidP="00110FC9">
      <w:pPr>
        <w:pStyle w:val="3Bodytext"/>
      </w:pPr>
      <w:r>
        <w:t xml:space="preserve">The </w:t>
      </w:r>
      <w:r w:rsidR="00697485">
        <w:t xml:space="preserve">submission </w:t>
      </w:r>
      <w:r>
        <w:t xml:space="preserve">stated </w:t>
      </w:r>
      <w:r w:rsidR="00697485">
        <w:t xml:space="preserve">that the sponsor </w:t>
      </w:r>
      <w:r w:rsidR="00465946">
        <w:t xml:space="preserve">had </w:t>
      </w:r>
      <w:r>
        <w:t xml:space="preserve">been advised by the clinical community that there </w:t>
      </w:r>
      <w:r w:rsidR="00465946">
        <w:t xml:space="preserve">was </w:t>
      </w:r>
      <w:r>
        <w:t>a high and urgent clinical need for an additional somatropin product on the PBS. This is due to the fact that</w:t>
      </w:r>
      <w:r w:rsidR="00AF0899">
        <w:t xml:space="preserve"> one brand of somatropin PBS-listed for severe late onset GHD,</w:t>
      </w:r>
      <w:r>
        <w:t xml:space="preserve"> Norditropin FlexPro</w:t>
      </w:r>
      <w:r w:rsidR="00AF0899">
        <w:t>®,</w:t>
      </w:r>
      <w:r>
        <w:t xml:space="preserve"> is experiencing a worldwide supply shortage</w:t>
      </w:r>
      <w:r w:rsidR="00AF0899">
        <w:t>,</w:t>
      </w:r>
      <w:r>
        <w:t xml:space="preserve"> and</w:t>
      </w:r>
      <w:r w:rsidR="00AF0899">
        <w:t xml:space="preserve"> another PBS-listed brand,</w:t>
      </w:r>
      <w:r>
        <w:t xml:space="preserve"> NutropinAq</w:t>
      </w:r>
      <w:r w:rsidR="00002A98">
        <w:t>®</w:t>
      </w:r>
      <w:r w:rsidR="00AF0899">
        <w:t>,</w:t>
      </w:r>
      <w:r>
        <w:t xml:space="preserve"> will be discontinued in Australia next </w:t>
      </w:r>
      <w:r>
        <w:lastRenderedPageBreak/>
        <w:t xml:space="preserve">year. The </w:t>
      </w:r>
      <w:r w:rsidR="00697485">
        <w:t xml:space="preserve">submission </w:t>
      </w:r>
      <w:r>
        <w:t>state</w:t>
      </w:r>
      <w:r w:rsidR="00002A98">
        <w:t>d</w:t>
      </w:r>
      <w:r>
        <w:t xml:space="preserve"> that </w:t>
      </w:r>
      <w:r w:rsidR="00697485">
        <w:t xml:space="preserve">the sponsor </w:t>
      </w:r>
      <w:r w:rsidR="00465946">
        <w:t xml:space="preserve">was </w:t>
      </w:r>
      <w:r>
        <w:t xml:space="preserve">uncertain whether the only remaining somatropin product currently PBS-listed </w:t>
      </w:r>
      <w:r w:rsidR="00002A98">
        <w:t xml:space="preserve">for </w:t>
      </w:r>
      <w:r>
        <w:t>late onset GHD, Genotropin GoQuick</w:t>
      </w:r>
      <w:r w:rsidR="00002A98">
        <w:t>®,</w:t>
      </w:r>
      <w:r>
        <w:t xml:space="preserve"> </w:t>
      </w:r>
      <w:r w:rsidR="00704594">
        <w:t xml:space="preserve">would </w:t>
      </w:r>
      <w:r>
        <w:t>experience similar supply shortages in the near future</w:t>
      </w:r>
      <w:r w:rsidR="00B35B6C">
        <w:t xml:space="preserve"> due to the increased demand</w:t>
      </w:r>
      <w:r>
        <w:t>.</w:t>
      </w:r>
    </w:p>
    <w:p w14:paraId="43D9E47C" w14:textId="4E88D6D6" w:rsidR="00AA4327" w:rsidRDefault="00D26347" w:rsidP="00110FC9">
      <w:pPr>
        <w:pStyle w:val="3Bodytext"/>
      </w:pPr>
      <w:r>
        <w:t>This</w:t>
      </w:r>
      <w:r w:rsidR="0032154A">
        <w:t xml:space="preserve"> submission </w:t>
      </w:r>
      <w:r w:rsidR="00465946">
        <w:t>sought</w:t>
      </w:r>
      <w:r w:rsidR="00AA4327">
        <w:t xml:space="preserve"> to extend the PBS-listing of Saizen 6 mg and 12 mg to include this indication.</w:t>
      </w:r>
    </w:p>
    <w:p w14:paraId="29B7F081" w14:textId="35B4626C" w:rsidR="008E20E3" w:rsidRPr="00E67FD1" w:rsidRDefault="008E20E3" w:rsidP="00110FC9">
      <w:pPr>
        <w:pStyle w:val="3Bodytext"/>
      </w:pPr>
      <w:r w:rsidRPr="00241F49">
        <w:t xml:space="preserve">The </w:t>
      </w:r>
      <w:r w:rsidR="0032154A">
        <w:t>submission noted that</w:t>
      </w:r>
      <w:r w:rsidR="009E34EE">
        <w:t xml:space="preserve"> the sponsor has</w:t>
      </w:r>
      <w:r w:rsidR="0099272A">
        <w:t xml:space="preserve"> been</w:t>
      </w:r>
      <w:r w:rsidR="009E34EE">
        <w:t xml:space="preserve"> advised</w:t>
      </w:r>
      <w:r w:rsidR="0032154A">
        <w:t xml:space="preserve"> </w:t>
      </w:r>
      <w:r w:rsidR="0099272A">
        <w:t xml:space="preserve">by </w:t>
      </w:r>
      <w:r w:rsidRPr="00241F49">
        <w:t>clinicians</w:t>
      </w:r>
      <w:r w:rsidR="00C8557B">
        <w:t xml:space="preserve"> </w:t>
      </w:r>
      <w:r w:rsidRPr="00241F49">
        <w:t>that somatropin solution for injection 20 mg (60 i.u.) in 2.5 mL cartridge (with preservative)</w:t>
      </w:r>
      <w:r>
        <w:t xml:space="preserve"> (Saizen)</w:t>
      </w:r>
      <w:r w:rsidRPr="00241F49">
        <w:t xml:space="preserve"> will not be used in adult patients</w:t>
      </w:r>
      <w:r w:rsidR="009E34EE">
        <w:t>. The submission</w:t>
      </w:r>
      <w:r w:rsidRPr="00241F49">
        <w:t xml:space="preserve"> therefore </w:t>
      </w:r>
      <w:r w:rsidR="009E34EE">
        <w:t>did not seek</w:t>
      </w:r>
      <w:r w:rsidRPr="00241F49">
        <w:t xml:space="preserve"> </w:t>
      </w:r>
      <w:r>
        <w:t xml:space="preserve">to extend </w:t>
      </w:r>
      <w:r w:rsidRPr="00241F49">
        <w:t xml:space="preserve">the PBS-listing of this strength </w:t>
      </w:r>
      <w:r>
        <w:t>of Saizen to include adult indications.</w:t>
      </w:r>
      <w:r w:rsidR="00D26347">
        <w:t xml:space="preserve"> </w:t>
      </w:r>
    </w:p>
    <w:p w14:paraId="33C2C319" w14:textId="66DF215F" w:rsidR="007E490F" w:rsidRPr="00E1157E" w:rsidRDefault="007E490F" w:rsidP="007E490F">
      <w:pPr>
        <w:pStyle w:val="4-SubsectionHeading"/>
      </w:pPr>
      <w:r w:rsidRPr="00E1157E">
        <w:t>Registration status</w:t>
      </w:r>
    </w:p>
    <w:p w14:paraId="61160D85" w14:textId="7F91E327" w:rsidR="00AC6420" w:rsidRPr="00D17225" w:rsidRDefault="00054336" w:rsidP="00110FC9">
      <w:pPr>
        <w:pStyle w:val="3Bodytext"/>
      </w:pPr>
      <w:r w:rsidRPr="00D17225">
        <w:t xml:space="preserve">Somatropin </w:t>
      </w:r>
      <w:r w:rsidR="00F6006A" w:rsidRPr="00D17225">
        <w:t xml:space="preserve">solution for </w:t>
      </w:r>
      <w:r w:rsidRPr="00D17225">
        <w:t>injection 6 mg</w:t>
      </w:r>
      <w:r w:rsidR="00114312">
        <w:t xml:space="preserve"> and</w:t>
      </w:r>
      <w:r w:rsidRPr="00D17225">
        <w:t xml:space="preserve"> 12 mg (Saizen)</w:t>
      </w:r>
      <w:r w:rsidR="007E490F" w:rsidRPr="00D17225">
        <w:t xml:space="preserve"> was </w:t>
      </w:r>
      <w:r w:rsidR="00A756DD">
        <w:t>Therapeutic Goods Administration (</w:t>
      </w:r>
      <w:r w:rsidR="007E490F" w:rsidRPr="00D17225">
        <w:t>TGA</w:t>
      </w:r>
      <w:r w:rsidR="00A756DD">
        <w:t>)</w:t>
      </w:r>
      <w:r w:rsidR="007E490F" w:rsidRPr="00D17225">
        <w:t xml:space="preserve"> registered on </w:t>
      </w:r>
      <w:r w:rsidR="00AC6420" w:rsidRPr="00D17225">
        <w:t>2</w:t>
      </w:r>
      <w:r w:rsidR="00C6564B">
        <w:t>2</w:t>
      </w:r>
      <w:r w:rsidR="00AC6420" w:rsidRPr="00D17225">
        <w:t> </w:t>
      </w:r>
      <w:r w:rsidR="00C6564B">
        <w:t>August</w:t>
      </w:r>
      <w:r w:rsidR="00AC6420" w:rsidRPr="00D17225">
        <w:t> 20</w:t>
      </w:r>
      <w:r w:rsidR="00C6564B">
        <w:t>11</w:t>
      </w:r>
      <w:r w:rsidR="007E490F" w:rsidRPr="00D17225">
        <w:t xml:space="preserve"> for</w:t>
      </w:r>
      <w:r w:rsidR="00AC6420" w:rsidRPr="00D17225">
        <w:t>:</w:t>
      </w:r>
    </w:p>
    <w:p w14:paraId="73E68DF3" w14:textId="3672A6CB" w:rsidR="00E5045F" w:rsidRDefault="00D17225" w:rsidP="00110FC9">
      <w:pPr>
        <w:pStyle w:val="3Bodytext"/>
        <w:numPr>
          <w:ilvl w:val="0"/>
          <w:numId w:val="30"/>
        </w:numPr>
      </w:pPr>
      <w:r>
        <w:t>t</w:t>
      </w:r>
      <w:r w:rsidR="00AC6420">
        <w:t xml:space="preserve">reatment of growth failure in children due to human </w:t>
      </w:r>
      <w:r w:rsidR="00E5045F">
        <w:t>GHD</w:t>
      </w:r>
    </w:p>
    <w:p w14:paraId="0A753C0A" w14:textId="2549CC0E" w:rsidR="00E5045F" w:rsidRDefault="00D17225" w:rsidP="00110FC9">
      <w:pPr>
        <w:pStyle w:val="3Bodytext"/>
        <w:numPr>
          <w:ilvl w:val="0"/>
          <w:numId w:val="30"/>
        </w:numPr>
      </w:pPr>
      <w:r>
        <w:t>t</w:t>
      </w:r>
      <w:r w:rsidR="00AC6420">
        <w:t>reatment of growth failure in girls with gonadal dysgenesis (Turner syndrome), confirmed by chromosomal analysis</w:t>
      </w:r>
    </w:p>
    <w:p w14:paraId="4D2EA97C" w14:textId="2F849B8D" w:rsidR="00AC6420" w:rsidRDefault="00D17225" w:rsidP="00110FC9">
      <w:pPr>
        <w:pStyle w:val="3Bodytext"/>
        <w:numPr>
          <w:ilvl w:val="0"/>
          <w:numId w:val="30"/>
        </w:numPr>
      </w:pPr>
      <w:r>
        <w:t>r</w:t>
      </w:r>
      <w:r w:rsidR="00AC6420">
        <w:t xml:space="preserve">eplacement therapy in adults with pronounced </w:t>
      </w:r>
      <w:r w:rsidR="009B7822">
        <w:t>GHD</w:t>
      </w:r>
      <w:r w:rsidR="00E5045F">
        <w:t xml:space="preserve"> </w:t>
      </w:r>
      <w:r w:rsidR="00AC6420">
        <w:t xml:space="preserve">as diagnosed in </w:t>
      </w:r>
      <w:r>
        <w:t>two</w:t>
      </w:r>
      <w:r w:rsidR="00AC6420">
        <w:t xml:space="preserve"> different dynamic tests for </w:t>
      </w:r>
      <w:r w:rsidR="001371F0">
        <w:t>GHD</w:t>
      </w:r>
      <w:r w:rsidR="00AC6420">
        <w:t xml:space="preserve"> and defin</w:t>
      </w:r>
      <w:r w:rsidR="001371F0">
        <w:t>e</w:t>
      </w:r>
      <w:r w:rsidR="00AC6420">
        <w:t>d by peak GH concentrations of less than 2.5 nanogram/m</w:t>
      </w:r>
      <w:r>
        <w:t>L</w:t>
      </w:r>
      <w:r w:rsidR="00AC6420">
        <w:t xml:space="preserve">. Adults must also </w:t>
      </w:r>
      <w:r w:rsidR="00AF42B3">
        <w:t>fulfil</w:t>
      </w:r>
      <w:r w:rsidR="00AC6420">
        <w:t xml:space="preserve"> the following criteria:</w:t>
      </w:r>
    </w:p>
    <w:p w14:paraId="40882560" w14:textId="3022A53C" w:rsidR="00151642" w:rsidRDefault="00AC6420" w:rsidP="00110FC9">
      <w:pPr>
        <w:pStyle w:val="3Bodytext"/>
        <w:numPr>
          <w:ilvl w:val="0"/>
          <w:numId w:val="31"/>
        </w:numPr>
      </w:pPr>
      <w:r>
        <w:t xml:space="preserve">Childhood onset: Patients who were diagnosed as growth hormone deficient during childhood, must be retested and their </w:t>
      </w:r>
      <w:r w:rsidR="001371F0">
        <w:t xml:space="preserve">GHD </w:t>
      </w:r>
      <w:r>
        <w:t>confirmed before replacement therapy with S</w:t>
      </w:r>
      <w:r w:rsidR="00151642">
        <w:t>aizen</w:t>
      </w:r>
      <w:r>
        <w:t xml:space="preserve"> is started</w:t>
      </w:r>
    </w:p>
    <w:p w14:paraId="5A4EFE4B" w14:textId="1BA4CE29" w:rsidR="003070D3" w:rsidRDefault="00AC6420" w:rsidP="00110FC9">
      <w:pPr>
        <w:pStyle w:val="3Bodytext"/>
        <w:numPr>
          <w:ilvl w:val="0"/>
          <w:numId w:val="31"/>
        </w:numPr>
      </w:pPr>
      <w:r>
        <w:t xml:space="preserve">Adult onset: Patients must have </w:t>
      </w:r>
      <w:r w:rsidR="001371F0">
        <w:t>GHD</w:t>
      </w:r>
      <w:r>
        <w:t xml:space="preserve"> as a result of hypothalamic or pituitary disease and at least one other hormone deficiency diagnosed (except for prolactin) and adequate replacement therapy instituted, before replacement therapy using growth hormone may begin</w:t>
      </w:r>
    </w:p>
    <w:p w14:paraId="0F456A9E" w14:textId="4F994E1F" w:rsidR="00BC04B1" w:rsidRDefault="00D17225" w:rsidP="00110FC9">
      <w:pPr>
        <w:pStyle w:val="3Bodytext"/>
        <w:numPr>
          <w:ilvl w:val="0"/>
          <w:numId w:val="33"/>
        </w:numPr>
      </w:pPr>
      <w:r>
        <w:t>t</w:t>
      </w:r>
      <w:r w:rsidR="00AC6420">
        <w:t>reatment of growth disturbance (growth retardation) in pre-pubertal children due to chronic renal insufficiency.</w:t>
      </w:r>
    </w:p>
    <w:p w14:paraId="0094486E" w14:textId="4EB2CDDE" w:rsidR="007E490F" w:rsidRDefault="007E490F" w:rsidP="007E490F">
      <w:pPr>
        <w:pStyle w:val="4-SubsectionHeading"/>
      </w:pPr>
      <w:r w:rsidRPr="00E1157E">
        <w:t xml:space="preserve">Previous PBAC consideration </w:t>
      </w:r>
    </w:p>
    <w:p w14:paraId="3C909A2F" w14:textId="2D1E7CFB" w:rsidR="00FD7BB4" w:rsidRDefault="00FD7BB4" w:rsidP="00A929FA">
      <w:pPr>
        <w:pStyle w:val="2Sections"/>
        <w:jc w:val="center"/>
        <w:rPr>
          <w:rFonts w:eastAsiaTheme="minorHAnsi" w:cstheme="minorBidi"/>
          <w:bCs/>
          <w:snapToGrid/>
          <w:sz w:val="24"/>
          <w:szCs w:val="22"/>
          <w:lang w:val="en-GB" w:eastAsia="en-AU"/>
        </w:rPr>
      </w:pPr>
      <w:r w:rsidRPr="00D71ADA">
        <w:rPr>
          <w:rFonts w:eastAsiaTheme="minorHAnsi" w:cstheme="minorBidi"/>
          <w:bCs/>
          <w:snapToGrid/>
          <w:sz w:val="24"/>
          <w:szCs w:val="22"/>
          <w:lang w:val="en-GB" w:eastAsia="en-AU"/>
        </w:rPr>
        <w:t>Committee-In-Confidence information</w:t>
      </w:r>
    </w:p>
    <w:p w14:paraId="2B76FCE5" w14:textId="38A026BC" w:rsidR="000B55F9" w:rsidRPr="000B55F9" w:rsidRDefault="000B55F9" w:rsidP="00155934">
      <w:pPr>
        <w:pStyle w:val="3Bodytext"/>
      </w:pPr>
      <w:r w:rsidRPr="003F492B">
        <w:rPr>
          <w:color w:val="000000"/>
          <w:w w:val="61"/>
          <w:shd w:val="solid" w:color="000000" w:fill="000000"/>
          <w:fitText w:val="475" w:id="-1160538368"/>
          <w14:textFill>
            <w14:solidFill>
              <w14:srgbClr w14:val="000000">
                <w14:alpha w14:val="100000"/>
              </w14:srgbClr>
            </w14:solidFill>
          </w14:textFill>
        </w:rPr>
        <w:t>|||  ||</w:t>
      </w:r>
      <w:r w:rsidRPr="003F492B">
        <w:rPr>
          <w:color w:val="000000"/>
          <w:spacing w:val="5"/>
          <w:w w:val="61"/>
          <w:shd w:val="solid" w:color="000000" w:fill="000000"/>
          <w:fitText w:val="475" w:id="-1160538368"/>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7"/>
          <w14:textFill>
            <w14:solidFill>
              <w14:srgbClr w14:val="000000">
                <w14:alpha w14:val="100000"/>
              </w14:srgbClr>
            </w14:solidFill>
          </w14:textFill>
        </w:rPr>
        <w:t>|||  ||</w:t>
      </w:r>
      <w:r w:rsidRPr="000B55F9">
        <w:rPr>
          <w:color w:val="000000"/>
          <w:spacing w:val="5"/>
          <w:w w:val="61"/>
          <w:shd w:val="solid" w:color="000000" w:fill="000000"/>
          <w:fitText w:val="475" w:id="-1160538367"/>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6"/>
          <w14:textFill>
            <w14:solidFill>
              <w14:srgbClr w14:val="000000">
                <w14:alpha w14:val="100000"/>
              </w14:srgbClr>
            </w14:solidFill>
          </w14:textFill>
        </w:rPr>
        <w:t>|||  ||</w:t>
      </w:r>
      <w:r w:rsidRPr="000B55F9">
        <w:rPr>
          <w:color w:val="000000"/>
          <w:spacing w:val="5"/>
          <w:w w:val="61"/>
          <w:shd w:val="solid" w:color="000000" w:fill="000000"/>
          <w:fitText w:val="475" w:id="-1160538366"/>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5"/>
          <w14:textFill>
            <w14:solidFill>
              <w14:srgbClr w14:val="000000">
                <w14:alpha w14:val="100000"/>
              </w14:srgbClr>
            </w14:solidFill>
          </w14:textFill>
        </w:rPr>
        <w:t>|||  ||</w:t>
      </w:r>
      <w:r w:rsidRPr="000B55F9">
        <w:rPr>
          <w:color w:val="000000"/>
          <w:spacing w:val="5"/>
          <w:w w:val="61"/>
          <w:shd w:val="solid" w:color="000000" w:fill="000000"/>
          <w:fitText w:val="475" w:id="-1160538365"/>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4"/>
          <w14:textFill>
            <w14:solidFill>
              <w14:srgbClr w14:val="000000">
                <w14:alpha w14:val="100000"/>
              </w14:srgbClr>
            </w14:solidFill>
          </w14:textFill>
        </w:rPr>
        <w:t>|||  ||</w:t>
      </w:r>
      <w:r w:rsidRPr="000B55F9">
        <w:rPr>
          <w:color w:val="000000"/>
          <w:spacing w:val="5"/>
          <w:w w:val="61"/>
          <w:shd w:val="solid" w:color="000000" w:fill="000000"/>
          <w:fitText w:val="475" w:id="-1160538364"/>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3"/>
          <w14:textFill>
            <w14:solidFill>
              <w14:srgbClr w14:val="000000">
                <w14:alpha w14:val="100000"/>
              </w14:srgbClr>
            </w14:solidFill>
          </w14:textFill>
        </w:rPr>
        <w:t>|||  ||</w:t>
      </w:r>
      <w:r w:rsidRPr="000B55F9">
        <w:rPr>
          <w:color w:val="000000"/>
          <w:spacing w:val="5"/>
          <w:w w:val="61"/>
          <w:shd w:val="solid" w:color="000000" w:fill="000000"/>
          <w:fitText w:val="475" w:id="-1160538363"/>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2"/>
          <w14:textFill>
            <w14:solidFill>
              <w14:srgbClr w14:val="000000">
                <w14:alpha w14:val="100000"/>
              </w14:srgbClr>
            </w14:solidFill>
          </w14:textFill>
        </w:rPr>
        <w:t>|||  ||</w:t>
      </w:r>
      <w:r w:rsidRPr="000B55F9">
        <w:rPr>
          <w:color w:val="000000"/>
          <w:spacing w:val="5"/>
          <w:w w:val="61"/>
          <w:shd w:val="solid" w:color="000000" w:fill="000000"/>
          <w:fitText w:val="475" w:id="-1160538362"/>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1"/>
          <w14:textFill>
            <w14:solidFill>
              <w14:srgbClr w14:val="000000">
                <w14:alpha w14:val="100000"/>
              </w14:srgbClr>
            </w14:solidFill>
          </w14:textFill>
        </w:rPr>
        <w:t>|||  ||</w:t>
      </w:r>
      <w:r w:rsidRPr="000B55F9">
        <w:rPr>
          <w:color w:val="000000"/>
          <w:spacing w:val="5"/>
          <w:w w:val="61"/>
          <w:shd w:val="solid" w:color="000000" w:fill="000000"/>
          <w:fitText w:val="475" w:id="-1160538361"/>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60"/>
          <w14:textFill>
            <w14:solidFill>
              <w14:srgbClr w14:val="000000">
                <w14:alpha w14:val="100000"/>
              </w14:srgbClr>
            </w14:solidFill>
          </w14:textFill>
        </w:rPr>
        <w:t>|||  ||</w:t>
      </w:r>
      <w:r w:rsidRPr="000B55F9">
        <w:rPr>
          <w:color w:val="000000"/>
          <w:spacing w:val="5"/>
          <w:w w:val="61"/>
          <w:shd w:val="solid" w:color="000000" w:fill="000000"/>
          <w:fitText w:val="475" w:id="-1160538360"/>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59"/>
          <w14:textFill>
            <w14:solidFill>
              <w14:srgbClr w14:val="000000">
                <w14:alpha w14:val="100000"/>
              </w14:srgbClr>
            </w14:solidFill>
          </w14:textFill>
        </w:rPr>
        <w:t>|||  ||</w:t>
      </w:r>
      <w:r w:rsidRPr="000B55F9">
        <w:rPr>
          <w:color w:val="000000"/>
          <w:spacing w:val="5"/>
          <w:w w:val="61"/>
          <w:shd w:val="solid" w:color="000000" w:fill="000000"/>
          <w:fitText w:val="475" w:id="-1160538359"/>
          <w14:textFill>
            <w14:solidFill>
              <w14:srgbClr w14:val="000000">
                <w14:alpha w14:val="100000"/>
              </w14:srgbClr>
            </w14:solidFill>
          </w14:textFill>
        </w:rPr>
        <w:t>|</w:t>
      </w:r>
      <w:r w:rsidRPr="000B55F9">
        <w:t xml:space="preserve"> </w:t>
      </w:r>
      <w:r w:rsidRPr="000B55F9">
        <w:rPr>
          <w:color w:val="000000"/>
          <w:w w:val="59"/>
          <w:shd w:val="solid" w:color="000000" w:fill="000000"/>
          <w:fitText w:val="460" w:id="-1160538358"/>
          <w14:textFill>
            <w14:solidFill>
              <w14:srgbClr w14:val="000000">
                <w14:alpha w14:val="100000"/>
              </w14:srgbClr>
            </w14:solidFill>
          </w14:textFill>
        </w:rPr>
        <w:t>|||  ||</w:t>
      </w:r>
      <w:r w:rsidRPr="000B55F9">
        <w:rPr>
          <w:color w:val="000000"/>
          <w:spacing w:val="5"/>
          <w:w w:val="59"/>
          <w:shd w:val="solid" w:color="000000" w:fill="000000"/>
          <w:fitText w:val="460" w:id="-1160538358"/>
          <w14:textFill>
            <w14:solidFill>
              <w14:srgbClr w14:val="000000">
                <w14:alpha w14:val="100000"/>
              </w14:srgbClr>
            </w14:solidFill>
          </w14:textFill>
        </w:rPr>
        <w:t>|</w:t>
      </w:r>
      <w:r w:rsidRPr="000B55F9">
        <w:t xml:space="preserve"> </w:t>
      </w:r>
      <w:r w:rsidRPr="002A338E">
        <w:rPr>
          <w:color w:val="000000"/>
          <w:w w:val="61"/>
          <w:shd w:val="solid" w:color="000000" w:fill="000000"/>
          <w:fitText w:val="475" w:id="-1160538357"/>
          <w14:textFill>
            <w14:solidFill>
              <w14:srgbClr w14:val="000000">
                <w14:alpha w14:val="100000"/>
              </w14:srgbClr>
            </w14:solidFill>
          </w14:textFill>
        </w:rPr>
        <w:t>|||  ||</w:t>
      </w:r>
      <w:r w:rsidRPr="002A338E">
        <w:rPr>
          <w:color w:val="000000"/>
          <w:spacing w:val="5"/>
          <w:w w:val="61"/>
          <w:shd w:val="solid" w:color="000000" w:fill="000000"/>
          <w:fitText w:val="475" w:id="-1160538357"/>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56"/>
          <w14:textFill>
            <w14:solidFill>
              <w14:srgbClr w14:val="000000">
                <w14:alpha w14:val="100000"/>
              </w14:srgbClr>
            </w14:solidFill>
          </w14:textFill>
        </w:rPr>
        <w:t>|||  ||</w:t>
      </w:r>
      <w:r w:rsidRPr="000B55F9">
        <w:rPr>
          <w:color w:val="000000"/>
          <w:spacing w:val="5"/>
          <w:w w:val="61"/>
          <w:shd w:val="solid" w:color="000000" w:fill="000000"/>
          <w:fitText w:val="475" w:id="-1160538356"/>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55"/>
          <w14:textFill>
            <w14:solidFill>
              <w14:srgbClr w14:val="000000">
                <w14:alpha w14:val="100000"/>
              </w14:srgbClr>
            </w14:solidFill>
          </w14:textFill>
        </w:rPr>
        <w:t>|||  ||</w:t>
      </w:r>
      <w:r w:rsidRPr="000B55F9">
        <w:rPr>
          <w:color w:val="000000"/>
          <w:spacing w:val="5"/>
          <w:w w:val="61"/>
          <w:shd w:val="solid" w:color="000000" w:fill="000000"/>
          <w:fitText w:val="475" w:id="-1160538355"/>
          <w14:textFill>
            <w14:solidFill>
              <w14:srgbClr w14:val="000000">
                <w14:alpha w14:val="100000"/>
              </w14:srgbClr>
            </w14:solidFill>
          </w14:textFill>
        </w:rPr>
        <w:t>|</w:t>
      </w:r>
      <w:r w:rsidRPr="000B55F9">
        <w:t xml:space="preserve"> </w:t>
      </w:r>
      <w:r w:rsidRPr="000B55F9">
        <w:rPr>
          <w:color w:val="000000"/>
          <w:w w:val="61"/>
          <w:shd w:val="solid" w:color="000000" w:fill="000000"/>
          <w:fitText w:val="475" w:id="-1160538354"/>
          <w14:textFill>
            <w14:solidFill>
              <w14:srgbClr w14:val="000000">
                <w14:alpha w14:val="100000"/>
              </w14:srgbClr>
            </w14:solidFill>
          </w14:textFill>
        </w:rPr>
        <w:t>|||  ||</w:t>
      </w:r>
      <w:r w:rsidRPr="000B55F9">
        <w:rPr>
          <w:color w:val="000000"/>
          <w:spacing w:val="5"/>
          <w:w w:val="61"/>
          <w:shd w:val="solid" w:color="000000" w:fill="000000"/>
          <w:fitText w:val="475" w:id="-1160538354"/>
          <w14:textFill>
            <w14:solidFill>
              <w14:srgbClr w14:val="000000">
                <w14:alpha w14:val="100000"/>
              </w14:srgbClr>
            </w14:solidFill>
          </w14:textFill>
        </w:rPr>
        <w:t>|</w:t>
      </w:r>
      <w:r w:rsidRPr="000B55F9">
        <w:t xml:space="preserve"> </w:t>
      </w:r>
      <w:r w:rsidRPr="00B05C75">
        <w:rPr>
          <w:color w:val="00000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w w:val="15"/>
          <w:shd w:val="solid" w:color="000000" w:fill="000000"/>
          <w14:textFill>
            <w14:solidFill>
              <w14:srgbClr w14:val="000000">
                <w14:alpha w14:val="100000"/>
              </w14:srgbClr>
            </w14:solidFill>
          </w14:textFill>
        </w:rPr>
        <w:t xml:space="preserve"> </w:t>
      </w:r>
      <w:r w:rsidRPr="002A338E">
        <w:rPr>
          <w:color w:val="000000"/>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0B55F9">
        <w:t xml:space="preserve"> </w:t>
      </w:r>
      <w:r w:rsidRPr="00B05C75">
        <w:rPr>
          <w:color w:val="00000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r w:rsidRPr="00B05C75">
        <w:rPr>
          <w:color w:val="000000"/>
          <w:spacing w:val="-69"/>
          <w:w w:val="15"/>
          <w:shd w:val="solid" w:color="000000" w:fill="000000"/>
          <w14:textFill>
            <w14:solidFill>
              <w14:srgbClr w14:val="000000">
                <w14:alpha w14:val="100000"/>
              </w14:srgbClr>
            </w14:solidFill>
          </w14:textFill>
        </w:rPr>
        <w:t>|</w:t>
      </w:r>
      <w:r w:rsidRPr="000B55F9">
        <w:t xml:space="preserve"> </w:t>
      </w:r>
      <w:r w:rsidRPr="00B05C75">
        <w:rPr>
          <w:color w:val="000000"/>
          <w:spacing w:val="-130"/>
          <w:w w:val="15"/>
          <w:shd w:val="solid" w:color="000000" w:fill="000000"/>
          <w14:textFill>
            <w14:solidFill>
              <w14:srgbClr w14:val="000000">
                <w14:alpha w14:val="100000"/>
              </w14:srgbClr>
            </w14:solidFill>
          </w14:textFill>
        </w:rPr>
        <w:t>|</w:t>
      </w:r>
      <w:r w:rsidRPr="003F492B">
        <w:rPr>
          <w:color w:val="000000"/>
          <w:w w:val="15"/>
          <w:shd w:val="solid" w:color="000000" w:fill="000000"/>
          <w14:textFill>
            <w14:solidFill>
              <w14:srgbClr w14:val="000000">
                <w14:alpha w14:val="100000"/>
              </w14:srgbClr>
            </w14:solidFill>
          </w14:textFill>
        </w:rPr>
        <w:t xml:space="preserve">  |</w:t>
      </w:r>
    </w:p>
    <w:p w14:paraId="72F7CA51" w14:textId="31DAA19E" w:rsidR="00B93FB5" w:rsidRPr="00B93FB5" w:rsidRDefault="00FD7BB4" w:rsidP="00A929FA">
      <w:pPr>
        <w:pStyle w:val="3Bodytext"/>
        <w:numPr>
          <w:ilvl w:val="0"/>
          <w:numId w:val="0"/>
        </w:numPr>
        <w:ind w:left="720"/>
        <w:jc w:val="center"/>
        <w:rPr>
          <w:b/>
          <w:bCs/>
        </w:rPr>
      </w:pPr>
      <w:r w:rsidRPr="00A929FA">
        <w:rPr>
          <w:b/>
          <w:bCs/>
        </w:rPr>
        <w:t>End Committee-In-Confidence information</w:t>
      </w:r>
    </w:p>
    <w:p w14:paraId="5B466ADE" w14:textId="06FB54FB" w:rsidR="0072152B" w:rsidRDefault="001077C5" w:rsidP="00110FC9">
      <w:pPr>
        <w:pStyle w:val="3Bodytext"/>
      </w:pPr>
      <w:r>
        <w:t>At its July 2011 meeting, the PBAC did not recommend</w:t>
      </w:r>
      <w:r w:rsidR="00D8003D">
        <w:t xml:space="preserve"> the</w:t>
      </w:r>
      <w:r>
        <w:t xml:space="preserve"> PBS-listing of Genotropin</w:t>
      </w:r>
      <w:r w:rsidR="008D4817">
        <w:rPr>
          <w:rFonts w:cstheme="minorHAnsi"/>
        </w:rPr>
        <w:t>®</w:t>
      </w:r>
      <w:r>
        <w:t xml:space="preserve"> (somatropin 5 mg and 12 mg</w:t>
      </w:r>
      <w:r w:rsidR="008D4817">
        <w:t>,</w:t>
      </w:r>
      <w:r>
        <w:t xml:space="preserve"> injection </w:t>
      </w:r>
      <w:r w:rsidR="00F25AFB">
        <w:t>in 1 mL cartridge</w:t>
      </w:r>
      <w:r>
        <w:t>)</w:t>
      </w:r>
      <w:r w:rsidR="008D4817">
        <w:t>, Genotropin GoQuick (somatropin 5 mg and 12 mg, powder for</w:t>
      </w:r>
      <w:r w:rsidR="00F25AFB">
        <w:t xml:space="preserve"> injection with diluent in pre-filled pen)</w:t>
      </w:r>
      <w:r w:rsidR="004E4966">
        <w:t xml:space="preserve"> and </w:t>
      </w:r>
      <w:r w:rsidR="004E4966">
        <w:lastRenderedPageBreak/>
        <w:t>Genotropin MiniQuick</w:t>
      </w:r>
      <w:r w:rsidR="004E4966">
        <w:rPr>
          <w:rFonts w:cstheme="minorHAnsi"/>
        </w:rPr>
        <w:t>®</w:t>
      </w:r>
      <w:r w:rsidR="004E4966">
        <w:t xml:space="preserve"> (somatropin 0.6 mg – 2 mg, injection with diluent in single use syringe) for the treatment of adults with severe GHD, on the basis of uncertain clinical benefit and highly uncertain cost-effectiveness.</w:t>
      </w:r>
    </w:p>
    <w:p w14:paraId="47E73281" w14:textId="301AF2DF" w:rsidR="004E4966" w:rsidRDefault="00754284" w:rsidP="00110FC9">
      <w:pPr>
        <w:pStyle w:val="3Bodytext"/>
      </w:pPr>
      <w:r>
        <w:t xml:space="preserve">At its November 2016 meeting, the PBAC deferred making a decision on whether to list somatropin on the PBS for the treatment of adults with severe GHD and substantially impaired quality of life at baseline. The PBAC considered that although </w:t>
      </w:r>
      <w:r w:rsidR="00A7750D">
        <w:t>there was a place for this drug in the treatment of adults with severe GHD, the clinical benefit in terms of quality of life was uncertain and the magnitude was likely overestimated. The PBAC therefore considered that the cost-effectiveness of somatropin for this indication was uncertain</w:t>
      </w:r>
      <w:r w:rsidR="00A6755F">
        <w:t xml:space="preserve">. </w:t>
      </w:r>
    </w:p>
    <w:p w14:paraId="1992C852" w14:textId="5279D7A9" w:rsidR="00DC3DC8" w:rsidRDefault="00DC3DC8" w:rsidP="00110FC9">
      <w:pPr>
        <w:pStyle w:val="3Bodytext"/>
      </w:pPr>
      <w:r>
        <w:t>At its July 2017 meeting, the PBAC</w:t>
      </w:r>
      <w:r w:rsidR="007E5C7C">
        <w:t xml:space="preserve"> again considered, and</w:t>
      </w:r>
      <w:r>
        <w:t xml:space="preserve"> recommended</w:t>
      </w:r>
      <w:r w:rsidR="007E5C7C">
        <w:t>,</w:t>
      </w:r>
      <w:r>
        <w:t xml:space="preserve"> the PBS-</w:t>
      </w:r>
      <w:bookmarkStart w:id="2" w:name="_Hlk143683743"/>
      <w:r>
        <w:t>listing of somatropin for the treatment of adults with severe GHD, and substantially impaired quality of life at baseline, on the basis that it should be available only under special arrangements under Section 100 (Growth Hormone Program</w:t>
      </w:r>
      <w:r w:rsidR="00A756DD">
        <w:t>me</w:t>
      </w:r>
      <w:r>
        <w:t>)</w:t>
      </w:r>
      <w:r w:rsidR="00D70C95">
        <w:t xml:space="preserve">. </w:t>
      </w:r>
      <w:bookmarkEnd w:id="2"/>
      <w:r w:rsidR="00D70C95">
        <w:t>The PBAC was satisfied that somatropin provides, for some patients, a significant improvement in efficacy over standard care</w:t>
      </w:r>
      <w:r>
        <w:t xml:space="preserve"> (paragraph 7.1, somatropin </w:t>
      </w:r>
      <w:r w:rsidR="007E5C7C">
        <w:t>Public Summary Document (P</w:t>
      </w:r>
      <w:r w:rsidR="003A534C">
        <w:t>SD</w:t>
      </w:r>
      <w:r w:rsidR="007E5C7C">
        <w:t>)</w:t>
      </w:r>
      <w:r>
        <w:t xml:space="preserve">, July 2017 PBAC meeting). </w:t>
      </w:r>
      <w:r w:rsidR="003125EA">
        <w:t xml:space="preserve">The </w:t>
      </w:r>
      <w:r w:rsidR="00A6755F" w:rsidRPr="00A6755F">
        <w:t xml:space="preserve">submission </w:t>
      </w:r>
      <w:r w:rsidR="003125EA">
        <w:t xml:space="preserve">was </w:t>
      </w:r>
      <w:r w:rsidR="00A6755F" w:rsidRPr="00A6755F">
        <w:t>made by two professional organisations (Endocrine Society of Australia (ESA) and Australian Paediatric Endocrine Group</w:t>
      </w:r>
      <w:r w:rsidR="00081358">
        <w:t xml:space="preserve"> (</w:t>
      </w:r>
      <w:r w:rsidR="000666B9">
        <w:t>APEG)</w:t>
      </w:r>
      <w:r w:rsidR="00A6755F" w:rsidRPr="00A6755F">
        <w:t>)</w:t>
      </w:r>
      <w:r w:rsidR="007E5C64">
        <w:t>.</w:t>
      </w:r>
    </w:p>
    <w:p w14:paraId="46402C98" w14:textId="7E5EC1A5" w:rsidR="003536F5" w:rsidRDefault="00141A1A" w:rsidP="00110FC9">
      <w:pPr>
        <w:pStyle w:val="3Bodytext"/>
      </w:pPr>
      <w:r>
        <w:t xml:space="preserve">In making its recommendation, the PBAC recalled its view that a reduction in drug cost would likely improve the cost-effectiveness of somatropin in this </w:t>
      </w:r>
      <w:r w:rsidR="00F20252">
        <w:t>setting</w:t>
      </w:r>
      <w:r w:rsidR="003468A8">
        <w:t>,</w:t>
      </w:r>
      <w:r w:rsidR="00F20252">
        <w:t xml:space="preserve"> </w:t>
      </w:r>
      <w:r>
        <w:t>that the high uncertainty in quantifying the clinical benefit of somatropin treatment would be mitigated, and</w:t>
      </w:r>
      <w:r w:rsidR="003468A8">
        <w:t xml:space="preserve"> that</w:t>
      </w:r>
      <w:r>
        <w:t xml:space="preserve"> the cost-effectiveness of somatropin in this setting would be acceptable at a lower </w:t>
      </w:r>
      <w:r w:rsidR="006F6C25">
        <w:t>incremental cost effectiveness ratio (paragraph 7.9, somatropin PSD, July 2017 PBAC meeting)</w:t>
      </w:r>
      <w:r>
        <w:t>.</w:t>
      </w:r>
    </w:p>
    <w:p w14:paraId="2F1BC3FD" w14:textId="5B0B0BAB" w:rsidR="00DC3DC8" w:rsidRDefault="00DC3DC8" w:rsidP="00110FC9">
      <w:pPr>
        <w:pStyle w:val="3Bodytext"/>
      </w:pPr>
      <w:r>
        <w:t xml:space="preserve">The PBAC noted there were five sponsors of forms of PBS-listed somatropin with </w:t>
      </w:r>
      <w:r w:rsidR="00A756DD">
        <w:t>TGA</w:t>
      </w:r>
      <w:r>
        <w:t xml:space="preserve"> registration for the treatment of adults with severe GHD, and that the PBAC recommendation would only apply to these products (paragraph 7.5, somatropin </w:t>
      </w:r>
      <w:r w:rsidR="005672F5">
        <w:t>PSD</w:t>
      </w:r>
      <w:r>
        <w:t>, July 2017 PBAC meeting).</w:t>
      </w:r>
    </w:p>
    <w:p w14:paraId="573A7E5A" w14:textId="5F2E5507" w:rsidR="00DC3DC8" w:rsidRDefault="00DC3DC8" w:rsidP="00110FC9">
      <w:pPr>
        <w:pStyle w:val="3Bodytext"/>
      </w:pPr>
      <w:r>
        <w:t>Following this recommendation, Ipsen Pty Ltd listed Genotropin GoQuick for this indication on 1 December 2018, followed by Pfizer Australia listing NutropinAq (1 April 2019) and</w:t>
      </w:r>
      <w:r w:rsidR="00B3056E">
        <w:t xml:space="preserve"> Novo Nordisk Pharmaceuticals Pty. Limited listing</w:t>
      </w:r>
      <w:r>
        <w:t xml:space="preserve"> Norditropin FlexPro (1 February 2020).</w:t>
      </w:r>
    </w:p>
    <w:p w14:paraId="291B99B8" w14:textId="56FF89CA" w:rsidR="007A0CFA" w:rsidRDefault="007A0CFA" w:rsidP="007A0CFA">
      <w:pPr>
        <w:pStyle w:val="3Bodytext"/>
      </w:pPr>
      <w:r>
        <w:t xml:space="preserve">In July 2019 the PBAC ratified changes to the PBS eligibility restrictions for adult use somatropin which will provide that </w:t>
      </w:r>
      <w:r w:rsidR="00086B14">
        <w:t xml:space="preserve">childhood onset </w:t>
      </w:r>
      <w:r>
        <w:t>GHD patients with congenital, genetic or structural  causes who have previously received PBS-subsidised therapy as children are no longer required to provide provocation tests to meet the eligibility criteria for adult use  somatropin</w:t>
      </w:r>
      <w:r w:rsidR="00086B14">
        <w:t xml:space="preserve"> (paragraph </w:t>
      </w:r>
      <w:r w:rsidR="00523720">
        <w:t>2.3, somatropin PSD, August 2019 PBAC meeting)</w:t>
      </w:r>
      <w:r>
        <w:t xml:space="preserve">. </w:t>
      </w:r>
    </w:p>
    <w:p w14:paraId="65C18950" w14:textId="1A3DBA80" w:rsidR="007A0CFA" w:rsidRDefault="00523720" w:rsidP="007A0CFA">
      <w:pPr>
        <w:pStyle w:val="3Bodytext"/>
      </w:pPr>
      <w:r>
        <w:lastRenderedPageBreak/>
        <w:t>I</w:t>
      </w:r>
      <w:r w:rsidR="007A0CFA">
        <w:t>n July 2019</w:t>
      </w:r>
      <w:r>
        <w:t xml:space="preserve"> the PBAC also ratified</w:t>
      </w:r>
      <w:r w:rsidR="007A0CFA">
        <w:t xml:space="preserve"> that </w:t>
      </w:r>
      <w:r>
        <w:t xml:space="preserve">childhood onset </w:t>
      </w:r>
      <w:r w:rsidR="007A0CFA">
        <w:t xml:space="preserve">GHD patients who have previously received non-PBS therapy as children will be required to demonstrate the same level of evidence as adult onset </w:t>
      </w:r>
      <w:r w:rsidR="000771B4">
        <w:t xml:space="preserve">GHD </w:t>
      </w:r>
      <w:r w:rsidR="007A0CFA">
        <w:t>patients</w:t>
      </w:r>
      <w:r w:rsidR="000771B4">
        <w:t xml:space="preserve"> (</w:t>
      </w:r>
      <w:r w:rsidR="00CC327E">
        <w:t>paragraph 2.4, somatropin PSD, August 2019 PBAC meeting)</w:t>
      </w:r>
      <w:r w:rsidR="007A0CFA">
        <w:t>.</w:t>
      </w:r>
    </w:p>
    <w:p w14:paraId="0F80DA58" w14:textId="4EA6E351" w:rsidR="007A0CFA" w:rsidRDefault="008D4FAB" w:rsidP="007A0CFA">
      <w:pPr>
        <w:pStyle w:val="3Bodytext"/>
      </w:pPr>
      <w:r>
        <w:t>At its March 2019 meeting t</w:t>
      </w:r>
      <w:r w:rsidR="007A0CFA">
        <w:t>he</w:t>
      </w:r>
      <w:r w:rsidR="00CC327E">
        <w:t xml:space="preserve"> PBAC recommended that the</w:t>
      </w:r>
      <w:r w:rsidR="007A0CFA">
        <w:t xml:space="preserve"> Quality of Life Assessment of </w:t>
      </w:r>
      <w:r w:rsidR="00CC327E">
        <w:t>GHD</w:t>
      </w:r>
      <w:r w:rsidR="007A0CFA">
        <w:t xml:space="preserve"> in </w:t>
      </w:r>
      <w:r w:rsidR="00CC327E">
        <w:t>a</w:t>
      </w:r>
      <w:r w:rsidR="007A0CFA">
        <w:t>dults was</w:t>
      </w:r>
      <w:r>
        <w:t xml:space="preserve"> to</w:t>
      </w:r>
      <w:r w:rsidR="007A0CFA">
        <w:t xml:space="preserve"> </w:t>
      </w:r>
      <w:r w:rsidR="00EA3DD6">
        <w:t>be</w:t>
      </w:r>
      <w:r w:rsidR="007A0CFA">
        <w:t xml:space="preserve"> remov</w:t>
      </w:r>
      <w:r w:rsidR="00EA3DD6">
        <w:t>ed</w:t>
      </w:r>
      <w:r w:rsidR="007A0CFA">
        <w:t xml:space="preserve"> due to accessibility issues. This change was implemented 1 September 2019</w:t>
      </w:r>
      <w:r w:rsidR="00EA3DD6">
        <w:t xml:space="preserve"> (paragraph 2.5, somatropin PSD, August 2019 PBAC meeting)</w:t>
      </w:r>
      <w:r w:rsidR="007A0CFA">
        <w:t>.</w:t>
      </w:r>
    </w:p>
    <w:p w14:paraId="725959FF" w14:textId="7CB70CB8" w:rsidR="00EA3DD6" w:rsidRDefault="00EA3DD6" w:rsidP="00EA3DD6">
      <w:pPr>
        <w:pStyle w:val="3Bodytext"/>
      </w:pPr>
      <w:r>
        <w:t>At its August 2019 meeting the PBAC ratified amendments to the adult-use somatropin restrictions for childhood onset GHD patients with a congenital, genetic or structural cause to commence from when this cohort reaches skeletal maturity rather than the chronological age of 18 years</w:t>
      </w:r>
      <w:r w:rsidR="004B3A48">
        <w:t xml:space="preserve"> (paragraph 5.1</w:t>
      </w:r>
      <w:r w:rsidR="001718B7">
        <w:t>, somatropin PSD, August 2019 PBAC meeting)</w:t>
      </w:r>
      <w:r>
        <w:t>.</w:t>
      </w:r>
    </w:p>
    <w:p w14:paraId="65256397" w14:textId="7EFDC51C" w:rsidR="00E32C55" w:rsidRDefault="00DC3DC8" w:rsidP="00110FC9">
      <w:pPr>
        <w:pStyle w:val="3Bodytext"/>
      </w:pPr>
      <w:r>
        <w:t xml:space="preserve">In line with processes for reviewing and remaking positive PBAC listing recommendations that have not been accepted by applicants, the PBAC </w:t>
      </w:r>
      <w:r w:rsidR="00826ABF">
        <w:t xml:space="preserve">rescinded </w:t>
      </w:r>
      <w:r w:rsidR="00936E4A">
        <w:t>its July 2017</w:t>
      </w:r>
      <w:r>
        <w:t xml:space="preserve"> recommendation at its July 2021 meeting</w:t>
      </w:r>
      <w:r w:rsidR="00326098">
        <w:t>, with support from the organisations who made the original submission</w:t>
      </w:r>
      <w:r>
        <w:t xml:space="preserve">. </w:t>
      </w:r>
      <w:r w:rsidR="00B856B4">
        <w:t>This recommendation was made publicly available on the PBS website (</w:t>
      </w:r>
      <w:hyperlink r:id="rId8" w:history="1">
        <w:r w:rsidR="00B856B4" w:rsidRPr="003A5779">
          <w:rPr>
            <w:rStyle w:val="Hyperlink"/>
          </w:rPr>
          <w:t>www.pbs.gov.au/industry/listing/elements/pbac-meetings/pbac-outcomes/2021-07/july-2021-pbac-web-outcomes-07-2021.pdf</w:t>
        </w:r>
      </w:hyperlink>
      <w:r w:rsidR="00B856B4">
        <w:t xml:space="preserve">). </w:t>
      </w:r>
      <w:r w:rsidR="00081358">
        <w:t xml:space="preserve">The </w:t>
      </w:r>
      <w:r>
        <w:t xml:space="preserve">ESA and the </w:t>
      </w:r>
      <w:r w:rsidR="000666B9">
        <w:t>APEG</w:t>
      </w:r>
      <w:r>
        <w:t xml:space="preserve"> were advised of this consideration </w:t>
      </w:r>
      <w:r w:rsidRPr="007D324C">
        <w:t>as they provided the original submission, however individual sponsors of the relevant products were not contacted</w:t>
      </w:r>
      <w:r>
        <w:t xml:space="preserve"> directly</w:t>
      </w:r>
      <w:r w:rsidRPr="007D324C">
        <w:t>.</w:t>
      </w:r>
      <w:r w:rsidR="00CA3942">
        <w:t xml:space="preserve"> </w:t>
      </w:r>
      <w:r w:rsidR="00AA4327">
        <w:t>The sponsor of Saizen, Merck Healthcare Pty Ltd (Merck) stated they were unaware that this recommendation had been rescinded.</w:t>
      </w:r>
    </w:p>
    <w:p w14:paraId="1B8790B6" w14:textId="77777777" w:rsidR="00964A9F" w:rsidRPr="00E1157E" w:rsidRDefault="00964A9F" w:rsidP="00964A9F">
      <w:pPr>
        <w:pStyle w:val="2-SectionHeading"/>
      </w:pPr>
      <w:r w:rsidRPr="00E1157E">
        <w:t xml:space="preserve">Requested listing </w:t>
      </w:r>
    </w:p>
    <w:p w14:paraId="2EA8FEF1" w14:textId="2F156D5C" w:rsidR="00562658" w:rsidRDefault="007D2E2F" w:rsidP="00110FC9">
      <w:pPr>
        <w:pStyle w:val="3Bodytext"/>
      </w:pPr>
      <w:r>
        <w:t xml:space="preserve">The Product Information for Saizen recommends the following dose for the treatment of GHD in adults: </w:t>
      </w:r>
    </w:p>
    <w:p w14:paraId="64112063" w14:textId="7E28B840" w:rsidR="007D2E2F" w:rsidRPr="004A502C" w:rsidRDefault="008328C7" w:rsidP="00110FC9">
      <w:pPr>
        <w:pStyle w:val="3Bodytext"/>
        <w:numPr>
          <w:ilvl w:val="0"/>
          <w:numId w:val="0"/>
        </w:numPr>
        <w:ind w:left="720"/>
      </w:pPr>
      <w:r w:rsidRPr="004A502C">
        <w:t>‘</w:t>
      </w:r>
      <w:r w:rsidR="004D27BD" w:rsidRPr="004A502C">
        <w:t>At the start of Saizen therapy, low doses of 0.15 – 0.3 mg are recommended, given as a daily subcutaneous injection. The dose should be titrated carefully guided by IGF-1 age-adjusted normal values and on the basis of clinical effect and adverse events. The recommended final Saizen dose seldom exceeds 1.0 mg/day. In general, the lowest efficacious dose should be administered. With women showing an increasing IGF-1 sensitivity over time, dose adjustment may be required for women, especially for those on oral estrogen replacement. In older or overweight patients, lower doses may be necessary.</w:t>
      </w:r>
      <w:r w:rsidRPr="004A502C">
        <w:t>’</w:t>
      </w:r>
    </w:p>
    <w:p w14:paraId="665258C2" w14:textId="21ADDD8A" w:rsidR="00A32A9A" w:rsidRPr="00D73A6B" w:rsidRDefault="004E1B1F" w:rsidP="00110FC9">
      <w:pPr>
        <w:pStyle w:val="3Bodytext"/>
      </w:pPr>
      <w:r>
        <w:t xml:space="preserve">The submission requested Saizen 6 mg and 12 mg be listed </w:t>
      </w:r>
      <w:r w:rsidRPr="004E1B1F">
        <w:t>under the same circumstances as the</w:t>
      </w:r>
      <w:r w:rsidR="00F02B7A">
        <w:t xml:space="preserve"> somatropin products currently</w:t>
      </w:r>
      <w:r w:rsidRPr="004E1B1F">
        <w:t xml:space="preserve"> PBS-listed</w:t>
      </w:r>
      <w:r w:rsidR="00D35382">
        <w:t xml:space="preserve"> for</w:t>
      </w:r>
      <w:r w:rsidRPr="004E1B1F">
        <w:t xml:space="preserve"> </w:t>
      </w:r>
      <w:r w:rsidR="00F02B7A">
        <w:t>severe late onset GHD (</w:t>
      </w:r>
      <w:r w:rsidRPr="004E1B1F">
        <w:t xml:space="preserve">somatropin powder for injection 5 mg (15 i.u.) with diluent and 12 mg (36 i.u.) with diluent (Genotropin GoQuick), somatropin solution for injection 5 mg (15 i.u.) in </w:t>
      </w:r>
      <w:r w:rsidRPr="004E1B1F">
        <w:lastRenderedPageBreak/>
        <w:t>1.5 mL (Norditropin FlexPro) and somatropin solution for injection 10 mg (30 i.u.) in 2 mL (NutropinAq)</w:t>
      </w:r>
      <w:r w:rsidR="00F02B7A">
        <w:t>).</w:t>
      </w:r>
    </w:p>
    <w:p w14:paraId="29A96004" w14:textId="3778CA4F" w:rsidR="00C27C1C" w:rsidRPr="00E1157E" w:rsidRDefault="00C27C1C" w:rsidP="001F2311">
      <w:pPr>
        <w:pStyle w:val="2-SectionHeading"/>
        <w:numPr>
          <w:ilvl w:val="0"/>
          <w:numId w:val="2"/>
        </w:numPr>
        <w:rPr>
          <w:color w:val="FF0000"/>
        </w:rPr>
      </w:pPr>
      <w:r w:rsidRPr="00E1157E">
        <w:t>Comparator</w:t>
      </w:r>
    </w:p>
    <w:p w14:paraId="4A709E71" w14:textId="1652DC60" w:rsidR="00C27C1C" w:rsidRDefault="00C27C1C" w:rsidP="00110FC9">
      <w:pPr>
        <w:pStyle w:val="3Bodytext"/>
      </w:pPr>
      <w:r w:rsidRPr="00E1157E">
        <w:t xml:space="preserve">The </w:t>
      </w:r>
      <w:r w:rsidR="004D4310">
        <w:t xml:space="preserve">somatropin </w:t>
      </w:r>
      <w:r w:rsidRPr="00CD493D">
        <w:t xml:space="preserve">submission considered by the PBAC </w:t>
      </w:r>
      <w:r w:rsidRPr="00D904D0">
        <w:t xml:space="preserve">in </w:t>
      </w:r>
      <w:r w:rsidR="00E16FE6" w:rsidRPr="00D904D0">
        <w:t xml:space="preserve">July 2017 </w:t>
      </w:r>
      <w:r w:rsidRPr="00CD493D">
        <w:t xml:space="preserve">nominated </w:t>
      </w:r>
      <w:r w:rsidR="00F55D07" w:rsidRPr="00D35E96">
        <w:t>standard care as</w:t>
      </w:r>
      <w:r w:rsidR="00790682" w:rsidRPr="00D35E96">
        <w:t xml:space="preserve"> the main comparator</w:t>
      </w:r>
      <w:r w:rsidRPr="00D35E96">
        <w:t xml:space="preserve">. </w:t>
      </w:r>
      <w:r w:rsidR="001032CE">
        <w:rPr>
          <w:iCs/>
        </w:rPr>
        <w:t>Now that alternative somatropin products</w:t>
      </w:r>
      <w:r w:rsidR="00AB1203" w:rsidRPr="00A858E6">
        <w:t xml:space="preserve"> </w:t>
      </w:r>
      <w:r w:rsidR="00D35E96" w:rsidRPr="00110FC9">
        <w:t>are currently PBS-listed for the treatment of severe late onset GHD</w:t>
      </w:r>
      <w:r w:rsidR="002F536A" w:rsidRPr="00110FC9">
        <w:t xml:space="preserve">, </w:t>
      </w:r>
      <w:r w:rsidR="007F0635" w:rsidRPr="00110FC9">
        <w:t>s</w:t>
      </w:r>
      <w:r w:rsidR="000039D7" w:rsidRPr="00110FC9">
        <w:t>omatropin powder for injection 5</w:t>
      </w:r>
      <w:r w:rsidR="00990C74" w:rsidRPr="00110FC9">
        <w:t> </w:t>
      </w:r>
      <w:r w:rsidR="000039D7" w:rsidRPr="00110FC9">
        <w:t>mg (15</w:t>
      </w:r>
      <w:r w:rsidR="00990C74" w:rsidRPr="00110FC9">
        <w:t> </w:t>
      </w:r>
      <w:r w:rsidR="000039D7" w:rsidRPr="00110FC9">
        <w:t>i.u.) with diluent and 12</w:t>
      </w:r>
      <w:r w:rsidR="00AB1203" w:rsidRPr="00110FC9">
        <w:t> </w:t>
      </w:r>
      <w:r w:rsidR="000039D7" w:rsidRPr="00110FC9">
        <w:t>mg (36</w:t>
      </w:r>
      <w:r w:rsidR="00990C74" w:rsidRPr="00110FC9">
        <w:t> </w:t>
      </w:r>
      <w:r w:rsidR="000039D7" w:rsidRPr="00110FC9">
        <w:t>i.u.) with diluent (Genotropin GoQuick), somatropin solution for injection 5</w:t>
      </w:r>
      <w:r w:rsidR="00990C74" w:rsidRPr="00110FC9">
        <w:t> </w:t>
      </w:r>
      <w:r w:rsidR="000039D7" w:rsidRPr="00110FC9">
        <w:t>mg (15</w:t>
      </w:r>
      <w:r w:rsidR="00990C74" w:rsidRPr="00110FC9">
        <w:t> </w:t>
      </w:r>
      <w:r w:rsidR="000039D7" w:rsidRPr="00110FC9">
        <w:t>i.u.) in 1.5</w:t>
      </w:r>
      <w:r w:rsidR="00990C74" w:rsidRPr="00110FC9">
        <w:t> </w:t>
      </w:r>
      <w:r w:rsidR="000039D7" w:rsidRPr="00110FC9">
        <w:t>mL (Norditropin FlexPro)</w:t>
      </w:r>
      <w:r w:rsidR="002F536A" w:rsidRPr="00110FC9">
        <w:t>,</w:t>
      </w:r>
      <w:r w:rsidR="000039D7" w:rsidRPr="00110FC9">
        <w:t xml:space="preserve"> and somatropin solution for injection 10</w:t>
      </w:r>
      <w:r w:rsidR="00990C74" w:rsidRPr="00110FC9">
        <w:t> </w:t>
      </w:r>
      <w:r w:rsidR="000039D7" w:rsidRPr="00110FC9">
        <w:t>mg (30</w:t>
      </w:r>
      <w:r w:rsidR="00990C74" w:rsidRPr="00110FC9">
        <w:t> </w:t>
      </w:r>
      <w:r w:rsidR="000039D7" w:rsidRPr="00110FC9">
        <w:t>i.u.) in 2</w:t>
      </w:r>
      <w:r w:rsidR="00990C74" w:rsidRPr="00110FC9">
        <w:t> </w:t>
      </w:r>
      <w:r w:rsidR="000039D7" w:rsidRPr="00110FC9">
        <w:t>mL (NutropinAq)</w:t>
      </w:r>
      <w:r w:rsidR="002F536A" w:rsidRPr="00110FC9">
        <w:t xml:space="preserve"> would be</w:t>
      </w:r>
      <w:r w:rsidR="001032CE" w:rsidRPr="00110FC9">
        <w:t xml:space="preserve"> appropriate comparators</w:t>
      </w:r>
      <w:r w:rsidR="004B29FB" w:rsidRPr="00110FC9">
        <w:t>.</w:t>
      </w:r>
    </w:p>
    <w:p w14:paraId="6277BE88" w14:textId="1285B718" w:rsidR="002A42D9" w:rsidRPr="00CE42B4" w:rsidRDefault="002A42D9" w:rsidP="002A42D9">
      <w:pPr>
        <w:widowControl w:val="0"/>
        <w:numPr>
          <w:ilvl w:val="1"/>
          <w:numId w:val="2"/>
        </w:numPr>
        <w:spacing w:after="120"/>
        <w:rPr>
          <w:rFonts w:asciiTheme="minorHAnsi" w:hAnsiTheme="minorHAnsi" w:cs="Arial"/>
          <w:snapToGrid w:val="0"/>
          <w:szCs w:val="20"/>
        </w:rPr>
      </w:pPr>
      <w:bookmarkStart w:id="3"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w:t>
      </w:r>
      <w:r w:rsidR="00D7508E">
        <w:rPr>
          <w:rFonts w:asciiTheme="minorHAnsi" w:hAnsiTheme="minorHAnsi" w:cs="Arial"/>
          <w:snapToGrid w:val="0"/>
          <w:szCs w:val="20"/>
        </w:rPr>
        <w:t xml:space="preserve"> and safety with other somatropin products PBS-listed for the treatment of severe late onset GHD</w:t>
      </w:r>
      <w:r w:rsidRPr="00CE42B4">
        <w:rPr>
          <w:rFonts w:asciiTheme="minorHAnsi" w:hAnsiTheme="minorHAnsi" w:cs="Arial"/>
          <w:snapToGrid w:val="0"/>
          <w:szCs w:val="20"/>
        </w:rPr>
        <w:t xml:space="preserve"> was reasonable.</w:t>
      </w:r>
    </w:p>
    <w:bookmarkEnd w:id="3"/>
    <w:p w14:paraId="0436B7D8" w14:textId="147F89DB" w:rsidR="00C27C1C" w:rsidRDefault="00C27C1C" w:rsidP="001F2311">
      <w:pPr>
        <w:pStyle w:val="Heading1"/>
        <w:keepLines/>
        <w:numPr>
          <w:ilvl w:val="0"/>
          <w:numId w:val="2"/>
        </w:numPr>
        <w:spacing w:before="240"/>
        <w:ind w:left="709" w:hanging="709"/>
        <w:rPr>
          <w:sz w:val="32"/>
          <w:szCs w:val="32"/>
        </w:rPr>
      </w:pPr>
      <w:r w:rsidRPr="00E1157E">
        <w:rPr>
          <w:sz w:val="32"/>
          <w:szCs w:val="32"/>
        </w:rPr>
        <w:t>Consideration of the evidence</w:t>
      </w:r>
    </w:p>
    <w:p w14:paraId="313E55A0" w14:textId="1056E459" w:rsidR="00C27C1C" w:rsidRPr="000E7C68" w:rsidRDefault="006A43E5" w:rsidP="00110FC9">
      <w:pPr>
        <w:pStyle w:val="3Bodytext"/>
      </w:pPr>
      <w:r>
        <w:t>The s</w:t>
      </w:r>
      <w:r w:rsidR="000E7C68">
        <w:t>ubmission</w:t>
      </w:r>
      <w:r>
        <w:t xml:space="preserve"> stated that despite the July 2017 recommendation being rescinded, it consider</w:t>
      </w:r>
      <w:r w:rsidR="00C66003">
        <w:t>ed</w:t>
      </w:r>
      <w:r>
        <w:t xml:space="preserve"> that the clinical basis for PBS listing somatropin for the treatment of adults with severe GHD remain</w:t>
      </w:r>
      <w:r w:rsidR="00C66003">
        <w:t>ed</w:t>
      </w:r>
      <w:r>
        <w:t xml:space="preserve"> relevant, particularly when uncertainty in clinical benefit c</w:t>
      </w:r>
      <w:r w:rsidR="00077A39">
        <w:t>ould partly</w:t>
      </w:r>
      <w:r>
        <w:t xml:space="preserve"> be addressed with a reduce</w:t>
      </w:r>
      <w:r w:rsidR="00077A39">
        <w:t>d</w:t>
      </w:r>
      <w:r>
        <w:t xml:space="preserve"> price for this indication</w:t>
      </w:r>
      <w:r w:rsidR="00077A39">
        <w:t xml:space="preserve"> (paragraph 7.2, somatropin </w:t>
      </w:r>
      <w:r w:rsidR="00C66003">
        <w:t>PSD</w:t>
      </w:r>
      <w:r w:rsidR="00077A39">
        <w:t>, July 2017 PBAC meeting)</w:t>
      </w:r>
      <w:r>
        <w:t>. The s</w:t>
      </w:r>
      <w:r w:rsidR="000E7C68">
        <w:t>ubmission</w:t>
      </w:r>
      <w:r>
        <w:t xml:space="preserve"> stated that the evidence that was presented and considered in July 2017 </w:t>
      </w:r>
      <w:r w:rsidR="00D26347">
        <w:t>remained relevant and applicable to</w:t>
      </w:r>
      <w:r>
        <w:t xml:space="preserve"> this consideration.</w:t>
      </w:r>
    </w:p>
    <w:p w14:paraId="4AC859B9" w14:textId="63E4D468" w:rsidR="00145146" w:rsidRDefault="00145146" w:rsidP="00C27C1C">
      <w:pPr>
        <w:pStyle w:val="4-SubsectionHeading"/>
        <w:rPr>
          <w:lang w:eastAsia="en-US"/>
        </w:rPr>
      </w:pPr>
      <w:r>
        <w:rPr>
          <w:lang w:eastAsia="en-US"/>
        </w:rPr>
        <w:t>Sponsor hearing</w:t>
      </w:r>
    </w:p>
    <w:p w14:paraId="5CB57378" w14:textId="6A34DB37" w:rsidR="00145146" w:rsidRPr="00145146" w:rsidRDefault="00145146" w:rsidP="00110FC9">
      <w:pPr>
        <w:pStyle w:val="3Bodytext"/>
        <w:rPr>
          <w:lang w:eastAsia="en-US"/>
        </w:rPr>
      </w:pPr>
      <w:r>
        <w:rPr>
          <w:lang w:eastAsia="en-US"/>
        </w:rPr>
        <w:t>There was no hearing for this item.</w:t>
      </w:r>
    </w:p>
    <w:p w14:paraId="6054F857" w14:textId="3BE3EDDF" w:rsidR="004E36D8" w:rsidRDefault="004E36D8" w:rsidP="00C27C1C">
      <w:pPr>
        <w:pStyle w:val="4-SubsectionHeading"/>
        <w:rPr>
          <w:lang w:eastAsia="en-US"/>
        </w:rPr>
      </w:pPr>
      <w:r>
        <w:rPr>
          <w:lang w:eastAsia="en-US"/>
        </w:rPr>
        <w:t>Consumer comments</w:t>
      </w:r>
    </w:p>
    <w:p w14:paraId="32295AA1" w14:textId="7503BE00" w:rsidR="004E36D8" w:rsidRPr="004E36D8" w:rsidRDefault="00BD0783" w:rsidP="00537F83">
      <w:pPr>
        <w:pStyle w:val="3Bodytext"/>
        <w:rPr>
          <w:lang w:eastAsia="en-US"/>
        </w:rPr>
      </w:pPr>
      <w:r w:rsidRPr="00BD0783">
        <w:rPr>
          <w:snapToGrid w:val="0"/>
        </w:rPr>
        <w:t>The PBAC</w:t>
      </w:r>
      <w:r>
        <w:rPr>
          <w:snapToGrid w:val="0"/>
        </w:rPr>
        <w:t xml:space="preserve"> recalled that </w:t>
      </w:r>
      <w:r w:rsidRPr="00BD0783">
        <w:rPr>
          <w:snapToGrid w:val="0"/>
        </w:rPr>
        <w:t>no consumer comments were received for this item</w:t>
      </w:r>
      <w:r>
        <w:rPr>
          <w:snapToGrid w:val="0"/>
        </w:rPr>
        <w:t xml:space="preserve"> at its July 2017 meet</w:t>
      </w:r>
      <w:r w:rsidR="00C8684F">
        <w:rPr>
          <w:snapToGrid w:val="0"/>
        </w:rPr>
        <w:t>i</w:t>
      </w:r>
      <w:r>
        <w:rPr>
          <w:snapToGrid w:val="0"/>
        </w:rPr>
        <w:t>ng and that at</w:t>
      </w:r>
      <w:r w:rsidRPr="00BD0783">
        <w:rPr>
          <w:snapToGrid w:val="0"/>
        </w:rPr>
        <w:t xml:space="preserve"> its November 2016 consideration of somatropin for adults with GHD it received substantial input from individuals (68), health care professionals (2) and organisations (2) via the Consumer Comments facility on the PBS website.</w:t>
      </w:r>
      <w:r>
        <w:rPr>
          <w:snapToGrid w:val="0"/>
        </w:rPr>
        <w:t xml:space="preserve"> </w:t>
      </w:r>
      <w:r w:rsidR="001C35AC">
        <w:rPr>
          <w:snapToGrid w:val="0"/>
        </w:rPr>
        <w:t>D</w:t>
      </w:r>
      <w:r w:rsidR="002B01CD">
        <w:rPr>
          <w:snapToGrid w:val="0"/>
        </w:rPr>
        <w:t xml:space="preserve">ue to the nature of the clinical </w:t>
      </w:r>
      <w:r w:rsidR="007C3F73">
        <w:rPr>
          <w:snapToGrid w:val="0"/>
        </w:rPr>
        <w:t>need for this product</w:t>
      </w:r>
      <w:r w:rsidR="00B60715">
        <w:rPr>
          <w:snapToGrid w:val="0"/>
        </w:rPr>
        <w:t xml:space="preserve"> given the shortage</w:t>
      </w:r>
      <w:r w:rsidR="007C3F73">
        <w:rPr>
          <w:snapToGrid w:val="0"/>
        </w:rPr>
        <w:t>,</w:t>
      </w:r>
      <w:r w:rsidR="002B01CD">
        <w:rPr>
          <w:snapToGrid w:val="0"/>
        </w:rPr>
        <w:t xml:space="preserve"> </w:t>
      </w:r>
      <w:r w:rsidR="00F1798E" w:rsidRPr="00836F75">
        <w:rPr>
          <w:snapToGrid w:val="0"/>
        </w:rPr>
        <w:t xml:space="preserve">no consumer comments were </w:t>
      </w:r>
      <w:r w:rsidR="007C3F73">
        <w:rPr>
          <w:snapToGrid w:val="0"/>
        </w:rPr>
        <w:t>sought</w:t>
      </w:r>
      <w:r w:rsidR="00F1798E" w:rsidRPr="00836F75">
        <w:rPr>
          <w:snapToGrid w:val="0"/>
        </w:rPr>
        <w:t xml:space="preserve"> t</w:t>
      </w:r>
      <w:r w:rsidR="007C3F73">
        <w:rPr>
          <w:snapToGrid w:val="0"/>
        </w:rPr>
        <w:t>o expedite</w:t>
      </w:r>
      <w:r w:rsidR="001C35AC">
        <w:rPr>
          <w:snapToGrid w:val="0"/>
        </w:rPr>
        <w:t xml:space="preserve"> </w:t>
      </w:r>
      <w:r w:rsidR="007C3F73">
        <w:rPr>
          <w:snapToGrid w:val="0"/>
        </w:rPr>
        <w:t>consideration</w:t>
      </w:r>
      <w:r w:rsidR="00F1798E">
        <w:rPr>
          <w:snapToGrid w:val="0"/>
        </w:rPr>
        <w:t>.</w:t>
      </w:r>
    </w:p>
    <w:p w14:paraId="45D181E4" w14:textId="0A9CCF2E" w:rsidR="00C27C1C" w:rsidRPr="00E1157E" w:rsidRDefault="00C27C1C" w:rsidP="00C27C1C">
      <w:pPr>
        <w:pStyle w:val="4-SubsectionHeading"/>
        <w:rPr>
          <w:lang w:eastAsia="en-US"/>
        </w:rPr>
      </w:pPr>
      <w:r w:rsidRPr="00E1157E">
        <w:rPr>
          <w:lang w:eastAsia="en-US"/>
        </w:rPr>
        <w:t>Economic analysis</w:t>
      </w:r>
    </w:p>
    <w:p w14:paraId="6E33B902" w14:textId="0C9E4550" w:rsidR="000F4780" w:rsidRPr="000F4780" w:rsidRDefault="000F4780" w:rsidP="00110FC9">
      <w:pPr>
        <w:pStyle w:val="3Bodytext"/>
        <w:rPr>
          <w:i/>
        </w:rPr>
      </w:pPr>
      <w:r>
        <w:t>The s</w:t>
      </w:r>
      <w:r w:rsidR="006D7F91">
        <w:t>ubmission</w:t>
      </w:r>
      <w:r>
        <w:t xml:space="preserve"> noted that, </w:t>
      </w:r>
      <w:r w:rsidR="00CE48FB">
        <w:t>since the July 2017 recommendation and listing of somatropin products for adult patients with severe GHD, the approved ex-manufacturer price (AEMP)</w:t>
      </w:r>
      <w:r w:rsidR="007359E1">
        <w:t xml:space="preserve"> of somatropin products has decreased by 24.79% due to </w:t>
      </w:r>
      <w:r w:rsidR="00792E28">
        <w:t xml:space="preserve">a </w:t>
      </w:r>
      <w:r w:rsidR="007359E1">
        <w:t>catch-up statutory price reduction on 1 April 2023.</w:t>
      </w:r>
    </w:p>
    <w:p w14:paraId="54306CCC" w14:textId="24C9BD6B" w:rsidR="000269FB" w:rsidRPr="003A1676" w:rsidRDefault="000269FB" w:rsidP="00110FC9">
      <w:pPr>
        <w:pStyle w:val="3Bodytext"/>
        <w:rPr>
          <w:i/>
        </w:rPr>
      </w:pPr>
      <w:r>
        <w:lastRenderedPageBreak/>
        <w:t xml:space="preserve">The submission proposed an AEMP for Saizen 6 mg and 12 mg to </w:t>
      </w:r>
      <w:r w:rsidR="00E10E4C">
        <w:t>match those of Norditropin FlexPro, NutropinAq and Genotropin GoQuick on a per milligram basis, that would apply to both paediatric and adult indications. The s</w:t>
      </w:r>
      <w:r w:rsidR="006D7F91">
        <w:t>ubmission</w:t>
      </w:r>
      <w:r w:rsidR="00E10E4C">
        <w:t xml:space="preserve"> </w:t>
      </w:r>
      <w:r w:rsidR="006D7F91">
        <w:t>stated</w:t>
      </w:r>
      <w:r w:rsidR="00E10E4C">
        <w:t xml:space="preserve"> this was a 3.1% reduction </w:t>
      </w:r>
      <w:r w:rsidR="006D7F91">
        <w:t xml:space="preserve">in </w:t>
      </w:r>
      <w:r w:rsidR="00E10E4C">
        <w:t>the current AEMP of Saizen 6 mg and 12 mg</w:t>
      </w:r>
      <w:r w:rsidR="003A1676">
        <w:t xml:space="preserve"> (see Table 1)</w:t>
      </w:r>
      <w:r w:rsidR="00E10E4C">
        <w:t>.</w:t>
      </w:r>
    </w:p>
    <w:p w14:paraId="68A4449A" w14:textId="423C1FD5" w:rsidR="003A1676" w:rsidRPr="003A1676" w:rsidRDefault="003A1676" w:rsidP="003A1676">
      <w:pPr>
        <w:keepNext/>
        <w:rPr>
          <w:rFonts w:ascii="Arial Narrow" w:hAnsi="Arial Narrow"/>
          <w:b/>
          <w:bCs/>
          <w:sz w:val="20"/>
          <w:szCs w:val="20"/>
        </w:rPr>
      </w:pPr>
      <w:r w:rsidRPr="003A1676">
        <w:rPr>
          <w:rFonts w:ascii="Arial Narrow" w:hAnsi="Arial Narrow"/>
          <w:b/>
          <w:bCs/>
          <w:sz w:val="20"/>
          <w:szCs w:val="20"/>
        </w:rPr>
        <w:t xml:space="preserve">Table </w:t>
      </w:r>
      <w:r>
        <w:rPr>
          <w:rFonts w:ascii="Arial Narrow" w:hAnsi="Arial Narrow"/>
          <w:b/>
          <w:bCs/>
          <w:sz w:val="20"/>
          <w:szCs w:val="20"/>
        </w:rPr>
        <w:t>1</w:t>
      </w:r>
      <w:r w:rsidRPr="003A1676">
        <w:rPr>
          <w:rFonts w:ascii="Arial Narrow" w:hAnsi="Arial Narrow"/>
          <w:b/>
          <w:bCs/>
          <w:sz w:val="20"/>
          <w:szCs w:val="20"/>
        </w:rPr>
        <w:t xml:space="preserve">: Proposed Saizen (somatropin) prices </w:t>
      </w:r>
      <w:r w:rsidR="00520906">
        <w:rPr>
          <w:rFonts w:ascii="Arial Narrow" w:hAnsi="Arial Narrow"/>
          <w:b/>
          <w:bCs/>
          <w:sz w:val="20"/>
          <w:szCs w:val="20"/>
        </w:rPr>
        <w:t>if</w:t>
      </w:r>
      <w:r w:rsidRPr="003A1676">
        <w:rPr>
          <w:rFonts w:ascii="Arial Narrow" w:hAnsi="Arial Narrow"/>
          <w:b/>
          <w:bCs/>
          <w:sz w:val="20"/>
          <w:szCs w:val="20"/>
        </w:rPr>
        <w:t xml:space="preserve"> PBS</w:t>
      </w:r>
      <w:r w:rsidR="00520906">
        <w:rPr>
          <w:rFonts w:ascii="Arial Narrow" w:hAnsi="Arial Narrow"/>
          <w:b/>
          <w:bCs/>
          <w:sz w:val="20"/>
          <w:szCs w:val="20"/>
        </w:rPr>
        <w:t>-</w:t>
      </w:r>
      <w:r w:rsidRPr="003A1676">
        <w:rPr>
          <w:rFonts w:ascii="Arial Narrow" w:hAnsi="Arial Narrow"/>
          <w:b/>
          <w:bCs/>
          <w:sz w:val="20"/>
          <w:szCs w:val="20"/>
        </w:rPr>
        <w:t>list</w:t>
      </w:r>
      <w:r w:rsidR="00520906">
        <w:rPr>
          <w:rFonts w:ascii="Arial Narrow" w:hAnsi="Arial Narrow"/>
          <w:b/>
          <w:bCs/>
          <w:sz w:val="20"/>
          <w:szCs w:val="20"/>
        </w:rPr>
        <w:t>ed</w:t>
      </w:r>
      <w:r w:rsidRPr="003A1676">
        <w:rPr>
          <w:rFonts w:ascii="Arial Narrow" w:hAnsi="Arial Narrow"/>
          <w:b/>
          <w:bCs/>
          <w:sz w:val="20"/>
          <w:szCs w:val="20"/>
        </w:rPr>
        <w:t xml:space="preserve"> for adult patients with severe GHD</w:t>
      </w:r>
    </w:p>
    <w:tbl>
      <w:tblPr>
        <w:tblW w:w="8926" w:type="dxa"/>
        <w:tblCellMar>
          <w:left w:w="57" w:type="dxa"/>
          <w:right w:w="57" w:type="dxa"/>
        </w:tblCellMar>
        <w:tblLook w:val="04A0" w:firstRow="1" w:lastRow="0" w:firstColumn="1" w:lastColumn="0" w:noHBand="0" w:noVBand="1"/>
      </w:tblPr>
      <w:tblGrid>
        <w:gridCol w:w="3114"/>
        <w:gridCol w:w="1276"/>
        <w:gridCol w:w="1275"/>
        <w:gridCol w:w="1134"/>
        <w:gridCol w:w="1276"/>
        <w:gridCol w:w="851"/>
      </w:tblGrid>
      <w:tr w:rsidR="003A1676" w:rsidRPr="003A1676" w14:paraId="2C8E7A36" w14:textId="77777777" w:rsidTr="009B7E68">
        <w:trPr>
          <w:trHeight w:val="300"/>
        </w:trPr>
        <w:tc>
          <w:tcPr>
            <w:tcW w:w="3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E8B831" w14:textId="038A9651" w:rsidR="003A1676" w:rsidRPr="00EC46F2" w:rsidRDefault="003A1676" w:rsidP="00A45FF3">
            <w:pPr>
              <w:keepNext/>
              <w:keepLines/>
              <w:rPr>
                <w:rFonts w:ascii="Arial Narrow" w:hAnsi="Arial Narrow" w:cs="Calibri"/>
                <w:b/>
                <w:bCs/>
                <w:color w:val="000000"/>
                <w:sz w:val="20"/>
                <w:szCs w:val="20"/>
              </w:rPr>
            </w:pPr>
            <w:r w:rsidRPr="00EC46F2">
              <w:rPr>
                <w:rFonts w:ascii="Arial Narrow" w:hAnsi="Arial Narrow" w:cs="Calibri"/>
                <w:b/>
                <w:bCs/>
                <w:color w:val="000000"/>
                <w:sz w:val="20"/>
                <w:szCs w:val="20"/>
              </w:rPr>
              <w:t xml:space="preserve">Saizen </w:t>
            </w:r>
            <w:r w:rsidR="00520906" w:rsidRPr="00EC46F2">
              <w:rPr>
                <w:rFonts w:ascii="Arial Narrow" w:hAnsi="Arial Narrow" w:cs="Calibri"/>
                <w:b/>
                <w:bCs/>
                <w:color w:val="000000"/>
                <w:sz w:val="20"/>
                <w:szCs w:val="20"/>
              </w:rPr>
              <w:t>product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7AEEE705" w14:textId="77777777" w:rsidR="003A1676" w:rsidRPr="00EC46F2" w:rsidRDefault="003A1676" w:rsidP="00A45FF3">
            <w:pPr>
              <w:keepNext/>
              <w:keepLines/>
              <w:jc w:val="center"/>
              <w:rPr>
                <w:rFonts w:ascii="Arial Narrow" w:hAnsi="Arial Narrow" w:cs="Calibri"/>
                <w:b/>
                <w:bCs/>
                <w:color w:val="000000"/>
                <w:sz w:val="20"/>
                <w:szCs w:val="20"/>
              </w:rPr>
            </w:pPr>
            <w:r w:rsidRPr="00EC46F2">
              <w:rPr>
                <w:rFonts w:ascii="Arial Narrow" w:hAnsi="Arial Narrow" w:cs="Calibri"/>
                <w:b/>
                <w:bCs/>
                <w:color w:val="000000"/>
                <w:sz w:val="20"/>
                <w:szCs w:val="20"/>
              </w:rPr>
              <w:t>Currently</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21A600" w14:textId="77777777" w:rsidR="003A1676" w:rsidRPr="00EC46F2" w:rsidRDefault="003A1676" w:rsidP="00A45FF3">
            <w:pPr>
              <w:keepNext/>
              <w:keepLines/>
              <w:jc w:val="center"/>
              <w:rPr>
                <w:rFonts w:ascii="Arial Narrow" w:hAnsi="Arial Narrow" w:cs="Calibri"/>
                <w:b/>
                <w:bCs/>
                <w:color w:val="000000"/>
                <w:sz w:val="20"/>
                <w:szCs w:val="20"/>
              </w:rPr>
            </w:pPr>
            <w:r w:rsidRPr="00EC46F2">
              <w:rPr>
                <w:rFonts w:ascii="Arial Narrow" w:hAnsi="Arial Narrow" w:cs="Calibri"/>
                <w:b/>
                <w:bCs/>
                <w:color w:val="000000"/>
                <w:sz w:val="20"/>
                <w:szCs w:val="20"/>
              </w:rPr>
              <w:t>Proposed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A24B1" w14:textId="77777777" w:rsidR="003A1676" w:rsidRPr="00EC46F2" w:rsidRDefault="003A1676" w:rsidP="00A45FF3">
            <w:pPr>
              <w:keepNext/>
              <w:keepLines/>
              <w:jc w:val="center"/>
              <w:rPr>
                <w:rFonts w:ascii="Arial Narrow" w:hAnsi="Arial Narrow" w:cs="Calibri"/>
                <w:b/>
                <w:bCs/>
                <w:color w:val="000000"/>
                <w:sz w:val="20"/>
                <w:szCs w:val="20"/>
              </w:rPr>
            </w:pPr>
            <w:r w:rsidRPr="00EC46F2">
              <w:rPr>
                <w:rFonts w:ascii="Arial Narrow" w:hAnsi="Arial Narrow" w:cs="Calibri"/>
                <w:b/>
                <w:bCs/>
                <w:color w:val="000000"/>
                <w:sz w:val="20"/>
                <w:szCs w:val="20"/>
              </w:rPr>
              <w:t>Price change</w:t>
            </w:r>
          </w:p>
        </w:tc>
      </w:tr>
      <w:tr w:rsidR="003A1676" w:rsidRPr="003A1676" w14:paraId="773B09A6" w14:textId="77777777" w:rsidTr="009B7E68">
        <w:trPr>
          <w:trHeight w:val="300"/>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70F33046" w14:textId="77777777" w:rsidR="003A1676" w:rsidRPr="003A1676" w:rsidRDefault="003A1676" w:rsidP="006B69EA">
            <w:pPr>
              <w:keepNext/>
              <w:keepLines/>
              <w:rPr>
                <w:rFonts w:ascii="Arial Narrow" w:hAnsi="Arial Narrow" w:cs="Calibri"/>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C8FD249" w14:textId="77777777" w:rsidR="003A1676" w:rsidRPr="00EC46F2" w:rsidRDefault="003A1676" w:rsidP="006B69EA">
            <w:pPr>
              <w:keepNext/>
              <w:keepLines/>
              <w:jc w:val="center"/>
              <w:rPr>
                <w:rFonts w:ascii="Arial Narrow" w:hAnsi="Arial Narrow" w:cs="Calibri"/>
                <w:b/>
                <w:bCs/>
                <w:color w:val="000000"/>
                <w:sz w:val="20"/>
                <w:szCs w:val="20"/>
              </w:rPr>
            </w:pPr>
            <w:r w:rsidRPr="00EC46F2">
              <w:rPr>
                <w:rFonts w:ascii="Arial Narrow" w:hAnsi="Arial Narrow" w:cs="Calibri"/>
                <w:b/>
                <w:bCs/>
                <w:color w:val="000000"/>
                <w:sz w:val="20"/>
                <w:szCs w:val="20"/>
              </w:rPr>
              <w:t>AEMP</w:t>
            </w:r>
          </w:p>
        </w:tc>
        <w:tc>
          <w:tcPr>
            <w:tcW w:w="1275" w:type="dxa"/>
            <w:tcBorders>
              <w:top w:val="nil"/>
              <w:left w:val="nil"/>
              <w:bottom w:val="single" w:sz="4" w:space="0" w:color="auto"/>
              <w:right w:val="single" w:sz="4" w:space="0" w:color="auto"/>
            </w:tcBorders>
            <w:shd w:val="clear" w:color="auto" w:fill="auto"/>
            <w:noWrap/>
            <w:vAlign w:val="center"/>
            <w:hideMark/>
          </w:tcPr>
          <w:p w14:paraId="748300E0" w14:textId="77777777" w:rsidR="003A1676" w:rsidRPr="00EC46F2" w:rsidRDefault="003A1676" w:rsidP="006B69EA">
            <w:pPr>
              <w:keepNext/>
              <w:keepLines/>
              <w:jc w:val="center"/>
              <w:rPr>
                <w:rFonts w:ascii="Arial Narrow" w:hAnsi="Arial Narrow" w:cs="Calibri"/>
                <w:b/>
                <w:bCs/>
                <w:color w:val="000000"/>
                <w:sz w:val="20"/>
                <w:szCs w:val="20"/>
              </w:rPr>
            </w:pPr>
            <w:r w:rsidRPr="00EC46F2">
              <w:rPr>
                <w:rFonts w:ascii="Arial Narrow" w:hAnsi="Arial Narrow" w:cs="Calibri"/>
                <w:b/>
                <w:bCs/>
                <w:color w:val="000000"/>
                <w:sz w:val="20"/>
                <w:szCs w:val="20"/>
              </w:rPr>
              <w:t>Price per mg</w:t>
            </w:r>
          </w:p>
        </w:tc>
        <w:tc>
          <w:tcPr>
            <w:tcW w:w="1134" w:type="dxa"/>
            <w:tcBorders>
              <w:top w:val="nil"/>
              <w:left w:val="nil"/>
              <w:bottom w:val="single" w:sz="4" w:space="0" w:color="auto"/>
              <w:right w:val="single" w:sz="4" w:space="0" w:color="auto"/>
            </w:tcBorders>
            <w:shd w:val="clear" w:color="auto" w:fill="auto"/>
            <w:noWrap/>
            <w:vAlign w:val="center"/>
            <w:hideMark/>
          </w:tcPr>
          <w:p w14:paraId="60C580B7" w14:textId="77777777" w:rsidR="003A1676" w:rsidRPr="00EC46F2" w:rsidRDefault="003A1676" w:rsidP="006B69EA">
            <w:pPr>
              <w:keepNext/>
              <w:keepLines/>
              <w:jc w:val="center"/>
              <w:rPr>
                <w:rFonts w:ascii="Arial Narrow" w:hAnsi="Arial Narrow" w:cs="Calibri"/>
                <w:b/>
                <w:bCs/>
                <w:color w:val="000000"/>
                <w:sz w:val="20"/>
                <w:szCs w:val="20"/>
              </w:rPr>
            </w:pPr>
            <w:r w:rsidRPr="00EC46F2">
              <w:rPr>
                <w:rFonts w:ascii="Arial Narrow" w:hAnsi="Arial Narrow" w:cs="Calibri"/>
                <w:b/>
                <w:bCs/>
                <w:color w:val="000000"/>
                <w:sz w:val="20"/>
                <w:szCs w:val="20"/>
              </w:rPr>
              <w:t>AEMP</w:t>
            </w:r>
          </w:p>
        </w:tc>
        <w:tc>
          <w:tcPr>
            <w:tcW w:w="1276" w:type="dxa"/>
            <w:tcBorders>
              <w:top w:val="nil"/>
              <w:left w:val="nil"/>
              <w:bottom w:val="single" w:sz="4" w:space="0" w:color="auto"/>
              <w:right w:val="single" w:sz="4" w:space="0" w:color="auto"/>
            </w:tcBorders>
            <w:shd w:val="clear" w:color="auto" w:fill="auto"/>
            <w:noWrap/>
            <w:vAlign w:val="center"/>
            <w:hideMark/>
          </w:tcPr>
          <w:p w14:paraId="13E7E9B0" w14:textId="77777777" w:rsidR="003A1676" w:rsidRPr="00EC46F2" w:rsidRDefault="003A1676" w:rsidP="006B69EA">
            <w:pPr>
              <w:keepNext/>
              <w:keepLines/>
              <w:jc w:val="center"/>
              <w:rPr>
                <w:rFonts w:ascii="Arial Narrow" w:hAnsi="Arial Narrow" w:cs="Calibri"/>
                <w:b/>
                <w:bCs/>
                <w:color w:val="000000"/>
                <w:sz w:val="20"/>
                <w:szCs w:val="20"/>
              </w:rPr>
            </w:pPr>
            <w:r w:rsidRPr="00EC46F2">
              <w:rPr>
                <w:rFonts w:ascii="Arial Narrow" w:hAnsi="Arial Narrow" w:cs="Calibri"/>
                <w:b/>
                <w:bCs/>
                <w:color w:val="000000"/>
                <w:sz w:val="20"/>
                <w:szCs w:val="20"/>
              </w:rPr>
              <w:t>Price per mg</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FCCC6B" w14:textId="77777777" w:rsidR="003A1676" w:rsidRPr="003A1676" w:rsidRDefault="003A1676" w:rsidP="006B69EA">
            <w:pPr>
              <w:keepNext/>
              <w:keepLines/>
              <w:rPr>
                <w:rFonts w:ascii="Arial Narrow" w:hAnsi="Arial Narrow" w:cs="Calibri"/>
                <w:color w:val="000000"/>
                <w:sz w:val="20"/>
                <w:szCs w:val="20"/>
              </w:rPr>
            </w:pPr>
          </w:p>
        </w:tc>
      </w:tr>
      <w:tr w:rsidR="003A1676" w:rsidRPr="003A1676" w14:paraId="2CEA7B84" w14:textId="77777777" w:rsidTr="009B7E68">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EEE0AE9" w14:textId="430E775F" w:rsidR="003A1676" w:rsidRPr="003A1676" w:rsidRDefault="003A1676" w:rsidP="00A45FF3">
            <w:pPr>
              <w:keepNext/>
              <w:keepLines/>
              <w:rPr>
                <w:rFonts w:ascii="Arial Narrow" w:hAnsi="Arial Narrow" w:cs="Calibri"/>
                <w:color w:val="000000"/>
                <w:sz w:val="20"/>
                <w:szCs w:val="20"/>
              </w:rPr>
            </w:pPr>
            <w:r w:rsidRPr="003A1676">
              <w:rPr>
                <w:rFonts w:ascii="Arial Narrow" w:hAnsi="Arial Narrow" w:cs="Calibri"/>
                <w:color w:val="000000"/>
                <w:sz w:val="20"/>
                <w:szCs w:val="20"/>
              </w:rPr>
              <w:t>Solution for injection 6 mg (18 i.u.) in 1.03</w:t>
            </w:r>
            <w:r w:rsidR="00EC46F2">
              <w:rPr>
                <w:rFonts w:ascii="Arial Narrow" w:hAnsi="Arial Narrow" w:cs="Calibri"/>
                <w:color w:val="000000"/>
                <w:sz w:val="20"/>
                <w:szCs w:val="20"/>
              </w:rPr>
              <w:t> </w:t>
            </w:r>
            <w:r w:rsidRPr="003A1676">
              <w:rPr>
                <w:rFonts w:ascii="Arial Narrow" w:hAnsi="Arial Narrow" w:cs="Calibri"/>
                <w:color w:val="000000"/>
                <w:sz w:val="20"/>
                <w:szCs w:val="20"/>
              </w:rPr>
              <w:t>mL cartridge (with preservative)</w:t>
            </w:r>
          </w:p>
        </w:tc>
        <w:tc>
          <w:tcPr>
            <w:tcW w:w="1276" w:type="dxa"/>
            <w:tcBorders>
              <w:top w:val="nil"/>
              <w:left w:val="nil"/>
              <w:bottom w:val="single" w:sz="4" w:space="0" w:color="auto"/>
              <w:right w:val="single" w:sz="4" w:space="0" w:color="auto"/>
            </w:tcBorders>
            <w:shd w:val="clear" w:color="auto" w:fill="auto"/>
            <w:noWrap/>
            <w:vAlign w:val="center"/>
            <w:hideMark/>
          </w:tcPr>
          <w:p w14:paraId="7D254BCE" w14:textId="6917E069" w:rsidR="003A1676" w:rsidRPr="00D00D91" w:rsidRDefault="003A1676" w:rsidP="00A45FF3">
            <w:pPr>
              <w:keepNext/>
              <w:keepLines/>
              <w:jc w:val="center"/>
              <w:rPr>
                <w:rFonts w:ascii="Arial Narrow" w:hAnsi="Arial Narrow" w:cs="Calibri"/>
                <w:color w:val="000000"/>
                <w:sz w:val="20"/>
                <w:szCs w:val="20"/>
                <w:vertAlign w:val="superscript"/>
              </w:rPr>
            </w:pPr>
            <w:r w:rsidRPr="00D00D91">
              <w:rPr>
                <w:rFonts w:ascii="Arial Narrow" w:hAnsi="Arial Narrow" w:cs="Calibri"/>
                <w:color w:val="000000"/>
                <w:sz w:val="20"/>
                <w:szCs w:val="20"/>
              </w:rPr>
              <w:t>$</w:t>
            </w:r>
            <w:r w:rsidR="00F87A14" w:rsidRPr="004C3DFC">
              <w:rPr>
                <w:rFonts w:ascii="Arial Narrow" w:hAnsi="Arial Narrow" w:cs="Calibri"/>
                <w:color w:val="000000"/>
                <w:sz w:val="20"/>
                <w:szCs w:val="20"/>
              </w:rPr>
              <w:t>187.63</w:t>
            </w:r>
            <w:r w:rsidR="00F87A14" w:rsidRPr="004C3DFC">
              <w:rPr>
                <w:rFonts w:ascii="Arial Narrow" w:hAnsi="Arial Narrow" w:cs="Calibri"/>
                <w:color w:val="000000"/>
                <w:sz w:val="20"/>
                <w:szCs w:val="20"/>
                <w:vertAlign w:val="superscript"/>
              </w:rPr>
              <w:t>a</w:t>
            </w:r>
          </w:p>
        </w:tc>
        <w:tc>
          <w:tcPr>
            <w:tcW w:w="1275" w:type="dxa"/>
            <w:tcBorders>
              <w:top w:val="nil"/>
              <w:left w:val="nil"/>
              <w:bottom w:val="single" w:sz="4" w:space="0" w:color="auto"/>
              <w:right w:val="single" w:sz="4" w:space="0" w:color="auto"/>
            </w:tcBorders>
            <w:shd w:val="clear" w:color="auto" w:fill="auto"/>
            <w:noWrap/>
            <w:vAlign w:val="center"/>
            <w:hideMark/>
          </w:tcPr>
          <w:p w14:paraId="1ADA22C3"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$31.27</w:t>
            </w:r>
          </w:p>
        </w:tc>
        <w:tc>
          <w:tcPr>
            <w:tcW w:w="1134" w:type="dxa"/>
            <w:tcBorders>
              <w:top w:val="nil"/>
              <w:left w:val="nil"/>
              <w:bottom w:val="single" w:sz="4" w:space="0" w:color="auto"/>
              <w:right w:val="single" w:sz="4" w:space="0" w:color="auto"/>
            </w:tcBorders>
            <w:shd w:val="clear" w:color="auto" w:fill="auto"/>
            <w:noWrap/>
            <w:vAlign w:val="center"/>
            <w:hideMark/>
          </w:tcPr>
          <w:p w14:paraId="3D744F4F"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$181.81</w:t>
            </w:r>
          </w:p>
        </w:tc>
        <w:tc>
          <w:tcPr>
            <w:tcW w:w="1276" w:type="dxa"/>
            <w:tcBorders>
              <w:top w:val="nil"/>
              <w:left w:val="nil"/>
              <w:bottom w:val="single" w:sz="4" w:space="0" w:color="auto"/>
              <w:right w:val="single" w:sz="4" w:space="0" w:color="auto"/>
            </w:tcBorders>
            <w:shd w:val="clear" w:color="auto" w:fill="auto"/>
            <w:noWrap/>
            <w:vAlign w:val="center"/>
            <w:hideMark/>
          </w:tcPr>
          <w:p w14:paraId="32135394"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$30.30</w:t>
            </w:r>
          </w:p>
        </w:tc>
        <w:tc>
          <w:tcPr>
            <w:tcW w:w="851" w:type="dxa"/>
            <w:tcBorders>
              <w:top w:val="nil"/>
              <w:left w:val="nil"/>
              <w:bottom w:val="single" w:sz="4" w:space="0" w:color="auto"/>
              <w:right w:val="single" w:sz="4" w:space="0" w:color="auto"/>
            </w:tcBorders>
            <w:shd w:val="clear" w:color="auto" w:fill="auto"/>
            <w:noWrap/>
            <w:vAlign w:val="center"/>
            <w:hideMark/>
          </w:tcPr>
          <w:p w14:paraId="2A7A325A"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-3.10%</w:t>
            </w:r>
          </w:p>
        </w:tc>
      </w:tr>
      <w:tr w:rsidR="003A1676" w:rsidRPr="003A1676" w14:paraId="68CF77E3" w14:textId="77777777" w:rsidTr="009B7E68">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A91421B" w14:textId="189F2206" w:rsidR="003A1676" w:rsidRPr="003A1676" w:rsidRDefault="003A1676" w:rsidP="00A45FF3">
            <w:pPr>
              <w:keepNext/>
              <w:keepLines/>
              <w:rPr>
                <w:rFonts w:ascii="Arial Narrow" w:hAnsi="Arial Narrow" w:cs="Calibri"/>
                <w:color w:val="000000"/>
                <w:sz w:val="20"/>
                <w:szCs w:val="20"/>
              </w:rPr>
            </w:pPr>
            <w:r w:rsidRPr="003A1676">
              <w:rPr>
                <w:rFonts w:ascii="Arial Narrow" w:hAnsi="Arial Narrow" w:cs="Calibri"/>
                <w:color w:val="000000"/>
                <w:sz w:val="20"/>
                <w:szCs w:val="20"/>
              </w:rPr>
              <w:t>Solution for injection 12 mg (36 i.u.) in 1.5</w:t>
            </w:r>
            <w:r w:rsidR="00EC46F2">
              <w:rPr>
                <w:rFonts w:ascii="Arial Narrow" w:hAnsi="Arial Narrow" w:cs="Calibri"/>
                <w:color w:val="000000"/>
                <w:sz w:val="20"/>
                <w:szCs w:val="20"/>
              </w:rPr>
              <w:t> </w:t>
            </w:r>
            <w:r w:rsidRPr="003A1676">
              <w:rPr>
                <w:rFonts w:ascii="Arial Narrow" w:hAnsi="Arial Narrow" w:cs="Calibri"/>
                <w:color w:val="000000"/>
                <w:sz w:val="20"/>
                <w:szCs w:val="20"/>
              </w:rPr>
              <w:t>mL cartridge (with preservative)</w:t>
            </w:r>
          </w:p>
        </w:tc>
        <w:tc>
          <w:tcPr>
            <w:tcW w:w="1276" w:type="dxa"/>
            <w:tcBorders>
              <w:top w:val="nil"/>
              <w:left w:val="nil"/>
              <w:bottom w:val="single" w:sz="4" w:space="0" w:color="auto"/>
              <w:right w:val="single" w:sz="4" w:space="0" w:color="auto"/>
            </w:tcBorders>
            <w:shd w:val="clear" w:color="auto" w:fill="auto"/>
            <w:noWrap/>
            <w:vAlign w:val="center"/>
            <w:hideMark/>
          </w:tcPr>
          <w:p w14:paraId="71A1E6C3"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$375.27</w:t>
            </w:r>
          </w:p>
        </w:tc>
        <w:tc>
          <w:tcPr>
            <w:tcW w:w="1275" w:type="dxa"/>
            <w:tcBorders>
              <w:top w:val="nil"/>
              <w:left w:val="nil"/>
              <w:bottom w:val="single" w:sz="4" w:space="0" w:color="auto"/>
              <w:right w:val="single" w:sz="4" w:space="0" w:color="auto"/>
            </w:tcBorders>
            <w:shd w:val="clear" w:color="auto" w:fill="auto"/>
            <w:noWrap/>
            <w:vAlign w:val="center"/>
            <w:hideMark/>
          </w:tcPr>
          <w:p w14:paraId="6B1EC8B0"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$31.27</w:t>
            </w:r>
          </w:p>
        </w:tc>
        <w:tc>
          <w:tcPr>
            <w:tcW w:w="1134" w:type="dxa"/>
            <w:tcBorders>
              <w:top w:val="nil"/>
              <w:left w:val="nil"/>
              <w:bottom w:val="single" w:sz="4" w:space="0" w:color="auto"/>
              <w:right w:val="single" w:sz="4" w:space="0" w:color="auto"/>
            </w:tcBorders>
            <w:shd w:val="clear" w:color="auto" w:fill="auto"/>
            <w:noWrap/>
            <w:vAlign w:val="center"/>
            <w:hideMark/>
          </w:tcPr>
          <w:p w14:paraId="1705FFE7"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$363.62</w:t>
            </w:r>
          </w:p>
        </w:tc>
        <w:tc>
          <w:tcPr>
            <w:tcW w:w="1276" w:type="dxa"/>
            <w:tcBorders>
              <w:top w:val="nil"/>
              <w:left w:val="nil"/>
              <w:bottom w:val="single" w:sz="4" w:space="0" w:color="auto"/>
              <w:right w:val="single" w:sz="4" w:space="0" w:color="auto"/>
            </w:tcBorders>
            <w:shd w:val="clear" w:color="auto" w:fill="auto"/>
            <w:noWrap/>
            <w:vAlign w:val="center"/>
            <w:hideMark/>
          </w:tcPr>
          <w:p w14:paraId="5C36ED0D"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$30.30</w:t>
            </w:r>
          </w:p>
        </w:tc>
        <w:tc>
          <w:tcPr>
            <w:tcW w:w="851" w:type="dxa"/>
            <w:tcBorders>
              <w:top w:val="nil"/>
              <w:left w:val="nil"/>
              <w:bottom w:val="single" w:sz="4" w:space="0" w:color="auto"/>
              <w:right w:val="single" w:sz="4" w:space="0" w:color="auto"/>
            </w:tcBorders>
            <w:shd w:val="clear" w:color="auto" w:fill="auto"/>
            <w:noWrap/>
            <w:vAlign w:val="center"/>
            <w:hideMark/>
          </w:tcPr>
          <w:p w14:paraId="4230E50A" w14:textId="77777777" w:rsidR="003A1676" w:rsidRPr="003A1676" w:rsidRDefault="003A1676" w:rsidP="00A45FF3">
            <w:pPr>
              <w:keepNext/>
              <w:keepLines/>
              <w:jc w:val="center"/>
              <w:rPr>
                <w:rFonts w:ascii="Arial Narrow" w:hAnsi="Arial Narrow" w:cs="Calibri"/>
                <w:color w:val="000000"/>
                <w:sz w:val="20"/>
                <w:szCs w:val="20"/>
              </w:rPr>
            </w:pPr>
            <w:r w:rsidRPr="003A1676">
              <w:rPr>
                <w:rFonts w:ascii="Arial Narrow" w:hAnsi="Arial Narrow" w:cs="Calibri"/>
                <w:color w:val="000000"/>
                <w:sz w:val="20"/>
                <w:szCs w:val="20"/>
              </w:rPr>
              <w:t>-3.10%</w:t>
            </w:r>
          </w:p>
        </w:tc>
      </w:tr>
    </w:tbl>
    <w:p w14:paraId="43472292" w14:textId="6EAEEA05" w:rsidR="007C4C90" w:rsidRDefault="007C4C90" w:rsidP="003F7C9C">
      <w:pPr>
        <w:pStyle w:val="TableFigureFooter"/>
      </w:pPr>
      <w:r>
        <w:t xml:space="preserve">Source: Table 2 of </w:t>
      </w:r>
      <w:r w:rsidR="00520906">
        <w:t>the s</w:t>
      </w:r>
      <w:r>
        <w:t>ubmission, p.3.</w:t>
      </w:r>
    </w:p>
    <w:p w14:paraId="4EC88FE8" w14:textId="3C1C4BD8" w:rsidR="003A1676" w:rsidRDefault="00951A0A" w:rsidP="003F7C9C">
      <w:pPr>
        <w:pStyle w:val="TableFigureFooter"/>
      </w:pPr>
      <w:r>
        <w:t>AEMP: approved ex-manufacturer price; GHD: growth hormone deficiency; i.u.: international units; PBS: Pharmaceutical Benefits Scheme</w:t>
      </w:r>
    </w:p>
    <w:p w14:paraId="24965EF5" w14:textId="60EC93FF" w:rsidR="00F87A14" w:rsidRPr="004C3DFC" w:rsidRDefault="00F87A14" w:rsidP="003F7C9C">
      <w:pPr>
        <w:pStyle w:val="TableFigureFooter"/>
      </w:pPr>
      <w:r w:rsidRPr="004C3DFC">
        <w:rPr>
          <w:vertAlign w:val="superscript"/>
        </w:rPr>
        <w:t xml:space="preserve">a </w:t>
      </w:r>
      <w:r w:rsidRPr="004C3DFC">
        <w:t>The submission</w:t>
      </w:r>
      <w:r w:rsidR="008F77CE" w:rsidRPr="004C3DFC">
        <w:t xml:space="preserve"> stated the current AEMP for Saizen 6 mg</w:t>
      </w:r>
      <w:r w:rsidR="003B0AA9" w:rsidRPr="004C3DFC">
        <w:t xml:space="preserve"> was $167.83, however as at August 2023 the AEMP for Saizen 6 mg is $187.63. </w:t>
      </w:r>
    </w:p>
    <w:p w14:paraId="1A7CAF7D" w14:textId="303CB574" w:rsidR="00EF4580" w:rsidRPr="004C3DFC" w:rsidRDefault="00C27C1C" w:rsidP="00110FC9">
      <w:pPr>
        <w:pStyle w:val="3Bodytext"/>
        <w:rPr>
          <w:rFonts w:cstheme="minorHAnsi"/>
          <w:szCs w:val="24"/>
        </w:rPr>
      </w:pPr>
      <w:r w:rsidRPr="004C3DFC">
        <w:t>As a Category 3</w:t>
      </w:r>
      <w:r w:rsidR="00D26347" w:rsidRPr="004C3DFC">
        <w:t xml:space="preserve"> submission</w:t>
      </w:r>
      <w:r w:rsidRPr="004C3DFC">
        <w:t>, the economic analysis has not been independently evaluated.</w:t>
      </w:r>
    </w:p>
    <w:p w14:paraId="23F77C6C" w14:textId="30FDFE0A" w:rsidR="00F85206" w:rsidRPr="00F72F3F" w:rsidRDefault="00F85206" w:rsidP="009D507A">
      <w:pPr>
        <w:pStyle w:val="4-SubsectionHeading"/>
        <w:rPr>
          <w:lang w:eastAsia="en-US"/>
        </w:rPr>
      </w:pPr>
      <w:r w:rsidRPr="00E1157E">
        <w:rPr>
          <w:lang w:eastAsia="en-US"/>
        </w:rPr>
        <w:t>Drug cost/patient/year: $</w:t>
      </w:r>
      <w:r w:rsidR="0035451C" w:rsidRPr="00F72F3F">
        <w:rPr>
          <w:lang w:eastAsia="en-US"/>
        </w:rPr>
        <w:t>5,513.87 for females and $</w:t>
      </w:r>
      <w:r w:rsidR="00F72F3F" w:rsidRPr="00F72F3F">
        <w:rPr>
          <w:lang w:eastAsia="en-US"/>
        </w:rPr>
        <w:t>3,798.45 for males</w:t>
      </w:r>
    </w:p>
    <w:p w14:paraId="0B60C770" w14:textId="45264804" w:rsidR="00F85206" w:rsidRPr="00E1157E" w:rsidRDefault="0095284B" w:rsidP="00110FC9">
      <w:pPr>
        <w:pStyle w:val="3Bodytext"/>
        <w:rPr>
          <w:rFonts w:cs="Calibri"/>
        </w:rPr>
      </w:pPr>
      <w:r>
        <w:t xml:space="preserve">The July 2017 submission used </w:t>
      </w:r>
      <w:r w:rsidRPr="003C43DD">
        <w:t>a mean dose per day of 0.45 mg for females, and 0.31</w:t>
      </w:r>
      <w:r w:rsidR="008622D7">
        <w:t> </w:t>
      </w:r>
      <w:r w:rsidRPr="003C43DD">
        <w:t>mg for males</w:t>
      </w:r>
      <w:r>
        <w:t xml:space="preserve"> to estimate</w:t>
      </w:r>
      <w:r w:rsidRPr="003C43DD">
        <w:t xml:space="preserve"> the annual treatment cost</w:t>
      </w:r>
      <w:r>
        <w:t xml:space="preserve"> (</w:t>
      </w:r>
      <w:r w:rsidR="0039605C">
        <w:t xml:space="preserve">paragraph 6.20, somatropin </w:t>
      </w:r>
      <w:r w:rsidR="00F438C7">
        <w:t>PSD</w:t>
      </w:r>
      <w:r w:rsidR="0039605C">
        <w:t>, July 2017 PBAC meeting). Using the same mean doses,</w:t>
      </w:r>
      <w:r w:rsidR="00F72F3F">
        <w:t xml:space="preserve"> and a mean DPMQ of</w:t>
      </w:r>
      <w:r w:rsidR="00BE1302">
        <w:t xml:space="preserve"> $33.57 per milligram of somatropin,</w:t>
      </w:r>
      <w:r w:rsidRPr="003C43DD">
        <w:t xml:space="preserve"> </w:t>
      </w:r>
      <w:r w:rsidR="0039605C">
        <w:t>t</w:t>
      </w:r>
      <w:r w:rsidR="00F85206" w:rsidRPr="00E1157E">
        <w:t>he estimated drug cost/patient per year/course would be $</w:t>
      </w:r>
      <w:r w:rsidR="008622D7">
        <w:t>5,513.87 for females and</w:t>
      </w:r>
      <w:r w:rsidR="0035451C">
        <w:t xml:space="preserve"> $3,798.45 for males</w:t>
      </w:r>
      <w:r w:rsidR="00F85206" w:rsidRPr="00E1157E">
        <w:t xml:space="preserve">, based on </w:t>
      </w:r>
      <w:r w:rsidR="0039605C" w:rsidRPr="0039605C">
        <w:t>an ongoing treatment duration.</w:t>
      </w:r>
      <w:r w:rsidR="007B65F9">
        <w:t xml:space="preserve"> </w:t>
      </w:r>
      <w:r w:rsidR="007B65F9" w:rsidRPr="004C3DFC">
        <w:t>It was noted that the</w:t>
      </w:r>
      <w:r w:rsidR="00487616" w:rsidRPr="004C3DFC">
        <w:t xml:space="preserve"> mean DPMQ of $33.57 assumed a 50:50 split between the two strengths whereas the</w:t>
      </w:r>
      <w:r w:rsidR="007B65F9" w:rsidRPr="004C3DFC">
        <w:t xml:space="preserve"> financial workbook provided by the submission assumed a 55:45 split of 6</w:t>
      </w:r>
      <w:r w:rsidR="00487616" w:rsidRPr="004C3DFC">
        <w:t xml:space="preserve"> </w:t>
      </w:r>
      <w:r w:rsidR="007B65F9" w:rsidRPr="004C3DFC">
        <w:t>mg</w:t>
      </w:r>
      <w:r w:rsidR="00487616" w:rsidRPr="004C3DFC">
        <w:t xml:space="preserve"> </w:t>
      </w:r>
      <w:r w:rsidR="007B65F9" w:rsidRPr="004C3DFC">
        <w:t>:</w:t>
      </w:r>
      <w:r w:rsidR="00487616" w:rsidRPr="004C3DFC">
        <w:t xml:space="preserve"> </w:t>
      </w:r>
      <w:r w:rsidR="007B65F9" w:rsidRPr="004C3DFC">
        <w:t>12</w:t>
      </w:r>
      <w:r w:rsidR="00487616" w:rsidRPr="004C3DFC">
        <w:t xml:space="preserve"> </w:t>
      </w:r>
      <w:r w:rsidR="007B65F9" w:rsidRPr="004C3DFC">
        <w:t xml:space="preserve">mg in year 1 and 57:43 split in year </w:t>
      </w:r>
      <w:r w:rsidR="00487616" w:rsidRPr="004C3DFC">
        <w:t>6.</w:t>
      </w:r>
      <w:r w:rsidR="007B65F9" w:rsidRPr="004C3DFC">
        <w:t xml:space="preserve"> </w:t>
      </w:r>
    </w:p>
    <w:p w14:paraId="5EB16602" w14:textId="36601D84" w:rsidR="00D70349" w:rsidRPr="00E1157E" w:rsidRDefault="00D70349" w:rsidP="00D70349">
      <w:pPr>
        <w:pStyle w:val="4-SubsectionHeading"/>
        <w:rPr>
          <w:lang w:eastAsia="en-US"/>
        </w:rPr>
      </w:pPr>
      <w:r w:rsidRPr="00E1157E">
        <w:rPr>
          <w:lang w:eastAsia="en-US"/>
        </w:rPr>
        <w:t xml:space="preserve">Estimated PBS </w:t>
      </w:r>
      <w:r w:rsidR="00276BE3" w:rsidRPr="00E1157E">
        <w:rPr>
          <w:lang w:eastAsia="en-US"/>
        </w:rPr>
        <w:t>usage</w:t>
      </w:r>
      <w:r w:rsidRPr="00E1157E">
        <w:rPr>
          <w:lang w:eastAsia="en-US"/>
        </w:rPr>
        <w:t xml:space="preserve"> and financial implications</w:t>
      </w:r>
    </w:p>
    <w:p w14:paraId="497D3075" w14:textId="708E52FF" w:rsidR="000C1AFF" w:rsidRPr="00163A4F" w:rsidRDefault="000C1AFF" w:rsidP="000C1AFF">
      <w:pPr>
        <w:pStyle w:val="3-BodyText"/>
        <w:numPr>
          <w:ilvl w:val="1"/>
          <w:numId w:val="2"/>
        </w:numPr>
      </w:pPr>
      <w:r w:rsidRPr="00E1157E">
        <w:t xml:space="preserve">The requested price was based on the AEMP of </w:t>
      </w:r>
      <w:r w:rsidR="00B506C0" w:rsidRPr="00643D62">
        <w:t xml:space="preserve">somatropin products </w:t>
      </w:r>
      <w:r w:rsidRPr="00E1157E">
        <w:t xml:space="preserve">listed </w:t>
      </w:r>
      <w:r w:rsidR="006F318B">
        <w:t>o</w:t>
      </w:r>
      <w:r w:rsidR="006F318B" w:rsidRPr="00E1157E">
        <w:t xml:space="preserve">n </w:t>
      </w:r>
      <w:r w:rsidRPr="00E1157E">
        <w:t xml:space="preserve">the PBS </w:t>
      </w:r>
      <w:r w:rsidR="00B506C0">
        <w:t xml:space="preserve">in August 2023 for severe late onset GHD (Genotropin GoQuick 5 mg and 12 mg, </w:t>
      </w:r>
      <w:r w:rsidR="00B506C0" w:rsidRPr="00163A4F">
        <w:t>NutropinAq 10 mg and Norditropin FlexPro 5 mg)</w:t>
      </w:r>
      <w:r w:rsidR="00897852" w:rsidRPr="00163A4F">
        <w:t xml:space="preserve">, equivalent to $30.30 per milligram </w:t>
      </w:r>
      <w:r w:rsidR="0059660F" w:rsidRPr="00163A4F">
        <w:t xml:space="preserve">of </w:t>
      </w:r>
      <w:r w:rsidR="00897852" w:rsidRPr="00163A4F">
        <w:t>somatropin</w:t>
      </w:r>
      <w:r w:rsidR="00B506C0" w:rsidRPr="00163A4F">
        <w:t>.</w:t>
      </w:r>
    </w:p>
    <w:p w14:paraId="4FA1F909" w14:textId="25FC7D4A" w:rsidR="00D70349" w:rsidRPr="00163A4F" w:rsidRDefault="00D70349" w:rsidP="00110FC9">
      <w:pPr>
        <w:pStyle w:val="3Bodytext"/>
      </w:pPr>
      <w:r w:rsidRPr="00163A4F">
        <w:t xml:space="preserve">Table </w:t>
      </w:r>
      <w:r w:rsidR="00A01B01" w:rsidRPr="00163A4F">
        <w:t>2</w:t>
      </w:r>
      <w:r w:rsidRPr="00163A4F">
        <w:t xml:space="preserve"> which presents the estimated extent of use, cost of </w:t>
      </w:r>
      <w:r w:rsidR="00643D62" w:rsidRPr="00163A4F">
        <w:t xml:space="preserve">Saizen 6 mg and 12 mg </w:t>
      </w:r>
      <w:r w:rsidRPr="00163A4F">
        <w:t>to the PBS/RPBS</w:t>
      </w:r>
      <w:r w:rsidR="0059660F" w:rsidRPr="00163A4F">
        <w:t>,</w:t>
      </w:r>
      <w:r w:rsidRPr="00163A4F">
        <w:t xml:space="preserve"> and the net financial implications to the PBS/RPBS</w:t>
      </w:r>
      <w:r w:rsidR="00643D62" w:rsidRPr="00163A4F">
        <w:t xml:space="preserve">. </w:t>
      </w:r>
      <w:r w:rsidRPr="00163A4F">
        <w:t>The financial impact to Services Australia will be determined by that agency as part of the post</w:t>
      </w:r>
      <w:r w:rsidR="0059660F" w:rsidRPr="00163A4F">
        <w:noBreakHyphen/>
      </w:r>
      <w:r w:rsidRPr="00163A4F">
        <w:t>PBAC process.</w:t>
      </w:r>
    </w:p>
    <w:p w14:paraId="74F1EFA3" w14:textId="66940F47" w:rsidR="00E21164" w:rsidRPr="00163A4F" w:rsidRDefault="000A02F8" w:rsidP="00110FC9">
      <w:pPr>
        <w:pStyle w:val="3Bodytext"/>
      </w:pPr>
      <w:r w:rsidRPr="00163A4F">
        <w:t>The submission stated that t</w:t>
      </w:r>
      <w:r w:rsidR="00D70349" w:rsidRPr="00163A4F">
        <w:t xml:space="preserve">he estimated net financial impact to the PBS/RPBS for the listing of </w:t>
      </w:r>
      <w:r w:rsidR="00256282" w:rsidRPr="00163A4F">
        <w:t>Saizen 6 mg and 12 mg</w:t>
      </w:r>
      <w:r w:rsidR="00D70349" w:rsidRPr="00163A4F">
        <w:t xml:space="preserve"> is </w:t>
      </w:r>
      <w:r w:rsidR="00AD7D40" w:rsidRPr="00163A4F">
        <w:t xml:space="preserve">a net cost saving </w:t>
      </w:r>
      <w:r w:rsidR="00D70349" w:rsidRPr="00163A4F">
        <w:t>over six years (Year 1</w:t>
      </w:r>
      <w:r w:rsidR="00A71466" w:rsidRPr="00163A4F">
        <w:t xml:space="preserve"> and year 6 respectively:</w:t>
      </w:r>
      <w:r w:rsidR="00D70349" w:rsidRPr="00163A4F">
        <w:t xml:space="preserve"> </w:t>
      </w:r>
      <w:r w:rsidR="00163A4F" w:rsidRPr="00163A4F">
        <w:t xml:space="preserve">$0 to &lt; $10 million </w:t>
      </w:r>
      <w:r w:rsidR="00DE4889" w:rsidRPr="00163A4F">
        <w:t>and</w:t>
      </w:r>
      <w:r w:rsidR="00D70349" w:rsidRPr="00163A4F">
        <w:t xml:space="preserve"> </w:t>
      </w:r>
      <w:r w:rsidR="00163A4F" w:rsidRPr="00163A4F">
        <w:t>$0 to &lt; $10 million</w:t>
      </w:r>
      <w:r w:rsidR="00D70349" w:rsidRPr="00163A4F">
        <w:t>).</w:t>
      </w:r>
    </w:p>
    <w:p w14:paraId="37FC37E9" w14:textId="6C074256" w:rsidR="00DF5F03" w:rsidRPr="008C03B7" w:rsidRDefault="00DF5F03" w:rsidP="00110FC9">
      <w:pPr>
        <w:pStyle w:val="3Bodytext"/>
        <w:rPr>
          <w:i/>
        </w:rPr>
      </w:pPr>
      <w:r>
        <w:t>The submission stated that as Saizen is expected to only replace the use of somatropin products currently PBS-listed for this indication, it is not expected to result in any incremental costs to the PBS/RPBS</w:t>
      </w:r>
      <w:r w:rsidR="00DE4889">
        <w:t xml:space="preserve">. The submission estimated </w:t>
      </w:r>
      <w:r>
        <w:t xml:space="preserve">a slight cost-saving to the PBS/RPBS </w:t>
      </w:r>
      <w:r w:rsidR="004400A3">
        <w:t xml:space="preserve">due to the 6 mg and 12 mg strengths of Saizen requiring </w:t>
      </w:r>
      <w:r w:rsidR="00D5032E">
        <w:t xml:space="preserve">slightly less </w:t>
      </w:r>
      <w:r w:rsidR="00D5032E">
        <w:lastRenderedPageBreak/>
        <w:t>frequent dispensing, therefore incurring less mark-up and fees compared to the 5 mg and 10 mg strengths currently PBS-listed</w:t>
      </w:r>
      <w:r w:rsidR="00443FB5">
        <w:t>.</w:t>
      </w:r>
      <w:r w:rsidR="00D5032E">
        <w:t xml:space="preserve"> </w:t>
      </w:r>
      <w:r w:rsidR="00443FB5">
        <w:t xml:space="preserve">In addition, the submission claimed a slight cost-saving </w:t>
      </w:r>
      <w:r w:rsidR="003151D7">
        <w:t xml:space="preserve">for the PBS/RPBS due to the </w:t>
      </w:r>
      <w:r w:rsidR="00D5032E">
        <w:t>proposed price redu</w:t>
      </w:r>
      <w:r w:rsidR="008D3E77">
        <w:t>ction for Saizen 6 mg and 12 mg</w:t>
      </w:r>
      <w:r w:rsidR="003151D7">
        <w:t xml:space="preserve"> that are currently PBS-listed for</w:t>
      </w:r>
      <w:r w:rsidR="008D3E77">
        <w:t xml:space="preserve"> paediatric indications.</w:t>
      </w:r>
      <w:r w:rsidR="00EA52AB">
        <w:t xml:space="preserve"> The </w:t>
      </w:r>
      <w:r w:rsidR="00C8684F">
        <w:t xml:space="preserve">PBAC noted the </w:t>
      </w:r>
      <w:r w:rsidR="00EA52AB">
        <w:t>proposed price for Saizen reflects a weighted price across the current and proposed indications</w:t>
      </w:r>
      <w:r w:rsidR="00C52D3A">
        <w:t xml:space="preserve"> rather than a price reduction</w:t>
      </w:r>
      <w:r w:rsidR="00EA52AB">
        <w:t xml:space="preserve">, therefore a cost-saving </w:t>
      </w:r>
      <w:r w:rsidR="00C52D3A">
        <w:t xml:space="preserve">is </w:t>
      </w:r>
      <w:r w:rsidR="00EA52AB">
        <w:t>unlikely.</w:t>
      </w:r>
    </w:p>
    <w:p w14:paraId="48C999F6" w14:textId="3D1AA88E" w:rsidR="00875E2E" w:rsidRPr="00875E2E" w:rsidRDefault="00875E2E" w:rsidP="006B69EA">
      <w:pPr>
        <w:pStyle w:val="TableFigureHeading"/>
      </w:pPr>
      <w:r w:rsidRPr="00875E2E">
        <w:t xml:space="preserve">Table </w:t>
      </w:r>
      <w:r>
        <w:t>2</w:t>
      </w:r>
      <w:r w:rsidRPr="00875E2E">
        <w:t>: Financial estimates of PBS listing Saizen for adult patients with severe GHD</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98"/>
        <w:gridCol w:w="1247"/>
        <w:gridCol w:w="1247"/>
        <w:gridCol w:w="1247"/>
        <w:gridCol w:w="1247"/>
        <w:gridCol w:w="1247"/>
        <w:gridCol w:w="1247"/>
      </w:tblGrid>
      <w:tr w:rsidR="00875E2E" w:rsidRPr="00875E2E" w14:paraId="57251E6A" w14:textId="77777777" w:rsidTr="00875E2E">
        <w:trPr>
          <w:trHeight w:val="300"/>
        </w:trPr>
        <w:tc>
          <w:tcPr>
            <w:tcW w:w="2098" w:type="dxa"/>
            <w:shd w:val="clear" w:color="auto" w:fill="auto"/>
            <w:noWrap/>
            <w:vAlign w:val="center"/>
            <w:hideMark/>
          </w:tcPr>
          <w:p w14:paraId="79243C05" w14:textId="77777777" w:rsidR="00875E2E" w:rsidRPr="00875E2E" w:rsidRDefault="00875E2E" w:rsidP="006B69EA">
            <w:pPr>
              <w:pStyle w:val="In-tableHeading"/>
              <w:keepLines/>
            </w:pPr>
            <w:r w:rsidRPr="00875E2E">
              <w:t>PBS</w:t>
            </w:r>
          </w:p>
        </w:tc>
        <w:tc>
          <w:tcPr>
            <w:tcW w:w="1247" w:type="dxa"/>
            <w:shd w:val="clear" w:color="000000" w:fill="F2F2F2"/>
            <w:noWrap/>
            <w:vAlign w:val="center"/>
            <w:hideMark/>
          </w:tcPr>
          <w:p w14:paraId="7E1F7ADB" w14:textId="77777777" w:rsidR="00875E2E" w:rsidRPr="00875E2E" w:rsidRDefault="00875E2E" w:rsidP="006B69EA">
            <w:pPr>
              <w:pStyle w:val="In-tableHeading"/>
              <w:keepLines/>
              <w:jc w:val="center"/>
            </w:pPr>
            <w:r w:rsidRPr="00875E2E">
              <w:t>2023</w:t>
            </w:r>
          </w:p>
        </w:tc>
        <w:tc>
          <w:tcPr>
            <w:tcW w:w="1247" w:type="dxa"/>
            <w:shd w:val="clear" w:color="000000" w:fill="F2F2F2"/>
            <w:noWrap/>
            <w:vAlign w:val="center"/>
            <w:hideMark/>
          </w:tcPr>
          <w:p w14:paraId="18B92B42" w14:textId="77777777" w:rsidR="00875E2E" w:rsidRPr="00875E2E" w:rsidRDefault="00875E2E" w:rsidP="006B69EA">
            <w:pPr>
              <w:pStyle w:val="In-tableHeading"/>
              <w:keepLines/>
              <w:jc w:val="center"/>
            </w:pPr>
            <w:r w:rsidRPr="00875E2E">
              <w:t>2024</w:t>
            </w:r>
          </w:p>
        </w:tc>
        <w:tc>
          <w:tcPr>
            <w:tcW w:w="1247" w:type="dxa"/>
            <w:shd w:val="clear" w:color="000000" w:fill="F2F2F2"/>
            <w:noWrap/>
            <w:vAlign w:val="center"/>
            <w:hideMark/>
          </w:tcPr>
          <w:p w14:paraId="12BD34A8" w14:textId="77777777" w:rsidR="00875E2E" w:rsidRPr="00875E2E" w:rsidRDefault="00875E2E" w:rsidP="006B69EA">
            <w:pPr>
              <w:pStyle w:val="In-tableHeading"/>
              <w:keepLines/>
              <w:jc w:val="center"/>
            </w:pPr>
            <w:r w:rsidRPr="00875E2E">
              <w:t>2025</w:t>
            </w:r>
          </w:p>
        </w:tc>
        <w:tc>
          <w:tcPr>
            <w:tcW w:w="1247" w:type="dxa"/>
            <w:shd w:val="clear" w:color="000000" w:fill="F2F2F2"/>
            <w:noWrap/>
            <w:vAlign w:val="center"/>
            <w:hideMark/>
          </w:tcPr>
          <w:p w14:paraId="7F99D4EA" w14:textId="77777777" w:rsidR="00875E2E" w:rsidRPr="00875E2E" w:rsidRDefault="00875E2E" w:rsidP="006B69EA">
            <w:pPr>
              <w:pStyle w:val="In-tableHeading"/>
              <w:keepLines/>
              <w:jc w:val="center"/>
            </w:pPr>
            <w:r w:rsidRPr="00875E2E">
              <w:t>2026</w:t>
            </w:r>
          </w:p>
        </w:tc>
        <w:tc>
          <w:tcPr>
            <w:tcW w:w="1247" w:type="dxa"/>
            <w:shd w:val="clear" w:color="000000" w:fill="F2F2F2"/>
            <w:noWrap/>
            <w:vAlign w:val="center"/>
            <w:hideMark/>
          </w:tcPr>
          <w:p w14:paraId="4B8A0493" w14:textId="77777777" w:rsidR="00875E2E" w:rsidRPr="00875E2E" w:rsidRDefault="00875E2E" w:rsidP="006B69EA">
            <w:pPr>
              <w:pStyle w:val="In-tableHeading"/>
              <w:keepLines/>
              <w:jc w:val="center"/>
            </w:pPr>
            <w:r w:rsidRPr="00875E2E">
              <w:t>2027</w:t>
            </w:r>
          </w:p>
        </w:tc>
        <w:tc>
          <w:tcPr>
            <w:tcW w:w="1247" w:type="dxa"/>
            <w:shd w:val="clear" w:color="000000" w:fill="F2F2F2"/>
            <w:noWrap/>
            <w:vAlign w:val="center"/>
            <w:hideMark/>
          </w:tcPr>
          <w:p w14:paraId="08DE6714" w14:textId="77777777" w:rsidR="00875E2E" w:rsidRPr="00875E2E" w:rsidRDefault="00875E2E" w:rsidP="006B69EA">
            <w:pPr>
              <w:pStyle w:val="In-tableHeading"/>
              <w:keepLines/>
              <w:jc w:val="center"/>
            </w:pPr>
            <w:r w:rsidRPr="00875E2E">
              <w:t>2028</w:t>
            </w:r>
          </w:p>
        </w:tc>
      </w:tr>
      <w:tr w:rsidR="00875E2E" w:rsidRPr="00875E2E" w14:paraId="486DB49E" w14:textId="77777777" w:rsidTr="00875E2E">
        <w:trPr>
          <w:trHeight w:val="255"/>
        </w:trPr>
        <w:tc>
          <w:tcPr>
            <w:tcW w:w="2098" w:type="dxa"/>
            <w:shd w:val="clear" w:color="000000" w:fill="FFFFFF"/>
            <w:noWrap/>
            <w:vAlign w:val="center"/>
            <w:hideMark/>
          </w:tcPr>
          <w:p w14:paraId="460CB288"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New listing</w:t>
            </w:r>
          </w:p>
        </w:tc>
        <w:tc>
          <w:tcPr>
            <w:tcW w:w="1247" w:type="dxa"/>
            <w:shd w:val="clear" w:color="000000" w:fill="F2F2F2"/>
            <w:noWrap/>
            <w:vAlign w:val="center"/>
            <w:hideMark/>
          </w:tcPr>
          <w:p w14:paraId="7029E611" w14:textId="1B97A62E" w:rsidR="00875E2E" w:rsidRPr="002A338E" w:rsidRDefault="006F3DA6" w:rsidP="006B69EA">
            <w:pPr>
              <w:keepNext/>
              <w:keepLines/>
              <w:jc w:val="right"/>
              <w:rPr>
                <w:rFonts w:ascii="Arial Narrow" w:hAnsi="Arial Narrow" w:cs="Arial"/>
                <w:color w:val="000000"/>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sidRPr="002A338E">
              <w:rPr>
                <w:rFonts w:ascii="Arial Narrow" w:hAnsi="Arial Narrow" w:cs="Arial"/>
                <w:color w:val="000000"/>
                <w:sz w:val="20"/>
                <w:szCs w:val="20"/>
                <w:vertAlign w:val="superscript"/>
              </w:rPr>
              <w:t>1</w:t>
            </w:r>
          </w:p>
        </w:tc>
        <w:tc>
          <w:tcPr>
            <w:tcW w:w="1247" w:type="dxa"/>
            <w:shd w:val="clear" w:color="000000" w:fill="F2F2F2"/>
            <w:noWrap/>
            <w:vAlign w:val="center"/>
            <w:hideMark/>
          </w:tcPr>
          <w:p w14:paraId="126C1224" w14:textId="3FBF0886" w:rsidR="00875E2E" w:rsidRPr="002A338E" w:rsidRDefault="006F3DA6" w:rsidP="006B69EA">
            <w:pPr>
              <w:keepNext/>
              <w:keepLines/>
              <w:jc w:val="right"/>
              <w:rPr>
                <w:rFonts w:ascii="Arial Narrow" w:hAnsi="Arial Narrow" w:cs="Arial"/>
                <w:color w:val="000000"/>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sidRPr="00BE57BE">
              <w:rPr>
                <w:rFonts w:ascii="Arial Narrow" w:hAnsi="Arial Narrow" w:cs="Arial"/>
                <w:color w:val="000000"/>
                <w:sz w:val="20"/>
                <w:szCs w:val="20"/>
                <w:vertAlign w:val="superscript"/>
              </w:rPr>
              <w:t>1</w:t>
            </w:r>
          </w:p>
        </w:tc>
        <w:tc>
          <w:tcPr>
            <w:tcW w:w="1247" w:type="dxa"/>
            <w:shd w:val="clear" w:color="000000" w:fill="F2F2F2"/>
            <w:noWrap/>
            <w:vAlign w:val="center"/>
            <w:hideMark/>
          </w:tcPr>
          <w:p w14:paraId="57009B36" w14:textId="0123088E" w:rsidR="00875E2E" w:rsidRPr="002A338E" w:rsidRDefault="006F3DA6" w:rsidP="006B69EA">
            <w:pPr>
              <w:keepNext/>
              <w:keepLines/>
              <w:jc w:val="right"/>
              <w:rPr>
                <w:rFonts w:ascii="Arial Narrow" w:hAnsi="Arial Narrow" w:cs="Arial"/>
                <w:color w:val="000000"/>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sidRPr="00BE57BE">
              <w:rPr>
                <w:rFonts w:ascii="Arial Narrow" w:hAnsi="Arial Narrow" w:cs="Arial"/>
                <w:color w:val="000000"/>
                <w:sz w:val="20"/>
                <w:szCs w:val="20"/>
                <w:vertAlign w:val="superscript"/>
              </w:rPr>
              <w:t>1</w:t>
            </w:r>
          </w:p>
        </w:tc>
        <w:tc>
          <w:tcPr>
            <w:tcW w:w="1247" w:type="dxa"/>
            <w:shd w:val="clear" w:color="000000" w:fill="F2F2F2"/>
            <w:noWrap/>
            <w:vAlign w:val="center"/>
            <w:hideMark/>
          </w:tcPr>
          <w:p w14:paraId="4D4F3FEE" w14:textId="79EA2324" w:rsidR="00875E2E" w:rsidRPr="002A338E" w:rsidRDefault="006F3DA6" w:rsidP="006B69EA">
            <w:pPr>
              <w:keepNext/>
              <w:keepLines/>
              <w:jc w:val="right"/>
              <w:rPr>
                <w:rFonts w:ascii="Arial Narrow" w:hAnsi="Arial Narrow" w:cs="Arial"/>
                <w:color w:val="000000"/>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sidRPr="00BE57BE">
              <w:rPr>
                <w:rFonts w:ascii="Arial Narrow" w:hAnsi="Arial Narrow" w:cs="Arial"/>
                <w:color w:val="000000"/>
                <w:sz w:val="20"/>
                <w:szCs w:val="20"/>
                <w:vertAlign w:val="superscript"/>
              </w:rPr>
              <w:t>1</w:t>
            </w:r>
          </w:p>
        </w:tc>
        <w:tc>
          <w:tcPr>
            <w:tcW w:w="1247" w:type="dxa"/>
            <w:shd w:val="clear" w:color="000000" w:fill="F2F2F2"/>
            <w:noWrap/>
            <w:vAlign w:val="center"/>
            <w:hideMark/>
          </w:tcPr>
          <w:p w14:paraId="74547B14" w14:textId="3B2C92CB" w:rsidR="00875E2E" w:rsidRPr="002A338E" w:rsidRDefault="006F3DA6" w:rsidP="006B69EA">
            <w:pPr>
              <w:keepNext/>
              <w:keepLines/>
              <w:jc w:val="right"/>
              <w:rPr>
                <w:rFonts w:ascii="Arial Narrow" w:hAnsi="Arial Narrow" w:cs="Arial"/>
                <w:color w:val="000000"/>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sidRPr="00BE57BE">
              <w:rPr>
                <w:rFonts w:ascii="Arial Narrow" w:hAnsi="Arial Narrow" w:cs="Arial"/>
                <w:color w:val="000000"/>
                <w:sz w:val="20"/>
                <w:szCs w:val="20"/>
                <w:vertAlign w:val="superscript"/>
              </w:rPr>
              <w:t>1</w:t>
            </w:r>
          </w:p>
        </w:tc>
        <w:tc>
          <w:tcPr>
            <w:tcW w:w="1247" w:type="dxa"/>
            <w:shd w:val="clear" w:color="000000" w:fill="F2F2F2"/>
            <w:noWrap/>
            <w:vAlign w:val="center"/>
            <w:hideMark/>
          </w:tcPr>
          <w:p w14:paraId="6802A480" w14:textId="6C9EF371" w:rsidR="00875E2E" w:rsidRPr="002A338E" w:rsidRDefault="006F3DA6" w:rsidP="006B69EA">
            <w:pPr>
              <w:keepNext/>
              <w:keepLines/>
              <w:jc w:val="right"/>
              <w:rPr>
                <w:rFonts w:ascii="Arial Narrow" w:hAnsi="Arial Narrow" w:cs="Arial"/>
                <w:color w:val="000000"/>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sidRPr="00BE57BE">
              <w:rPr>
                <w:rFonts w:ascii="Arial Narrow" w:hAnsi="Arial Narrow" w:cs="Arial"/>
                <w:color w:val="000000"/>
                <w:sz w:val="20"/>
                <w:szCs w:val="20"/>
                <w:vertAlign w:val="superscript"/>
              </w:rPr>
              <w:t>1</w:t>
            </w:r>
          </w:p>
        </w:tc>
      </w:tr>
      <w:tr w:rsidR="00875E2E" w:rsidRPr="00875E2E" w14:paraId="3301A5D7" w14:textId="77777777" w:rsidTr="00875E2E">
        <w:trPr>
          <w:trHeight w:val="255"/>
        </w:trPr>
        <w:tc>
          <w:tcPr>
            <w:tcW w:w="2098" w:type="dxa"/>
            <w:shd w:val="clear" w:color="000000" w:fill="FFFFFF"/>
            <w:vAlign w:val="center"/>
            <w:hideMark/>
          </w:tcPr>
          <w:p w14:paraId="33B6DD60"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Changed listing</w:t>
            </w:r>
          </w:p>
        </w:tc>
        <w:tc>
          <w:tcPr>
            <w:tcW w:w="1247" w:type="dxa"/>
            <w:shd w:val="clear" w:color="000000" w:fill="F2F2F2"/>
            <w:noWrap/>
            <w:vAlign w:val="center"/>
            <w:hideMark/>
          </w:tcPr>
          <w:p w14:paraId="09578CC3" w14:textId="5CBCD9CD"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7EBFC2FE" w14:textId="61E03129"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1DA88648" w14:textId="7D4D27DC"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6534434F" w14:textId="7E417386"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21070EA9" w14:textId="7E1B0C67"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26CA1E85" w14:textId="4F75489E"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r>
      <w:tr w:rsidR="00875E2E" w:rsidRPr="00875E2E" w14:paraId="40B127C4" w14:textId="77777777" w:rsidTr="00875E2E">
        <w:trPr>
          <w:trHeight w:val="255"/>
        </w:trPr>
        <w:tc>
          <w:tcPr>
            <w:tcW w:w="2098" w:type="dxa"/>
            <w:shd w:val="clear" w:color="000000" w:fill="FFFFFF"/>
            <w:vAlign w:val="center"/>
            <w:hideMark/>
          </w:tcPr>
          <w:p w14:paraId="6143F48E"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Net cost to PBS</w:t>
            </w:r>
          </w:p>
        </w:tc>
        <w:tc>
          <w:tcPr>
            <w:tcW w:w="1247" w:type="dxa"/>
            <w:shd w:val="clear" w:color="000000" w:fill="F2F2F2"/>
            <w:noWrap/>
            <w:vAlign w:val="center"/>
            <w:hideMark/>
          </w:tcPr>
          <w:p w14:paraId="0709E86C" w14:textId="539CF063"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22261BE0" w14:textId="34127D6C"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2B083366" w14:textId="0623D5A5"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74A88D6B" w14:textId="4E31D055"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01463903" w14:textId="792FF2CF"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7E05D45E" w14:textId="1F197BD4"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r>
      <w:tr w:rsidR="00875E2E" w:rsidRPr="00875E2E" w14:paraId="4B54FAFF" w14:textId="77777777" w:rsidTr="00875E2E">
        <w:trPr>
          <w:trHeight w:val="255"/>
        </w:trPr>
        <w:tc>
          <w:tcPr>
            <w:tcW w:w="2098" w:type="dxa"/>
            <w:shd w:val="clear" w:color="auto" w:fill="auto"/>
            <w:noWrap/>
            <w:vAlign w:val="center"/>
            <w:hideMark/>
          </w:tcPr>
          <w:p w14:paraId="674F54C1" w14:textId="77777777" w:rsidR="00875E2E" w:rsidRPr="00875E2E" w:rsidRDefault="00875E2E" w:rsidP="006B69EA">
            <w:pPr>
              <w:keepNext/>
              <w:keepLines/>
              <w:jc w:val="right"/>
              <w:rPr>
                <w:rFonts w:ascii="Arial Narrow" w:hAnsi="Arial Narrow" w:cs="Arial"/>
                <w:b/>
                <w:bCs/>
                <w:color w:val="000000"/>
                <w:sz w:val="20"/>
                <w:szCs w:val="20"/>
              </w:rPr>
            </w:pPr>
          </w:p>
        </w:tc>
        <w:tc>
          <w:tcPr>
            <w:tcW w:w="1247" w:type="dxa"/>
            <w:shd w:val="clear" w:color="auto" w:fill="auto"/>
            <w:noWrap/>
            <w:vAlign w:val="center"/>
            <w:hideMark/>
          </w:tcPr>
          <w:p w14:paraId="6973660C" w14:textId="77777777" w:rsidR="00875E2E" w:rsidRPr="00875E2E" w:rsidRDefault="00875E2E" w:rsidP="006B69EA">
            <w:pPr>
              <w:keepNext/>
              <w:keepLines/>
              <w:rPr>
                <w:rFonts w:ascii="Arial Narrow" w:hAnsi="Arial Narrow"/>
                <w:sz w:val="20"/>
                <w:szCs w:val="20"/>
              </w:rPr>
            </w:pPr>
          </w:p>
        </w:tc>
        <w:tc>
          <w:tcPr>
            <w:tcW w:w="1247" w:type="dxa"/>
            <w:shd w:val="clear" w:color="auto" w:fill="auto"/>
            <w:noWrap/>
            <w:vAlign w:val="center"/>
            <w:hideMark/>
          </w:tcPr>
          <w:p w14:paraId="0B1ED6D2" w14:textId="77777777" w:rsidR="00875E2E" w:rsidRPr="00875E2E" w:rsidRDefault="00875E2E" w:rsidP="006B69EA">
            <w:pPr>
              <w:keepNext/>
              <w:keepLines/>
              <w:rPr>
                <w:rFonts w:ascii="Arial Narrow" w:hAnsi="Arial Narrow"/>
                <w:sz w:val="20"/>
                <w:szCs w:val="20"/>
              </w:rPr>
            </w:pPr>
          </w:p>
        </w:tc>
        <w:tc>
          <w:tcPr>
            <w:tcW w:w="1247" w:type="dxa"/>
            <w:shd w:val="clear" w:color="auto" w:fill="auto"/>
            <w:vAlign w:val="center"/>
            <w:hideMark/>
          </w:tcPr>
          <w:p w14:paraId="3923DE74" w14:textId="77777777" w:rsidR="00875E2E" w:rsidRPr="00875E2E" w:rsidRDefault="00875E2E" w:rsidP="006B69EA">
            <w:pPr>
              <w:keepNext/>
              <w:keepLines/>
              <w:rPr>
                <w:rFonts w:ascii="Arial Narrow" w:hAnsi="Arial Narrow"/>
                <w:sz w:val="20"/>
                <w:szCs w:val="20"/>
              </w:rPr>
            </w:pPr>
          </w:p>
        </w:tc>
        <w:tc>
          <w:tcPr>
            <w:tcW w:w="1247" w:type="dxa"/>
            <w:shd w:val="clear" w:color="auto" w:fill="auto"/>
            <w:vAlign w:val="center"/>
            <w:hideMark/>
          </w:tcPr>
          <w:p w14:paraId="3019C968" w14:textId="77777777" w:rsidR="00875E2E" w:rsidRPr="00875E2E" w:rsidRDefault="00875E2E" w:rsidP="006B69EA">
            <w:pPr>
              <w:keepNext/>
              <w:keepLines/>
              <w:rPr>
                <w:rFonts w:ascii="Arial Narrow" w:hAnsi="Arial Narrow"/>
                <w:sz w:val="20"/>
                <w:szCs w:val="20"/>
              </w:rPr>
            </w:pPr>
          </w:p>
        </w:tc>
        <w:tc>
          <w:tcPr>
            <w:tcW w:w="1247" w:type="dxa"/>
            <w:shd w:val="clear" w:color="auto" w:fill="auto"/>
            <w:vAlign w:val="center"/>
            <w:hideMark/>
          </w:tcPr>
          <w:p w14:paraId="68505646" w14:textId="77777777" w:rsidR="00875E2E" w:rsidRPr="00875E2E" w:rsidRDefault="00875E2E" w:rsidP="006B69EA">
            <w:pPr>
              <w:keepNext/>
              <w:keepLines/>
              <w:rPr>
                <w:rFonts w:ascii="Arial Narrow" w:hAnsi="Arial Narrow"/>
                <w:sz w:val="20"/>
                <w:szCs w:val="20"/>
              </w:rPr>
            </w:pPr>
          </w:p>
        </w:tc>
        <w:tc>
          <w:tcPr>
            <w:tcW w:w="1247" w:type="dxa"/>
            <w:shd w:val="clear" w:color="auto" w:fill="auto"/>
            <w:vAlign w:val="center"/>
            <w:hideMark/>
          </w:tcPr>
          <w:p w14:paraId="6D0A9DCF" w14:textId="77777777" w:rsidR="00875E2E" w:rsidRPr="00875E2E" w:rsidRDefault="00875E2E" w:rsidP="006B69EA">
            <w:pPr>
              <w:keepNext/>
              <w:keepLines/>
              <w:rPr>
                <w:rFonts w:ascii="Arial Narrow" w:hAnsi="Arial Narrow"/>
                <w:sz w:val="20"/>
                <w:szCs w:val="20"/>
              </w:rPr>
            </w:pPr>
          </w:p>
        </w:tc>
      </w:tr>
      <w:tr w:rsidR="00875E2E" w:rsidRPr="00875E2E" w14:paraId="6E2314EE" w14:textId="77777777" w:rsidTr="00875E2E">
        <w:trPr>
          <w:trHeight w:val="300"/>
        </w:trPr>
        <w:tc>
          <w:tcPr>
            <w:tcW w:w="2098" w:type="dxa"/>
            <w:shd w:val="clear" w:color="auto" w:fill="auto"/>
            <w:noWrap/>
            <w:vAlign w:val="center"/>
            <w:hideMark/>
          </w:tcPr>
          <w:p w14:paraId="162DD897"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RPBS</w:t>
            </w:r>
          </w:p>
        </w:tc>
        <w:tc>
          <w:tcPr>
            <w:tcW w:w="1247" w:type="dxa"/>
            <w:shd w:val="clear" w:color="000000" w:fill="F2F2F2"/>
            <w:noWrap/>
            <w:vAlign w:val="center"/>
            <w:hideMark/>
          </w:tcPr>
          <w:p w14:paraId="77DAC50F" w14:textId="77777777" w:rsidR="00875E2E" w:rsidRPr="00875E2E" w:rsidRDefault="00875E2E" w:rsidP="006B69EA">
            <w:pPr>
              <w:keepNext/>
              <w:keepLines/>
              <w:jc w:val="center"/>
              <w:rPr>
                <w:rFonts w:ascii="Arial Narrow" w:hAnsi="Arial Narrow" w:cs="Arial"/>
                <w:b/>
                <w:bCs/>
                <w:sz w:val="20"/>
                <w:szCs w:val="20"/>
              </w:rPr>
            </w:pPr>
            <w:r w:rsidRPr="00875E2E">
              <w:rPr>
                <w:rFonts w:ascii="Arial Narrow" w:hAnsi="Arial Narrow" w:cs="Arial"/>
                <w:b/>
                <w:bCs/>
                <w:sz w:val="20"/>
                <w:szCs w:val="20"/>
              </w:rPr>
              <w:t>2023</w:t>
            </w:r>
          </w:p>
        </w:tc>
        <w:tc>
          <w:tcPr>
            <w:tcW w:w="1247" w:type="dxa"/>
            <w:shd w:val="clear" w:color="000000" w:fill="F2F2F2"/>
            <w:noWrap/>
            <w:vAlign w:val="center"/>
            <w:hideMark/>
          </w:tcPr>
          <w:p w14:paraId="1EC6D719" w14:textId="77777777" w:rsidR="00875E2E" w:rsidRPr="00875E2E" w:rsidRDefault="00875E2E" w:rsidP="006B69EA">
            <w:pPr>
              <w:keepNext/>
              <w:keepLines/>
              <w:jc w:val="center"/>
              <w:rPr>
                <w:rFonts w:ascii="Arial Narrow" w:hAnsi="Arial Narrow" w:cs="Arial"/>
                <w:b/>
                <w:bCs/>
                <w:sz w:val="20"/>
                <w:szCs w:val="20"/>
              </w:rPr>
            </w:pPr>
            <w:r w:rsidRPr="00875E2E">
              <w:rPr>
                <w:rFonts w:ascii="Arial Narrow" w:hAnsi="Arial Narrow" w:cs="Arial"/>
                <w:b/>
                <w:bCs/>
                <w:sz w:val="20"/>
                <w:szCs w:val="20"/>
              </w:rPr>
              <w:t>2024</w:t>
            </w:r>
          </w:p>
        </w:tc>
        <w:tc>
          <w:tcPr>
            <w:tcW w:w="1247" w:type="dxa"/>
            <w:shd w:val="clear" w:color="000000" w:fill="F2F2F2"/>
            <w:noWrap/>
            <w:vAlign w:val="center"/>
            <w:hideMark/>
          </w:tcPr>
          <w:p w14:paraId="4D369D4B" w14:textId="77777777" w:rsidR="00875E2E" w:rsidRPr="00875E2E" w:rsidRDefault="00875E2E" w:rsidP="006B69EA">
            <w:pPr>
              <w:keepNext/>
              <w:keepLines/>
              <w:jc w:val="center"/>
              <w:rPr>
                <w:rFonts w:ascii="Arial Narrow" w:hAnsi="Arial Narrow" w:cs="Arial"/>
                <w:b/>
                <w:bCs/>
                <w:sz w:val="20"/>
                <w:szCs w:val="20"/>
              </w:rPr>
            </w:pPr>
            <w:r w:rsidRPr="00875E2E">
              <w:rPr>
                <w:rFonts w:ascii="Arial Narrow" w:hAnsi="Arial Narrow" w:cs="Arial"/>
                <w:b/>
                <w:bCs/>
                <w:sz w:val="20"/>
                <w:szCs w:val="20"/>
              </w:rPr>
              <w:t>2025</w:t>
            </w:r>
          </w:p>
        </w:tc>
        <w:tc>
          <w:tcPr>
            <w:tcW w:w="1247" w:type="dxa"/>
            <w:shd w:val="clear" w:color="000000" w:fill="F2F2F2"/>
            <w:noWrap/>
            <w:vAlign w:val="center"/>
            <w:hideMark/>
          </w:tcPr>
          <w:p w14:paraId="433D1D76" w14:textId="77777777" w:rsidR="00875E2E" w:rsidRPr="00875E2E" w:rsidRDefault="00875E2E" w:rsidP="006B69EA">
            <w:pPr>
              <w:keepNext/>
              <w:keepLines/>
              <w:jc w:val="center"/>
              <w:rPr>
                <w:rFonts w:ascii="Arial Narrow" w:hAnsi="Arial Narrow" w:cs="Arial"/>
                <w:b/>
                <w:bCs/>
                <w:sz w:val="20"/>
                <w:szCs w:val="20"/>
              </w:rPr>
            </w:pPr>
            <w:r w:rsidRPr="00875E2E">
              <w:rPr>
                <w:rFonts w:ascii="Arial Narrow" w:hAnsi="Arial Narrow" w:cs="Arial"/>
                <w:b/>
                <w:bCs/>
                <w:sz w:val="20"/>
                <w:szCs w:val="20"/>
              </w:rPr>
              <w:t>2026</w:t>
            </w:r>
          </w:p>
        </w:tc>
        <w:tc>
          <w:tcPr>
            <w:tcW w:w="1247" w:type="dxa"/>
            <w:shd w:val="clear" w:color="000000" w:fill="F2F2F2"/>
            <w:noWrap/>
            <w:vAlign w:val="center"/>
            <w:hideMark/>
          </w:tcPr>
          <w:p w14:paraId="1AA02231" w14:textId="77777777" w:rsidR="00875E2E" w:rsidRPr="00875E2E" w:rsidRDefault="00875E2E" w:rsidP="006B69EA">
            <w:pPr>
              <w:keepNext/>
              <w:keepLines/>
              <w:jc w:val="center"/>
              <w:rPr>
                <w:rFonts w:ascii="Arial Narrow" w:hAnsi="Arial Narrow" w:cs="Arial"/>
                <w:b/>
                <w:bCs/>
                <w:sz w:val="20"/>
                <w:szCs w:val="20"/>
              </w:rPr>
            </w:pPr>
            <w:r w:rsidRPr="00875E2E">
              <w:rPr>
                <w:rFonts w:ascii="Arial Narrow" w:hAnsi="Arial Narrow" w:cs="Arial"/>
                <w:b/>
                <w:bCs/>
                <w:sz w:val="20"/>
                <w:szCs w:val="20"/>
              </w:rPr>
              <w:t>2027</w:t>
            </w:r>
          </w:p>
        </w:tc>
        <w:tc>
          <w:tcPr>
            <w:tcW w:w="1247" w:type="dxa"/>
            <w:shd w:val="clear" w:color="000000" w:fill="F2F2F2"/>
            <w:noWrap/>
            <w:vAlign w:val="center"/>
            <w:hideMark/>
          </w:tcPr>
          <w:p w14:paraId="0C4C81FA" w14:textId="77777777" w:rsidR="00875E2E" w:rsidRPr="00875E2E" w:rsidRDefault="00875E2E" w:rsidP="006B69EA">
            <w:pPr>
              <w:keepNext/>
              <w:keepLines/>
              <w:jc w:val="center"/>
              <w:rPr>
                <w:rFonts w:ascii="Arial Narrow" w:hAnsi="Arial Narrow" w:cs="Arial"/>
                <w:b/>
                <w:bCs/>
                <w:sz w:val="20"/>
                <w:szCs w:val="20"/>
              </w:rPr>
            </w:pPr>
            <w:r w:rsidRPr="00875E2E">
              <w:rPr>
                <w:rFonts w:ascii="Arial Narrow" w:hAnsi="Arial Narrow" w:cs="Arial"/>
                <w:b/>
                <w:bCs/>
                <w:sz w:val="20"/>
                <w:szCs w:val="20"/>
              </w:rPr>
              <w:t>2028</w:t>
            </w:r>
          </w:p>
        </w:tc>
      </w:tr>
      <w:tr w:rsidR="00875E2E" w:rsidRPr="00875E2E" w14:paraId="5CF3892A" w14:textId="77777777" w:rsidTr="00875E2E">
        <w:trPr>
          <w:trHeight w:val="255"/>
        </w:trPr>
        <w:tc>
          <w:tcPr>
            <w:tcW w:w="2098" w:type="dxa"/>
            <w:shd w:val="clear" w:color="000000" w:fill="FFFFFF"/>
            <w:noWrap/>
            <w:vAlign w:val="center"/>
            <w:hideMark/>
          </w:tcPr>
          <w:p w14:paraId="52E6E8BE"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New listing</w:t>
            </w:r>
          </w:p>
        </w:tc>
        <w:tc>
          <w:tcPr>
            <w:tcW w:w="1247" w:type="dxa"/>
            <w:shd w:val="clear" w:color="000000" w:fill="F2F2F2"/>
            <w:vAlign w:val="center"/>
            <w:hideMark/>
          </w:tcPr>
          <w:p w14:paraId="7F7BABA5" w14:textId="13DB82D4"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sidRPr="002A338E">
              <w:rPr>
                <w:rFonts w:ascii="Arial Narrow" w:hAnsi="Arial Narrow" w:cs="Arial"/>
                <w:b/>
                <w:bCs/>
                <w:color w:val="000000"/>
                <w:sz w:val="20"/>
                <w:szCs w:val="20"/>
                <w:vertAlign w:val="superscript"/>
              </w:rPr>
              <w:t>1</w:t>
            </w:r>
          </w:p>
        </w:tc>
        <w:tc>
          <w:tcPr>
            <w:tcW w:w="1247" w:type="dxa"/>
            <w:shd w:val="clear" w:color="000000" w:fill="F2F2F2"/>
            <w:vAlign w:val="center"/>
            <w:hideMark/>
          </w:tcPr>
          <w:p w14:paraId="4674C4FD" w14:textId="2931953B"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1</w:t>
            </w:r>
          </w:p>
        </w:tc>
        <w:tc>
          <w:tcPr>
            <w:tcW w:w="1247" w:type="dxa"/>
            <w:shd w:val="clear" w:color="000000" w:fill="F2F2F2"/>
            <w:vAlign w:val="center"/>
            <w:hideMark/>
          </w:tcPr>
          <w:p w14:paraId="08B5F50E" w14:textId="7395676B"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1</w:t>
            </w:r>
          </w:p>
        </w:tc>
        <w:tc>
          <w:tcPr>
            <w:tcW w:w="1247" w:type="dxa"/>
            <w:shd w:val="clear" w:color="000000" w:fill="F2F2F2"/>
            <w:vAlign w:val="center"/>
            <w:hideMark/>
          </w:tcPr>
          <w:p w14:paraId="4786D714" w14:textId="6FBD3133"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1</w:t>
            </w:r>
          </w:p>
        </w:tc>
        <w:tc>
          <w:tcPr>
            <w:tcW w:w="1247" w:type="dxa"/>
            <w:shd w:val="clear" w:color="000000" w:fill="F2F2F2"/>
            <w:vAlign w:val="center"/>
            <w:hideMark/>
          </w:tcPr>
          <w:p w14:paraId="1AF5EE90" w14:textId="0467139E"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1</w:t>
            </w:r>
          </w:p>
        </w:tc>
        <w:tc>
          <w:tcPr>
            <w:tcW w:w="1247" w:type="dxa"/>
            <w:shd w:val="clear" w:color="000000" w:fill="F2F2F2"/>
            <w:vAlign w:val="center"/>
            <w:hideMark/>
          </w:tcPr>
          <w:p w14:paraId="67CDCB0C" w14:textId="60176B44"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1</w:t>
            </w:r>
          </w:p>
        </w:tc>
      </w:tr>
      <w:tr w:rsidR="00875E2E" w:rsidRPr="00875E2E" w14:paraId="4A6A5075" w14:textId="77777777" w:rsidTr="00875E2E">
        <w:trPr>
          <w:trHeight w:val="255"/>
        </w:trPr>
        <w:tc>
          <w:tcPr>
            <w:tcW w:w="2098" w:type="dxa"/>
            <w:shd w:val="clear" w:color="000000" w:fill="FFFFFF"/>
            <w:vAlign w:val="center"/>
            <w:hideMark/>
          </w:tcPr>
          <w:p w14:paraId="05E1E920"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Changed listing</w:t>
            </w:r>
          </w:p>
        </w:tc>
        <w:tc>
          <w:tcPr>
            <w:tcW w:w="1247" w:type="dxa"/>
            <w:shd w:val="clear" w:color="000000" w:fill="F2F2F2"/>
            <w:vAlign w:val="center"/>
            <w:hideMark/>
          </w:tcPr>
          <w:p w14:paraId="46B9346F" w14:textId="72A24126"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vAlign w:val="center"/>
            <w:hideMark/>
          </w:tcPr>
          <w:p w14:paraId="4A1D6EEC" w14:textId="3845779A"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vAlign w:val="center"/>
            <w:hideMark/>
          </w:tcPr>
          <w:p w14:paraId="66354373" w14:textId="5C51DBBF"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vAlign w:val="center"/>
            <w:hideMark/>
          </w:tcPr>
          <w:p w14:paraId="24698C50" w14:textId="6ED24455"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vAlign w:val="center"/>
            <w:hideMark/>
          </w:tcPr>
          <w:p w14:paraId="0038A45F" w14:textId="58204CAF"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vAlign w:val="center"/>
            <w:hideMark/>
          </w:tcPr>
          <w:p w14:paraId="180672AF" w14:textId="6932BED6" w:rsidR="00875E2E" w:rsidRPr="002A338E" w:rsidRDefault="006F3DA6" w:rsidP="006B69EA">
            <w:pPr>
              <w:keepNext/>
              <w:keepLines/>
              <w:jc w:val="right"/>
              <w:rPr>
                <w:rFonts w:ascii="Arial Narrow" w:hAnsi="Arial Narrow" w:cs="Arial"/>
                <w:sz w:val="20"/>
                <w:szCs w:val="20"/>
                <w:highlight w:val="darkGray"/>
              </w:rPr>
            </w:pPr>
            <w:r w:rsidRPr="006F3DA6">
              <w:rPr>
                <w:rFonts w:ascii="Arial Narrow" w:hAnsi="Arial Narrow" w:cs="Arial"/>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r>
      <w:tr w:rsidR="00875E2E" w:rsidRPr="00875E2E" w14:paraId="61CA6323" w14:textId="77777777" w:rsidTr="00875E2E">
        <w:trPr>
          <w:trHeight w:val="255"/>
        </w:trPr>
        <w:tc>
          <w:tcPr>
            <w:tcW w:w="2098" w:type="dxa"/>
            <w:shd w:val="clear" w:color="000000" w:fill="FFFFFF"/>
            <w:vAlign w:val="center"/>
            <w:hideMark/>
          </w:tcPr>
          <w:p w14:paraId="6B9D7924"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Net cost to RPBS</w:t>
            </w:r>
          </w:p>
        </w:tc>
        <w:tc>
          <w:tcPr>
            <w:tcW w:w="1247" w:type="dxa"/>
            <w:shd w:val="clear" w:color="000000" w:fill="F2F2F2"/>
            <w:noWrap/>
            <w:vAlign w:val="center"/>
            <w:hideMark/>
          </w:tcPr>
          <w:p w14:paraId="133D47ED" w14:textId="0C7FB133"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30FD0DAA" w14:textId="3255B61E"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7701FFEE" w14:textId="4A9CA8BF"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22C4511D" w14:textId="3DEC8F61"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60687E8E" w14:textId="55207369"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000000" w:fill="F2F2F2"/>
            <w:noWrap/>
            <w:vAlign w:val="center"/>
            <w:hideMark/>
          </w:tcPr>
          <w:p w14:paraId="23CBF032" w14:textId="0CD905E7"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r>
      <w:tr w:rsidR="00875E2E" w:rsidRPr="00875E2E" w14:paraId="65FA8085" w14:textId="77777777" w:rsidTr="00875E2E">
        <w:trPr>
          <w:trHeight w:val="255"/>
        </w:trPr>
        <w:tc>
          <w:tcPr>
            <w:tcW w:w="2098" w:type="dxa"/>
            <w:shd w:val="clear" w:color="auto" w:fill="auto"/>
            <w:noWrap/>
            <w:vAlign w:val="center"/>
            <w:hideMark/>
          </w:tcPr>
          <w:p w14:paraId="2C4A1FAA" w14:textId="77777777" w:rsidR="00875E2E" w:rsidRPr="00875E2E" w:rsidRDefault="00875E2E" w:rsidP="006B69EA">
            <w:pPr>
              <w:keepNext/>
              <w:keepLines/>
              <w:jc w:val="right"/>
              <w:rPr>
                <w:rFonts w:ascii="Arial Narrow" w:hAnsi="Arial Narrow" w:cs="Arial"/>
                <w:b/>
                <w:bCs/>
                <w:color w:val="000000"/>
                <w:sz w:val="20"/>
                <w:szCs w:val="20"/>
              </w:rPr>
            </w:pPr>
          </w:p>
        </w:tc>
        <w:tc>
          <w:tcPr>
            <w:tcW w:w="1247" w:type="dxa"/>
            <w:shd w:val="clear" w:color="auto" w:fill="auto"/>
            <w:noWrap/>
            <w:vAlign w:val="center"/>
            <w:hideMark/>
          </w:tcPr>
          <w:p w14:paraId="32AD9074" w14:textId="77777777" w:rsidR="00875E2E" w:rsidRPr="00875E2E" w:rsidRDefault="00875E2E" w:rsidP="006B69EA">
            <w:pPr>
              <w:keepNext/>
              <w:keepLines/>
              <w:rPr>
                <w:rFonts w:ascii="Arial Narrow" w:hAnsi="Arial Narrow"/>
                <w:sz w:val="20"/>
                <w:szCs w:val="20"/>
              </w:rPr>
            </w:pPr>
          </w:p>
        </w:tc>
        <w:tc>
          <w:tcPr>
            <w:tcW w:w="1247" w:type="dxa"/>
            <w:shd w:val="clear" w:color="auto" w:fill="auto"/>
            <w:noWrap/>
            <w:vAlign w:val="center"/>
            <w:hideMark/>
          </w:tcPr>
          <w:p w14:paraId="478B87DC" w14:textId="77777777" w:rsidR="00875E2E" w:rsidRPr="00875E2E" w:rsidRDefault="00875E2E" w:rsidP="006B69EA">
            <w:pPr>
              <w:keepNext/>
              <w:keepLines/>
              <w:rPr>
                <w:rFonts w:ascii="Arial Narrow" w:hAnsi="Arial Narrow"/>
                <w:sz w:val="20"/>
                <w:szCs w:val="20"/>
              </w:rPr>
            </w:pPr>
          </w:p>
        </w:tc>
        <w:tc>
          <w:tcPr>
            <w:tcW w:w="1247" w:type="dxa"/>
            <w:shd w:val="clear" w:color="auto" w:fill="auto"/>
            <w:noWrap/>
            <w:vAlign w:val="center"/>
            <w:hideMark/>
          </w:tcPr>
          <w:p w14:paraId="4EE7D4F8" w14:textId="77777777" w:rsidR="00875E2E" w:rsidRPr="00875E2E" w:rsidRDefault="00875E2E" w:rsidP="006B69EA">
            <w:pPr>
              <w:keepNext/>
              <w:keepLines/>
              <w:rPr>
                <w:rFonts w:ascii="Arial Narrow" w:hAnsi="Arial Narrow"/>
                <w:sz w:val="20"/>
                <w:szCs w:val="20"/>
              </w:rPr>
            </w:pPr>
          </w:p>
        </w:tc>
        <w:tc>
          <w:tcPr>
            <w:tcW w:w="1247" w:type="dxa"/>
            <w:shd w:val="clear" w:color="auto" w:fill="auto"/>
            <w:noWrap/>
            <w:vAlign w:val="center"/>
            <w:hideMark/>
          </w:tcPr>
          <w:p w14:paraId="2EE203F7" w14:textId="77777777" w:rsidR="00875E2E" w:rsidRPr="00875E2E" w:rsidRDefault="00875E2E" w:rsidP="006B69EA">
            <w:pPr>
              <w:keepNext/>
              <w:keepLines/>
              <w:rPr>
                <w:rFonts w:ascii="Arial Narrow" w:hAnsi="Arial Narrow"/>
                <w:sz w:val="20"/>
                <w:szCs w:val="20"/>
              </w:rPr>
            </w:pPr>
          </w:p>
        </w:tc>
        <w:tc>
          <w:tcPr>
            <w:tcW w:w="1247" w:type="dxa"/>
            <w:shd w:val="clear" w:color="auto" w:fill="auto"/>
            <w:noWrap/>
            <w:vAlign w:val="center"/>
            <w:hideMark/>
          </w:tcPr>
          <w:p w14:paraId="2FBED45A" w14:textId="77777777" w:rsidR="00875E2E" w:rsidRPr="00875E2E" w:rsidRDefault="00875E2E" w:rsidP="006B69EA">
            <w:pPr>
              <w:keepNext/>
              <w:keepLines/>
              <w:rPr>
                <w:rFonts w:ascii="Arial Narrow" w:hAnsi="Arial Narrow"/>
                <w:sz w:val="20"/>
                <w:szCs w:val="20"/>
              </w:rPr>
            </w:pPr>
          </w:p>
        </w:tc>
        <w:tc>
          <w:tcPr>
            <w:tcW w:w="1247" w:type="dxa"/>
            <w:shd w:val="clear" w:color="auto" w:fill="auto"/>
            <w:noWrap/>
            <w:vAlign w:val="center"/>
            <w:hideMark/>
          </w:tcPr>
          <w:p w14:paraId="46E54E52" w14:textId="77777777" w:rsidR="00875E2E" w:rsidRPr="00875E2E" w:rsidRDefault="00875E2E" w:rsidP="006B69EA">
            <w:pPr>
              <w:keepNext/>
              <w:keepLines/>
              <w:rPr>
                <w:rFonts w:ascii="Arial Narrow" w:hAnsi="Arial Narrow"/>
                <w:sz w:val="20"/>
                <w:szCs w:val="20"/>
              </w:rPr>
            </w:pPr>
          </w:p>
        </w:tc>
      </w:tr>
      <w:tr w:rsidR="00875E2E" w:rsidRPr="00875E2E" w14:paraId="73D90047" w14:textId="77777777" w:rsidTr="00875E2E">
        <w:trPr>
          <w:trHeight w:val="255"/>
        </w:trPr>
        <w:tc>
          <w:tcPr>
            <w:tcW w:w="2098" w:type="dxa"/>
            <w:shd w:val="clear" w:color="auto" w:fill="auto"/>
            <w:noWrap/>
            <w:vAlign w:val="center"/>
            <w:hideMark/>
          </w:tcPr>
          <w:p w14:paraId="56215B43" w14:textId="77777777" w:rsidR="00875E2E" w:rsidRPr="00875E2E" w:rsidRDefault="00875E2E" w:rsidP="006B69EA">
            <w:pPr>
              <w:keepNext/>
              <w:keepLines/>
              <w:rPr>
                <w:rFonts w:ascii="Arial Narrow" w:hAnsi="Arial Narrow" w:cs="Arial"/>
                <w:b/>
                <w:bCs/>
                <w:color w:val="000000"/>
                <w:sz w:val="20"/>
                <w:szCs w:val="20"/>
              </w:rPr>
            </w:pPr>
            <w:r w:rsidRPr="00875E2E">
              <w:rPr>
                <w:rFonts w:ascii="Arial Narrow" w:hAnsi="Arial Narrow" w:cs="Arial"/>
                <w:b/>
                <w:bCs/>
                <w:color w:val="000000"/>
                <w:sz w:val="20"/>
                <w:szCs w:val="20"/>
              </w:rPr>
              <w:t>Net cost PBS / RPBS</w:t>
            </w:r>
          </w:p>
        </w:tc>
        <w:tc>
          <w:tcPr>
            <w:tcW w:w="1247" w:type="dxa"/>
            <w:shd w:val="clear" w:color="auto" w:fill="auto"/>
            <w:noWrap/>
            <w:vAlign w:val="center"/>
            <w:hideMark/>
          </w:tcPr>
          <w:p w14:paraId="58B6F739" w14:textId="47F70BBC"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auto" w:fill="auto"/>
            <w:noWrap/>
            <w:vAlign w:val="center"/>
            <w:hideMark/>
          </w:tcPr>
          <w:p w14:paraId="7E373665" w14:textId="0DB7BEEE"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auto" w:fill="auto"/>
            <w:noWrap/>
            <w:vAlign w:val="center"/>
            <w:hideMark/>
          </w:tcPr>
          <w:p w14:paraId="272EC817" w14:textId="1733A7F1"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auto" w:fill="auto"/>
            <w:noWrap/>
            <w:vAlign w:val="center"/>
            <w:hideMark/>
          </w:tcPr>
          <w:p w14:paraId="48BED686" w14:textId="0D2A82DB"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auto" w:fill="auto"/>
            <w:noWrap/>
            <w:vAlign w:val="center"/>
            <w:hideMark/>
          </w:tcPr>
          <w:p w14:paraId="5C38A70C" w14:textId="1B72CFD5"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c>
          <w:tcPr>
            <w:tcW w:w="1247" w:type="dxa"/>
            <w:shd w:val="clear" w:color="auto" w:fill="auto"/>
            <w:noWrap/>
            <w:vAlign w:val="center"/>
            <w:hideMark/>
          </w:tcPr>
          <w:p w14:paraId="046D656F" w14:textId="32F22F9D" w:rsidR="00875E2E" w:rsidRPr="002A338E" w:rsidRDefault="006F3DA6" w:rsidP="006B69EA">
            <w:pPr>
              <w:keepNext/>
              <w:keepLines/>
              <w:jc w:val="right"/>
              <w:rPr>
                <w:rFonts w:ascii="Arial Narrow" w:hAnsi="Arial Narrow" w:cs="Arial"/>
                <w:b/>
                <w:bCs/>
                <w:sz w:val="20"/>
                <w:szCs w:val="20"/>
                <w:highlight w:val="darkGray"/>
              </w:rPr>
            </w:pPr>
            <w:r w:rsidRPr="006F3DA6">
              <w:rPr>
                <w:rFonts w:ascii="Arial Narrow" w:hAnsi="Arial Narrow" w:cs="Arial"/>
                <w:b/>
                <w:bCs/>
                <w:color w:val="000000"/>
                <w:sz w:val="20"/>
                <w:szCs w:val="20"/>
                <w:shd w:val="solid" w:color="000000" w:fill="000000"/>
                <w14:textFill>
                  <w14:solidFill>
                    <w14:srgbClr w14:val="000000">
                      <w14:alpha w14:val="100000"/>
                    </w14:srgbClr>
                  </w14:solidFill>
                </w14:textFill>
              </w:rPr>
              <w:t>|</w:t>
            </w:r>
            <w:r w:rsidR="00AD7D40">
              <w:rPr>
                <w:rFonts w:ascii="Arial Narrow" w:hAnsi="Arial Narrow" w:cs="Arial"/>
                <w:color w:val="000000"/>
                <w:sz w:val="20"/>
                <w:szCs w:val="20"/>
                <w:vertAlign w:val="superscript"/>
              </w:rPr>
              <w:t>2</w:t>
            </w:r>
          </w:p>
        </w:tc>
      </w:tr>
    </w:tbl>
    <w:p w14:paraId="6D21A960" w14:textId="2907CDAF" w:rsidR="00D70349" w:rsidRDefault="00875E2E" w:rsidP="006B69EA">
      <w:pPr>
        <w:pStyle w:val="TableFigureFooter"/>
      </w:pPr>
      <w:r>
        <w:t>Source: Table 3 of the submission, p.4.</w:t>
      </w:r>
    </w:p>
    <w:p w14:paraId="063F790B" w14:textId="20C915F2" w:rsidR="00B447A0" w:rsidRDefault="00875E2E" w:rsidP="008E1B55">
      <w:pPr>
        <w:pStyle w:val="TableFigureFooter"/>
      </w:pPr>
      <w:r>
        <w:t>GHD: growth hormone deficiency; PBS: Pharmaceutical Benefits Scheme; RPBS: Repatriation Pharmaceutical Benefits Scheme</w:t>
      </w:r>
    </w:p>
    <w:p w14:paraId="4C1E725E" w14:textId="77777777" w:rsidR="00AD7D40" w:rsidRPr="009A6D58" w:rsidRDefault="00AD7D40" w:rsidP="00AD7D4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71658DD" w14:textId="0B2AD310" w:rsidR="00AD7D40" w:rsidRPr="009A6D58" w:rsidRDefault="00AD7D40" w:rsidP="00AD7D40">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D7D40">
        <w:rPr>
          <w:rFonts w:ascii="Arial Narrow" w:hAnsi="Arial Narrow" w:cs="Arial"/>
          <w:i/>
          <w:sz w:val="18"/>
          <w:szCs w:val="18"/>
        </w:rPr>
        <w:t>$0 to &lt; $10 million</w:t>
      </w:r>
    </w:p>
    <w:p w14:paraId="5D5B9FCE" w14:textId="2D408D87" w:rsidR="00AD7D40" w:rsidRDefault="00AD7D40" w:rsidP="002A338E">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AD7D40">
        <w:rPr>
          <w:rFonts w:ascii="Arial Narrow" w:hAnsi="Arial Narrow" w:cs="Arial"/>
          <w:i/>
          <w:sz w:val="18"/>
          <w:szCs w:val="18"/>
        </w:rPr>
        <w:t>net cost saving</w:t>
      </w:r>
    </w:p>
    <w:p w14:paraId="5FC9C88A" w14:textId="77777777" w:rsidR="007F0E67" w:rsidRPr="0090150D" w:rsidRDefault="007F0E67" w:rsidP="00110FC9">
      <w:pPr>
        <w:pStyle w:val="2-SectionHeading"/>
      </w:pPr>
      <w:bookmarkStart w:id="4" w:name="_Hlk76381249"/>
      <w:r w:rsidRPr="0090150D">
        <w:t>PBAC Outcome</w:t>
      </w:r>
    </w:p>
    <w:p w14:paraId="4658788E" w14:textId="7BC9CC48" w:rsidR="007F0E67" w:rsidRDefault="00CD1EBB" w:rsidP="007F0E67">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w:t>
      </w:r>
      <w:r w:rsidR="007F0E67" w:rsidRPr="00CE42B4">
        <w:rPr>
          <w:rFonts w:asciiTheme="minorHAnsi" w:hAnsiTheme="minorHAnsi" w:cs="Arial"/>
          <w:snapToGrid w:val="0"/>
          <w:lang w:val="en-GB"/>
        </w:rPr>
        <w:t xml:space="preserve"> PBAC recommended the listing of </w:t>
      </w:r>
      <w:r w:rsidR="009C5EB0" w:rsidRPr="00B65B09">
        <w:rPr>
          <w:rFonts w:cstheme="minorHAnsi"/>
        </w:rPr>
        <w:t>somatropin solution for injection 6 mg</w:t>
      </w:r>
      <w:r w:rsidR="009C5EB0">
        <w:rPr>
          <w:rFonts w:cstheme="minorHAnsi"/>
        </w:rPr>
        <w:t xml:space="preserve"> (18 i.u.) in 1.03 mL and</w:t>
      </w:r>
      <w:r w:rsidR="009C5EB0" w:rsidRPr="00B65B09">
        <w:rPr>
          <w:rFonts w:cstheme="minorHAnsi"/>
        </w:rPr>
        <w:t xml:space="preserve"> 12 mg</w:t>
      </w:r>
      <w:r w:rsidR="009C5EB0">
        <w:rPr>
          <w:rFonts w:cstheme="minorHAnsi"/>
        </w:rPr>
        <w:t xml:space="preserve"> (36 i.u.) in 1.5 mL</w:t>
      </w:r>
      <w:r w:rsidR="009C5EB0" w:rsidRPr="00B65B09">
        <w:rPr>
          <w:rFonts w:cstheme="minorHAnsi"/>
        </w:rPr>
        <w:t xml:space="preserve"> (Saizen)</w:t>
      </w:r>
      <w:r w:rsidR="00A75D2E">
        <w:rPr>
          <w:rFonts w:cstheme="minorHAnsi"/>
        </w:rPr>
        <w:t xml:space="preserve"> for</w:t>
      </w:r>
      <w:r w:rsidR="009C5EB0">
        <w:rPr>
          <w:rFonts w:cstheme="minorHAnsi"/>
        </w:rPr>
        <w:t xml:space="preserve"> the</w:t>
      </w:r>
      <w:r w:rsidR="009C5EB0" w:rsidRPr="00B65B09">
        <w:rPr>
          <w:rFonts w:cstheme="minorHAnsi"/>
        </w:rPr>
        <w:t xml:space="preserve"> treatment of severe late onset GHD</w:t>
      </w:r>
      <w:r w:rsidR="007F0E67" w:rsidRPr="00CE42B4">
        <w:rPr>
          <w:rFonts w:asciiTheme="minorHAnsi" w:hAnsiTheme="minorHAnsi" w:cs="Arial"/>
          <w:snapToGrid w:val="0"/>
          <w:lang w:val="en-GB"/>
        </w:rPr>
        <w:t xml:space="preserve">, on the basis that it should be available only under special arrangements under Section 100 </w:t>
      </w:r>
      <w:r w:rsidR="00645187">
        <w:rPr>
          <w:rFonts w:asciiTheme="minorHAnsi" w:hAnsiTheme="minorHAnsi" w:cs="Arial"/>
          <w:snapToGrid w:val="0"/>
          <w:lang w:val="en-GB"/>
        </w:rPr>
        <w:t>(Growth Hormone Program)</w:t>
      </w:r>
      <w:r w:rsidR="007C4356">
        <w:rPr>
          <w:rFonts w:asciiTheme="minorHAnsi" w:hAnsiTheme="minorHAnsi" w:cs="Arial"/>
          <w:snapToGrid w:val="0"/>
          <w:lang w:val="en-GB"/>
        </w:rPr>
        <w:t xml:space="preserve">, and under the same circumstances as somatropin products currently PBS-listed for </w:t>
      </w:r>
      <w:r w:rsidR="00DD7A48">
        <w:rPr>
          <w:rFonts w:asciiTheme="minorHAnsi" w:hAnsiTheme="minorHAnsi" w:cs="Arial"/>
          <w:snapToGrid w:val="0"/>
          <w:lang w:val="en-GB"/>
        </w:rPr>
        <w:t xml:space="preserve">this </w:t>
      </w:r>
      <w:r w:rsidR="00E35F7E">
        <w:rPr>
          <w:rFonts w:asciiTheme="minorHAnsi" w:hAnsiTheme="minorHAnsi" w:cs="Arial"/>
          <w:snapToGrid w:val="0"/>
          <w:lang w:val="en-GB"/>
        </w:rPr>
        <w:t>indication</w:t>
      </w:r>
      <w:r w:rsidR="007D4B7E">
        <w:rPr>
          <w:rFonts w:asciiTheme="minorHAnsi" w:hAnsiTheme="minorHAnsi" w:cs="Arial"/>
          <w:snapToGrid w:val="0"/>
          <w:lang w:val="en-GB"/>
        </w:rPr>
        <w:t>.</w:t>
      </w:r>
    </w:p>
    <w:p w14:paraId="2BF2165B" w14:textId="2B21C103" w:rsidR="004C3A5B" w:rsidRDefault="004C3A5B" w:rsidP="007F0E67">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In making its recommendation, the PBAC recalled its previous recommendation in July</w:t>
      </w:r>
      <w:r w:rsidR="00AA44C8">
        <w:rPr>
          <w:rFonts w:asciiTheme="minorHAnsi" w:hAnsiTheme="minorHAnsi" w:cs="Arial"/>
          <w:snapToGrid w:val="0"/>
          <w:lang w:val="en-GB"/>
        </w:rPr>
        <w:t> </w:t>
      </w:r>
      <w:r>
        <w:rPr>
          <w:rFonts w:asciiTheme="minorHAnsi" w:hAnsiTheme="minorHAnsi" w:cs="Arial"/>
          <w:snapToGrid w:val="0"/>
          <w:lang w:val="en-GB"/>
        </w:rPr>
        <w:t xml:space="preserve">2017 </w:t>
      </w:r>
      <w:r w:rsidR="00362492">
        <w:rPr>
          <w:rFonts w:asciiTheme="minorHAnsi" w:hAnsiTheme="minorHAnsi" w:cs="Arial"/>
          <w:snapToGrid w:val="0"/>
          <w:lang w:val="en-GB"/>
        </w:rPr>
        <w:t>to list somatropin for the treatment of severe late onset GHD and noted that three brands of somatropin are currently PBS-listed as a result of this recommendation.</w:t>
      </w:r>
      <w:r w:rsidR="005043D2">
        <w:rPr>
          <w:rFonts w:asciiTheme="minorHAnsi" w:hAnsiTheme="minorHAnsi" w:cs="Arial"/>
          <w:snapToGrid w:val="0"/>
          <w:lang w:val="en-GB"/>
        </w:rPr>
        <w:t xml:space="preserve"> The PBAC further noted that its July 2017 recommendation</w:t>
      </w:r>
      <w:r w:rsidR="00AA44C8">
        <w:rPr>
          <w:rFonts w:asciiTheme="minorHAnsi" w:hAnsiTheme="minorHAnsi" w:cs="Arial"/>
          <w:snapToGrid w:val="0"/>
          <w:lang w:val="en-GB"/>
        </w:rPr>
        <w:t xml:space="preserve"> in relation to the forms of somatropin where a listing for severe late onset </w:t>
      </w:r>
      <w:r w:rsidR="00A90E9E">
        <w:rPr>
          <w:rFonts w:asciiTheme="minorHAnsi" w:hAnsiTheme="minorHAnsi" w:cs="Arial"/>
          <w:snapToGrid w:val="0"/>
          <w:lang w:val="en-GB"/>
        </w:rPr>
        <w:t xml:space="preserve">GHD </w:t>
      </w:r>
      <w:r w:rsidR="00AA44C8">
        <w:rPr>
          <w:rFonts w:asciiTheme="minorHAnsi" w:hAnsiTheme="minorHAnsi" w:cs="Arial"/>
          <w:snapToGrid w:val="0"/>
          <w:lang w:val="en-GB"/>
        </w:rPr>
        <w:t>had not been implemented</w:t>
      </w:r>
      <w:r w:rsidR="005043D2">
        <w:rPr>
          <w:rFonts w:asciiTheme="minorHAnsi" w:hAnsiTheme="minorHAnsi" w:cs="Arial"/>
          <w:snapToGrid w:val="0"/>
          <w:lang w:val="en-GB"/>
        </w:rPr>
        <w:t xml:space="preserve"> has now been rescinded.</w:t>
      </w:r>
    </w:p>
    <w:p w14:paraId="2E2E29A6" w14:textId="1E71EF05" w:rsidR="000309D3" w:rsidRPr="00CE42B4" w:rsidRDefault="000309D3" w:rsidP="007F0E67">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acknowledged that there is </w:t>
      </w:r>
      <w:r w:rsidR="00E01A86">
        <w:rPr>
          <w:rFonts w:asciiTheme="minorHAnsi" w:hAnsiTheme="minorHAnsi" w:cs="Arial"/>
          <w:snapToGrid w:val="0"/>
          <w:lang w:val="en-GB"/>
        </w:rPr>
        <w:t xml:space="preserve">a clinical need for additional somatropin products for the treatment of severe late onset GHD, given the worldwide supply shortage of Norditropin FlexPro and </w:t>
      </w:r>
      <w:r w:rsidR="008E63E1">
        <w:rPr>
          <w:rFonts w:asciiTheme="minorHAnsi" w:hAnsiTheme="minorHAnsi" w:cs="Arial"/>
          <w:snapToGrid w:val="0"/>
          <w:lang w:val="en-GB"/>
        </w:rPr>
        <w:t>the planned discontinuation of NutropinAq</w:t>
      </w:r>
      <w:r w:rsidR="00E36E62">
        <w:rPr>
          <w:rFonts w:asciiTheme="minorHAnsi" w:hAnsiTheme="minorHAnsi" w:cs="Arial"/>
          <w:snapToGrid w:val="0"/>
          <w:lang w:val="en-GB"/>
        </w:rPr>
        <w:t xml:space="preserve"> next year</w:t>
      </w:r>
      <w:r w:rsidR="008E63E1">
        <w:rPr>
          <w:rFonts w:asciiTheme="minorHAnsi" w:hAnsiTheme="minorHAnsi" w:cs="Arial"/>
          <w:snapToGrid w:val="0"/>
          <w:lang w:val="en-GB"/>
        </w:rPr>
        <w:t>.</w:t>
      </w:r>
    </w:p>
    <w:p w14:paraId="4B15C484" w14:textId="1E2EF6F1" w:rsidR="007F0E67" w:rsidRPr="00CE42B4" w:rsidRDefault="007F0E67" w:rsidP="007F0E67">
      <w:pPr>
        <w:widowControl w:val="0"/>
        <w:numPr>
          <w:ilvl w:val="1"/>
          <w:numId w:val="2"/>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w:t>
      </w:r>
      <w:r w:rsidR="00522689">
        <w:rPr>
          <w:rFonts w:asciiTheme="minorHAnsi" w:hAnsiTheme="minorHAnsi" w:cs="Arial"/>
          <w:snapToGrid w:val="0"/>
          <w:lang w:val="en-GB"/>
        </w:rPr>
        <w:t>wa</w:t>
      </w:r>
      <w:r w:rsidR="00522689" w:rsidRPr="00CE42B4">
        <w:rPr>
          <w:rFonts w:asciiTheme="minorHAnsi" w:hAnsiTheme="minorHAnsi" w:cs="Arial"/>
          <w:snapToGrid w:val="0"/>
          <w:lang w:val="en-GB"/>
        </w:rPr>
        <w:t xml:space="preserve">s </w:t>
      </w:r>
      <w:r w:rsidRPr="00CE42B4">
        <w:rPr>
          <w:rFonts w:asciiTheme="minorHAnsi" w:hAnsiTheme="minorHAnsi" w:cs="Arial"/>
          <w:snapToGrid w:val="0"/>
          <w:lang w:val="en-GB"/>
        </w:rPr>
        <w:t xml:space="preserve">satisfied that </w:t>
      </w:r>
      <w:r w:rsidR="00DC77A3">
        <w:rPr>
          <w:rFonts w:asciiTheme="minorHAnsi" w:hAnsiTheme="minorHAnsi" w:cs="Arial"/>
          <w:snapToGrid w:val="0"/>
          <w:lang w:val="en-GB"/>
        </w:rPr>
        <w:t xml:space="preserve">Saizen demonstrates non-inferior comparative effectiveness and safety </w:t>
      </w:r>
      <w:r w:rsidR="00851FFF">
        <w:rPr>
          <w:rFonts w:asciiTheme="minorHAnsi" w:hAnsiTheme="minorHAnsi" w:cs="Arial"/>
          <w:snapToGrid w:val="0"/>
          <w:lang w:val="en-GB"/>
        </w:rPr>
        <w:t xml:space="preserve">compared to other somatropin products PBS-listed for </w:t>
      </w:r>
      <w:r w:rsidR="00DD7A48">
        <w:rPr>
          <w:rFonts w:asciiTheme="minorHAnsi" w:hAnsiTheme="minorHAnsi" w:cs="Arial"/>
          <w:snapToGrid w:val="0"/>
          <w:lang w:val="en-GB"/>
        </w:rPr>
        <w:t>severe late onset GHD</w:t>
      </w:r>
      <w:r w:rsidR="00A41575">
        <w:rPr>
          <w:rFonts w:asciiTheme="minorHAnsi" w:hAnsiTheme="minorHAnsi" w:cs="Arial"/>
          <w:snapToGrid w:val="0"/>
          <w:lang w:val="en-GB"/>
        </w:rPr>
        <w:t xml:space="preserve"> and accepted</w:t>
      </w:r>
      <w:r w:rsidR="00522689">
        <w:rPr>
          <w:rFonts w:asciiTheme="minorHAnsi" w:hAnsiTheme="minorHAnsi" w:cs="Arial"/>
          <w:snapToGrid w:val="0"/>
          <w:lang w:val="en-GB"/>
        </w:rPr>
        <w:t xml:space="preserve"> the</w:t>
      </w:r>
      <w:r w:rsidR="00A41575">
        <w:rPr>
          <w:rFonts w:asciiTheme="minorHAnsi" w:hAnsiTheme="minorHAnsi" w:cs="Arial"/>
          <w:snapToGrid w:val="0"/>
          <w:lang w:val="en-GB"/>
        </w:rPr>
        <w:t xml:space="preserve"> other somatropin products as appropriate </w:t>
      </w:r>
      <w:r w:rsidR="00A41575">
        <w:rPr>
          <w:rFonts w:asciiTheme="minorHAnsi" w:hAnsiTheme="minorHAnsi" w:cs="Arial"/>
          <w:snapToGrid w:val="0"/>
          <w:lang w:val="en-GB"/>
        </w:rPr>
        <w:lastRenderedPageBreak/>
        <w:t>comparators</w:t>
      </w:r>
      <w:r w:rsidR="00851FFF">
        <w:rPr>
          <w:rFonts w:asciiTheme="minorHAnsi" w:hAnsiTheme="minorHAnsi" w:cs="Arial"/>
          <w:snapToGrid w:val="0"/>
          <w:lang w:val="en-GB"/>
        </w:rPr>
        <w:t>.</w:t>
      </w:r>
    </w:p>
    <w:p w14:paraId="1D20C922" w14:textId="6BA8F700" w:rsidR="007F0E67" w:rsidRDefault="00A33A74" w:rsidP="007F0E67">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considered the equi-effective doses to be</w:t>
      </w:r>
      <w:r w:rsidR="006B06A9">
        <w:rPr>
          <w:rFonts w:asciiTheme="minorHAnsi" w:hAnsiTheme="minorHAnsi" w:cs="Arial"/>
          <w:snapToGrid w:val="0"/>
          <w:lang w:val="en-GB"/>
        </w:rPr>
        <w:t xml:space="preserve"> 1 mg</w:t>
      </w:r>
      <w:r>
        <w:rPr>
          <w:rFonts w:asciiTheme="minorHAnsi" w:hAnsiTheme="minorHAnsi" w:cs="Arial"/>
          <w:snapToGrid w:val="0"/>
          <w:lang w:val="en-GB"/>
        </w:rPr>
        <w:t xml:space="preserve"> </w:t>
      </w:r>
      <w:r w:rsidR="009C4D75">
        <w:rPr>
          <w:rFonts w:asciiTheme="minorHAnsi" w:hAnsiTheme="minorHAnsi" w:cs="Arial"/>
          <w:snapToGrid w:val="0"/>
          <w:lang w:val="en-GB"/>
        </w:rPr>
        <w:t xml:space="preserve">of </w:t>
      </w:r>
      <w:r>
        <w:rPr>
          <w:rFonts w:asciiTheme="minorHAnsi" w:hAnsiTheme="minorHAnsi" w:cs="Arial"/>
          <w:snapToGrid w:val="0"/>
          <w:lang w:val="en-GB"/>
        </w:rPr>
        <w:t>Saizen</w:t>
      </w:r>
      <w:r w:rsidR="006B06A9">
        <w:rPr>
          <w:rFonts w:asciiTheme="minorHAnsi" w:hAnsiTheme="minorHAnsi" w:cs="Arial"/>
          <w:snapToGrid w:val="0"/>
          <w:lang w:val="en-GB"/>
        </w:rPr>
        <w:t xml:space="preserve"> and 1 mg </w:t>
      </w:r>
      <w:r w:rsidR="009C4D75">
        <w:rPr>
          <w:rFonts w:asciiTheme="minorHAnsi" w:hAnsiTheme="minorHAnsi" w:cs="Arial"/>
          <w:snapToGrid w:val="0"/>
          <w:lang w:val="en-GB"/>
        </w:rPr>
        <w:t xml:space="preserve">of </w:t>
      </w:r>
      <w:r w:rsidR="006B06A9">
        <w:rPr>
          <w:rFonts w:asciiTheme="minorHAnsi" w:hAnsiTheme="minorHAnsi" w:cs="Arial"/>
          <w:snapToGrid w:val="0"/>
          <w:lang w:val="en-GB"/>
        </w:rPr>
        <w:t>other somatropin products PBS-listed</w:t>
      </w:r>
      <w:r w:rsidR="00537C9E">
        <w:rPr>
          <w:rFonts w:asciiTheme="minorHAnsi" w:hAnsiTheme="minorHAnsi" w:cs="Arial"/>
          <w:snapToGrid w:val="0"/>
          <w:lang w:val="en-GB"/>
        </w:rPr>
        <w:t xml:space="preserve"> for this indication</w:t>
      </w:r>
      <w:r w:rsidR="006B06A9">
        <w:rPr>
          <w:rFonts w:asciiTheme="minorHAnsi" w:hAnsiTheme="minorHAnsi" w:cs="Arial"/>
          <w:snapToGrid w:val="0"/>
          <w:lang w:val="en-GB"/>
        </w:rPr>
        <w:t xml:space="preserve"> and </w:t>
      </w:r>
      <w:r w:rsidR="00687EC6">
        <w:rPr>
          <w:rFonts w:asciiTheme="minorHAnsi" w:hAnsiTheme="minorHAnsi" w:cs="Arial"/>
          <w:snapToGrid w:val="0"/>
          <w:lang w:val="en-GB"/>
        </w:rPr>
        <w:t>considered</w:t>
      </w:r>
      <w:r>
        <w:rPr>
          <w:rFonts w:asciiTheme="minorHAnsi" w:hAnsiTheme="minorHAnsi" w:cs="Arial"/>
          <w:snapToGrid w:val="0"/>
          <w:lang w:val="en-GB"/>
        </w:rPr>
        <w:t xml:space="preserve"> that all the different brands of somatropin are considered equivalent on a per mg basis.</w:t>
      </w:r>
    </w:p>
    <w:p w14:paraId="05022538" w14:textId="6CAC143B" w:rsidR="003D043E" w:rsidRDefault="00D869C2" w:rsidP="00110FC9">
      <w:pPr>
        <w:pStyle w:val="3Bodytext"/>
        <w:rPr>
          <w:snapToGrid w:val="0"/>
        </w:rPr>
      </w:pPr>
      <w:r>
        <w:rPr>
          <w:snapToGrid w:val="0"/>
        </w:rPr>
        <w:t xml:space="preserve">The PBAC noted the submission proposed an AEMP for Saizen </w:t>
      </w:r>
      <w:r w:rsidR="00EB73EF">
        <w:rPr>
          <w:snapToGrid w:val="0"/>
        </w:rPr>
        <w:t>consistent with</w:t>
      </w:r>
      <w:r>
        <w:rPr>
          <w:snapToGrid w:val="0"/>
        </w:rPr>
        <w:t xml:space="preserve"> those somatropin products currently listed for this indication on a per m</w:t>
      </w:r>
      <w:r w:rsidR="00687EC6">
        <w:rPr>
          <w:snapToGrid w:val="0"/>
        </w:rPr>
        <w:t>g</w:t>
      </w:r>
      <w:r>
        <w:rPr>
          <w:snapToGrid w:val="0"/>
        </w:rPr>
        <w:t xml:space="preserve"> basis </w:t>
      </w:r>
      <w:r w:rsidR="00F57800">
        <w:rPr>
          <w:snapToGrid w:val="0"/>
        </w:rPr>
        <w:t xml:space="preserve">and noted the proposal to apply this AEMP to </w:t>
      </w:r>
      <w:r w:rsidR="006B390A">
        <w:rPr>
          <w:snapToGrid w:val="0"/>
        </w:rPr>
        <w:t xml:space="preserve">currently listed and </w:t>
      </w:r>
      <w:r w:rsidR="00BC6F52">
        <w:rPr>
          <w:snapToGrid w:val="0"/>
        </w:rPr>
        <w:t xml:space="preserve">proposed expanded </w:t>
      </w:r>
      <w:r w:rsidR="00F57800">
        <w:rPr>
          <w:snapToGrid w:val="0"/>
        </w:rPr>
        <w:t>Saizen listings.</w:t>
      </w:r>
      <w:r w:rsidR="009919DB">
        <w:rPr>
          <w:snapToGrid w:val="0"/>
        </w:rPr>
        <w:t xml:space="preserve"> </w:t>
      </w:r>
      <w:r w:rsidR="003D043E">
        <w:rPr>
          <w:snapToGrid w:val="0"/>
        </w:rPr>
        <w:t xml:space="preserve">The PBAC considered </w:t>
      </w:r>
      <w:r w:rsidR="00EB73EF">
        <w:rPr>
          <w:snapToGrid w:val="0"/>
        </w:rPr>
        <w:t>this approach appropriate</w:t>
      </w:r>
      <w:r w:rsidR="003D043E">
        <w:rPr>
          <w:snapToGrid w:val="0"/>
        </w:rPr>
        <w:t>.</w:t>
      </w:r>
    </w:p>
    <w:p w14:paraId="5F08B121" w14:textId="1E90F6F8" w:rsidR="00FD6918" w:rsidRPr="00CE42B4" w:rsidRDefault="009919DB" w:rsidP="00110FC9">
      <w:pPr>
        <w:pStyle w:val="3Bodytext"/>
        <w:rPr>
          <w:snapToGrid w:val="0"/>
        </w:rPr>
      </w:pPr>
      <w:r>
        <w:rPr>
          <w:snapToGrid w:val="0"/>
        </w:rPr>
        <w:t xml:space="preserve">The PBAC noted the </w:t>
      </w:r>
      <w:r w:rsidR="00627E48">
        <w:rPr>
          <w:snapToGrid w:val="0"/>
        </w:rPr>
        <w:t xml:space="preserve">sponsor had </w:t>
      </w:r>
      <w:r w:rsidR="002A3DE0">
        <w:rPr>
          <w:snapToGrid w:val="0"/>
        </w:rPr>
        <w:t xml:space="preserve">estimated </w:t>
      </w:r>
      <w:r w:rsidR="00627E48">
        <w:rPr>
          <w:snapToGrid w:val="0"/>
        </w:rPr>
        <w:t xml:space="preserve">a </w:t>
      </w:r>
      <w:r w:rsidR="00E75392">
        <w:rPr>
          <w:snapToGrid w:val="0"/>
        </w:rPr>
        <w:t xml:space="preserve">modest </w:t>
      </w:r>
      <w:r>
        <w:rPr>
          <w:snapToGrid w:val="0"/>
        </w:rPr>
        <w:t>cost-saving to the PBS/RPBS</w:t>
      </w:r>
      <w:r w:rsidR="003D043E">
        <w:rPr>
          <w:snapToGrid w:val="0"/>
        </w:rPr>
        <w:t xml:space="preserve">. The PBAC considered listing at the proposed price </w:t>
      </w:r>
      <w:r w:rsidR="00627E48">
        <w:rPr>
          <w:snapToGrid w:val="0"/>
        </w:rPr>
        <w:t>would not result in an increased cost to Government</w:t>
      </w:r>
      <w:r w:rsidR="003A41AC">
        <w:rPr>
          <w:snapToGrid w:val="0"/>
        </w:rPr>
        <w:t>.</w:t>
      </w:r>
    </w:p>
    <w:p w14:paraId="18814130" w14:textId="52FB6B77" w:rsidR="007F0E67" w:rsidRPr="00110FC9" w:rsidRDefault="007F0E67" w:rsidP="00110FC9">
      <w:pPr>
        <w:pStyle w:val="3Bodytext"/>
      </w:pPr>
      <w:r w:rsidRPr="006A7436">
        <w:t xml:space="preserve">The PBAC noted that its recommendation was on a cost-minimisation basis and advised that, because </w:t>
      </w:r>
      <w:r w:rsidR="006A7436">
        <w:t>Saizen</w:t>
      </w:r>
      <w:r w:rsidRPr="006A7436">
        <w:t xml:space="preserve"> is not expected to provide a substantial</w:t>
      </w:r>
      <w:r w:rsidRPr="006A7436">
        <w:rPr>
          <w:bCs/>
        </w:rPr>
        <w:t xml:space="preserve"> and clinically relevant improvement in efficacy, or reduction of toxicity, over </w:t>
      </w:r>
      <w:r w:rsidR="006A7436">
        <w:rPr>
          <w:bCs/>
        </w:rPr>
        <w:t xml:space="preserve">other somatropin products currently PBS-listed for severe late onset GHD, </w:t>
      </w:r>
      <w:r w:rsidR="003E77F7">
        <w:rPr>
          <w:bCs/>
        </w:rPr>
        <w:t>despite being</w:t>
      </w:r>
      <w:r w:rsidRPr="006A7436">
        <w:rPr>
          <w:bCs/>
        </w:rPr>
        <w:t xml:space="preserve"> expected to address a high and urgent unmet clinical need </w:t>
      </w:r>
      <w:r w:rsidR="00DD6177">
        <w:rPr>
          <w:bCs/>
        </w:rPr>
        <w:t>due to</w:t>
      </w:r>
      <w:r w:rsidR="00DD6177" w:rsidRPr="006A7436">
        <w:rPr>
          <w:bCs/>
        </w:rPr>
        <w:t xml:space="preserve"> </w:t>
      </w:r>
      <w:r w:rsidRPr="006A7436">
        <w:rPr>
          <w:bCs/>
        </w:rPr>
        <w:t xml:space="preserve">the </w:t>
      </w:r>
      <w:r w:rsidR="009A4F64">
        <w:rPr>
          <w:bCs/>
        </w:rPr>
        <w:t xml:space="preserve">shortage and discontinuation </w:t>
      </w:r>
      <w:r w:rsidRPr="006A7436">
        <w:rPr>
          <w:bCs/>
        </w:rPr>
        <w:t xml:space="preserve">of alternative </w:t>
      </w:r>
      <w:r w:rsidR="00DD6177" w:rsidRPr="006A7436">
        <w:rPr>
          <w:bCs/>
        </w:rPr>
        <w:t>therap</w:t>
      </w:r>
      <w:r w:rsidR="00DD6177">
        <w:rPr>
          <w:bCs/>
        </w:rPr>
        <w:t>ies</w:t>
      </w:r>
      <w:r w:rsidR="009A4F64">
        <w:rPr>
          <w:bCs/>
        </w:rPr>
        <w:t xml:space="preserve"> for the treatment of severe late onset GHD</w:t>
      </w:r>
      <w:r w:rsidRPr="006A7436">
        <w:rPr>
          <w:bCs/>
        </w:rPr>
        <w:t xml:space="preserve">, the criteria prescribed by the </w:t>
      </w:r>
      <w:r w:rsidRPr="006A7436">
        <w:rPr>
          <w:bCs/>
          <w:i/>
        </w:rPr>
        <w:t>National Health (Pharmaceuticals and Vaccines – Cost Recovery) Regulations 2022</w:t>
      </w:r>
      <w:r w:rsidRPr="006A7436">
        <w:rPr>
          <w:bCs/>
        </w:rPr>
        <w:t xml:space="preserve"> for Pricing Pathway A were not met.</w:t>
      </w:r>
    </w:p>
    <w:p w14:paraId="31986990" w14:textId="71066902" w:rsidR="007F0E67" w:rsidRDefault="007F0E67" w:rsidP="00110FC9">
      <w:pPr>
        <w:pStyle w:val="3Bodytext"/>
        <w:rPr>
          <w:i/>
          <w:snapToGrid w:val="0"/>
        </w:rPr>
      </w:pPr>
      <w:r w:rsidRPr="00525B39">
        <w:rPr>
          <w:snapToGrid w:val="0"/>
        </w:rPr>
        <w:t>The PBAC noted that this submission is not eligible for an Independent Review</w:t>
      </w:r>
      <w:r w:rsidR="0012329F">
        <w:rPr>
          <w:snapToGrid w:val="0"/>
        </w:rPr>
        <w:t xml:space="preserve"> because it received a positive recommendation.</w:t>
      </w:r>
    </w:p>
    <w:p w14:paraId="5C077FA8" w14:textId="77777777" w:rsidR="007F0E67" w:rsidRPr="00525B39" w:rsidRDefault="007F0E67" w:rsidP="007F0E67">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6B92514" w14:textId="78BDF823" w:rsidR="007F0E67" w:rsidRPr="00525B39" w:rsidRDefault="007F0E67" w:rsidP="007F0E67">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4"/>
    <w:p w14:paraId="647EF1EC" w14:textId="77777777" w:rsidR="007F0E67" w:rsidRPr="00F237A4" w:rsidRDefault="007F0E67" w:rsidP="00110FC9">
      <w:pPr>
        <w:pStyle w:val="2-SectionHeading"/>
        <w:rPr>
          <w:iCs/>
          <w:lang w:val="en-GB"/>
        </w:rPr>
      </w:pPr>
      <w:r w:rsidRPr="00525B39">
        <w:rPr>
          <w:lang w:val="en-GB"/>
        </w:rPr>
        <w:t>Recommended listing</w:t>
      </w:r>
    </w:p>
    <w:p w14:paraId="15D005E4" w14:textId="7555A24B" w:rsidR="007F0E67" w:rsidRDefault="007F0E67" w:rsidP="00110FC9">
      <w:pPr>
        <w:pStyle w:val="3Bodytext"/>
        <w:rPr>
          <w:snapToGrid w:val="0"/>
        </w:rPr>
      </w:pPr>
      <w:r w:rsidRPr="00525B39">
        <w:rPr>
          <w:snapToGrid w:val="0"/>
        </w:rPr>
        <w:t>Add</w:t>
      </w:r>
      <w:r w:rsidR="00DA15BF">
        <w:rPr>
          <w:snapToGrid w:val="0"/>
        </w:rPr>
        <w:t xml:space="preserve"> new </w:t>
      </w:r>
      <w:r w:rsidR="00B60083">
        <w:rPr>
          <w:snapToGrid w:val="0"/>
        </w:rPr>
        <w:t>indication as follows</w:t>
      </w:r>
      <w:r w:rsidRPr="00525B39">
        <w:rPr>
          <w:snapToGrid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4"/>
        <w:gridCol w:w="811"/>
        <w:gridCol w:w="812"/>
        <w:gridCol w:w="811"/>
        <w:gridCol w:w="812"/>
        <w:gridCol w:w="1830"/>
        <w:gridCol w:w="13"/>
      </w:tblGrid>
      <w:tr w:rsidR="0017079D" w:rsidRPr="001428E9" w14:paraId="60BBD6E0" w14:textId="77777777" w:rsidTr="002A338E">
        <w:trPr>
          <w:gridAfter w:val="1"/>
          <w:wAfter w:w="13" w:type="dxa"/>
          <w:cantSplit/>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25CA661B" w14:textId="4E378584" w:rsidR="0017079D" w:rsidRPr="001428E9" w:rsidRDefault="0017079D" w:rsidP="0017079D">
            <w:pPr>
              <w:keepLines/>
              <w:rPr>
                <w:rFonts w:ascii="Arial Narrow" w:hAnsi="Arial Narrow" w:cs="Arial"/>
                <w:b/>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 xml:space="preserve">Section 100 – </w:t>
            </w:r>
            <w:r>
              <w:rPr>
                <w:rFonts w:ascii="Arial Narrow" w:hAnsi="Arial Narrow" w:cs="Arial"/>
                <w:sz w:val="20"/>
                <w:szCs w:val="20"/>
              </w:rPr>
              <w:t>Growth Hormone Programme</w:t>
            </w:r>
          </w:p>
        </w:tc>
      </w:tr>
      <w:tr w:rsidR="0017079D" w:rsidRPr="001428E9" w14:paraId="0F04E397" w14:textId="77777777" w:rsidTr="002A338E">
        <w:trPr>
          <w:gridAfter w:val="1"/>
          <w:wAfter w:w="13" w:type="dxa"/>
          <w:cantSplit/>
          <w:trHeight w:val="20"/>
        </w:trPr>
        <w:tc>
          <w:tcPr>
            <w:tcW w:w="3934" w:type="dxa"/>
            <w:vAlign w:val="center"/>
          </w:tcPr>
          <w:p w14:paraId="52C82A30" w14:textId="77777777" w:rsidR="0017079D" w:rsidRPr="001428E9" w:rsidRDefault="0017079D" w:rsidP="0017079D">
            <w:pPr>
              <w:keepLines/>
              <w:rPr>
                <w:rFonts w:ascii="Arial Narrow" w:hAnsi="Arial Narrow" w:cs="Arial"/>
                <w:b/>
                <w:bCs/>
                <w:sz w:val="20"/>
                <w:szCs w:val="20"/>
              </w:rPr>
            </w:pPr>
            <w:r w:rsidRPr="001428E9">
              <w:rPr>
                <w:rFonts w:ascii="Arial Narrow" w:hAnsi="Arial Narrow" w:cs="Arial"/>
                <w:b/>
                <w:bCs/>
                <w:sz w:val="20"/>
                <w:szCs w:val="20"/>
              </w:rPr>
              <w:t>MEDICINAL PRODUCT</w:t>
            </w:r>
          </w:p>
          <w:p w14:paraId="6407645A" w14:textId="77777777" w:rsidR="0017079D" w:rsidRPr="001428E9" w:rsidRDefault="0017079D" w:rsidP="0017079D">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AA1C6A3" w14:textId="77777777" w:rsidR="0017079D" w:rsidRPr="001428E9" w:rsidRDefault="0017079D" w:rsidP="0017079D">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B4E0AF1" w14:textId="77777777" w:rsidR="0017079D" w:rsidRPr="001428E9" w:rsidRDefault="0017079D" w:rsidP="0017079D">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C06B470" w14:textId="77777777" w:rsidR="0017079D" w:rsidRPr="001428E9" w:rsidRDefault="0017079D" w:rsidP="0017079D">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28451451" w14:textId="77777777" w:rsidR="0017079D" w:rsidRPr="001428E9" w:rsidRDefault="0017079D" w:rsidP="0017079D">
            <w:pPr>
              <w:keepLines/>
              <w:jc w:val="center"/>
              <w:rPr>
                <w:rFonts w:ascii="Arial Narrow" w:hAnsi="Arial Narrow" w:cs="Arial"/>
                <w:b/>
                <w:sz w:val="20"/>
                <w:szCs w:val="20"/>
              </w:rPr>
            </w:pPr>
            <w:r w:rsidRPr="001428E9">
              <w:rPr>
                <w:rFonts w:ascii="Arial Narrow" w:hAnsi="Arial Narrow" w:cs="Arial"/>
                <w:b/>
                <w:sz w:val="20"/>
                <w:szCs w:val="20"/>
              </w:rPr>
              <w:t>№.of</w:t>
            </w:r>
          </w:p>
          <w:p w14:paraId="7D2922FE" w14:textId="77777777" w:rsidR="0017079D" w:rsidRPr="001428E9" w:rsidRDefault="0017079D" w:rsidP="0017079D">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0" w:type="dxa"/>
            <w:vAlign w:val="center"/>
          </w:tcPr>
          <w:p w14:paraId="2E3053A0" w14:textId="77777777" w:rsidR="0017079D" w:rsidRPr="001428E9" w:rsidRDefault="0017079D" w:rsidP="0017079D">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17079D" w:rsidRPr="001428E9" w14:paraId="797DE5EB" w14:textId="77777777" w:rsidTr="002A338E">
        <w:trPr>
          <w:gridAfter w:val="1"/>
          <w:wAfter w:w="13" w:type="dxa"/>
          <w:cantSplit/>
          <w:trHeight w:val="20"/>
        </w:trPr>
        <w:tc>
          <w:tcPr>
            <w:tcW w:w="9010" w:type="dxa"/>
            <w:gridSpan w:val="6"/>
            <w:vAlign w:val="center"/>
          </w:tcPr>
          <w:p w14:paraId="499BCFC0" w14:textId="77777777" w:rsidR="0017079D" w:rsidRPr="001428E9" w:rsidRDefault="0017079D" w:rsidP="0017079D">
            <w:pPr>
              <w:keepLines/>
              <w:rPr>
                <w:rFonts w:ascii="Arial Narrow" w:hAnsi="Arial Narrow" w:cs="Arial"/>
                <w:sz w:val="20"/>
                <w:szCs w:val="20"/>
              </w:rPr>
            </w:pPr>
            <w:r w:rsidRPr="001428E9">
              <w:rPr>
                <w:rFonts w:ascii="Arial Narrow" w:hAnsi="Arial Narrow" w:cs="Arial"/>
                <w:sz w:val="20"/>
                <w:szCs w:val="20"/>
              </w:rPr>
              <w:t>S</w:t>
            </w:r>
            <w:r>
              <w:rPr>
                <w:rFonts w:ascii="Arial Narrow" w:hAnsi="Arial Narrow" w:cs="Arial"/>
                <w:sz w:val="20"/>
                <w:szCs w:val="20"/>
              </w:rPr>
              <w:t>OMATROPIN</w:t>
            </w:r>
            <w:r w:rsidRPr="001428E9">
              <w:rPr>
                <w:rFonts w:ascii="Arial Narrow" w:hAnsi="Arial Narrow" w:cs="Arial"/>
                <w:sz w:val="20"/>
                <w:szCs w:val="20"/>
              </w:rPr>
              <w:t xml:space="preserve"> </w:t>
            </w:r>
          </w:p>
        </w:tc>
      </w:tr>
      <w:tr w:rsidR="0017079D" w:rsidRPr="00624D06" w14:paraId="28B8FE1B" w14:textId="77777777" w:rsidTr="002A338E">
        <w:trPr>
          <w:gridAfter w:val="1"/>
          <w:wAfter w:w="13" w:type="dxa"/>
          <w:cantSplit/>
          <w:trHeight w:val="20"/>
        </w:trPr>
        <w:tc>
          <w:tcPr>
            <w:tcW w:w="3934" w:type="dxa"/>
            <w:vAlign w:val="center"/>
          </w:tcPr>
          <w:p w14:paraId="6DEA5B29" w14:textId="77777777" w:rsidR="0017079D" w:rsidRPr="00624D06" w:rsidRDefault="0017079D" w:rsidP="0017079D">
            <w:pPr>
              <w:keepLines/>
              <w:rPr>
                <w:rFonts w:ascii="Arial Narrow" w:hAnsi="Arial Narrow" w:cs="Arial"/>
                <w:sz w:val="20"/>
                <w:szCs w:val="20"/>
              </w:rPr>
            </w:pPr>
            <w:r w:rsidRPr="00624D06">
              <w:rPr>
                <w:rFonts w:ascii="Arial Narrow" w:hAnsi="Arial Narrow" w:cs="Arial"/>
                <w:sz w:val="20"/>
                <w:szCs w:val="20"/>
              </w:rPr>
              <w:t>somatropin 6 mg/1.03 mL injection, 1.03 mL cartridge</w:t>
            </w:r>
          </w:p>
        </w:tc>
        <w:tc>
          <w:tcPr>
            <w:tcW w:w="811" w:type="dxa"/>
            <w:vAlign w:val="center"/>
          </w:tcPr>
          <w:p w14:paraId="39AC4E9D" w14:textId="77777777" w:rsidR="0017079D" w:rsidRDefault="0017079D" w:rsidP="0017079D">
            <w:pPr>
              <w:keepLines/>
              <w:jc w:val="center"/>
              <w:rPr>
                <w:rFonts w:ascii="Arial Narrow" w:hAnsi="Arial Narrow" w:cs="Arial"/>
                <w:sz w:val="20"/>
                <w:szCs w:val="20"/>
              </w:rPr>
            </w:pPr>
            <w:r w:rsidRPr="00624D06">
              <w:rPr>
                <w:rFonts w:ascii="Arial Narrow" w:hAnsi="Arial Narrow" w:cs="Arial"/>
                <w:sz w:val="20"/>
                <w:szCs w:val="20"/>
              </w:rPr>
              <w:t>NEW</w:t>
            </w:r>
          </w:p>
          <w:p w14:paraId="52B81839" w14:textId="4E7AF7D9" w:rsidR="0017079D" w:rsidRPr="00165BAE" w:rsidRDefault="0017079D" w:rsidP="0017079D">
            <w:pPr>
              <w:keepLines/>
              <w:jc w:val="center"/>
              <w:rPr>
                <w:rFonts w:ascii="Arial Narrow" w:hAnsi="Arial Narrow" w:cs="Arial"/>
                <w:sz w:val="20"/>
                <w:szCs w:val="20"/>
                <w:vertAlign w:val="subscript"/>
              </w:rPr>
            </w:pPr>
            <w:r>
              <w:rPr>
                <w:rFonts w:ascii="Arial Narrow" w:hAnsi="Arial Narrow" w:cs="Arial"/>
                <w:sz w:val="20"/>
                <w:szCs w:val="20"/>
                <w:vertAlign w:val="subscript"/>
              </w:rPr>
              <w:t>MP</w:t>
            </w:r>
          </w:p>
        </w:tc>
        <w:tc>
          <w:tcPr>
            <w:tcW w:w="812" w:type="dxa"/>
            <w:vAlign w:val="center"/>
          </w:tcPr>
          <w:p w14:paraId="7B8624EF" w14:textId="77777777" w:rsidR="0017079D" w:rsidRPr="00624D06" w:rsidRDefault="0017079D" w:rsidP="0017079D">
            <w:pPr>
              <w:keepLines/>
              <w:jc w:val="center"/>
              <w:rPr>
                <w:rFonts w:ascii="Arial Narrow" w:hAnsi="Arial Narrow" w:cs="Arial"/>
                <w:sz w:val="20"/>
                <w:szCs w:val="20"/>
              </w:rPr>
            </w:pPr>
            <w:r w:rsidRPr="00624D06">
              <w:rPr>
                <w:rFonts w:ascii="Arial Narrow" w:hAnsi="Arial Narrow" w:cs="Arial"/>
                <w:sz w:val="20"/>
                <w:szCs w:val="20"/>
              </w:rPr>
              <w:t>1</w:t>
            </w:r>
          </w:p>
        </w:tc>
        <w:tc>
          <w:tcPr>
            <w:tcW w:w="811" w:type="dxa"/>
            <w:vAlign w:val="center"/>
          </w:tcPr>
          <w:p w14:paraId="6443EA0B" w14:textId="77777777" w:rsidR="0017079D" w:rsidRPr="00624D06" w:rsidRDefault="0017079D" w:rsidP="0017079D">
            <w:pPr>
              <w:keepLines/>
              <w:jc w:val="center"/>
              <w:rPr>
                <w:rFonts w:ascii="Arial Narrow" w:hAnsi="Arial Narrow" w:cs="Arial"/>
                <w:sz w:val="20"/>
                <w:szCs w:val="20"/>
              </w:rPr>
            </w:pPr>
            <w:r w:rsidRPr="00624D06">
              <w:rPr>
                <w:rFonts w:ascii="Arial Narrow" w:hAnsi="Arial Narrow" w:cs="Arial"/>
                <w:sz w:val="20"/>
                <w:szCs w:val="20"/>
              </w:rPr>
              <w:t>1</w:t>
            </w:r>
          </w:p>
        </w:tc>
        <w:tc>
          <w:tcPr>
            <w:tcW w:w="812" w:type="dxa"/>
            <w:vAlign w:val="center"/>
          </w:tcPr>
          <w:p w14:paraId="1C76A6B4" w14:textId="77777777" w:rsidR="0017079D" w:rsidRPr="00624D06" w:rsidRDefault="0017079D" w:rsidP="0017079D">
            <w:pPr>
              <w:keepLines/>
              <w:jc w:val="center"/>
              <w:rPr>
                <w:rFonts w:ascii="Arial Narrow" w:hAnsi="Arial Narrow" w:cs="Arial"/>
                <w:sz w:val="20"/>
                <w:szCs w:val="20"/>
              </w:rPr>
            </w:pPr>
            <w:r w:rsidRPr="00624D06">
              <w:rPr>
                <w:rFonts w:ascii="Arial Narrow" w:hAnsi="Arial Narrow" w:cs="Arial"/>
                <w:sz w:val="20"/>
                <w:szCs w:val="20"/>
              </w:rPr>
              <w:t>5</w:t>
            </w:r>
          </w:p>
        </w:tc>
        <w:tc>
          <w:tcPr>
            <w:tcW w:w="1830" w:type="dxa"/>
            <w:vAlign w:val="center"/>
          </w:tcPr>
          <w:p w14:paraId="0EE600CA" w14:textId="77777777" w:rsidR="0017079D" w:rsidRPr="00624D06" w:rsidRDefault="0017079D" w:rsidP="0017079D">
            <w:pPr>
              <w:keepLines/>
              <w:rPr>
                <w:rFonts w:ascii="Arial Narrow" w:hAnsi="Arial Narrow" w:cs="Arial"/>
                <w:sz w:val="20"/>
                <w:szCs w:val="20"/>
              </w:rPr>
            </w:pPr>
            <w:r w:rsidRPr="00624D06">
              <w:rPr>
                <w:rFonts w:ascii="Arial Narrow" w:hAnsi="Arial Narrow" w:cs="Arial"/>
                <w:sz w:val="20"/>
                <w:szCs w:val="20"/>
              </w:rPr>
              <w:t>Saizen</w:t>
            </w:r>
          </w:p>
        </w:tc>
      </w:tr>
      <w:tr w:rsidR="0017079D" w:rsidRPr="00624D06" w14:paraId="6B10CE5D" w14:textId="77777777" w:rsidTr="002A338E">
        <w:trPr>
          <w:gridAfter w:val="1"/>
          <w:wAfter w:w="13" w:type="dxa"/>
          <w:cantSplit/>
          <w:trHeight w:val="20"/>
        </w:trPr>
        <w:tc>
          <w:tcPr>
            <w:tcW w:w="3934" w:type="dxa"/>
            <w:vAlign w:val="center"/>
          </w:tcPr>
          <w:p w14:paraId="5BF9188A" w14:textId="77777777" w:rsidR="0017079D" w:rsidRPr="00624D06" w:rsidRDefault="0017079D" w:rsidP="0017079D">
            <w:pPr>
              <w:keepLines/>
              <w:rPr>
                <w:rFonts w:ascii="Arial Narrow" w:hAnsi="Arial Narrow" w:cs="Arial"/>
                <w:sz w:val="20"/>
                <w:szCs w:val="20"/>
              </w:rPr>
            </w:pPr>
            <w:r w:rsidRPr="00624D06">
              <w:rPr>
                <w:rFonts w:ascii="Arial Narrow" w:hAnsi="Arial Narrow" w:cs="Arial"/>
                <w:sz w:val="20"/>
                <w:szCs w:val="20"/>
              </w:rPr>
              <w:t>somatropin 12 mg/1.5 mL injection, 1.5 mL cartridge</w:t>
            </w:r>
          </w:p>
        </w:tc>
        <w:tc>
          <w:tcPr>
            <w:tcW w:w="811" w:type="dxa"/>
            <w:vAlign w:val="center"/>
          </w:tcPr>
          <w:p w14:paraId="27DD23A0" w14:textId="77777777" w:rsidR="0017079D" w:rsidRDefault="0017079D" w:rsidP="0017079D">
            <w:pPr>
              <w:keepLines/>
              <w:jc w:val="center"/>
              <w:rPr>
                <w:rFonts w:ascii="Arial Narrow" w:hAnsi="Arial Narrow" w:cs="Arial"/>
                <w:sz w:val="20"/>
                <w:szCs w:val="20"/>
              </w:rPr>
            </w:pPr>
            <w:r w:rsidRPr="00624D06">
              <w:rPr>
                <w:rFonts w:ascii="Arial Narrow" w:hAnsi="Arial Narrow" w:cs="Arial"/>
                <w:sz w:val="20"/>
                <w:szCs w:val="20"/>
              </w:rPr>
              <w:t>NEW</w:t>
            </w:r>
          </w:p>
          <w:p w14:paraId="7E2F51F3" w14:textId="2156D65A" w:rsidR="0017079D" w:rsidRPr="00165BAE" w:rsidRDefault="0017079D" w:rsidP="0017079D">
            <w:pPr>
              <w:keepLines/>
              <w:jc w:val="center"/>
              <w:rPr>
                <w:rFonts w:ascii="Arial Narrow" w:hAnsi="Arial Narrow" w:cs="Arial"/>
                <w:sz w:val="20"/>
                <w:szCs w:val="20"/>
                <w:vertAlign w:val="subscript"/>
              </w:rPr>
            </w:pPr>
            <w:r>
              <w:rPr>
                <w:rFonts w:ascii="Arial Narrow" w:hAnsi="Arial Narrow" w:cs="Arial"/>
                <w:sz w:val="20"/>
                <w:szCs w:val="20"/>
                <w:vertAlign w:val="subscript"/>
              </w:rPr>
              <w:t>MP</w:t>
            </w:r>
          </w:p>
        </w:tc>
        <w:tc>
          <w:tcPr>
            <w:tcW w:w="812" w:type="dxa"/>
            <w:vAlign w:val="center"/>
          </w:tcPr>
          <w:p w14:paraId="7867E616" w14:textId="77777777" w:rsidR="0017079D" w:rsidRPr="00624D06" w:rsidRDefault="0017079D" w:rsidP="0017079D">
            <w:pPr>
              <w:keepLines/>
              <w:jc w:val="center"/>
              <w:rPr>
                <w:rFonts w:ascii="Arial Narrow" w:hAnsi="Arial Narrow" w:cs="Arial"/>
                <w:sz w:val="20"/>
                <w:szCs w:val="20"/>
              </w:rPr>
            </w:pPr>
            <w:r w:rsidRPr="00624D06">
              <w:rPr>
                <w:rFonts w:ascii="Arial Narrow" w:hAnsi="Arial Narrow" w:cs="Arial"/>
                <w:sz w:val="20"/>
                <w:szCs w:val="20"/>
              </w:rPr>
              <w:t>1</w:t>
            </w:r>
          </w:p>
        </w:tc>
        <w:tc>
          <w:tcPr>
            <w:tcW w:w="811" w:type="dxa"/>
            <w:vAlign w:val="center"/>
          </w:tcPr>
          <w:p w14:paraId="44F2E249" w14:textId="77777777" w:rsidR="0017079D" w:rsidRPr="00624D06" w:rsidRDefault="0017079D" w:rsidP="0017079D">
            <w:pPr>
              <w:keepLines/>
              <w:jc w:val="center"/>
              <w:rPr>
                <w:rFonts w:ascii="Arial Narrow" w:hAnsi="Arial Narrow" w:cs="Arial"/>
                <w:sz w:val="20"/>
                <w:szCs w:val="20"/>
              </w:rPr>
            </w:pPr>
            <w:r w:rsidRPr="00624D06">
              <w:rPr>
                <w:rFonts w:ascii="Arial Narrow" w:hAnsi="Arial Narrow" w:cs="Arial"/>
                <w:sz w:val="20"/>
                <w:szCs w:val="20"/>
              </w:rPr>
              <w:t>1</w:t>
            </w:r>
          </w:p>
        </w:tc>
        <w:tc>
          <w:tcPr>
            <w:tcW w:w="812" w:type="dxa"/>
            <w:vAlign w:val="center"/>
          </w:tcPr>
          <w:p w14:paraId="34DFF3F2" w14:textId="77777777" w:rsidR="0017079D" w:rsidRPr="00624D06" w:rsidRDefault="0017079D" w:rsidP="0017079D">
            <w:pPr>
              <w:keepLines/>
              <w:jc w:val="center"/>
              <w:rPr>
                <w:rFonts w:ascii="Arial Narrow" w:hAnsi="Arial Narrow" w:cs="Arial"/>
                <w:sz w:val="20"/>
                <w:szCs w:val="20"/>
              </w:rPr>
            </w:pPr>
            <w:r w:rsidRPr="00624D06">
              <w:rPr>
                <w:rFonts w:ascii="Arial Narrow" w:hAnsi="Arial Narrow" w:cs="Arial"/>
                <w:sz w:val="20"/>
                <w:szCs w:val="20"/>
              </w:rPr>
              <w:t>5</w:t>
            </w:r>
          </w:p>
        </w:tc>
        <w:tc>
          <w:tcPr>
            <w:tcW w:w="1830" w:type="dxa"/>
            <w:vAlign w:val="center"/>
          </w:tcPr>
          <w:p w14:paraId="0E9E5433" w14:textId="77777777" w:rsidR="0017079D" w:rsidRPr="00624D06" w:rsidRDefault="0017079D" w:rsidP="0017079D">
            <w:pPr>
              <w:keepLines/>
              <w:rPr>
                <w:rFonts w:ascii="Arial Narrow" w:hAnsi="Arial Narrow" w:cs="Arial"/>
                <w:sz w:val="20"/>
                <w:szCs w:val="20"/>
              </w:rPr>
            </w:pPr>
            <w:r w:rsidRPr="00624D06">
              <w:rPr>
                <w:rFonts w:ascii="Arial Narrow" w:hAnsi="Arial Narrow" w:cs="Arial"/>
                <w:sz w:val="20"/>
                <w:szCs w:val="20"/>
              </w:rPr>
              <w:t>Saizen</w:t>
            </w:r>
          </w:p>
        </w:tc>
      </w:tr>
      <w:tr w:rsidR="0017079D" w:rsidRPr="001428E9" w14:paraId="1C2DBE90" w14:textId="77777777" w:rsidTr="002A338E">
        <w:tblPrEx>
          <w:tblCellMar>
            <w:top w:w="15" w:type="dxa"/>
            <w:bottom w:w="15" w:type="dxa"/>
          </w:tblCellMar>
          <w:tblLook w:val="04A0" w:firstRow="1" w:lastRow="0" w:firstColumn="1" w:lastColumn="0" w:noHBand="0" w:noVBand="1"/>
        </w:tblPrEx>
        <w:trPr>
          <w:gridAfter w:val="1"/>
          <w:wAfter w:w="13" w:type="dxa"/>
          <w:trHeight w:val="20"/>
        </w:trPr>
        <w:tc>
          <w:tcPr>
            <w:tcW w:w="9010" w:type="dxa"/>
            <w:gridSpan w:val="6"/>
            <w:tcBorders>
              <w:top w:val="single" w:sz="4" w:space="0" w:color="auto"/>
              <w:left w:val="single" w:sz="4" w:space="0" w:color="auto"/>
              <w:right w:val="single" w:sz="4" w:space="0" w:color="auto"/>
            </w:tcBorders>
            <w:vAlign w:val="center"/>
          </w:tcPr>
          <w:p w14:paraId="7EC9BB92" w14:textId="77777777" w:rsidR="0017079D" w:rsidRPr="001428E9" w:rsidRDefault="0017079D" w:rsidP="0017079D">
            <w:pPr>
              <w:rPr>
                <w:rFonts w:ascii="Arial Narrow" w:hAnsi="Arial Narrow" w:cs="Arial"/>
                <w:sz w:val="20"/>
                <w:szCs w:val="20"/>
              </w:rPr>
            </w:pPr>
          </w:p>
        </w:tc>
      </w:tr>
      <w:tr w:rsidR="0017079D" w:rsidRPr="001428E9" w14:paraId="33E6153B" w14:textId="77777777" w:rsidTr="002A338E">
        <w:tblPrEx>
          <w:tblCellMar>
            <w:top w:w="15" w:type="dxa"/>
            <w:bottom w:w="15" w:type="dxa"/>
          </w:tblCellMar>
          <w:tblLook w:val="04A0" w:firstRow="1" w:lastRow="0" w:firstColumn="1" w:lastColumn="0" w:noHBand="0" w:noVBand="1"/>
        </w:tblPrEx>
        <w:trPr>
          <w:gridAfter w:val="1"/>
          <w:wAfter w:w="13" w:type="dxa"/>
          <w:trHeight w:val="20"/>
        </w:trPr>
        <w:tc>
          <w:tcPr>
            <w:tcW w:w="9010" w:type="dxa"/>
            <w:gridSpan w:val="6"/>
            <w:tcBorders>
              <w:top w:val="single" w:sz="4" w:space="0" w:color="auto"/>
              <w:left w:val="single" w:sz="4" w:space="0" w:color="auto"/>
              <w:right w:val="single" w:sz="4" w:space="0" w:color="auto"/>
            </w:tcBorders>
            <w:vAlign w:val="center"/>
          </w:tcPr>
          <w:p w14:paraId="21F44ACB" w14:textId="306B620C" w:rsidR="0017079D" w:rsidRPr="001428E9" w:rsidRDefault="0017079D" w:rsidP="0017079D">
            <w:pPr>
              <w:keepLines/>
              <w:rPr>
                <w:rFonts w:ascii="Arial Narrow" w:hAnsi="Arial Narrow" w:cs="Arial"/>
                <w:b/>
                <w:sz w:val="20"/>
                <w:szCs w:val="20"/>
              </w:rPr>
            </w:pPr>
            <w:r>
              <w:rPr>
                <w:rFonts w:ascii="Arial Narrow" w:hAnsi="Arial Narrow"/>
                <w:b/>
                <w:sz w:val="20"/>
                <w:szCs w:val="20"/>
              </w:rPr>
              <w:t>Authority Required</w:t>
            </w:r>
          </w:p>
        </w:tc>
      </w:tr>
      <w:tr w:rsidR="003F492B" w:rsidRPr="001428E9" w14:paraId="29326FDB" w14:textId="77777777" w:rsidTr="002A338E">
        <w:tblPrEx>
          <w:tblCellMar>
            <w:top w:w="15" w:type="dxa"/>
            <w:bottom w:w="15" w:type="dxa"/>
          </w:tblCellMar>
          <w:tblLook w:val="04A0" w:firstRow="1" w:lastRow="0" w:firstColumn="1" w:lastColumn="0" w:noHBand="0" w:noVBand="1"/>
        </w:tblPrEx>
        <w:trPr>
          <w:trHeight w:val="20"/>
        </w:trPr>
        <w:tc>
          <w:tcPr>
            <w:tcW w:w="9023" w:type="dxa"/>
            <w:gridSpan w:val="7"/>
            <w:tcBorders>
              <w:top w:val="single" w:sz="4" w:space="0" w:color="auto"/>
              <w:left w:val="single" w:sz="4" w:space="0" w:color="auto"/>
              <w:bottom w:val="single" w:sz="4" w:space="0" w:color="auto"/>
              <w:right w:val="single" w:sz="4" w:space="0" w:color="auto"/>
            </w:tcBorders>
            <w:vAlign w:val="center"/>
          </w:tcPr>
          <w:p w14:paraId="6E4A086F" w14:textId="319C9004" w:rsidR="003F492B" w:rsidRPr="001428E9" w:rsidRDefault="003F492B" w:rsidP="0017079D">
            <w:pPr>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 xml:space="preserve">Section 100 – </w:t>
            </w:r>
            <w:r>
              <w:rPr>
                <w:rFonts w:ascii="Arial Narrow" w:hAnsi="Arial Narrow" w:cs="Arial"/>
                <w:sz w:val="20"/>
                <w:szCs w:val="20"/>
              </w:rPr>
              <w:t>Growth Hormone Programme</w:t>
            </w:r>
          </w:p>
        </w:tc>
      </w:tr>
      <w:tr w:rsidR="003F492B" w:rsidRPr="001428E9" w14:paraId="79CF49F1" w14:textId="77777777" w:rsidTr="002A338E">
        <w:tblPrEx>
          <w:tblCellMar>
            <w:top w:w="15" w:type="dxa"/>
            <w:bottom w:w="15" w:type="dxa"/>
          </w:tblCellMar>
          <w:tblLook w:val="04A0" w:firstRow="1" w:lastRow="0" w:firstColumn="1" w:lastColumn="0" w:noHBand="0" w:noVBand="1"/>
        </w:tblPrEx>
        <w:trPr>
          <w:trHeight w:val="20"/>
        </w:trPr>
        <w:tc>
          <w:tcPr>
            <w:tcW w:w="9023" w:type="dxa"/>
            <w:gridSpan w:val="7"/>
            <w:tcBorders>
              <w:top w:val="single" w:sz="4" w:space="0" w:color="auto"/>
              <w:left w:val="single" w:sz="4" w:space="0" w:color="auto"/>
              <w:bottom w:val="single" w:sz="4" w:space="0" w:color="auto"/>
              <w:right w:val="single" w:sz="4" w:space="0" w:color="auto"/>
            </w:tcBorders>
            <w:vAlign w:val="center"/>
          </w:tcPr>
          <w:p w14:paraId="22999AAB" w14:textId="31EFE8A4" w:rsidR="003F492B" w:rsidRPr="001428E9" w:rsidRDefault="003F492B" w:rsidP="0017079D">
            <w:pPr>
              <w:keepLines/>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801D57">
              <w:rPr>
                <w:rFonts w:ascii="Arial Narrow" w:hAnsi="Arial Narrow" w:cs="Arial"/>
                <w:sz w:val="20"/>
                <w:szCs w:val="20"/>
              </w:rPr>
            </w:r>
            <w:r w:rsidR="00801D57">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3F492B" w:rsidRPr="00D56F94" w14:paraId="6DFE4B59" w14:textId="77777777" w:rsidTr="002A338E">
        <w:tblPrEx>
          <w:tblCellMar>
            <w:top w:w="15" w:type="dxa"/>
            <w:bottom w:w="15" w:type="dxa"/>
          </w:tblCellMar>
          <w:tblLook w:val="04A0" w:firstRow="1" w:lastRow="0" w:firstColumn="1" w:lastColumn="0" w:noHBand="0" w:noVBand="1"/>
        </w:tblPrEx>
        <w:trPr>
          <w:trHeight w:val="20"/>
        </w:trPr>
        <w:tc>
          <w:tcPr>
            <w:tcW w:w="9023" w:type="dxa"/>
            <w:gridSpan w:val="7"/>
            <w:tcBorders>
              <w:top w:val="single" w:sz="4" w:space="0" w:color="auto"/>
              <w:left w:val="single" w:sz="4" w:space="0" w:color="auto"/>
              <w:bottom w:val="single" w:sz="4" w:space="0" w:color="auto"/>
              <w:right w:val="single" w:sz="4" w:space="0" w:color="auto"/>
            </w:tcBorders>
            <w:vAlign w:val="center"/>
          </w:tcPr>
          <w:p w14:paraId="660F24A9" w14:textId="27577026" w:rsidR="003F492B" w:rsidRPr="00D56F94" w:rsidRDefault="003F492B" w:rsidP="0017079D">
            <w:pPr>
              <w:keepLines/>
              <w:jc w:val="left"/>
              <w:rPr>
                <w:rFonts w:ascii="Arial Narrow" w:eastAsia="Calibri" w:hAnsi="Arial Narrow" w:cs="Arial"/>
                <w:color w:val="FF0000"/>
                <w:sz w:val="20"/>
                <w:szCs w:val="20"/>
              </w:rPr>
            </w:pPr>
          </w:p>
        </w:tc>
      </w:tr>
      <w:tr w:rsidR="003F492B" w:rsidRPr="00F3125C" w14:paraId="2DA80233" w14:textId="77777777" w:rsidTr="002A338E">
        <w:tblPrEx>
          <w:tblCellMar>
            <w:top w:w="15" w:type="dxa"/>
            <w:bottom w:w="15" w:type="dxa"/>
          </w:tblCellMar>
          <w:tblLook w:val="04A0" w:firstRow="1" w:lastRow="0" w:firstColumn="1" w:lastColumn="0" w:noHBand="0" w:noVBand="1"/>
        </w:tblPrEx>
        <w:trPr>
          <w:trHeight w:val="843"/>
        </w:trPr>
        <w:tc>
          <w:tcPr>
            <w:tcW w:w="9023" w:type="dxa"/>
            <w:gridSpan w:val="7"/>
            <w:vAlign w:val="center"/>
          </w:tcPr>
          <w:p w14:paraId="70D08D03" w14:textId="64DD7192" w:rsidR="003F492B" w:rsidRPr="00F3125C" w:rsidRDefault="003F492B" w:rsidP="0017079D">
            <w:pPr>
              <w:rPr>
                <w:rFonts w:ascii="Arial Narrow" w:hAnsi="Arial Narrow"/>
                <w:sz w:val="20"/>
                <w:szCs w:val="20"/>
              </w:rPr>
            </w:pPr>
            <w:r w:rsidRPr="00F3125C">
              <w:rPr>
                <w:rFonts w:ascii="Arial Narrow" w:hAnsi="Arial Narrow"/>
                <w:b/>
                <w:bCs/>
                <w:sz w:val="20"/>
                <w:szCs w:val="20"/>
              </w:rPr>
              <w:lastRenderedPageBreak/>
              <w:t>Administrative Advice</w:t>
            </w:r>
            <w:r>
              <w:rPr>
                <w:rFonts w:ascii="Arial Narrow" w:hAnsi="Arial Narrow"/>
                <w:b/>
                <w:bCs/>
                <w:sz w:val="20"/>
                <w:szCs w:val="20"/>
              </w:rPr>
              <w:t xml:space="preserve"> </w:t>
            </w:r>
            <w:r w:rsidRPr="003832AF">
              <w:rPr>
                <w:rFonts w:ascii="Arial Narrow" w:hAnsi="Arial Narrow"/>
                <w:i/>
                <w:iCs/>
                <w:sz w:val="20"/>
                <w:szCs w:val="20"/>
              </w:rPr>
              <w:t>(common to all restriction summaries attached):</w:t>
            </w:r>
          </w:p>
          <w:p w14:paraId="0BBEB164" w14:textId="77777777" w:rsidR="003F492B" w:rsidRPr="00F3125C" w:rsidRDefault="003F492B" w:rsidP="0017079D">
            <w:pPr>
              <w:rPr>
                <w:rFonts w:ascii="Arial Narrow" w:hAnsi="Arial Narrow"/>
                <w:sz w:val="20"/>
                <w:szCs w:val="20"/>
              </w:rPr>
            </w:pPr>
            <w:r w:rsidRPr="00F3125C">
              <w:rPr>
                <w:rFonts w:ascii="Arial Narrow" w:hAnsi="Arial Narrow"/>
                <w:sz w:val="20"/>
                <w:szCs w:val="20"/>
              </w:rPr>
              <w:t>No increase in the maximum number of repeats may be authorised.</w:t>
            </w:r>
          </w:p>
        </w:tc>
      </w:tr>
      <w:tr w:rsidR="003F492B" w:rsidRPr="00F3125C" w14:paraId="50C3E964" w14:textId="77777777" w:rsidTr="002A338E">
        <w:tblPrEx>
          <w:tblCellMar>
            <w:top w:w="15" w:type="dxa"/>
            <w:bottom w:w="15" w:type="dxa"/>
          </w:tblCellMar>
          <w:tblLook w:val="04A0" w:firstRow="1" w:lastRow="0" w:firstColumn="1" w:lastColumn="0" w:noHBand="0" w:noVBand="1"/>
        </w:tblPrEx>
        <w:trPr>
          <w:trHeight w:val="136"/>
        </w:trPr>
        <w:tc>
          <w:tcPr>
            <w:tcW w:w="9023" w:type="dxa"/>
            <w:gridSpan w:val="7"/>
            <w:vAlign w:val="center"/>
          </w:tcPr>
          <w:p w14:paraId="3D7BC867" w14:textId="77777777" w:rsidR="003F492B" w:rsidRPr="00F3125C" w:rsidRDefault="003F492B" w:rsidP="0017079D">
            <w:pPr>
              <w:rPr>
                <w:rFonts w:ascii="Arial Narrow" w:hAnsi="Arial Narrow"/>
                <w:b/>
                <w:bCs/>
                <w:sz w:val="20"/>
                <w:szCs w:val="20"/>
              </w:rPr>
            </w:pPr>
          </w:p>
        </w:tc>
      </w:tr>
      <w:tr w:rsidR="003F492B" w:rsidRPr="001428E9" w14:paraId="6B36AA38" w14:textId="77777777" w:rsidTr="002A338E">
        <w:tblPrEx>
          <w:tblCellMar>
            <w:top w:w="15" w:type="dxa"/>
            <w:bottom w:w="15" w:type="dxa"/>
          </w:tblCellMar>
        </w:tblPrEx>
        <w:trPr>
          <w:cantSplit/>
          <w:trHeight w:val="20"/>
        </w:trPr>
        <w:tc>
          <w:tcPr>
            <w:tcW w:w="9023" w:type="dxa"/>
            <w:gridSpan w:val="7"/>
            <w:vAlign w:val="center"/>
            <w:hideMark/>
          </w:tcPr>
          <w:p w14:paraId="5BDDE8BE" w14:textId="77777777" w:rsidR="003F492B" w:rsidRPr="001428E9" w:rsidRDefault="003F492B" w:rsidP="0017079D">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F910DC">
              <w:rPr>
                <w:rFonts w:ascii="Arial Narrow" w:hAnsi="Arial Narrow"/>
                <w:color w:val="333333"/>
                <w:sz w:val="20"/>
                <w:szCs w:val="20"/>
              </w:rPr>
              <w:t>Severe growth hormone deficiency</w:t>
            </w:r>
          </w:p>
        </w:tc>
      </w:tr>
      <w:tr w:rsidR="003F492B" w:rsidRPr="001428E9" w14:paraId="23725C3F"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2D25EFEF" w14:textId="77777777" w:rsidR="003F492B" w:rsidRPr="001428E9" w:rsidRDefault="003F492B" w:rsidP="0017079D">
            <w:pPr>
              <w:keepLines/>
              <w:rPr>
                <w:rFonts w:ascii="Arial Narrow" w:hAnsi="Arial Narrow"/>
                <w:b/>
                <w:bCs/>
                <w:color w:val="333333"/>
                <w:sz w:val="20"/>
                <w:szCs w:val="20"/>
              </w:rPr>
            </w:pPr>
          </w:p>
        </w:tc>
      </w:tr>
      <w:tr w:rsidR="003F492B" w:rsidRPr="001428E9" w14:paraId="3B81035B" w14:textId="77777777" w:rsidTr="002A338E">
        <w:tblPrEx>
          <w:tblCellMar>
            <w:top w:w="15" w:type="dxa"/>
            <w:bottom w:w="15" w:type="dxa"/>
          </w:tblCellMar>
        </w:tblPrEx>
        <w:trPr>
          <w:cantSplit/>
          <w:trHeight w:val="20"/>
        </w:trPr>
        <w:tc>
          <w:tcPr>
            <w:tcW w:w="9023" w:type="dxa"/>
            <w:gridSpan w:val="7"/>
            <w:vAlign w:val="center"/>
            <w:hideMark/>
          </w:tcPr>
          <w:p w14:paraId="7E4F190D" w14:textId="77777777" w:rsidR="003F492B" w:rsidRPr="001428E9" w:rsidRDefault="003F492B" w:rsidP="0017079D">
            <w:pPr>
              <w:rPr>
                <w:rFonts w:ascii="Arial Narrow" w:hAnsi="Arial Narrow"/>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881372">
              <w:rPr>
                <w:rFonts w:ascii="Arial Narrow" w:hAnsi="Arial Narrow"/>
                <w:sz w:val="20"/>
                <w:szCs w:val="20"/>
              </w:rPr>
              <w:t>Initial treatment of late onset growth hormone deficiency</w:t>
            </w:r>
          </w:p>
        </w:tc>
      </w:tr>
      <w:tr w:rsidR="003F492B" w:rsidRPr="001428E9" w14:paraId="2C5F96BA"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13FEADD6" w14:textId="77777777" w:rsidR="003F492B" w:rsidRPr="001428E9" w:rsidRDefault="003F492B" w:rsidP="0017079D">
            <w:pPr>
              <w:rPr>
                <w:rFonts w:ascii="Arial Narrow" w:hAnsi="Arial Narrow"/>
                <w:b/>
                <w:bCs/>
                <w:color w:val="333333"/>
                <w:sz w:val="20"/>
                <w:szCs w:val="20"/>
              </w:rPr>
            </w:pPr>
          </w:p>
        </w:tc>
      </w:tr>
      <w:tr w:rsidR="003F492B" w:rsidRPr="001428E9" w14:paraId="059842A5" w14:textId="77777777" w:rsidTr="002A338E">
        <w:tblPrEx>
          <w:tblCellMar>
            <w:top w:w="15" w:type="dxa"/>
            <w:bottom w:w="15" w:type="dxa"/>
          </w:tblCellMar>
        </w:tblPrEx>
        <w:trPr>
          <w:cantSplit/>
          <w:trHeight w:val="20"/>
        </w:trPr>
        <w:tc>
          <w:tcPr>
            <w:tcW w:w="9023" w:type="dxa"/>
            <w:gridSpan w:val="7"/>
            <w:vAlign w:val="center"/>
            <w:hideMark/>
          </w:tcPr>
          <w:p w14:paraId="150F435F" w14:textId="77777777" w:rsidR="003F492B" w:rsidRPr="001428E9" w:rsidRDefault="003F492B" w:rsidP="0017079D">
            <w:pPr>
              <w:rPr>
                <w:rFonts w:ascii="Arial Narrow" w:hAnsi="Arial Narrow"/>
                <w:sz w:val="20"/>
                <w:szCs w:val="20"/>
              </w:rPr>
            </w:pPr>
            <w:r w:rsidRPr="001428E9">
              <w:rPr>
                <w:rFonts w:ascii="Arial Narrow" w:hAnsi="Arial Narrow"/>
                <w:b/>
                <w:bCs/>
                <w:color w:val="333333"/>
                <w:sz w:val="20"/>
                <w:szCs w:val="20"/>
              </w:rPr>
              <w:t>Clinical criteria:</w:t>
            </w:r>
          </w:p>
        </w:tc>
      </w:tr>
      <w:tr w:rsidR="003F492B" w:rsidRPr="001428E9" w14:paraId="08D91AC9" w14:textId="77777777" w:rsidTr="002A338E">
        <w:tblPrEx>
          <w:tblCellMar>
            <w:top w:w="15" w:type="dxa"/>
            <w:bottom w:w="15" w:type="dxa"/>
          </w:tblCellMar>
        </w:tblPrEx>
        <w:trPr>
          <w:cantSplit/>
          <w:trHeight w:val="20"/>
        </w:trPr>
        <w:tc>
          <w:tcPr>
            <w:tcW w:w="9023" w:type="dxa"/>
            <w:gridSpan w:val="7"/>
            <w:vAlign w:val="center"/>
            <w:hideMark/>
          </w:tcPr>
          <w:p w14:paraId="129C14DD" w14:textId="77777777" w:rsidR="003F492B" w:rsidRPr="001428E9" w:rsidRDefault="003F492B" w:rsidP="0017079D">
            <w:pPr>
              <w:rPr>
                <w:rFonts w:ascii="Arial Narrow" w:hAnsi="Arial Narrow"/>
                <w:color w:val="333333"/>
                <w:sz w:val="20"/>
                <w:szCs w:val="20"/>
              </w:rPr>
            </w:pPr>
            <w:r w:rsidRPr="002027C8">
              <w:rPr>
                <w:rFonts w:ascii="Arial Narrow" w:hAnsi="Arial Narrow"/>
                <w:sz w:val="20"/>
                <w:szCs w:val="20"/>
              </w:rPr>
              <w:t>Patient must have onset of growth hormone deficiency secondary to organic hypothalamic or pituitary disease diagnosed at chronological age of 18 years or older; or</w:t>
            </w:r>
          </w:p>
        </w:tc>
      </w:tr>
      <w:tr w:rsidR="003F492B" w:rsidRPr="002027C8" w14:paraId="0C1CFDFF"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754250A7" w14:textId="77777777" w:rsidR="003F492B" w:rsidRPr="002027C8" w:rsidRDefault="003F492B" w:rsidP="0017079D">
            <w:pPr>
              <w:rPr>
                <w:rFonts w:ascii="Arial Narrow" w:hAnsi="Arial Narrow"/>
                <w:sz w:val="20"/>
                <w:szCs w:val="20"/>
              </w:rPr>
            </w:pPr>
            <w:r w:rsidRPr="00AF1ED5">
              <w:rPr>
                <w:rFonts w:ascii="Arial Narrow" w:hAnsi="Arial Narrow"/>
                <w:sz w:val="20"/>
                <w:szCs w:val="20"/>
              </w:rPr>
              <w:t>Patient must have onset of growth hormone deficiency diagnosed after skeletal maturity (bone age greater than or equal to 15.5 years in males or 13.5 years in females) and before chronological age of 18 years</w:t>
            </w:r>
          </w:p>
        </w:tc>
      </w:tr>
      <w:tr w:rsidR="003F492B" w:rsidRPr="001428E9" w14:paraId="41B84C87" w14:textId="77777777" w:rsidTr="002A338E">
        <w:tblPrEx>
          <w:tblCellMar>
            <w:top w:w="15" w:type="dxa"/>
            <w:bottom w:w="15" w:type="dxa"/>
          </w:tblCellMar>
        </w:tblPrEx>
        <w:trPr>
          <w:cantSplit/>
          <w:trHeight w:val="20"/>
        </w:trPr>
        <w:tc>
          <w:tcPr>
            <w:tcW w:w="9023" w:type="dxa"/>
            <w:gridSpan w:val="7"/>
            <w:vAlign w:val="center"/>
            <w:hideMark/>
          </w:tcPr>
          <w:p w14:paraId="3AA0B123" w14:textId="77777777" w:rsidR="003F492B" w:rsidRPr="001428E9" w:rsidRDefault="003F492B" w:rsidP="0017079D">
            <w:pPr>
              <w:rPr>
                <w:rFonts w:ascii="Arial Narrow" w:hAnsi="Arial Narrow"/>
                <w:color w:val="333333"/>
                <w:sz w:val="20"/>
                <w:szCs w:val="20"/>
              </w:rPr>
            </w:pPr>
            <w:r w:rsidRPr="001428E9">
              <w:rPr>
                <w:rFonts w:ascii="Arial Narrow" w:hAnsi="Arial Narrow"/>
                <w:b/>
                <w:bCs/>
                <w:color w:val="333333"/>
                <w:sz w:val="20"/>
                <w:szCs w:val="20"/>
              </w:rPr>
              <w:t>AND</w:t>
            </w:r>
          </w:p>
        </w:tc>
      </w:tr>
      <w:tr w:rsidR="003F492B" w:rsidRPr="001428E9" w14:paraId="3C9783A6"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hideMark/>
          </w:tcPr>
          <w:p w14:paraId="3DA9F7E3" w14:textId="77777777" w:rsidR="003F492B" w:rsidRPr="001428E9" w:rsidRDefault="003F492B" w:rsidP="0017079D">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3F492B" w:rsidRPr="001428E9" w14:paraId="3F0B9F86"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hideMark/>
          </w:tcPr>
          <w:p w14:paraId="3EBEF6B7" w14:textId="77777777" w:rsidR="003F492B" w:rsidRPr="001428E9" w:rsidRDefault="003F492B" w:rsidP="0017079D">
            <w:pPr>
              <w:rPr>
                <w:rFonts w:ascii="Arial Narrow" w:hAnsi="Arial Narrow"/>
                <w:color w:val="FF0000"/>
                <w:sz w:val="20"/>
                <w:szCs w:val="20"/>
              </w:rPr>
            </w:pPr>
            <w:r w:rsidRPr="00E356FB">
              <w:rPr>
                <w:rFonts w:ascii="Arial Narrow" w:hAnsi="Arial Narrow"/>
                <w:sz w:val="20"/>
                <w:szCs w:val="20"/>
              </w:rPr>
              <w:t>Patient must have a diagnostic insulin tolerance test with maximum serum growth hormone (GH) less than 2.5 micrograms per litre; or</w:t>
            </w:r>
          </w:p>
        </w:tc>
      </w:tr>
      <w:tr w:rsidR="003F492B" w:rsidRPr="00E356FB" w14:paraId="1E49743A"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0FDCA242" w14:textId="77777777" w:rsidR="003F492B" w:rsidRPr="00E356FB" w:rsidRDefault="003F492B" w:rsidP="0017079D">
            <w:pPr>
              <w:rPr>
                <w:rFonts w:ascii="Arial Narrow" w:hAnsi="Arial Narrow"/>
                <w:sz w:val="20"/>
                <w:szCs w:val="20"/>
              </w:rPr>
            </w:pPr>
            <w:r w:rsidRPr="00E356FB">
              <w:rPr>
                <w:rFonts w:ascii="Arial Narrow" w:hAnsi="Arial Narrow"/>
                <w:sz w:val="20"/>
                <w:szCs w:val="20"/>
              </w:rPr>
              <w:t>Patient must have a diagnostic arginine infusion test with maximum serum GH less than 0.4 micrograms per litre; or</w:t>
            </w:r>
          </w:p>
        </w:tc>
      </w:tr>
      <w:tr w:rsidR="003F492B" w:rsidRPr="00E356FB" w14:paraId="3AE2AA5F"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2FFA92E8" w14:textId="77777777" w:rsidR="003F492B" w:rsidRPr="00E356FB" w:rsidRDefault="003F492B" w:rsidP="0017079D">
            <w:pPr>
              <w:rPr>
                <w:rFonts w:ascii="Arial Narrow" w:hAnsi="Arial Narrow"/>
                <w:sz w:val="20"/>
                <w:szCs w:val="20"/>
              </w:rPr>
            </w:pPr>
            <w:r w:rsidRPr="00E356FB">
              <w:rPr>
                <w:rFonts w:ascii="Arial Narrow" w:hAnsi="Arial Narrow"/>
                <w:sz w:val="20"/>
                <w:szCs w:val="20"/>
              </w:rPr>
              <w:t>Patient must have a diagnostic glucagon provocation test with maximum serum GH less than 3 micrograms per litre</w:t>
            </w:r>
          </w:p>
        </w:tc>
      </w:tr>
      <w:tr w:rsidR="003F492B" w:rsidRPr="00E356FB" w14:paraId="2C7C51DA"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2FD22904" w14:textId="77777777" w:rsidR="003F492B" w:rsidRPr="00E356FB" w:rsidRDefault="003F492B" w:rsidP="0017079D">
            <w:pPr>
              <w:rPr>
                <w:rFonts w:ascii="Arial Narrow" w:hAnsi="Arial Narrow"/>
                <w:sz w:val="20"/>
                <w:szCs w:val="20"/>
              </w:rPr>
            </w:pPr>
          </w:p>
        </w:tc>
      </w:tr>
      <w:tr w:rsidR="003F492B" w:rsidRPr="001428E9" w14:paraId="1BC17454"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hideMark/>
          </w:tcPr>
          <w:p w14:paraId="36E21EB9" w14:textId="77777777" w:rsidR="003F492B" w:rsidRPr="001428E9" w:rsidRDefault="003F492B" w:rsidP="0017079D">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3F492B" w:rsidRPr="002027C8" w14:paraId="46E6F53F"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hideMark/>
          </w:tcPr>
          <w:p w14:paraId="0CA23C10" w14:textId="77777777" w:rsidR="003F492B" w:rsidRPr="002027C8" w:rsidRDefault="003F492B" w:rsidP="0017079D">
            <w:pPr>
              <w:autoSpaceDE w:val="0"/>
              <w:autoSpaceDN w:val="0"/>
              <w:adjustRightInd w:val="0"/>
              <w:rPr>
                <w:rFonts w:ascii="Arial Narrow" w:hAnsi="Arial Narrow" w:cs="Arial Narrow"/>
                <w:i/>
                <w:iCs/>
                <w:sz w:val="20"/>
                <w:szCs w:val="20"/>
              </w:rPr>
            </w:pPr>
            <w:r w:rsidRPr="002027C8">
              <w:rPr>
                <w:rFonts w:ascii="Arial Narrow" w:hAnsi="Arial Narrow" w:cs="Arial Narrow"/>
                <w:iCs/>
                <w:sz w:val="20"/>
                <w:szCs w:val="20"/>
              </w:rPr>
              <w:t>Must be treated by an endocrinologist</w:t>
            </w:r>
          </w:p>
        </w:tc>
      </w:tr>
      <w:tr w:rsidR="003F492B" w:rsidRPr="002027C8" w14:paraId="6C788701"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236ECB43" w14:textId="77777777" w:rsidR="003F492B" w:rsidRPr="002027C8" w:rsidRDefault="003F492B" w:rsidP="0017079D">
            <w:pPr>
              <w:autoSpaceDE w:val="0"/>
              <w:autoSpaceDN w:val="0"/>
              <w:adjustRightInd w:val="0"/>
              <w:rPr>
                <w:rFonts w:ascii="Arial Narrow" w:hAnsi="Arial Narrow" w:cs="Arial Narrow"/>
                <w:iCs/>
                <w:sz w:val="20"/>
                <w:szCs w:val="20"/>
              </w:rPr>
            </w:pPr>
          </w:p>
        </w:tc>
      </w:tr>
      <w:tr w:rsidR="003F492B" w:rsidRPr="009371D8" w14:paraId="48C25AA4" w14:textId="77777777" w:rsidTr="002A338E">
        <w:tblPrEx>
          <w:tblCellMar>
            <w:top w:w="15" w:type="dxa"/>
            <w:bottom w:w="15" w:type="dxa"/>
          </w:tblCellMar>
        </w:tblPrEx>
        <w:trPr>
          <w:cantSplit/>
          <w:trHeight w:val="20"/>
        </w:trPr>
        <w:tc>
          <w:tcPr>
            <w:tcW w:w="9023" w:type="dxa"/>
            <w:gridSpan w:val="7"/>
            <w:vAlign w:val="center"/>
            <w:hideMark/>
          </w:tcPr>
          <w:p w14:paraId="4E4E413C" w14:textId="77777777" w:rsidR="003F492B" w:rsidRDefault="003F492B" w:rsidP="0017079D">
            <w:pPr>
              <w:pStyle w:val="NormalWeb"/>
              <w:shd w:val="clear" w:color="auto" w:fill="FFFFFF"/>
              <w:spacing w:before="0" w:beforeAutospacing="0" w:after="0" w:afterAutospacing="0"/>
              <w:textAlignment w:val="baseline"/>
              <w:rPr>
                <w:rFonts w:ascii="Arial Narrow" w:hAnsi="Arial Narrow"/>
                <w:b/>
                <w:bCs/>
                <w:color w:val="333333"/>
                <w:sz w:val="20"/>
                <w:szCs w:val="20"/>
              </w:rPr>
            </w:pPr>
            <w:r w:rsidRPr="001428E9">
              <w:rPr>
                <w:rFonts w:ascii="Arial Narrow" w:hAnsi="Arial Narrow"/>
                <w:b/>
                <w:bCs/>
                <w:color w:val="333333"/>
                <w:sz w:val="20"/>
                <w:szCs w:val="20"/>
              </w:rPr>
              <w:t xml:space="preserve">Prescribing Instructions: </w:t>
            </w:r>
          </w:p>
          <w:p w14:paraId="2B2977B6" w14:textId="77777777" w:rsidR="003F492B" w:rsidRPr="009371D8"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9371D8">
              <w:rPr>
                <w:rFonts w:ascii="Arial Narrow" w:hAnsi="Arial Narrow" w:cs="Open Sans"/>
                <w:color w:val="333333"/>
                <w:sz w:val="20"/>
                <w:szCs w:val="20"/>
              </w:rPr>
              <w:t>The authority application must be in writing and must include:</w:t>
            </w:r>
          </w:p>
          <w:p w14:paraId="70E23D95" w14:textId="77777777" w:rsidR="003F492B" w:rsidRPr="009371D8" w:rsidRDefault="003F492B" w:rsidP="0017079D">
            <w:pPr>
              <w:numPr>
                <w:ilvl w:val="0"/>
                <w:numId w:val="36"/>
              </w:numPr>
              <w:jc w:val="left"/>
              <w:textAlignment w:val="baseline"/>
              <w:rPr>
                <w:rFonts w:ascii="Arial Narrow" w:hAnsi="Arial Narrow" w:cs="Open Sans"/>
                <w:color w:val="333333"/>
                <w:sz w:val="20"/>
                <w:szCs w:val="20"/>
              </w:rPr>
            </w:pPr>
            <w:r w:rsidRPr="009371D8">
              <w:rPr>
                <w:rFonts w:ascii="Arial Narrow" w:hAnsi="Arial Narrow" w:cs="Open Sans"/>
                <w:color w:val="333333"/>
                <w:sz w:val="20"/>
                <w:szCs w:val="20"/>
              </w:rPr>
              <w:t>A completed authority prescription form; AND</w:t>
            </w:r>
          </w:p>
          <w:p w14:paraId="32616D5F" w14:textId="77777777" w:rsidR="003F492B" w:rsidRPr="009371D8" w:rsidRDefault="003F492B" w:rsidP="0017079D">
            <w:pPr>
              <w:numPr>
                <w:ilvl w:val="0"/>
                <w:numId w:val="36"/>
              </w:numPr>
              <w:jc w:val="left"/>
              <w:textAlignment w:val="baseline"/>
              <w:rPr>
                <w:rFonts w:ascii="Arial Narrow" w:hAnsi="Arial Narrow" w:cs="Open Sans"/>
                <w:color w:val="333333"/>
                <w:sz w:val="20"/>
                <w:szCs w:val="20"/>
              </w:rPr>
            </w:pPr>
            <w:r w:rsidRPr="009371D8">
              <w:rPr>
                <w:rFonts w:ascii="Arial Narrow" w:hAnsi="Arial Narrow" w:cs="Open Sans"/>
                <w:color w:val="333333"/>
                <w:sz w:val="20"/>
                <w:szCs w:val="20"/>
              </w:rPr>
              <w:t>A completed Severe Growth Hormone Deficiency supporting information form; AND</w:t>
            </w:r>
          </w:p>
          <w:p w14:paraId="5EADB33F" w14:textId="77777777" w:rsidR="003F492B" w:rsidRPr="009371D8" w:rsidRDefault="003F492B" w:rsidP="0017079D">
            <w:pPr>
              <w:numPr>
                <w:ilvl w:val="0"/>
                <w:numId w:val="36"/>
              </w:numPr>
              <w:jc w:val="left"/>
              <w:textAlignment w:val="baseline"/>
              <w:rPr>
                <w:rFonts w:ascii="Open Sans" w:hAnsi="Open Sans" w:cs="Open Sans"/>
                <w:color w:val="333333"/>
                <w:sz w:val="22"/>
                <w:szCs w:val="22"/>
              </w:rPr>
            </w:pPr>
            <w:r w:rsidRPr="009371D8">
              <w:rPr>
                <w:rFonts w:ascii="Arial Narrow" w:hAnsi="Arial Narrow" w:cs="Open Sans"/>
                <w:color w:val="333333"/>
                <w:sz w:val="20"/>
                <w:szCs w:val="20"/>
              </w:rPr>
              <w:t>Results of the growth hormone stimulation testing, including the date of testing, the type of test performed, the peak growth hormone concentration, and laboratory reference range for age/gender.</w:t>
            </w:r>
          </w:p>
        </w:tc>
      </w:tr>
      <w:tr w:rsidR="003F492B" w:rsidRPr="009371D8" w14:paraId="0361ADA2" w14:textId="77777777" w:rsidTr="002A338E">
        <w:tblPrEx>
          <w:tblCellMar>
            <w:top w:w="15" w:type="dxa"/>
            <w:bottom w:w="15" w:type="dxa"/>
          </w:tblCellMar>
          <w:tblLook w:val="04A0" w:firstRow="1" w:lastRow="0" w:firstColumn="1" w:lastColumn="0" w:noHBand="0" w:noVBand="1"/>
        </w:tblPrEx>
        <w:trPr>
          <w:cantSplit/>
          <w:trHeight w:val="20"/>
        </w:trPr>
        <w:tc>
          <w:tcPr>
            <w:tcW w:w="9023" w:type="dxa"/>
            <w:gridSpan w:val="7"/>
            <w:vAlign w:val="center"/>
          </w:tcPr>
          <w:p w14:paraId="22AA894A" w14:textId="77777777" w:rsidR="003F492B" w:rsidRPr="001428E9" w:rsidRDefault="003F492B" w:rsidP="0017079D">
            <w:pPr>
              <w:pStyle w:val="NormalWeb"/>
              <w:shd w:val="clear" w:color="auto" w:fill="FFFFFF"/>
              <w:spacing w:before="0" w:beforeAutospacing="0" w:after="0" w:afterAutospacing="0"/>
              <w:textAlignment w:val="baseline"/>
              <w:rPr>
                <w:rFonts w:ascii="Arial Narrow" w:hAnsi="Arial Narrow"/>
                <w:b/>
                <w:bCs/>
                <w:color w:val="333333"/>
                <w:sz w:val="20"/>
                <w:szCs w:val="20"/>
              </w:rPr>
            </w:pPr>
          </w:p>
        </w:tc>
      </w:tr>
      <w:tr w:rsidR="003F492B" w:rsidRPr="006C694E" w14:paraId="5B9A8E2C" w14:textId="77777777" w:rsidTr="002A338E">
        <w:tblPrEx>
          <w:tblCellMar>
            <w:top w:w="15" w:type="dxa"/>
            <w:bottom w:w="15" w:type="dxa"/>
          </w:tblCellMar>
        </w:tblPrEx>
        <w:trPr>
          <w:cantSplit/>
          <w:trHeight w:val="20"/>
        </w:trPr>
        <w:tc>
          <w:tcPr>
            <w:tcW w:w="9023" w:type="dxa"/>
            <w:gridSpan w:val="7"/>
            <w:vAlign w:val="center"/>
            <w:hideMark/>
          </w:tcPr>
          <w:p w14:paraId="2E996C5D" w14:textId="77777777" w:rsidR="003F492B" w:rsidRDefault="003F492B" w:rsidP="0017079D">
            <w:pPr>
              <w:rPr>
                <w:rFonts w:ascii="Arial Narrow" w:hAnsi="Arial Narrow"/>
                <w:bCs/>
                <w:color w:val="FF0000"/>
                <w:sz w:val="20"/>
                <w:szCs w:val="20"/>
              </w:rPr>
            </w:pPr>
            <w:r w:rsidRPr="001428E9">
              <w:rPr>
                <w:rFonts w:ascii="Arial Narrow" w:hAnsi="Arial Narrow"/>
                <w:b/>
                <w:bCs/>
                <w:color w:val="333333"/>
                <w:sz w:val="20"/>
                <w:szCs w:val="20"/>
              </w:rPr>
              <w:t xml:space="preserve">Administrative Advice: </w:t>
            </w:r>
          </w:p>
          <w:p w14:paraId="4EDEFA76" w14:textId="77777777" w:rsidR="003F492B" w:rsidRPr="00BC2367" w:rsidRDefault="003F492B" w:rsidP="0017079D">
            <w:pPr>
              <w:pStyle w:val="NormalWeb"/>
              <w:shd w:val="clear" w:color="auto" w:fill="FFFFFF"/>
              <w:spacing w:before="0" w:beforeAutospacing="0" w:after="0" w:afterAutospacing="0"/>
              <w:textAlignment w:val="baseline"/>
              <w:rPr>
                <w:rFonts w:ascii="Arial Narrow" w:hAnsi="Arial Narrow" w:cstheme="minorHAnsi"/>
                <w:color w:val="333333"/>
                <w:sz w:val="20"/>
                <w:szCs w:val="20"/>
              </w:rPr>
            </w:pPr>
            <w:r w:rsidRPr="00BC2367">
              <w:rPr>
                <w:rFonts w:ascii="Arial Narrow" w:hAnsi="Arial Narrow" w:cstheme="minorHAnsi"/>
                <w:color w:val="333333"/>
                <w:sz w:val="20"/>
                <w:szCs w:val="20"/>
              </w:rPr>
              <w:t>Any queries concerning the arrangements to prescribe may be directed to Services Australia on 1800 700 270 (hours of operation 8 a.m. to 5 p.m. Monday to Friday).</w:t>
            </w:r>
          </w:p>
          <w:p w14:paraId="5B3B5011" w14:textId="77777777" w:rsidR="003F492B" w:rsidRPr="00BC2367" w:rsidRDefault="003F492B" w:rsidP="0017079D">
            <w:pPr>
              <w:pStyle w:val="NormalWeb"/>
              <w:shd w:val="clear" w:color="auto" w:fill="FFFFFF"/>
              <w:spacing w:before="0" w:beforeAutospacing="0" w:after="0" w:afterAutospacing="0"/>
              <w:textAlignment w:val="baseline"/>
              <w:rPr>
                <w:rFonts w:ascii="Arial Narrow" w:hAnsi="Arial Narrow" w:cstheme="minorHAnsi"/>
                <w:color w:val="333333"/>
                <w:sz w:val="20"/>
                <w:szCs w:val="20"/>
              </w:rPr>
            </w:pPr>
            <w:r w:rsidRPr="00BC2367">
              <w:rPr>
                <w:rFonts w:ascii="Arial Narrow" w:hAnsi="Arial Narrow" w:cstheme="minorHAnsi"/>
                <w:color w:val="333333"/>
                <w:sz w:val="20"/>
                <w:szCs w:val="20"/>
              </w:rPr>
              <w:t>Prescribing information (including Authority Application forms and other relevant documentation as applicable) is available on the Services Australia website at www.servicesaustralia.gov.au</w:t>
            </w:r>
          </w:p>
          <w:p w14:paraId="0D7B75CB" w14:textId="77777777" w:rsidR="003F492B" w:rsidRPr="00BC2367" w:rsidRDefault="003F492B" w:rsidP="0017079D">
            <w:pPr>
              <w:pStyle w:val="NormalWeb"/>
              <w:shd w:val="clear" w:color="auto" w:fill="FFFFFF"/>
              <w:spacing w:before="0" w:beforeAutospacing="0" w:after="0" w:afterAutospacing="0"/>
              <w:textAlignment w:val="baseline"/>
              <w:rPr>
                <w:rFonts w:ascii="Arial Narrow" w:hAnsi="Arial Narrow" w:cstheme="minorHAnsi"/>
                <w:color w:val="333333"/>
                <w:sz w:val="20"/>
                <w:szCs w:val="20"/>
              </w:rPr>
            </w:pPr>
            <w:r w:rsidRPr="00BC2367">
              <w:rPr>
                <w:rFonts w:ascii="Arial Narrow" w:hAnsi="Arial Narrow" w:cstheme="minorHAnsi"/>
                <w:color w:val="333333"/>
                <w:sz w:val="20"/>
                <w:szCs w:val="20"/>
              </w:rPr>
              <w:t>Applications for authority to prescribe should be submitted online using the form upload facility in Health Professional Online Services (HPOS) at www.servicesaustralia.gov.au/hpos</w:t>
            </w:r>
          </w:p>
          <w:p w14:paraId="5462A983" w14:textId="77777777" w:rsidR="003F492B" w:rsidRPr="00BC2367" w:rsidRDefault="003F492B" w:rsidP="0017079D">
            <w:pPr>
              <w:pStyle w:val="NormalWeb"/>
              <w:shd w:val="clear" w:color="auto" w:fill="FFFFFF"/>
              <w:spacing w:before="0" w:beforeAutospacing="0" w:after="0" w:afterAutospacing="0"/>
              <w:textAlignment w:val="baseline"/>
              <w:rPr>
                <w:rFonts w:ascii="Arial Narrow" w:hAnsi="Arial Narrow" w:cstheme="minorHAnsi"/>
                <w:color w:val="333333"/>
                <w:sz w:val="20"/>
                <w:szCs w:val="20"/>
              </w:rPr>
            </w:pPr>
            <w:r w:rsidRPr="00BC2367">
              <w:rPr>
                <w:rFonts w:ascii="Arial Narrow" w:hAnsi="Arial Narrow" w:cstheme="minorHAnsi"/>
                <w:color w:val="333333"/>
                <w:sz w:val="20"/>
                <w:szCs w:val="20"/>
              </w:rPr>
              <w:t>Or mailed to:</w:t>
            </w:r>
          </w:p>
          <w:p w14:paraId="680DEC57" w14:textId="77777777" w:rsidR="003F492B" w:rsidRPr="00BC2367" w:rsidRDefault="003F492B" w:rsidP="0017079D">
            <w:pPr>
              <w:pStyle w:val="NormalWeb"/>
              <w:shd w:val="clear" w:color="auto" w:fill="FFFFFF"/>
              <w:spacing w:before="0" w:beforeAutospacing="0" w:after="0" w:afterAutospacing="0"/>
              <w:textAlignment w:val="baseline"/>
              <w:rPr>
                <w:rFonts w:ascii="Arial Narrow" w:hAnsi="Arial Narrow" w:cstheme="minorHAnsi"/>
                <w:color w:val="333333"/>
                <w:sz w:val="20"/>
                <w:szCs w:val="20"/>
              </w:rPr>
            </w:pPr>
            <w:r w:rsidRPr="00BC2367">
              <w:rPr>
                <w:rFonts w:ascii="Arial Narrow" w:hAnsi="Arial Narrow" w:cstheme="minorHAnsi"/>
                <w:color w:val="333333"/>
                <w:sz w:val="20"/>
                <w:szCs w:val="20"/>
              </w:rPr>
              <w:t>Services Australia</w:t>
            </w:r>
          </w:p>
          <w:p w14:paraId="7930B911" w14:textId="77777777" w:rsidR="003F492B" w:rsidRPr="00BC2367" w:rsidRDefault="003F492B" w:rsidP="0017079D">
            <w:pPr>
              <w:pStyle w:val="NormalWeb"/>
              <w:shd w:val="clear" w:color="auto" w:fill="FFFFFF"/>
              <w:spacing w:before="0" w:beforeAutospacing="0" w:after="0" w:afterAutospacing="0"/>
              <w:textAlignment w:val="baseline"/>
              <w:rPr>
                <w:rFonts w:ascii="Arial Narrow" w:hAnsi="Arial Narrow" w:cstheme="minorHAnsi"/>
                <w:color w:val="333333"/>
                <w:sz w:val="20"/>
                <w:szCs w:val="20"/>
              </w:rPr>
            </w:pPr>
            <w:r w:rsidRPr="00BC2367">
              <w:rPr>
                <w:rFonts w:ascii="Arial Narrow" w:hAnsi="Arial Narrow" w:cstheme="minorHAnsi"/>
                <w:color w:val="333333"/>
                <w:sz w:val="20"/>
                <w:szCs w:val="20"/>
              </w:rPr>
              <w:t>Complex Drugs</w:t>
            </w:r>
          </w:p>
          <w:p w14:paraId="5D38BDDB" w14:textId="77777777" w:rsidR="003F492B" w:rsidRPr="00BC2367" w:rsidRDefault="003F492B" w:rsidP="0017079D">
            <w:pPr>
              <w:pStyle w:val="NormalWeb"/>
              <w:shd w:val="clear" w:color="auto" w:fill="FFFFFF"/>
              <w:spacing w:before="0" w:beforeAutospacing="0" w:after="0" w:afterAutospacing="0"/>
              <w:textAlignment w:val="baseline"/>
              <w:rPr>
                <w:rFonts w:ascii="Arial Narrow" w:hAnsi="Arial Narrow" w:cstheme="minorHAnsi"/>
                <w:color w:val="333333"/>
                <w:sz w:val="20"/>
                <w:szCs w:val="20"/>
              </w:rPr>
            </w:pPr>
            <w:r w:rsidRPr="00BC2367">
              <w:rPr>
                <w:rFonts w:ascii="Arial Narrow" w:hAnsi="Arial Narrow" w:cstheme="minorHAnsi"/>
                <w:color w:val="333333"/>
                <w:sz w:val="20"/>
                <w:szCs w:val="20"/>
              </w:rPr>
              <w:t>Reply Paid 9826</w:t>
            </w:r>
          </w:p>
          <w:p w14:paraId="64D85DFD" w14:textId="77777777" w:rsidR="003F492B" w:rsidRPr="006C694E" w:rsidRDefault="003F492B" w:rsidP="0017079D">
            <w:pPr>
              <w:pStyle w:val="NormalWeb"/>
              <w:shd w:val="clear" w:color="auto" w:fill="FFFFFF"/>
              <w:spacing w:before="0" w:beforeAutospacing="0" w:after="0" w:afterAutospacing="0"/>
              <w:textAlignment w:val="baseline"/>
              <w:rPr>
                <w:rFonts w:ascii="Open Sans" w:hAnsi="Open Sans" w:cs="Open Sans"/>
                <w:color w:val="333333"/>
                <w:sz w:val="22"/>
                <w:szCs w:val="22"/>
              </w:rPr>
            </w:pPr>
            <w:r w:rsidRPr="00BC2367">
              <w:rPr>
                <w:rFonts w:ascii="Arial Narrow" w:hAnsi="Arial Narrow" w:cstheme="minorHAnsi"/>
                <w:color w:val="333333"/>
                <w:sz w:val="20"/>
                <w:szCs w:val="20"/>
              </w:rPr>
              <w:t>HOBART TAS 7001</w:t>
            </w:r>
          </w:p>
        </w:tc>
      </w:tr>
      <w:tr w:rsidR="0017079D" w:rsidRPr="001428E9" w14:paraId="1F11EF34"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34D10F7" w14:textId="77777777" w:rsidR="0017079D" w:rsidRDefault="0017079D" w:rsidP="0017079D">
            <w:pPr>
              <w:rPr>
                <w:rFonts w:ascii="Arial Narrow" w:hAnsi="Arial Narrow"/>
                <w:bCs/>
                <w:color w:val="FF0000"/>
                <w:sz w:val="20"/>
                <w:szCs w:val="20"/>
              </w:rPr>
            </w:pPr>
          </w:p>
          <w:p w14:paraId="4E90AB8C" w14:textId="77777777" w:rsidR="0017079D" w:rsidRPr="001428E9" w:rsidRDefault="0017079D" w:rsidP="0017079D">
            <w:pPr>
              <w:rPr>
                <w:rFonts w:ascii="Arial Narrow" w:hAnsi="Arial Narrow"/>
                <w:bCs/>
                <w:color w:val="FF0000"/>
                <w:sz w:val="20"/>
                <w:szCs w:val="20"/>
              </w:rPr>
            </w:pPr>
          </w:p>
        </w:tc>
      </w:tr>
      <w:tr w:rsidR="0017079D" w:rsidRPr="001428E9" w14:paraId="74E439F9"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E127376" w14:textId="3E39312A" w:rsidR="0017079D" w:rsidRPr="001428E9" w:rsidRDefault="0017079D" w:rsidP="0017079D">
            <w:pPr>
              <w:keepNext/>
              <w:keepLines/>
              <w:rPr>
                <w:rFonts w:ascii="Arial Narrow" w:hAnsi="Arial Narrow"/>
                <w:b/>
                <w:bCs/>
                <w:color w:val="333333"/>
                <w:sz w:val="20"/>
                <w:szCs w:val="20"/>
              </w:rPr>
            </w:pPr>
            <w:r>
              <w:rPr>
                <w:rFonts w:ascii="Arial Narrow" w:hAnsi="Arial Narrow"/>
                <w:b/>
                <w:bCs/>
                <w:color w:val="333333"/>
                <w:sz w:val="20"/>
                <w:szCs w:val="20"/>
              </w:rPr>
              <w:t>Authority Required</w:t>
            </w:r>
            <w:r w:rsidRPr="00D56F94">
              <w:rPr>
                <w:rFonts w:ascii="Arial Narrow" w:hAnsi="Arial Narrow"/>
                <w:b/>
                <w:bCs/>
                <w:color w:val="FF0000"/>
                <w:sz w:val="20"/>
                <w:szCs w:val="20"/>
              </w:rPr>
              <w:t xml:space="preserve"> </w:t>
            </w:r>
          </w:p>
        </w:tc>
      </w:tr>
      <w:tr w:rsidR="003F492B" w:rsidRPr="001428E9" w14:paraId="5C9A8B12"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hideMark/>
          </w:tcPr>
          <w:p w14:paraId="76CE1F7A" w14:textId="77777777" w:rsidR="003F492B" w:rsidRPr="001428E9" w:rsidRDefault="003F492B" w:rsidP="0017079D">
            <w:pPr>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E64E5D">
              <w:rPr>
                <w:rFonts w:ascii="Arial Narrow" w:hAnsi="Arial Narrow"/>
                <w:color w:val="333333"/>
                <w:sz w:val="20"/>
                <w:szCs w:val="20"/>
              </w:rPr>
              <w:t>Severe growth hormone deficiency</w:t>
            </w:r>
          </w:p>
        </w:tc>
      </w:tr>
      <w:tr w:rsidR="003F492B" w:rsidRPr="001428E9" w14:paraId="5B6A3B9E"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2FA8023A" w14:textId="77777777" w:rsidR="003F492B" w:rsidRPr="001428E9" w:rsidRDefault="003F492B" w:rsidP="0017079D">
            <w:pPr>
              <w:rPr>
                <w:rFonts w:ascii="Arial Narrow" w:hAnsi="Arial Narrow"/>
                <w:b/>
                <w:bCs/>
                <w:color w:val="333333"/>
                <w:sz w:val="20"/>
                <w:szCs w:val="20"/>
              </w:rPr>
            </w:pPr>
          </w:p>
        </w:tc>
      </w:tr>
      <w:tr w:rsidR="003F492B" w:rsidRPr="00011766" w14:paraId="04212DE5"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hideMark/>
          </w:tcPr>
          <w:p w14:paraId="45846B9D" w14:textId="77777777" w:rsidR="003F492B" w:rsidRPr="00011766" w:rsidRDefault="003F492B" w:rsidP="0017079D">
            <w:pPr>
              <w:rPr>
                <w:rFonts w:ascii="Arial Narrow" w:hAnsi="Arial Narrow"/>
                <w:sz w:val="20"/>
                <w:szCs w:val="20"/>
              </w:rPr>
            </w:pPr>
            <w:r w:rsidRPr="00011766">
              <w:rPr>
                <w:rFonts w:ascii="Arial Narrow" w:hAnsi="Arial Narrow"/>
                <w:b/>
                <w:bCs/>
                <w:sz w:val="20"/>
                <w:szCs w:val="20"/>
              </w:rPr>
              <w:t>Treatment Phase:</w:t>
            </w:r>
            <w:r w:rsidRPr="00011766">
              <w:rPr>
                <w:rFonts w:ascii="Arial Narrow" w:hAnsi="Arial Narrow"/>
                <w:sz w:val="20"/>
                <w:szCs w:val="20"/>
              </w:rPr>
              <w:t xml:space="preserve"> Continuing treatment in a person with a mature skeleton or aged 18 years or older</w:t>
            </w:r>
          </w:p>
        </w:tc>
      </w:tr>
      <w:tr w:rsidR="003F492B" w:rsidRPr="00011766" w14:paraId="3066265F"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CE74C47" w14:textId="77777777" w:rsidR="003F492B" w:rsidRPr="00011766" w:rsidRDefault="003F492B" w:rsidP="0017079D">
            <w:pPr>
              <w:rPr>
                <w:rFonts w:ascii="Arial Narrow" w:hAnsi="Arial Narrow"/>
                <w:b/>
                <w:bCs/>
                <w:sz w:val="20"/>
                <w:szCs w:val="20"/>
              </w:rPr>
            </w:pPr>
          </w:p>
        </w:tc>
      </w:tr>
      <w:tr w:rsidR="003F492B" w:rsidRPr="00011766" w14:paraId="72CF4A4F"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4634CDFD" w14:textId="77777777" w:rsidR="003F492B" w:rsidRPr="00011766" w:rsidRDefault="003F492B" w:rsidP="0017079D">
            <w:pPr>
              <w:rPr>
                <w:rFonts w:ascii="Arial Narrow" w:hAnsi="Arial Narrow"/>
                <w:b/>
                <w:bCs/>
                <w:sz w:val="20"/>
                <w:szCs w:val="20"/>
              </w:rPr>
            </w:pPr>
            <w:r w:rsidRPr="001428E9">
              <w:rPr>
                <w:rFonts w:ascii="Arial Narrow" w:hAnsi="Arial Narrow"/>
                <w:b/>
                <w:bCs/>
                <w:color w:val="333333"/>
                <w:sz w:val="20"/>
                <w:szCs w:val="20"/>
              </w:rPr>
              <w:t>Clinical criteria:</w:t>
            </w:r>
          </w:p>
        </w:tc>
      </w:tr>
      <w:tr w:rsidR="003F492B" w:rsidRPr="00011766" w14:paraId="62E6FFEB"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56DDDEA" w14:textId="77777777" w:rsidR="003F492B" w:rsidRPr="00011766" w:rsidRDefault="003F492B" w:rsidP="0017079D">
            <w:pPr>
              <w:rPr>
                <w:rFonts w:ascii="Arial Narrow" w:hAnsi="Arial Narrow"/>
                <w:b/>
                <w:bCs/>
                <w:sz w:val="20"/>
                <w:szCs w:val="20"/>
              </w:rPr>
            </w:pPr>
            <w:r w:rsidRPr="005C70CD">
              <w:rPr>
                <w:rFonts w:ascii="Arial Narrow" w:hAnsi="Arial Narrow"/>
                <w:sz w:val="20"/>
                <w:szCs w:val="20"/>
              </w:rPr>
              <w:lastRenderedPageBreak/>
              <w:t>Patient must have previously received PBS-subsidised therapy with this drug for this condition under an initial treatment restriction applying to a documented childhood onset growth hormone deficiency due to a congenital, genetic or structural cause in a patient with a mature skeleton, or, in a patient with Prader-Willi syndrome and chronological age of 18 years or older; or</w:t>
            </w:r>
          </w:p>
        </w:tc>
      </w:tr>
      <w:tr w:rsidR="003F492B" w:rsidRPr="002027C8" w14:paraId="5F78AA52"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5EDD107" w14:textId="77777777" w:rsidR="003F492B" w:rsidRPr="002027C8" w:rsidRDefault="003F492B" w:rsidP="0017079D">
            <w:pPr>
              <w:rPr>
                <w:rFonts w:ascii="Arial Narrow" w:hAnsi="Arial Narrow"/>
                <w:sz w:val="20"/>
                <w:szCs w:val="20"/>
              </w:rPr>
            </w:pPr>
            <w:r w:rsidRPr="005C70CD">
              <w:rPr>
                <w:rFonts w:ascii="Arial Narrow" w:hAnsi="Arial Narrow"/>
                <w:sz w:val="20"/>
                <w:szCs w:val="20"/>
              </w:rPr>
              <w:t>Patient must have previously received PBS-subsidised therapy with this drug for this condition under an initial treatment restriction applying to late onset of growth hormone deficiency secondary to organic hypothalamic or pituitary disease in a patient with chronological age of 18 years or older; or</w:t>
            </w:r>
          </w:p>
        </w:tc>
      </w:tr>
      <w:tr w:rsidR="003F492B" w:rsidRPr="005C70CD" w14:paraId="5B183D66"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12532BD" w14:textId="77777777" w:rsidR="003F492B" w:rsidRPr="005C70CD" w:rsidRDefault="003F492B" w:rsidP="0017079D">
            <w:pPr>
              <w:rPr>
                <w:rFonts w:ascii="Arial Narrow" w:hAnsi="Arial Narrow"/>
                <w:sz w:val="20"/>
                <w:szCs w:val="20"/>
              </w:rPr>
            </w:pPr>
            <w:r w:rsidRPr="005C70CD">
              <w:rPr>
                <w:rFonts w:ascii="Arial Narrow" w:hAnsi="Arial Narrow"/>
                <w:color w:val="333333"/>
                <w:sz w:val="20"/>
                <w:szCs w:val="20"/>
              </w:rPr>
              <w:t>Patient must have previously received PBS-subsidised therapy with this drug for this condition under an initial treatment restriction applying to late onset of growth hormone deficiency diagnosed after skeletal maturity (bone age greater than or equal to 15.5 years in males or 13.5 years in females) and before chronological age of 18 years</w:t>
            </w:r>
          </w:p>
        </w:tc>
      </w:tr>
      <w:tr w:rsidR="003F492B" w:rsidRPr="00E356FB" w14:paraId="1BDDF82D"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F286601" w14:textId="77777777" w:rsidR="003F492B" w:rsidRPr="00E356FB" w:rsidRDefault="003F492B" w:rsidP="0017079D">
            <w:pPr>
              <w:rPr>
                <w:rFonts w:ascii="Arial Narrow" w:hAnsi="Arial Narrow"/>
                <w:sz w:val="20"/>
                <w:szCs w:val="20"/>
              </w:rPr>
            </w:pPr>
            <w:r w:rsidRPr="001428E9">
              <w:rPr>
                <w:rFonts w:ascii="Arial Narrow" w:hAnsi="Arial Narrow"/>
                <w:b/>
                <w:bCs/>
                <w:color w:val="333333"/>
                <w:sz w:val="20"/>
                <w:szCs w:val="20"/>
              </w:rPr>
              <w:t>Treatment criteria:</w:t>
            </w:r>
          </w:p>
        </w:tc>
      </w:tr>
      <w:tr w:rsidR="003F492B" w:rsidRPr="001428E9" w14:paraId="37D40701"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F987BD9" w14:textId="77777777" w:rsidR="003F492B" w:rsidRPr="001428E9" w:rsidRDefault="003F492B" w:rsidP="0017079D">
            <w:pPr>
              <w:rPr>
                <w:rFonts w:ascii="Arial Narrow" w:hAnsi="Arial Narrow"/>
                <w:b/>
                <w:bCs/>
                <w:color w:val="333333"/>
                <w:sz w:val="20"/>
                <w:szCs w:val="20"/>
              </w:rPr>
            </w:pPr>
            <w:r w:rsidRPr="002027C8">
              <w:rPr>
                <w:rFonts w:ascii="Arial Narrow" w:hAnsi="Arial Narrow" w:cs="Arial Narrow"/>
                <w:iCs/>
                <w:sz w:val="20"/>
                <w:szCs w:val="20"/>
              </w:rPr>
              <w:t>Must be treated by an endocrinologist</w:t>
            </w:r>
          </w:p>
        </w:tc>
      </w:tr>
      <w:tr w:rsidR="003F492B" w:rsidRPr="001428E9" w14:paraId="6876DA59"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8484B1F" w14:textId="77777777" w:rsidR="003F492B" w:rsidRPr="002027C8" w:rsidRDefault="003F492B" w:rsidP="0017079D">
            <w:pPr>
              <w:rPr>
                <w:rFonts w:ascii="Arial Narrow" w:hAnsi="Arial Narrow" w:cs="Arial Narrow"/>
                <w:iCs/>
                <w:sz w:val="20"/>
                <w:szCs w:val="20"/>
              </w:rPr>
            </w:pPr>
          </w:p>
        </w:tc>
      </w:tr>
      <w:tr w:rsidR="003F492B" w:rsidRPr="001428E9" w14:paraId="12148A71"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473BFDEA" w14:textId="77777777" w:rsidR="003F492B" w:rsidRDefault="003F492B" w:rsidP="0017079D">
            <w:pPr>
              <w:rPr>
                <w:rFonts w:ascii="Arial Narrow" w:hAnsi="Arial Narrow"/>
                <w:bCs/>
                <w:color w:val="FF0000"/>
                <w:sz w:val="20"/>
                <w:szCs w:val="20"/>
              </w:rPr>
            </w:pPr>
            <w:r w:rsidRPr="001428E9">
              <w:rPr>
                <w:rFonts w:ascii="Arial Narrow" w:hAnsi="Arial Narrow"/>
                <w:b/>
                <w:bCs/>
                <w:color w:val="333333"/>
                <w:sz w:val="20"/>
                <w:szCs w:val="20"/>
              </w:rPr>
              <w:t xml:space="preserve">Administrative Advice: </w:t>
            </w:r>
          </w:p>
          <w:p w14:paraId="6388CC5A" w14:textId="77777777" w:rsidR="003F492B" w:rsidRPr="001428E9" w:rsidRDefault="003F492B" w:rsidP="0017079D">
            <w:pPr>
              <w:pStyle w:val="NormalWeb"/>
              <w:shd w:val="clear" w:color="auto" w:fill="FFFFFF"/>
              <w:spacing w:before="0" w:beforeAutospacing="0" w:after="0" w:afterAutospacing="0"/>
              <w:textAlignment w:val="baseline"/>
              <w:rPr>
                <w:rFonts w:ascii="Arial Narrow" w:hAnsi="Arial Narrow"/>
                <w:b/>
                <w:bCs/>
                <w:color w:val="333333"/>
                <w:sz w:val="20"/>
                <w:szCs w:val="20"/>
              </w:rPr>
            </w:pPr>
            <w:r w:rsidRPr="0000297D">
              <w:rPr>
                <w:rFonts w:ascii="Arial Narrow" w:hAnsi="Arial Narrow" w:cstheme="minorHAnsi"/>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17079D" w:rsidRPr="001428E9" w14:paraId="191170F6"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390FBA30" w14:textId="77777777" w:rsidR="0017079D" w:rsidRDefault="0017079D" w:rsidP="0017079D">
            <w:pPr>
              <w:rPr>
                <w:rFonts w:ascii="Arial Narrow" w:hAnsi="Arial Narrow"/>
                <w:b/>
                <w:bCs/>
                <w:color w:val="333333"/>
                <w:sz w:val="20"/>
                <w:szCs w:val="20"/>
              </w:rPr>
            </w:pPr>
          </w:p>
          <w:p w14:paraId="2B669290" w14:textId="77777777" w:rsidR="0017079D" w:rsidRPr="001428E9" w:rsidRDefault="0017079D" w:rsidP="0017079D">
            <w:pPr>
              <w:rPr>
                <w:rFonts w:ascii="Arial Narrow" w:hAnsi="Arial Narrow"/>
                <w:b/>
                <w:bCs/>
                <w:color w:val="333333"/>
                <w:sz w:val="20"/>
                <w:szCs w:val="20"/>
              </w:rPr>
            </w:pPr>
          </w:p>
        </w:tc>
      </w:tr>
      <w:tr w:rsidR="0017079D" w:rsidRPr="001428E9" w14:paraId="77F1F8FD"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4D274E41" w14:textId="2D26FD8C" w:rsidR="0017079D" w:rsidRPr="001428E9" w:rsidRDefault="0017079D" w:rsidP="0017079D">
            <w:pPr>
              <w:rPr>
                <w:rFonts w:ascii="Arial Narrow" w:hAnsi="Arial Narrow"/>
                <w:b/>
                <w:bCs/>
                <w:color w:val="333333"/>
                <w:sz w:val="20"/>
                <w:szCs w:val="20"/>
              </w:rPr>
            </w:pPr>
            <w:r>
              <w:rPr>
                <w:rFonts w:ascii="Arial Narrow" w:hAnsi="Arial Narrow"/>
                <w:b/>
                <w:bCs/>
                <w:color w:val="333333"/>
                <w:sz w:val="20"/>
                <w:szCs w:val="20"/>
              </w:rPr>
              <w:t>Authority Required</w:t>
            </w:r>
          </w:p>
        </w:tc>
      </w:tr>
      <w:tr w:rsidR="003F492B" w:rsidRPr="001428E9" w14:paraId="076EE96E"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61CCC358" w14:textId="77777777" w:rsidR="003F492B" w:rsidRPr="001428E9" w:rsidRDefault="003F492B" w:rsidP="0017079D">
            <w:pPr>
              <w:rPr>
                <w:rFonts w:ascii="Arial Narrow" w:hAnsi="Arial Narrow"/>
                <w:b/>
                <w:bCs/>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E64E5D">
              <w:rPr>
                <w:rFonts w:ascii="Arial Narrow" w:hAnsi="Arial Narrow"/>
                <w:color w:val="333333"/>
                <w:sz w:val="20"/>
                <w:szCs w:val="20"/>
              </w:rPr>
              <w:t>Severe growth hormone deficiency</w:t>
            </w:r>
          </w:p>
        </w:tc>
      </w:tr>
      <w:tr w:rsidR="003F492B" w:rsidRPr="001428E9" w14:paraId="56CFD445"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CB7EB6F" w14:textId="77777777" w:rsidR="003F492B" w:rsidRPr="001428E9" w:rsidRDefault="003F492B" w:rsidP="0017079D">
            <w:pPr>
              <w:rPr>
                <w:rFonts w:ascii="Arial Narrow" w:hAnsi="Arial Narrow"/>
                <w:b/>
                <w:bCs/>
                <w:color w:val="333333"/>
                <w:sz w:val="20"/>
                <w:szCs w:val="20"/>
              </w:rPr>
            </w:pPr>
          </w:p>
        </w:tc>
      </w:tr>
      <w:tr w:rsidR="003F492B" w:rsidRPr="001428E9" w14:paraId="14DE5EF7"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6EE73D4" w14:textId="77777777" w:rsidR="003F492B" w:rsidRPr="001428E9" w:rsidRDefault="003F492B" w:rsidP="0017079D">
            <w:pPr>
              <w:rPr>
                <w:rFonts w:ascii="Arial Narrow" w:hAnsi="Arial Narrow"/>
                <w:b/>
                <w:bCs/>
                <w:color w:val="333333"/>
                <w:sz w:val="20"/>
                <w:szCs w:val="20"/>
              </w:rPr>
            </w:pPr>
            <w:r w:rsidRPr="00011766">
              <w:rPr>
                <w:rFonts w:ascii="Arial Narrow" w:hAnsi="Arial Narrow"/>
                <w:b/>
                <w:bCs/>
                <w:sz w:val="20"/>
                <w:szCs w:val="20"/>
              </w:rPr>
              <w:t>Treatment Phase:</w:t>
            </w:r>
            <w:r w:rsidRPr="00011766">
              <w:rPr>
                <w:rFonts w:ascii="Arial Narrow" w:hAnsi="Arial Narrow"/>
                <w:sz w:val="20"/>
                <w:szCs w:val="20"/>
              </w:rPr>
              <w:t xml:space="preserve"> </w:t>
            </w:r>
            <w:r w:rsidRPr="004C3ACE">
              <w:rPr>
                <w:rFonts w:ascii="Arial Narrow" w:hAnsi="Arial Narrow"/>
                <w:sz w:val="20"/>
                <w:szCs w:val="20"/>
              </w:rPr>
              <w:t>Initial treatment of childhood onset growth hormone deficiency in a patient who has received PBS-subsidised treatment as a child</w:t>
            </w:r>
          </w:p>
        </w:tc>
      </w:tr>
      <w:tr w:rsidR="003F492B" w:rsidRPr="001428E9" w14:paraId="183E5E11"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2F457FA3" w14:textId="77777777" w:rsidR="003F492B" w:rsidRPr="00011766" w:rsidRDefault="003F492B" w:rsidP="0017079D">
            <w:pPr>
              <w:rPr>
                <w:rFonts w:ascii="Arial Narrow" w:hAnsi="Arial Narrow"/>
                <w:b/>
                <w:bCs/>
                <w:sz w:val="20"/>
                <w:szCs w:val="20"/>
              </w:rPr>
            </w:pPr>
          </w:p>
        </w:tc>
      </w:tr>
      <w:tr w:rsidR="003F492B" w:rsidRPr="00011766" w14:paraId="062C7E3A"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DBC26E3" w14:textId="77777777" w:rsidR="003F492B" w:rsidRPr="00011766" w:rsidRDefault="003F492B" w:rsidP="0017079D">
            <w:pPr>
              <w:rPr>
                <w:rFonts w:ascii="Arial Narrow" w:hAnsi="Arial Narrow"/>
                <w:b/>
                <w:bCs/>
                <w:sz w:val="20"/>
                <w:szCs w:val="20"/>
              </w:rPr>
            </w:pPr>
            <w:r w:rsidRPr="001428E9">
              <w:rPr>
                <w:rFonts w:ascii="Arial Narrow" w:hAnsi="Arial Narrow"/>
                <w:b/>
                <w:bCs/>
                <w:color w:val="333333"/>
                <w:sz w:val="20"/>
                <w:szCs w:val="20"/>
              </w:rPr>
              <w:t>Clinical criteria:</w:t>
            </w:r>
          </w:p>
        </w:tc>
      </w:tr>
      <w:tr w:rsidR="003F492B" w:rsidRPr="001428E9" w14:paraId="1B9EDC93"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327095B" w14:textId="77777777" w:rsidR="003F492B" w:rsidRPr="001428E9" w:rsidRDefault="003F492B" w:rsidP="0017079D">
            <w:pPr>
              <w:rPr>
                <w:rFonts w:ascii="Arial Narrow" w:hAnsi="Arial Narrow"/>
                <w:b/>
                <w:bCs/>
                <w:color w:val="333333"/>
                <w:sz w:val="20"/>
                <w:szCs w:val="20"/>
              </w:rPr>
            </w:pPr>
            <w:r w:rsidRPr="00D04801">
              <w:rPr>
                <w:rFonts w:ascii="Arial Narrow" w:hAnsi="Arial Narrow"/>
                <w:sz w:val="20"/>
                <w:szCs w:val="20"/>
              </w:rPr>
              <w:t>Patient must have a documented childhood onset growth hormone deficiency due to a congenital, genetic or structural cause</w:t>
            </w:r>
          </w:p>
        </w:tc>
      </w:tr>
      <w:tr w:rsidR="003F492B" w:rsidRPr="00D04801" w14:paraId="16743D48"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3D26D989" w14:textId="77777777" w:rsidR="003F492B" w:rsidRPr="00D04801" w:rsidRDefault="003F492B" w:rsidP="0017079D">
            <w:pPr>
              <w:rPr>
                <w:rFonts w:ascii="Arial Narrow" w:hAnsi="Arial Narrow"/>
                <w:b/>
                <w:bCs/>
                <w:sz w:val="20"/>
                <w:szCs w:val="20"/>
              </w:rPr>
            </w:pPr>
            <w:r w:rsidRPr="00D04801">
              <w:rPr>
                <w:rFonts w:ascii="Arial Narrow" w:hAnsi="Arial Narrow"/>
                <w:b/>
                <w:bCs/>
                <w:sz w:val="20"/>
                <w:szCs w:val="20"/>
              </w:rPr>
              <w:t>AND</w:t>
            </w:r>
          </w:p>
        </w:tc>
      </w:tr>
      <w:tr w:rsidR="003F492B" w:rsidRPr="00D04801" w14:paraId="09380EB2"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644369A0" w14:textId="77777777" w:rsidR="003F492B" w:rsidRPr="00D04801" w:rsidRDefault="003F492B" w:rsidP="0017079D">
            <w:pPr>
              <w:rPr>
                <w:rFonts w:ascii="Arial Narrow" w:hAnsi="Arial Narrow"/>
                <w:b/>
                <w:bCs/>
                <w:sz w:val="20"/>
                <w:szCs w:val="20"/>
              </w:rPr>
            </w:pPr>
            <w:r w:rsidRPr="00D04801">
              <w:rPr>
                <w:rFonts w:ascii="Arial Narrow" w:hAnsi="Arial Narrow"/>
                <w:b/>
                <w:bCs/>
                <w:sz w:val="20"/>
                <w:szCs w:val="20"/>
              </w:rPr>
              <w:t>Clinical criteria:</w:t>
            </w:r>
          </w:p>
        </w:tc>
      </w:tr>
      <w:tr w:rsidR="003F492B" w:rsidRPr="005C70CD" w14:paraId="42CDEB3A"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64A25619" w14:textId="77777777" w:rsidR="003F492B" w:rsidRPr="005C70CD" w:rsidRDefault="003F492B" w:rsidP="0017079D">
            <w:pPr>
              <w:rPr>
                <w:rFonts w:ascii="Arial Narrow" w:hAnsi="Arial Narrow"/>
                <w:sz w:val="20"/>
                <w:szCs w:val="20"/>
              </w:rPr>
            </w:pPr>
            <w:r w:rsidRPr="00E36127">
              <w:rPr>
                <w:rFonts w:ascii="Arial Narrow" w:hAnsi="Arial Narrow"/>
                <w:sz w:val="20"/>
                <w:szCs w:val="20"/>
              </w:rPr>
              <w:t>Patient must have previously received PBS-subsidised treatment with this drug for this condition as a child</w:t>
            </w:r>
          </w:p>
        </w:tc>
      </w:tr>
      <w:tr w:rsidR="003F492B" w:rsidRPr="005C70CD" w14:paraId="5F5BD182"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75552AE7" w14:textId="77777777" w:rsidR="003F492B" w:rsidRPr="00E36127" w:rsidRDefault="003F492B" w:rsidP="0017079D">
            <w:pPr>
              <w:rPr>
                <w:rFonts w:ascii="Arial Narrow" w:hAnsi="Arial Narrow"/>
                <w:sz w:val="20"/>
                <w:szCs w:val="20"/>
              </w:rPr>
            </w:pPr>
          </w:p>
        </w:tc>
      </w:tr>
      <w:tr w:rsidR="003F492B" w:rsidRPr="005C70CD" w14:paraId="739DB671"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2667B529" w14:textId="77777777" w:rsidR="003F492B" w:rsidRPr="005C70CD" w:rsidRDefault="003F492B" w:rsidP="0017079D">
            <w:pPr>
              <w:rPr>
                <w:rFonts w:ascii="Arial Narrow" w:hAnsi="Arial Narrow"/>
                <w:color w:val="333333"/>
                <w:sz w:val="20"/>
                <w:szCs w:val="20"/>
              </w:rPr>
            </w:pPr>
            <w:r w:rsidRPr="001428E9">
              <w:rPr>
                <w:rFonts w:ascii="Arial Narrow" w:hAnsi="Arial Narrow"/>
                <w:b/>
                <w:bCs/>
                <w:color w:val="333333"/>
                <w:sz w:val="20"/>
                <w:szCs w:val="20"/>
              </w:rPr>
              <w:t>Treatment criteria:</w:t>
            </w:r>
          </w:p>
        </w:tc>
      </w:tr>
      <w:tr w:rsidR="003F492B" w:rsidRPr="001428E9" w14:paraId="1866FD36"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50FC0E0" w14:textId="77777777" w:rsidR="003F492B" w:rsidRPr="001428E9" w:rsidRDefault="003F492B" w:rsidP="0017079D">
            <w:pPr>
              <w:rPr>
                <w:rFonts w:ascii="Arial Narrow" w:hAnsi="Arial Narrow"/>
                <w:b/>
                <w:bCs/>
                <w:color w:val="333333"/>
                <w:sz w:val="20"/>
                <w:szCs w:val="20"/>
              </w:rPr>
            </w:pPr>
            <w:r w:rsidRPr="002027C8">
              <w:rPr>
                <w:rFonts w:ascii="Arial Narrow" w:hAnsi="Arial Narrow" w:cs="Arial Narrow"/>
                <w:iCs/>
                <w:sz w:val="20"/>
                <w:szCs w:val="20"/>
              </w:rPr>
              <w:t>Must be treated by an endocrinologist</w:t>
            </w:r>
          </w:p>
        </w:tc>
      </w:tr>
      <w:tr w:rsidR="003F492B" w:rsidRPr="001428E9" w14:paraId="77B54CC6"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08920A0" w14:textId="77777777" w:rsidR="003F492B" w:rsidRPr="002027C8" w:rsidRDefault="003F492B" w:rsidP="0017079D">
            <w:pPr>
              <w:rPr>
                <w:rFonts w:ascii="Arial Narrow" w:hAnsi="Arial Narrow" w:cs="Arial Narrow"/>
                <w:iCs/>
                <w:sz w:val="20"/>
                <w:szCs w:val="20"/>
              </w:rPr>
            </w:pPr>
          </w:p>
        </w:tc>
      </w:tr>
      <w:tr w:rsidR="003F492B" w:rsidRPr="008500A3" w14:paraId="3340AF2D"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7DE41D30" w14:textId="77777777" w:rsidR="003F492B" w:rsidRPr="008500A3" w:rsidRDefault="003F492B" w:rsidP="0017079D">
            <w:pPr>
              <w:rPr>
                <w:rFonts w:ascii="Arial Narrow" w:hAnsi="Arial Narrow" w:cs="Arial Narrow"/>
                <w:b/>
                <w:bCs/>
                <w:iCs/>
                <w:sz w:val="20"/>
                <w:szCs w:val="20"/>
              </w:rPr>
            </w:pPr>
            <w:r w:rsidRPr="008500A3">
              <w:rPr>
                <w:rFonts w:ascii="Arial Narrow" w:hAnsi="Arial Narrow" w:cs="Arial Narrow"/>
                <w:b/>
                <w:bCs/>
                <w:iCs/>
                <w:sz w:val="20"/>
                <w:szCs w:val="20"/>
              </w:rPr>
              <w:t>Population criteria:</w:t>
            </w:r>
          </w:p>
        </w:tc>
      </w:tr>
      <w:tr w:rsidR="003F492B" w:rsidRPr="008500A3" w14:paraId="515DE590"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69BEA21B" w14:textId="09E4737C" w:rsidR="003F492B" w:rsidRPr="008500A3" w:rsidRDefault="003F492B" w:rsidP="0017079D">
            <w:pPr>
              <w:rPr>
                <w:rFonts w:ascii="Arial Narrow" w:hAnsi="Arial Narrow" w:cs="Arial Narrow"/>
                <w:iCs/>
                <w:sz w:val="20"/>
                <w:szCs w:val="20"/>
              </w:rPr>
            </w:pPr>
            <w:r w:rsidRPr="008500A3">
              <w:rPr>
                <w:rFonts w:ascii="Arial Narrow" w:hAnsi="Arial Narrow" w:cs="Arial Narrow"/>
                <w:iCs/>
                <w:sz w:val="20"/>
                <w:szCs w:val="20"/>
              </w:rPr>
              <w:t>Patient must have a mature skeleton</w:t>
            </w:r>
          </w:p>
        </w:tc>
      </w:tr>
      <w:tr w:rsidR="003F492B" w:rsidRPr="008500A3" w14:paraId="0320D750"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8294AA2" w14:textId="77777777" w:rsidR="003F492B" w:rsidRPr="0073069B" w:rsidRDefault="003F492B" w:rsidP="0017079D">
            <w:pPr>
              <w:rPr>
                <w:rFonts w:ascii="Arial Narrow" w:hAnsi="Arial Narrow" w:cs="Arial Narrow"/>
                <w:iCs/>
                <w:sz w:val="20"/>
                <w:szCs w:val="20"/>
              </w:rPr>
            </w:pPr>
          </w:p>
        </w:tc>
      </w:tr>
      <w:tr w:rsidR="003F492B" w:rsidRPr="00F05E9F" w14:paraId="69F64D7B"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CD8886C" w14:textId="77777777" w:rsidR="003F492B" w:rsidRPr="00F05E9F" w:rsidRDefault="003F492B" w:rsidP="0017079D">
            <w:pPr>
              <w:rPr>
                <w:rFonts w:ascii="Arial Narrow" w:hAnsi="Arial Narrow" w:cs="Arial Narrow"/>
                <w:iCs/>
                <w:sz w:val="20"/>
                <w:szCs w:val="20"/>
              </w:rPr>
            </w:pPr>
            <w:r>
              <w:rPr>
                <w:rFonts w:ascii="Arial Narrow" w:hAnsi="Arial Narrow" w:cs="Arial Narrow"/>
                <w:b/>
                <w:bCs/>
                <w:iCs/>
                <w:sz w:val="20"/>
                <w:szCs w:val="20"/>
              </w:rPr>
              <w:t xml:space="preserve">Prescribing Instructions: </w:t>
            </w:r>
            <w:r w:rsidRPr="00F05E9F">
              <w:rPr>
                <w:rFonts w:ascii="Arial Narrow" w:hAnsi="Arial Narrow" w:cs="Arial Narrow"/>
                <w:iCs/>
                <w:sz w:val="20"/>
                <w:szCs w:val="20"/>
              </w:rPr>
              <w:t>Somatropin is not PBS-subsidised for patients with Prader-Willi syndrome aged 18 years or older without a documented childhood onset Growth Hormone Deficiency.</w:t>
            </w:r>
          </w:p>
        </w:tc>
      </w:tr>
      <w:tr w:rsidR="003F492B" w:rsidRPr="00F05E9F" w14:paraId="6679565C"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686478A8" w14:textId="77777777" w:rsidR="003F492B" w:rsidRDefault="003F492B" w:rsidP="0017079D">
            <w:pPr>
              <w:pStyle w:val="NormalWeb"/>
              <w:shd w:val="clear" w:color="auto" w:fill="FFFFFF"/>
              <w:spacing w:before="0" w:beforeAutospacing="0" w:after="0" w:afterAutospacing="0"/>
              <w:textAlignment w:val="baseline"/>
              <w:rPr>
                <w:rFonts w:ascii="Arial Narrow" w:hAnsi="Arial Narrow" w:cs="Arial Narrow"/>
                <w:b/>
                <w:bCs/>
                <w:iCs/>
                <w:sz w:val="20"/>
                <w:szCs w:val="20"/>
              </w:rPr>
            </w:pPr>
            <w:r>
              <w:rPr>
                <w:rFonts w:ascii="Arial Narrow" w:hAnsi="Arial Narrow" w:cs="Arial Narrow"/>
                <w:b/>
                <w:bCs/>
                <w:iCs/>
                <w:sz w:val="20"/>
                <w:szCs w:val="20"/>
              </w:rPr>
              <w:t xml:space="preserve">Prescribing Instructions: </w:t>
            </w:r>
          </w:p>
          <w:p w14:paraId="7175A7EF" w14:textId="77777777" w:rsidR="003F492B" w:rsidRPr="00F05E9F"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F05E9F">
              <w:rPr>
                <w:rFonts w:ascii="Arial Narrow" w:hAnsi="Arial Narrow" w:cs="Open Sans"/>
                <w:color w:val="333333"/>
                <w:sz w:val="20"/>
                <w:szCs w:val="20"/>
              </w:rPr>
              <w:t>The authority application must be in writing and must include:</w:t>
            </w:r>
          </w:p>
          <w:p w14:paraId="49B87309" w14:textId="77777777" w:rsidR="003F492B" w:rsidRPr="00F05E9F" w:rsidRDefault="003F492B" w:rsidP="0017079D">
            <w:pPr>
              <w:numPr>
                <w:ilvl w:val="0"/>
                <w:numId w:val="37"/>
              </w:numPr>
              <w:jc w:val="left"/>
              <w:textAlignment w:val="baseline"/>
              <w:rPr>
                <w:rFonts w:ascii="Arial Narrow" w:hAnsi="Arial Narrow" w:cs="Open Sans"/>
                <w:color w:val="333333"/>
                <w:sz w:val="20"/>
                <w:szCs w:val="20"/>
              </w:rPr>
            </w:pPr>
            <w:r w:rsidRPr="00F05E9F">
              <w:rPr>
                <w:rFonts w:ascii="Arial Narrow" w:hAnsi="Arial Narrow" w:cs="Open Sans"/>
                <w:color w:val="333333"/>
                <w:sz w:val="20"/>
                <w:szCs w:val="20"/>
              </w:rPr>
              <w:t>A completed authority prescription form; AND</w:t>
            </w:r>
          </w:p>
          <w:p w14:paraId="4421F9CF" w14:textId="77777777" w:rsidR="003F492B" w:rsidRPr="00F05E9F" w:rsidRDefault="003F492B" w:rsidP="0017079D">
            <w:pPr>
              <w:numPr>
                <w:ilvl w:val="0"/>
                <w:numId w:val="37"/>
              </w:numPr>
              <w:jc w:val="left"/>
              <w:textAlignment w:val="baseline"/>
              <w:rPr>
                <w:rFonts w:ascii="Open Sans" w:hAnsi="Open Sans" w:cs="Open Sans"/>
                <w:color w:val="333333"/>
                <w:sz w:val="22"/>
                <w:szCs w:val="22"/>
              </w:rPr>
            </w:pPr>
            <w:r w:rsidRPr="00F05E9F">
              <w:rPr>
                <w:rFonts w:ascii="Arial Narrow" w:hAnsi="Arial Narrow" w:cs="Open Sans"/>
                <w:color w:val="333333"/>
                <w:sz w:val="20"/>
                <w:szCs w:val="20"/>
              </w:rPr>
              <w:t>A completed Severe Growth Hormone Deficiency supporting information form.</w:t>
            </w:r>
          </w:p>
        </w:tc>
      </w:tr>
      <w:tr w:rsidR="003F492B" w:rsidRPr="0023711B" w14:paraId="0206A4EF"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42AF6615" w14:textId="77777777" w:rsidR="003F492B" w:rsidRDefault="003F492B" w:rsidP="0017079D">
            <w:pPr>
              <w:rPr>
                <w:rFonts w:ascii="Arial Narrow" w:hAnsi="Arial Narrow"/>
                <w:bCs/>
                <w:color w:val="FF0000"/>
                <w:sz w:val="20"/>
                <w:szCs w:val="20"/>
              </w:rPr>
            </w:pPr>
            <w:r w:rsidRPr="001428E9">
              <w:rPr>
                <w:rFonts w:ascii="Arial Narrow" w:hAnsi="Arial Narrow"/>
                <w:b/>
                <w:bCs/>
                <w:color w:val="333333"/>
                <w:sz w:val="20"/>
                <w:szCs w:val="20"/>
              </w:rPr>
              <w:lastRenderedPageBreak/>
              <w:t xml:space="preserve">Administrative Advice: </w:t>
            </w:r>
          </w:p>
          <w:p w14:paraId="5DEC054D"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4294345D"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4AA9A203"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68B918D7"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Or mailed to:</w:t>
            </w:r>
          </w:p>
          <w:p w14:paraId="1FFAE273"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Services Australia</w:t>
            </w:r>
          </w:p>
          <w:p w14:paraId="76CE104B"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Complex Drugs</w:t>
            </w:r>
          </w:p>
          <w:p w14:paraId="5A540821"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Reply Paid 9826</w:t>
            </w:r>
          </w:p>
          <w:p w14:paraId="64C8AFA1" w14:textId="77777777" w:rsidR="003F492B" w:rsidRPr="0023711B" w:rsidRDefault="003F492B" w:rsidP="0017079D">
            <w:pPr>
              <w:pStyle w:val="NormalWeb"/>
              <w:shd w:val="clear" w:color="auto" w:fill="FFFFFF"/>
              <w:spacing w:before="0" w:beforeAutospacing="0" w:after="0" w:afterAutospacing="0"/>
              <w:textAlignment w:val="baseline"/>
              <w:rPr>
                <w:rFonts w:ascii="Open Sans" w:hAnsi="Open Sans" w:cs="Open Sans"/>
                <w:color w:val="333333"/>
                <w:sz w:val="22"/>
                <w:szCs w:val="22"/>
              </w:rPr>
            </w:pPr>
            <w:r w:rsidRPr="0023711B">
              <w:rPr>
                <w:rFonts w:ascii="Arial Narrow" w:hAnsi="Arial Narrow" w:cs="Open Sans"/>
                <w:color w:val="333333"/>
                <w:sz w:val="20"/>
                <w:szCs w:val="20"/>
              </w:rPr>
              <w:t>HOBART TAS 7001</w:t>
            </w:r>
          </w:p>
        </w:tc>
      </w:tr>
      <w:tr w:rsidR="0017079D" w:rsidRPr="001428E9" w14:paraId="79DA651D"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3F21873" w14:textId="77777777" w:rsidR="0017079D" w:rsidRDefault="0017079D" w:rsidP="0017079D">
            <w:pPr>
              <w:rPr>
                <w:rFonts w:ascii="Arial Narrow" w:hAnsi="Arial Narrow"/>
                <w:b/>
                <w:bCs/>
                <w:color w:val="333333"/>
                <w:sz w:val="20"/>
                <w:szCs w:val="20"/>
              </w:rPr>
            </w:pPr>
          </w:p>
          <w:p w14:paraId="09A0D364" w14:textId="77777777" w:rsidR="0017079D" w:rsidRPr="001428E9" w:rsidRDefault="0017079D" w:rsidP="0017079D">
            <w:pPr>
              <w:rPr>
                <w:rFonts w:ascii="Arial Narrow" w:hAnsi="Arial Narrow"/>
                <w:b/>
                <w:bCs/>
                <w:color w:val="333333"/>
                <w:sz w:val="20"/>
                <w:szCs w:val="20"/>
              </w:rPr>
            </w:pPr>
          </w:p>
        </w:tc>
      </w:tr>
      <w:tr w:rsidR="0017079D" w:rsidRPr="001428E9" w14:paraId="4493CBCF"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4A65F5CE" w14:textId="2ED9FB2D" w:rsidR="003E671D" w:rsidRPr="001428E9" w:rsidRDefault="003E671D" w:rsidP="0017079D">
            <w:pPr>
              <w:rPr>
                <w:rFonts w:ascii="Arial Narrow" w:hAnsi="Arial Narrow"/>
                <w:b/>
                <w:bCs/>
                <w:color w:val="333333"/>
                <w:sz w:val="20"/>
                <w:szCs w:val="20"/>
              </w:rPr>
            </w:pPr>
            <w:r>
              <w:rPr>
                <w:rFonts w:ascii="Arial Narrow" w:hAnsi="Arial Narrow"/>
                <w:b/>
                <w:bCs/>
                <w:color w:val="333333"/>
                <w:sz w:val="20"/>
                <w:szCs w:val="20"/>
              </w:rPr>
              <w:t>Authority Required</w:t>
            </w:r>
          </w:p>
        </w:tc>
      </w:tr>
      <w:tr w:rsidR="003F492B" w:rsidRPr="001428E9" w14:paraId="61904FB6"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E1BF4F0" w14:textId="77777777" w:rsidR="003F492B" w:rsidRPr="001428E9" w:rsidRDefault="003F492B" w:rsidP="0017079D">
            <w:pPr>
              <w:rPr>
                <w:rFonts w:ascii="Arial Narrow" w:hAnsi="Arial Narrow"/>
                <w:b/>
                <w:bCs/>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E64E5D">
              <w:rPr>
                <w:rFonts w:ascii="Arial Narrow" w:hAnsi="Arial Narrow"/>
                <w:color w:val="333333"/>
                <w:sz w:val="20"/>
                <w:szCs w:val="20"/>
              </w:rPr>
              <w:t>Severe growth hormone deficiency</w:t>
            </w:r>
          </w:p>
        </w:tc>
      </w:tr>
      <w:tr w:rsidR="003F492B" w:rsidRPr="001428E9" w14:paraId="64E68997"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3B1D0F73" w14:textId="77777777" w:rsidR="003F492B" w:rsidRPr="001428E9" w:rsidRDefault="003F492B" w:rsidP="0017079D">
            <w:pPr>
              <w:rPr>
                <w:rFonts w:ascii="Arial Narrow" w:hAnsi="Arial Narrow"/>
                <w:b/>
                <w:bCs/>
                <w:color w:val="333333"/>
                <w:sz w:val="20"/>
                <w:szCs w:val="20"/>
              </w:rPr>
            </w:pPr>
          </w:p>
        </w:tc>
      </w:tr>
      <w:tr w:rsidR="003F492B" w:rsidRPr="001428E9" w14:paraId="77BDF7D5"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4E59CD3" w14:textId="77777777" w:rsidR="003F492B" w:rsidRPr="001428E9" w:rsidRDefault="003F492B" w:rsidP="0017079D">
            <w:pPr>
              <w:rPr>
                <w:rFonts w:ascii="Arial Narrow" w:hAnsi="Arial Narrow"/>
                <w:b/>
                <w:bCs/>
                <w:color w:val="333333"/>
                <w:sz w:val="20"/>
                <w:szCs w:val="20"/>
              </w:rPr>
            </w:pPr>
            <w:r w:rsidRPr="00011766">
              <w:rPr>
                <w:rFonts w:ascii="Arial Narrow" w:hAnsi="Arial Narrow"/>
                <w:b/>
                <w:bCs/>
                <w:sz w:val="20"/>
                <w:szCs w:val="20"/>
              </w:rPr>
              <w:t>Treatment Phase:</w:t>
            </w:r>
            <w:r w:rsidRPr="00011766">
              <w:rPr>
                <w:rFonts w:ascii="Arial Narrow" w:hAnsi="Arial Narrow"/>
                <w:sz w:val="20"/>
                <w:szCs w:val="20"/>
              </w:rPr>
              <w:t xml:space="preserve"> </w:t>
            </w:r>
            <w:r w:rsidRPr="003359CD">
              <w:rPr>
                <w:rFonts w:ascii="Arial Narrow" w:hAnsi="Arial Narrow"/>
                <w:sz w:val="20"/>
                <w:szCs w:val="20"/>
              </w:rPr>
              <w:t>Initial treatment of childhood onset growth hormone deficiency in a patient who has received non-PBS subsidised treatment as a child</w:t>
            </w:r>
          </w:p>
        </w:tc>
      </w:tr>
      <w:tr w:rsidR="003F492B" w:rsidRPr="001428E9" w14:paraId="751931ED"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6FCA380" w14:textId="77777777" w:rsidR="003F492B" w:rsidRPr="00011766" w:rsidRDefault="003F492B" w:rsidP="0017079D">
            <w:pPr>
              <w:rPr>
                <w:rFonts w:ascii="Arial Narrow" w:hAnsi="Arial Narrow"/>
                <w:b/>
                <w:bCs/>
                <w:sz w:val="20"/>
                <w:szCs w:val="20"/>
              </w:rPr>
            </w:pPr>
          </w:p>
        </w:tc>
      </w:tr>
      <w:tr w:rsidR="003F492B" w:rsidRPr="00011766" w14:paraId="079B68F5"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2F23B31F" w14:textId="77777777" w:rsidR="003F492B" w:rsidRPr="00011766" w:rsidRDefault="003F492B" w:rsidP="0017079D">
            <w:pPr>
              <w:rPr>
                <w:rFonts w:ascii="Arial Narrow" w:hAnsi="Arial Narrow"/>
                <w:b/>
                <w:bCs/>
                <w:sz w:val="20"/>
                <w:szCs w:val="20"/>
              </w:rPr>
            </w:pPr>
            <w:r w:rsidRPr="001428E9">
              <w:rPr>
                <w:rFonts w:ascii="Arial Narrow" w:hAnsi="Arial Narrow"/>
                <w:b/>
                <w:bCs/>
                <w:color w:val="333333"/>
                <w:sz w:val="20"/>
                <w:szCs w:val="20"/>
              </w:rPr>
              <w:t>Clinical criteria:</w:t>
            </w:r>
          </w:p>
        </w:tc>
      </w:tr>
      <w:tr w:rsidR="003F492B" w:rsidRPr="001428E9" w14:paraId="39734B3C"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F5921D2" w14:textId="77777777" w:rsidR="003F492B" w:rsidRPr="001428E9" w:rsidRDefault="003F492B" w:rsidP="0017079D">
            <w:pPr>
              <w:rPr>
                <w:rFonts w:ascii="Arial Narrow" w:hAnsi="Arial Narrow"/>
                <w:b/>
                <w:bCs/>
                <w:color w:val="333333"/>
                <w:sz w:val="20"/>
                <w:szCs w:val="20"/>
              </w:rPr>
            </w:pPr>
            <w:r w:rsidRPr="00D04801">
              <w:rPr>
                <w:rFonts w:ascii="Arial Narrow" w:hAnsi="Arial Narrow"/>
                <w:sz w:val="20"/>
                <w:szCs w:val="20"/>
              </w:rPr>
              <w:t>Patient must have a documented childhood onset growth hormone deficiency due to a congenital, genetic or structural cause</w:t>
            </w:r>
          </w:p>
        </w:tc>
      </w:tr>
      <w:tr w:rsidR="003F492B" w:rsidRPr="00D04801" w14:paraId="23F244B4"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B1A8878" w14:textId="77777777" w:rsidR="003F492B" w:rsidRPr="00D04801" w:rsidRDefault="003F492B" w:rsidP="0017079D">
            <w:pPr>
              <w:rPr>
                <w:rFonts w:ascii="Arial Narrow" w:hAnsi="Arial Narrow"/>
                <w:sz w:val="20"/>
                <w:szCs w:val="20"/>
              </w:rPr>
            </w:pPr>
            <w:r w:rsidRPr="00D04801">
              <w:rPr>
                <w:rFonts w:ascii="Arial Narrow" w:hAnsi="Arial Narrow"/>
                <w:b/>
                <w:bCs/>
                <w:sz w:val="20"/>
                <w:szCs w:val="20"/>
              </w:rPr>
              <w:t>AND</w:t>
            </w:r>
          </w:p>
        </w:tc>
      </w:tr>
      <w:tr w:rsidR="003F492B" w:rsidRPr="00D04801" w14:paraId="604E8A6F"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2FE0DB6C" w14:textId="77777777" w:rsidR="003F492B" w:rsidRPr="00D04801" w:rsidRDefault="003F492B" w:rsidP="0017079D">
            <w:pPr>
              <w:rPr>
                <w:rFonts w:ascii="Arial Narrow" w:hAnsi="Arial Narrow"/>
                <w:b/>
                <w:bCs/>
                <w:sz w:val="20"/>
                <w:szCs w:val="20"/>
              </w:rPr>
            </w:pPr>
            <w:r w:rsidRPr="00D04801">
              <w:rPr>
                <w:rFonts w:ascii="Arial Narrow" w:hAnsi="Arial Narrow"/>
                <w:b/>
                <w:bCs/>
                <w:sz w:val="20"/>
                <w:szCs w:val="20"/>
              </w:rPr>
              <w:t>Clinical criteria:</w:t>
            </w:r>
          </w:p>
        </w:tc>
      </w:tr>
      <w:tr w:rsidR="003F492B" w:rsidRPr="00D04801" w14:paraId="01ED0712"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68EDB2B0" w14:textId="77777777" w:rsidR="003F492B" w:rsidRPr="00D04801" w:rsidRDefault="003F492B" w:rsidP="0017079D">
            <w:pPr>
              <w:rPr>
                <w:rFonts w:ascii="Arial Narrow" w:hAnsi="Arial Narrow"/>
                <w:b/>
                <w:bCs/>
                <w:sz w:val="20"/>
                <w:szCs w:val="20"/>
              </w:rPr>
            </w:pPr>
            <w:r w:rsidRPr="000C0F15">
              <w:rPr>
                <w:rFonts w:ascii="Arial Narrow" w:hAnsi="Arial Narrow"/>
                <w:sz w:val="20"/>
                <w:szCs w:val="20"/>
              </w:rPr>
              <w:t>Patient must have previously received non-PBS subsidised treatment with this drug for this condition as a child</w:t>
            </w:r>
          </w:p>
        </w:tc>
      </w:tr>
      <w:tr w:rsidR="003F492B" w:rsidRPr="000C0F15" w14:paraId="142DCD12"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7503219F" w14:textId="77777777" w:rsidR="003F492B" w:rsidRPr="000C0F15" w:rsidRDefault="003F492B" w:rsidP="0017079D">
            <w:pPr>
              <w:rPr>
                <w:rFonts w:ascii="Arial Narrow" w:hAnsi="Arial Narrow"/>
                <w:sz w:val="20"/>
                <w:szCs w:val="20"/>
              </w:rPr>
            </w:pPr>
            <w:r w:rsidRPr="00D04801">
              <w:rPr>
                <w:rFonts w:ascii="Arial Narrow" w:hAnsi="Arial Narrow"/>
                <w:b/>
                <w:bCs/>
                <w:sz w:val="20"/>
                <w:szCs w:val="20"/>
              </w:rPr>
              <w:t>AND</w:t>
            </w:r>
          </w:p>
        </w:tc>
      </w:tr>
      <w:tr w:rsidR="003F492B" w:rsidRPr="000C0F15" w14:paraId="18AE67C6"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612575D" w14:textId="77777777" w:rsidR="003F492B" w:rsidRPr="000C0F15" w:rsidRDefault="003F492B" w:rsidP="0017079D">
            <w:pPr>
              <w:rPr>
                <w:rFonts w:ascii="Arial Narrow" w:hAnsi="Arial Narrow"/>
                <w:sz w:val="20"/>
                <w:szCs w:val="20"/>
              </w:rPr>
            </w:pPr>
            <w:r w:rsidRPr="00D04801">
              <w:rPr>
                <w:rFonts w:ascii="Arial Narrow" w:hAnsi="Arial Narrow"/>
                <w:b/>
                <w:bCs/>
                <w:sz w:val="20"/>
                <w:szCs w:val="20"/>
              </w:rPr>
              <w:t>Clinical criteria:</w:t>
            </w:r>
          </w:p>
        </w:tc>
      </w:tr>
      <w:tr w:rsidR="003F492B" w:rsidRPr="000C0F15" w14:paraId="0A975B52"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41F90DE8" w14:textId="77777777" w:rsidR="003F492B" w:rsidRPr="000C0F15" w:rsidRDefault="003F492B" w:rsidP="0017079D">
            <w:pPr>
              <w:rPr>
                <w:rFonts w:ascii="Arial Narrow" w:hAnsi="Arial Narrow"/>
                <w:sz w:val="20"/>
                <w:szCs w:val="20"/>
              </w:rPr>
            </w:pPr>
            <w:r w:rsidRPr="006E281E">
              <w:rPr>
                <w:rFonts w:ascii="Arial Narrow" w:hAnsi="Arial Narrow"/>
                <w:sz w:val="20"/>
                <w:szCs w:val="20"/>
              </w:rPr>
              <w:t>Patient must have current or historical evidence of an insulin tolerance test with maximum serum growth hormone (GH) less than 2.5 micrograms per litre; or</w:t>
            </w:r>
          </w:p>
        </w:tc>
      </w:tr>
      <w:tr w:rsidR="003F492B" w:rsidRPr="000C0F15" w14:paraId="4270B2A3"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1C820118" w14:textId="77777777" w:rsidR="003F492B" w:rsidRPr="000C0F15" w:rsidRDefault="003F492B" w:rsidP="0017079D">
            <w:pPr>
              <w:rPr>
                <w:rFonts w:ascii="Arial Narrow" w:hAnsi="Arial Narrow"/>
                <w:sz w:val="20"/>
                <w:szCs w:val="20"/>
              </w:rPr>
            </w:pPr>
            <w:r w:rsidRPr="006E281E">
              <w:rPr>
                <w:rFonts w:ascii="Arial Narrow" w:hAnsi="Arial Narrow"/>
                <w:sz w:val="20"/>
                <w:szCs w:val="20"/>
              </w:rPr>
              <w:t>Patient must have current or historical evidence of an arginine infusion test with maximum serum GH less than 0.4 micrograms per litre; or</w:t>
            </w:r>
          </w:p>
        </w:tc>
      </w:tr>
      <w:tr w:rsidR="003F492B" w:rsidRPr="000C0F15" w14:paraId="12551334"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2A296D5B" w14:textId="77777777" w:rsidR="003F492B" w:rsidRPr="000C0F15" w:rsidRDefault="003F492B" w:rsidP="0017079D">
            <w:pPr>
              <w:rPr>
                <w:rFonts w:ascii="Arial Narrow" w:hAnsi="Arial Narrow"/>
                <w:sz w:val="20"/>
                <w:szCs w:val="20"/>
              </w:rPr>
            </w:pPr>
            <w:r w:rsidRPr="006E281E">
              <w:rPr>
                <w:rFonts w:ascii="Arial Narrow" w:hAnsi="Arial Narrow"/>
                <w:sz w:val="20"/>
                <w:szCs w:val="20"/>
              </w:rPr>
              <w:t>Patient must have current or historical evidence of a glucagon provocation test with maximum serum GH less than 3 micrograms per litre</w:t>
            </w:r>
          </w:p>
        </w:tc>
      </w:tr>
      <w:tr w:rsidR="003F492B" w:rsidRPr="000C0F15" w14:paraId="30834E9B"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064A7BB" w14:textId="77777777" w:rsidR="003F492B" w:rsidRPr="006E281E" w:rsidRDefault="003F492B" w:rsidP="0017079D">
            <w:pPr>
              <w:rPr>
                <w:rFonts w:ascii="Arial Narrow" w:hAnsi="Arial Narrow"/>
                <w:sz w:val="20"/>
                <w:szCs w:val="20"/>
              </w:rPr>
            </w:pPr>
          </w:p>
        </w:tc>
      </w:tr>
      <w:tr w:rsidR="003F492B" w:rsidRPr="00E36127" w14:paraId="24BC7030"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8C911CC" w14:textId="77777777" w:rsidR="003F492B" w:rsidRPr="00E36127" w:rsidRDefault="003F492B" w:rsidP="0017079D">
            <w:pPr>
              <w:rPr>
                <w:rFonts w:ascii="Arial Narrow" w:hAnsi="Arial Narrow"/>
                <w:sz w:val="20"/>
                <w:szCs w:val="20"/>
              </w:rPr>
            </w:pPr>
            <w:r w:rsidRPr="001428E9">
              <w:rPr>
                <w:rFonts w:ascii="Arial Narrow" w:hAnsi="Arial Narrow"/>
                <w:b/>
                <w:bCs/>
                <w:color w:val="333333"/>
                <w:sz w:val="20"/>
                <w:szCs w:val="20"/>
              </w:rPr>
              <w:t>Treatment criteria:</w:t>
            </w:r>
          </w:p>
        </w:tc>
      </w:tr>
      <w:tr w:rsidR="003F492B" w:rsidRPr="001428E9" w14:paraId="49F0294C"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778A21D" w14:textId="77777777" w:rsidR="003F492B" w:rsidRPr="001428E9" w:rsidRDefault="003F492B" w:rsidP="0017079D">
            <w:pPr>
              <w:rPr>
                <w:rFonts w:ascii="Arial Narrow" w:hAnsi="Arial Narrow"/>
                <w:b/>
                <w:bCs/>
                <w:color w:val="333333"/>
                <w:sz w:val="20"/>
                <w:szCs w:val="20"/>
              </w:rPr>
            </w:pPr>
            <w:r w:rsidRPr="002027C8">
              <w:rPr>
                <w:rFonts w:ascii="Arial Narrow" w:hAnsi="Arial Narrow" w:cs="Arial Narrow"/>
                <w:iCs/>
                <w:sz w:val="20"/>
                <w:szCs w:val="20"/>
              </w:rPr>
              <w:t>Must be treated by an endocrinologist</w:t>
            </w:r>
          </w:p>
        </w:tc>
      </w:tr>
      <w:tr w:rsidR="003F492B" w:rsidRPr="001428E9" w14:paraId="01CAC026"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5EB5DC21" w14:textId="77777777" w:rsidR="003F492B" w:rsidRPr="002027C8" w:rsidRDefault="003F492B" w:rsidP="0017079D">
            <w:pPr>
              <w:rPr>
                <w:rFonts w:ascii="Arial Narrow" w:hAnsi="Arial Narrow" w:cs="Arial Narrow"/>
                <w:iCs/>
                <w:sz w:val="20"/>
                <w:szCs w:val="20"/>
              </w:rPr>
            </w:pPr>
          </w:p>
        </w:tc>
      </w:tr>
      <w:tr w:rsidR="003F492B" w:rsidRPr="002027C8" w14:paraId="7DB967BD"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7E3CCE0B" w14:textId="77777777" w:rsidR="003F492B" w:rsidRPr="002027C8" w:rsidRDefault="003F492B" w:rsidP="0017079D">
            <w:pPr>
              <w:rPr>
                <w:rFonts w:ascii="Arial Narrow" w:hAnsi="Arial Narrow" w:cs="Arial Narrow"/>
                <w:iCs/>
                <w:sz w:val="20"/>
                <w:szCs w:val="20"/>
              </w:rPr>
            </w:pPr>
            <w:r w:rsidRPr="008500A3">
              <w:rPr>
                <w:rFonts w:ascii="Arial Narrow" w:hAnsi="Arial Narrow" w:cs="Arial Narrow"/>
                <w:b/>
                <w:bCs/>
                <w:iCs/>
                <w:sz w:val="20"/>
                <w:szCs w:val="20"/>
              </w:rPr>
              <w:t>Population criteria:</w:t>
            </w:r>
          </w:p>
        </w:tc>
      </w:tr>
      <w:tr w:rsidR="003F492B" w:rsidRPr="008500A3" w14:paraId="4E0BACE4"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0D248B96" w14:textId="6996DFA2" w:rsidR="003F492B" w:rsidRPr="008500A3" w:rsidRDefault="003F492B" w:rsidP="0017079D">
            <w:pPr>
              <w:rPr>
                <w:rFonts w:ascii="Arial Narrow" w:hAnsi="Arial Narrow" w:cs="Arial Narrow"/>
                <w:b/>
                <w:bCs/>
                <w:iCs/>
                <w:sz w:val="20"/>
                <w:szCs w:val="20"/>
              </w:rPr>
            </w:pPr>
            <w:r w:rsidRPr="008500A3">
              <w:rPr>
                <w:rFonts w:ascii="Arial Narrow" w:hAnsi="Arial Narrow" w:cs="Arial Narrow"/>
                <w:iCs/>
                <w:sz w:val="20"/>
                <w:szCs w:val="20"/>
              </w:rPr>
              <w:t>Patient must have a mature skeleton</w:t>
            </w:r>
          </w:p>
        </w:tc>
      </w:tr>
      <w:tr w:rsidR="003F492B" w:rsidRPr="008500A3" w14:paraId="28A50C3E"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327409B4" w14:textId="2274D047" w:rsidR="003F492B" w:rsidRPr="008500A3" w:rsidRDefault="003F492B" w:rsidP="0017079D">
            <w:pPr>
              <w:rPr>
                <w:rFonts w:ascii="Arial Narrow" w:hAnsi="Arial Narrow" w:cs="Arial Narrow"/>
                <w:iCs/>
                <w:sz w:val="20"/>
                <w:szCs w:val="20"/>
              </w:rPr>
            </w:pPr>
          </w:p>
        </w:tc>
      </w:tr>
      <w:tr w:rsidR="003F492B" w:rsidRPr="0073069B" w14:paraId="4943AC4F"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715AF3B0" w14:textId="77777777" w:rsidR="003F492B" w:rsidRPr="0073069B" w:rsidRDefault="003F492B" w:rsidP="0017079D">
            <w:pPr>
              <w:rPr>
                <w:rFonts w:ascii="Arial Narrow" w:hAnsi="Arial Narrow" w:cs="Arial Narrow"/>
                <w:iCs/>
                <w:sz w:val="20"/>
                <w:szCs w:val="20"/>
              </w:rPr>
            </w:pPr>
            <w:r>
              <w:rPr>
                <w:rFonts w:ascii="Arial Narrow" w:hAnsi="Arial Narrow" w:cs="Arial Narrow"/>
                <w:b/>
                <w:bCs/>
                <w:iCs/>
                <w:sz w:val="20"/>
                <w:szCs w:val="20"/>
              </w:rPr>
              <w:t xml:space="preserve">Prescribing Instructions: </w:t>
            </w:r>
            <w:r w:rsidRPr="00F05E9F">
              <w:rPr>
                <w:rFonts w:ascii="Arial Narrow" w:hAnsi="Arial Narrow" w:cs="Arial Narrow"/>
                <w:iCs/>
                <w:sz w:val="20"/>
                <w:szCs w:val="20"/>
              </w:rPr>
              <w:t>Somatropin is not PBS-subsidised for patients with Prader-Willi syndrome aged 18 years or older without a documented childhood onset Growth Hormone Deficiency.</w:t>
            </w:r>
          </w:p>
        </w:tc>
      </w:tr>
      <w:tr w:rsidR="003F492B" w:rsidRPr="00B514FB" w14:paraId="291859C3"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75513D4B" w14:textId="77777777" w:rsidR="003F492B" w:rsidRDefault="003F492B" w:rsidP="0017079D">
            <w:pPr>
              <w:pStyle w:val="NormalWeb"/>
              <w:shd w:val="clear" w:color="auto" w:fill="FFFFFF"/>
              <w:spacing w:before="0" w:beforeAutospacing="0" w:after="0" w:afterAutospacing="0"/>
              <w:textAlignment w:val="baseline"/>
              <w:rPr>
                <w:rFonts w:ascii="Arial Narrow" w:hAnsi="Arial Narrow" w:cs="Arial Narrow"/>
                <w:b/>
                <w:bCs/>
                <w:iCs/>
                <w:sz w:val="20"/>
                <w:szCs w:val="20"/>
              </w:rPr>
            </w:pPr>
            <w:r>
              <w:rPr>
                <w:rFonts w:ascii="Arial Narrow" w:hAnsi="Arial Narrow" w:cs="Arial Narrow"/>
                <w:b/>
                <w:bCs/>
                <w:iCs/>
                <w:sz w:val="20"/>
                <w:szCs w:val="20"/>
              </w:rPr>
              <w:t xml:space="preserve">Prescribing Instructions: </w:t>
            </w:r>
          </w:p>
          <w:p w14:paraId="48A94BA0" w14:textId="77777777" w:rsidR="003F492B" w:rsidRPr="00B514FB" w:rsidRDefault="003F492B" w:rsidP="0017079D">
            <w:pPr>
              <w:pStyle w:val="NormalWeb"/>
              <w:shd w:val="clear" w:color="auto" w:fill="FFFFFF"/>
              <w:spacing w:before="0" w:beforeAutospacing="0" w:after="0" w:afterAutospacing="0"/>
              <w:textAlignment w:val="baseline"/>
              <w:rPr>
                <w:rFonts w:ascii="Arial Narrow" w:hAnsi="Arial Narrow" w:cs="Arial Narrow"/>
                <w:iCs/>
                <w:sz w:val="20"/>
                <w:szCs w:val="20"/>
              </w:rPr>
            </w:pPr>
            <w:r w:rsidRPr="00B514FB">
              <w:rPr>
                <w:rFonts w:ascii="Arial Narrow" w:hAnsi="Arial Narrow" w:cs="Arial Narrow"/>
                <w:iCs/>
                <w:sz w:val="20"/>
                <w:szCs w:val="20"/>
              </w:rPr>
              <w:t>The authority application must be in writing and must include:</w:t>
            </w:r>
          </w:p>
          <w:p w14:paraId="21C709D3" w14:textId="77777777" w:rsidR="003F492B" w:rsidRPr="00B514FB" w:rsidRDefault="003F492B" w:rsidP="0017079D">
            <w:pPr>
              <w:numPr>
                <w:ilvl w:val="0"/>
                <w:numId w:val="38"/>
              </w:numPr>
              <w:jc w:val="left"/>
              <w:textAlignment w:val="baseline"/>
              <w:rPr>
                <w:rFonts w:ascii="Arial Narrow" w:hAnsi="Arial Narrow" w:cs="Open Sans"/>
                <w:color w:val="333333"/>
                <w:sz w:val="20"/>
                <w:szCs w:val="20"/>
              </w:rPr>
            </w:pPr>
            <w:r w:rsidRPr="00B514FB">
              <w:rPr>
                <w:rFonts w:ascii="Arial Narrow" w:hAnsi="Arial Narrow" w:cs="Open Sans"/>
                <w:color w:val="333333"/>
                <w:sz w:val="20"/>
                <w:szCs w:val="20"/>
              </w:rPr>
              <w:t>A completed authority prescription form; AND</w:t>
            </w:r>
          </w:p>
          <w:p w14:paraId="6BD0AF2D" w14:textId="77777777" w:rsidR="003F492B" w:rsidRPr="00B514FB" w:rsidRDefault="003F492B" w:rsidP="0017079D">
            <w:pPr>
              <w:numPr>
                <w:ilvl w:val="0"/>
                <w:numId w:val="38"/>
              </w:numPr>
              <w:jc w:val="left"/>
              <w:textAlignment w:val="baseline"/>
              <w:rPr>
                <w:rFonts w:ascii="Arial Narrow" w:hAnsi="Arial Narrow" w:cs="Open Sans"/>
                <w:color w:val="333333"/>
                <w:sz w:val="20"/>
                <w:szCs w:val="20"/>
              </w:rPr>
            </w:pPr>
            <w:r w:rsidRPr="00B514FB">
              <w:rPr>
                <w:rFonts w:ascii="Arial Narrow" w:hAnsi="Arial Narrow" w:cs="Open Sans"/>
                <w:color w:val="333333"/>
                <w:sz w:val="20"/>
                <w:szCs w:val="20"/>
              </w:rPr>
              <w:t>A completed Severe Growth Hormone Deficiency supporting information form; AND</w:t>
            </w:r>
          </w:p>
          <w:p w14:paraId="3FDD5526" w14:textId="77777777" w:rsidR="003F492B" w:rsidRPr="00B514FB" w:rsidRDefault="003F492B" w:rsidP="0017079D">
            <w:pPr>
              <w:numPr>
                <w:ilvl w:val="0"/>
                <w:numId w:val="38"/>
              </w:numPr>
              <w:jc w:val="left"/>
              <w:textAlignment w:val="baseline"/>
              <w:rPr>
                <w:rFonts w:ascii="Open Sans" w:hAnsi="Open Sans" w:cs="Open Sans"/>
                <w:color w:val="333333"/>
                <w:sz w:val="22"/>
                <w:szCs w:val="22"/>
              </w:rPr>
            </w:pPr>
            <w:r w:rsidRPr="00B514FB">
              <w:rPr>
                <w:rFonts w:ascii="Arial Narrow" w:hAnsi="Arial Narrow" w:cs="Open Sans"/>
                <w:color w:val="333333"/>
                <w:sz w:val="20"/>
                <w:szCs w:val="20"/>
              </w:rPr>
              <w:t>Results of the growth hormone stimulation testing, including the date of testing, the type of test performed, the peak growth hormone concentration, and laboratory reference range for age/gender.</w:t>
            </w:r>
          </w:p>
        </w:tc>
      </w:tr>
      <w:tr w:rsidR="003F492B" w:rsidRPr="00B514FB" w14:paraId="0B3A982E"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6B0072A2" w14:textId="77777777" w:rsidR="003F492B" w:rsidRDefault="003F492B" w:rsidP="0017079D">
            <w:pPr>
              <w:pStyle w:val="NormalWeb"/>
              <w:shd w:val="clear" w:color="auto" w:fill="FFFFFF"/>
              <w:spacing w:before="0" w:beforeAutospacing="0" w:after="0" w:afterAutospacing="0"/>
              <w:textAlignment w:val="baseline"/>
              <w:rPr>
                <w:rFonts w:ascii="Arial Narrow" w:hAnsi="Arial Narrow" w:cs="Arial Narrow"/>
                <w:b/>
                <w:bCs/>
                <w:iCs/>
                <w:sz w:val="20"/>
                <w:szCs w:val="20"/>
              </w:rPr>
            </w:pPr>
          </w:p>
        </w:tc>
      </w:tr>
      <w:tr w:rsidR="003F492B" w14:paraId="23E3D2B9" w14:textId="77777777" w:rsidTr="002A338E">
        <w:tblPrEx>
          <w:tblCellMar>
            <w:top w:w="15" w:type="dxa"/>
            <w:bottom w:w="15" w:type="dxa"/>
          </w:tblCellMar>
          <w:tblLook w:val="04A0" w:firstRow="1" w:lastRow="0" w:firstColumn="1" w:lastColumn="0" w:noHBand="0" w:noVBand="1"/>
        </w:tblPrEx>
        <w:trPr>
          <w:gridAfter w:val="1"/>
          <w:wAfter w:w="13" w:type="dxa"/>
          <w:cantSplit/>
          <w:trHeight w:val="20"/>
        </w:trPr>
        <w:tc>
          <w:tcPr>
            <w:tcW w:w="9010" w:type="dxa"/>
            <w:gridSpan w:val="6"/>
            <w:vAlign w:val="center"/>
          </w:tcPr>
          <w:p w14:paraId="41684FBA" w14:textId="77777777" w:rsidR="003F492B" w:rsidRDefault="003F492B" w:rsidP="0017079D">
            <w:pPr>
              <w:rPr>
                <w:rFonts w:ascii="Arial Narrow" w:hAnsi="Arial Narrow"/>
                <w:bCs/>
                <w:color w:val="FF0000"/>
                <w:sz w:val="20"/>
                <w:szCs w:val="20"/>
              </w:rPr>
            </w:pPr>
            <w:r w:rsidRPr="001428E9">
              <w:rPr>
                <w:rFonts w:ascii="Arial Narrow" w:hAnsi="Arial Narrow"/>
                <w:b/>
                <w:bCs/>
                <w:color w:val="333333"/>
                <w:sz w:val="20"/>
                <w:szCs w:val="20"/>
              </w:rPr>
              <w:lastRenderedPageBreak/>
              <w:t xml:space="preserve">Administrative Advice: </w:t>
            </w:r>
          </w:p>
          <w:p w14:paraId="59C7636B"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513DD956"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Prescribing information (including Authority Application forms and other relevant documentation as applicable) is available on the Services Australia website at www.servicesaustralia.gov.au</w:t>
            </w:r>
          </w:p>
          <w:p w14:paraId="4CC78D6F"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Applications for authority to prescribe should be submitted online using the form upload facility in Health Professional Online Services (HPOS) at www.servicesaustralia.gov.au/hpos</w:t>
            </w:r>
          </w:p>
          <w:p w14:paraId="1E89C952"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Or mailed to:</w:t>
            </w:r>
          </w:p>
          <w:p w14:paraId="26FD1B25"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Services Australia</w:t>
            </w:r>
          </w:p>
          <w:p w14:paraId="57071170"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Complex Drugs</w:t>
            </w:r>
          </w:p>
          <w:p w14:paraId="4534DBF7" w14:textId="77777777" w:rsidR="003F492B" w:rsidRPr="0023711B" w:rsidRDefault="003F492B" w:rsidP="0017079D">
            <w:pPr>
              <w:pStyle w:val="NormalWeb"/>
              <w:shd w:val="clear" w:color="auto" w:fill="FFFFFF"/>
              <w:spacing w:before="0" w:beforeAutospacing="0" w:after="0" w:afterAutospacing="0"/>
              <w:textAlignment w:val="baseline"/>
              <w:rPr>
                <w:rFonts w:ascii="Arial Narrow" w:hAnsi="Arial Narrow" w:cs="Open Sans"/>
                <w:color w:val="333333"/>
                <w:sz w:val="20"/>
                <w:szCs w:val="20"/>
              </w:rPr>
            </w:pPr>
            <w:r w:rsidRPr="0023711B">
              <w:rPr>
                <w:rFonts w:ascii="Arial Narrow" w:hAnsi="Arial Narrow" w:cs="Open Sans"/>
                <w:color w:val="333333"/>
                <w:sz w:val="20"/>
                <w:szCs w:val="20"/>
              </w:rPr>
              <w:t>Reply Paid 9826</w:t>
            </w:r>
          </w:p>
          <w:p w14:paraId="17E76A40" w14:textId="77777777" w:rsidR="003F492B" w:rsidRDefault="003F492B" w:rsidP="0017079D">
            <w:pPr>
              <w:pStyle w:val="NormalWeb"/>
              <w:shd w:val="clear" w:color="auto" w:fill="FFFFFF"/>
              <w:spacing w:before="0" w:beforeAutospacing="0" w:after="0" w:afterAutospacing="0"/>
              <w:textAlignment w:val="baseline"/>
              <w:rPr>
                <w:rFonts w:ascii="Arial Narrow" w:hAnsi="Arial Narrow" w:cs="Arial Narrow"/>
                <w:b/>
                <w:bCs/>
                <w:iCs/>
                <w:sz w:val="20"/>
                <w:szCs w:val="20"/>
              </w:rPr>
            </w:pPr>
            <w:r w:rsidRPr="0023711B">
              <w:rPr>
                <w:rFonts w:ascii="Arial Narrow" w:hAnsi="Arial Narrow" w:cs="Open Sans"/>
                <w:color w:val="333333"/>
                <w:sz w:val="20"/>
                <w:szCs w:val="20"/>
              </w:rPr>
              <w:t>HOBART TAS 7001</w:t>
            </w:r>
          </w:p>
        </w:tc>
      </w:tr>
    </w:tbl>
    <w:p w14:paraId="4CFD0192" w14:textId="74E9720B" w:rsidR="00CD6B25" w:rsidRDefault="00CD6B25" w:rsidP="007F0E67">
      <w:pPr>
        <w:tabs>
          <w:tab w:val="left" w:pos="1080"/>
        </w:tabs>
        <w:autoSpaceDE w:val="0"/>
        <w:autoSpaceDN w:val="0"/>
        <w:adjustRightInd w:val="0"/>
        <w:rPr>
          <w:rFonts w:asciiTheme="minorHAnsi" w:hAnsiTheme="minorHAnsi" w:cstheme="minorHAnsi"/>
        </w:rPr>
      </w:pPr>
    </w:p>
    <w:p w14:paraId="3AC8FC6B" w14:textId="0B879A41" w:rsidR="003E671D" w:rsidRPr="00C339BE" w:rsidRDefault="003E671D" w:rsidP="007F0E67">
      <w:pPr>
        <w:tabs>
          <w:tab w:val="left" w:pos="1080"/>
        </w:tabs>
        <w:autoSpaceDE w:val="0"/>
        <w:autoSpaceDN w:val="0"/>
        <w:adjustRightInd w:val="0"/>
        <w:rPr>
          <w:rFonts w:asciiTheme="minorHAnsi" w:hAnsiTheme="minorHAnsi" w:cstheme="minorHAnsi"/>
          <w:i/>
          <w:iCs/>
        </w:rPr>
      </w:pPr>
      <w:r w:rsidRPr="00C339BE">
        <w:rPr>
          <w:rFonts w:asciiTheme="minorHAnsi" w:hAnsiTheme="minorHAnsi" w:cstheme="minorHAnsi"/>
          <w:i/>
          <w:iCs/>
        </w:rPr>
        <w:t>Restriction summary numbers current as of 1 September 2023.  Where restriction summary numbers are to update, the restriction summary numbers applying to Saizen at the time of listing are to be identical to those applying to the following PBS items</w:t>
      </w:r>
      <w:r>
        <w:rPr>
          <w:rFonts w:asciiTheme="minorHAnsi" w:hAnsiTheme="minorHAnsi" w:cstheme="minorHAnsi"/>
          <w:i/>
          <w:iCs/>
        </w:rPr>
        <w:t xml:space="preserve"> for indication 19043 (Severe growth hormone deficiency)</w:t>
      </w:r>
      <w:r w:rsidRPr="00C339BE">
        <w:rPr>
          <w:rFonts w:asciiTheme="minorHAnsi" w:hAnsiTheme="minorHAnsi" w:cstheme="minorHAnsi"/>
          <w:i/>
          <w:iCs/>
        </w:rPr>
        <w:t>:</w:t>
      </w:r>
    </w:p>
    <w:p w14:paraId="67A1F338" w14:textId="73CD3A83" w:rsidR="003E671D" w:rsidRDefault="003E671D" w:rsidP="007F0E67">
      <w:pPr>
        <w:tabs>
          <w:tab w:val="left" w:pos="1080"/>
        </w:tabs>
        <w:autoSpaceDE w:val="0"/>
        <w:autoSpaceDN w:val="0"/>
        <w:adjustRightInd w:val="0"/>
        <w:rPr>
          <w:rFonts w:asciiTheme="minorHAnsi" w:hAnsiTheme="minorHAnsi" w:cstheme="minorHAnsi"/>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6"/>
        <w:gridCol w:w="1416"/>
        <w:gridCol w:w="1984"/>
      </w:tblGrid>
      <w:tr w:rsidR="003E671D" w:rsidRPr="002A36CF" w14:paraId="4B32FE47" w14:textId="77777777" w:rsidTr="00C339BE">
        <w:trPr>
          <w:trHeight w:val="20"/>
        </w:trPr>
        <w:tc>
          <w:tcPr>
            <w:tcW w:w="3124" w:type="pct"/>
            <w:vAlign w:val="center"/>
          </w:tcPr>
          <w:p w14:paraId="5703C592" w14:textId="77777777" w:rsidR="003E671D" w:rsidRPr="002A36CF" w:rsidRDefault="003E671D" w:rsidP="00EA2018">
            <w:pPr>
              <w:keepNext/>
              <w:rPr>
                <w:rFonts w:ascii="Arial Narrow" w:hAnsi="Arial Narrow" w:cs="Arial"/>
                <w:b/>
                <w:bCs/>
                <w:sz w:val="20"/>
                <w:szCs w:val="20"/>
                <w:lang w:val="en-US"/>
              </w:rPr>
            </w:pPr>
            <w:r w:rsidRPr="002A36CF">
              <w:rPr>
                <w:rFonts w:ascii="Arial Narrow" w:hAnsi="Arial Narrow" w:cs="Arial"/>
                <w:b/>
                <w:bCs/>
                <w:sz w:val="20"/>
                <w:szCs w:val="20"/>
                <w:lang w:val="en-US"/>
              </w:rPr>
              <w:t>MEDICINAL PRODUCT</w:t>
            </w:r>
          </w:p>
          <w:p w14:paraId="46BF692D" w14:textId="77777777" w:rsidR="003E671D" w:rsidRPr="002A36CF" w:rsidRDefault="003E671D" w:rsidP="00EA2018">
            <w:pPr>
              <w:keepNext/>
              <w:rPr>
                <w:rFonts w:ascii="Arial Narrow" w:hAnsi="Arial Narrow" w:cs="Arial"/>
                <w:b/>
                <w:sz w:val="20"/>
                <w:szCs w:val="20"/>
                <w:lang w:val="en-US"/>
              </w:rPr>
            </w:pPr>
            <w:r w:rsidRPr="002A36CF">
              <w:rPr>
                <w:rFonts w:ascii="Arial Narrow" w:hAnsi="Arial Narrow" w:cs="Arial"/>
                <w:b/>
                <w:sz w:val="20"/>
                <w:szCs w:val="20"/>
                <w:lang w:val="en-US"/>
              </w:rPr>
              <w:t>Form</w:t>
            </w:r>
          </w:p>
        </w:tc>
        <w:tc>
          <w:tcPr>
            <w:tcW w:w="781" w:type="pct"/>
            <w:vAlign w:val="center"/>
          </w:tcPr>
          <w:p w14:paraId="3832B5D8" w14:textId="77777777" w:rsidR="003E671D" w:rsidRPr="002A36CF" w:rsidRDefault="003E671D" w:rsidP="00EA2018">
            <w:pPr>
              <w:keepNext/>
              <w:jc w:val="center"/>
              <w:rPr>
                <w:rFonts w:ascii="Arial Narrow" w:hAnsi="Arial Narrow" w:cs="Arial"/>
                <w:b/>
                <w:sz w:val="20"/>
                <w:szCs w:val="20"/>
                <w:lang w:val="en-US"/>
              </w:rPr>
            </w:pPr>
            <w:r w:rsidRPr="002A36CF">
              <w:rPr>
                <w:rFonts w:ascii="Arial Narrow" w:hAnsi="Arial Narrow" w:cs="Arial"/>
                <w:b/>
                <w:sz w:val="20"/>
                <w:szCs w:val="20"/>
                <w:lang w:val="en-US"/>
              </w:rPr>
              <w:t>PBS item code</w:t>
            </w:r>
          </w:p>
        </w:tc>
        <w:tc>
          <w:tcPr>
            <w:tcW w:w="1094" w:type="pct"/>
            <w:vAlign w:val="center"/>
          </w:tcPr>
          <w:p w14:paraId="0C76F8C9" w14:textId="77777777" w:rsidR="003E671D" w:rsidRPr="002A36CF" w:rsidRDefault="003E671D" w:rsidP="00EA2018">
            <w:pPr>
              <w:keepNext/>
              <w:jc w:val="center"/>
              <w:rPr>
                <w:rFonts w:ascii="Arial Narrow" w:hAnsi="Arial Narrow" w:cs="Arial"/>
                <w:b/>
                <w:sz w:val="20"/>
                <w:szCs w:val="20"/>
                <w:lang w:val="en-US"/>
              </w:rPr>
            </w:pPr>
            <w:r w:rsidRPr="002A36CF">
              <w:rPr>
                <w:rFonts w:ascii="Arial Narrow" w:hAnsi="Arial Narrow" w:cs="Arial"/>
                <w:b/>
                <w:sz w:val="20"/>
                <w:szCs w:val="20"/>
                <w:lang w:val="en-US"/>
              </w:rPr>
              <w:t>Brand</w:t>
            </w:r>
          </w:p>
        </w:tc>
      </w:tr>
      <w:tr w:rsidR="003E671D" w:rsidRPr="002A36CF" w14:paraId="1C40B6F0" w14:textId="77777777" w:rsidTr="00C339BE">
        <w:trPr>
          <w:trHeight w:val="20"/>
        </w:trPr>
        <w:tc>
          <w:tcPr>
            <w:tcW w:w="3124" w:type="pct"/>
            <w:vAlign w:val="center"/>
          </w:tcPr>
          <w:p w14:paraId="50AADA5A" w14:textId="77777777" w:rsidR="003E671D" w:rsidRPr="002A36CF" w:rsidRDefault="003E671D" w:rsidP="00EA2018">
            <w:pPr>
              <w:keepNext/>
              <w:rPr>
                <w:rFonts w:ascii="Arial Narrow" w:hAnsi="Arial Narrow" w:cs="Arial"/>
                <w:sz w:val="20"/>
                <w:szCs w:val="20"/>
              </w:rPr>
            </w:pPr>
            <w:r w:rsidRPr="002A36CF">
              <w:rPr>
                <w:rFonts w:ascii="Arial Narrow" w:hAnsi="Arial Narrow" w:cs="Arial"/>
                <w:sz w:val="20"/>
                <w:szCs w:val="20"/>
              </w:rPr>
              <w:t>somatropin 10 mg/2 mL injection, 2 mL cartridge</w:t>
            </w:r>
          </w:p>
        </w:tc>
        <w:tc>
          <w:tcPr>
            <w:tcW w:w="781" w:type="pct"/>
            <w:vAlign w:val="center"/>
          </w:tcPr>
          <w:p w14:paraId="45877C8C"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11650E</w:t>
            </w:r>
          </w:p>
        </w:tc>
        <w:tc>
          <w:tcPr>
            <w:tcW w:w="1094" w:type="pct"/>
            <w:vAlign w:val="center"/>
          </w:tcPr>
          <w:p w14:paraId="79C1D621"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Nutropin Aq</w:t>
            </w:r>
          </w:p>
        </w:tc>
      </w:tr>
      <w:tr w:rsidR="003E671D" w:rsidRPr="002A36CF" w14:paraId="467FE530" w14:textId="77777777" w:rsidTr="00C339BE">
        <w:trPr>
          <w:trHeight w:val="20"/>
        </w:trPr>
        <w:tc>
          <w:tcPr>
            <w:tcW w:w="3124" w:type="pct"/>
            <w:vAlign w:val="center"/>
          </w:tcPr>
          <w:p w14:paraId="79B6CDE8" w14:textId="77777777" w:rsidR="003E671D" w:rsidRPr="002A36CF" w:rsidRDefault="003E671D" w:rsidP="00EA2018">
            <w:pPr>
              <w:keepNext/>
              <w:rPr>
                <w:rFonts w:ascii="Arial Narrow" w:hAnsi="Arial Narrow" w:cs="Arial"/>
                <w:sz w:val="20"/>
                <w:szCs w:val="20"/>
              </w:rPr>
            </w:pPr>
            <w:r w:rsidRPr="002A36CF">
              <w:rPr>
                <w:rFonts w:ascii="Arial Narrow" w:hAnsi="Arial Narrow" w:cs="Arial"/>
                <w:sz w:val="20"/>
                <w:szCs w:val="20"/>
              </w:rPr>
              <w:t>somatropin 12 mg injection [1 chamber] (&amp;) inert substance diluent [1 mL chamber], 1 dual chamber pen device </w:t>
            </w:r>
          </w:p>
        </w:tc>
        <w:tc>
          <w:tcPr>
            <w:tcW w:w="781" w:type="pct"/>
            <w:vAlign w:val="center"/>
          </w:tcPr>
          <w:p w14:paraId="75062A60"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11495B</w:t>
            </w:r>
          </w:p>
        </w:tc>
        <w:tc>
          <w:tcPr>
            <w:tcW w:w="1094" w:type="pct"/>
            <w:vAlign w:val="center"/>
          </w:tcPr>
          <w:p w14:paraId="089490B3"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Genotropin GoQuick</w:t>
            </w:r>
          </w:p>
        </w:tc>
      </w:tr>
      <w:tr w:rsidR="003E671D" w:rsidRPr="002A36CF" w14:paraId="59C53956" w14:textId="77777777" w:rsidTr="00C339BE">
        <w:trPr>
          <w:trHeight w:val="20"/>
        </w:trPr>
        <w:tc>
          <w:tcPr>
            <w:tcW w:w="3124" w:type="pct"/>
            <w:vAlign w:val="center"/>
          </w:tcPr>
          <w:p w14:paraId="33884B30" w14:textId="77777777" w:rsidR="003E671D" w:rsidRPr="002A36CF" w:rsidRDefault="003E671D" w:rsidP="00EA2018">
            <w:pPr>
              <w:keepNext/>
              <w:rPr>
                <w:rFonts w:ascii="Arial Narrow" w:hAnsi="Arial Narrow" w:cs="Arial"/>
                <w:sz w:val="20"/>
                <w:szCs w:val="20"/>
              </w:rPr>
            </w:pPr>
            <w:r w:rsidRPr="002A36CF">
              <w:rPr>
                <w:rFonts w:ascii="Arial Narrow" w:hAnsi="Arial Narrow" w:cs="Arial"/>
                <w:sz w:val="20"/>
                <w:szCs w:val="20"/>
              </w:rPr>
              <w:t>somatropin 5 mg injection [1 chamber] (&amp;) inert substance diluent [1 mL chamber], 1 dual chamber pen device </w:t>
            </w:r>
          </w:p>
        </w:tc>
        <w:tc>
          <w:tcPr>
            <w:tcW w:w="781" w:type="pct"/>
            <w:vAlign w:val="center"/>
          </w:tcPr>
          <w:p w14:paraId="0EB947BB"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11493X</w:t>
            </w:r>
          </w:p>
        </w:tc>
        <w:tc>
          <w:tcPr>
            <w:tcW w:w="1094" w:type="pct"/>
            <w:vAlign w:val="center"/>
          </w:tcPr>
          <w:p w14:paraId="75019BDC"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Genotropin GoQuick</w:t>
            </w:r>
          </w:p>
        </w:tc>
      </w:tr>
      <w:tr w:rsidR="003E671D" w:rsidRPr="002A36CF" w14:paraId="7DB883DE" w14:textId="77777777" w:rsidTr="00C339BE">
        <w:trPr>
          <w:trHeight w:val="20"/>
        </w:trPr>
        <w:tc>
          <w:tcPr>
            <w:tcW w:w="3124" w:type="pct"/>
            <w:vAlign w:val="center"/>
          </w:tcPr>
          <w:p w14:paraId="7E35802A" w14:textId="77777777" w:rsidR="003E671D" w:rsidRPr="002A36CF" w:rsidRDefault="003E671D" w:rsidP="00EA2018">
            <w:pPr>
              <w:keepNext/>
              <w:rPr>
                <w:rFonts w:ascii="Arial Narrow" w:hAnsi="Arial Narrow" w:cs="Arial"/>
                <w:sz w:val="20"/>
                <w:szCs w:val="20"/>
              </w:rPr>
            </w:pPr>
            <w:r w:rsidRPr="002A36CF">
              <w:rPr>
                <w:rFonts w:ascii="Arial Narrow" w:hAnsi="Arial Narrow" w:cs="Arial"/>
                <w:sz w:val="20"/>
                <w:szCs w:val="20"/>
              </w:rPr>
              <w:t>somatropin 5 mg/1.5 mL injection, 1.5 mL cartridge</w:t>
            </w:r>
          </w:p>
        </w:tc>
        <w:tc>
          <w:tcPr>
            <w:tcW w:w="781" w:type="pct"/>
            <w:vAlign w:val="center"/>
          </w:tcPr>
          <w:p w14:paraId="6582C8FC"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11895C</w:t>
            </w:r>
          </w:p>
        </w:tc>
        <w:tc>
          <w:tcPr>
            <w:tcW w:w="1094" w:type="pct"/>
            <w:vAlign w:val="center"/>
          </w:tcPr>
          <w:p w14:paraId="656563F4" w14:textId="77777777" w:rsidR="003E671D" w:rsidRPr="002A36CF" w:rsidRDefault="003E671D" w:rsidP="00EA2018">
            <w:pPr>
              <w:keepNext/>
              <w:jc w:val="center"/>
              <w:rPr>
                <w:rFonts w:ascii="Arial Narrow" w:hAnsi="Arial Narrow" w:cs="Arial"/>
                <w:sz w:val="20"/>
                <w:szCs w:val="20"/>
              </w:rPr>
            </w:pPr>
            <w:r w:rsidRPr="002A36CF">
              <w:rPr>
                <w:rFonts w:ascii="Arial Narrow" w:hAnsi="Arial Narrow" w:cs="Arial"/>
                <w:sz w:val="20"/>
                <w:szCs w:val="20"/>
              </w:rPr>
              <w:t>Norditropin FlexPro</w:t>
            </w:r>
          </w:p>
        </w:tc>
      </w:tr>
    </w:tbl>
    <w:p w14:paraId="234AA2B6" w14:textId="08DB00EE" w:rsidR="003E671D" w:rsidRDefault="003E671D" w:rsidP="007F0E67">
      <w:pPr>
        <w:tabs>
          <w:tab w:val="left" w:pos="1080"/>
        </w:tabs>
        <w:autoSpaceDE w:val="0"/>
        <w:autoSpaceDN w:val="0"/>
        <w:adjustRightInd w:val="0"/>
        <w:rPr>
          <w:rFonts w:asciiTheme="minorHAnsi" w:hAnsiTheme="minorHAnsi" w:cstheme="minorHAnsi"/>
        </w:rPr>
      </w:pPr>
    </w:p>
    <w:p w14:paraId="54BF535F" w14:textId="331FBFB3" w:rsidR="009B7F9C" w:rsidRPr="009B7F9C" w:rsidRDefault="009B7F9C" w:rsidP="00E30EB5">
      <w:pPr>
        <w:pStyle w:val="3Bodytext"/>
        <w:rPr>
          <w:rFonts w:cstheme="minorHAnsi"/>
        </w:rPr>
      </w:pPr>
      <w:r w:rsidRPr="00C339BE">
        <w:t xml:space="preserve">At its July 2023 meeting, the PBAC recommended the removal of references to Prader-Willi Syndrome in the PBS restriction criteria for somatropin to align with the updated definitions of ‘adult’ and ‘child’ in the </w:t>
      </w:r>
      <w:r w:rsidRPr="00C339BE">
        <w:rPr>
          <w:i/>
          <w:iCs/>
        </w:rPr>
        <w:t xml:space="preserve">National Health (Growth Hormone Program) Special Arrangement 2015. </w:t>
      </w:r>
      <w:r w:rsidRPr="00C339BE">
        <w:t>These changes are yet to be implemented but will be included in the PBS-listings for Saizen 6 mg and 12 mg for severe late onset GHD.</w:t>
      </w:r>
    </w:p>
    <w:p w14:paraId="5A3D9DE6" w14:textId="46F5F00F" w:rsidR="00CD6B25" w:rsidRDefault="00CD6B25" w:rsidP="00CD6B25">
      <w:pPr>
        <w:widowControl w:val="0"/>
        <w:spacing w:after="120"/>
        <w:rPr>
          <w:rFonts w:asciiTheme="minorHAnsi" w:hAnsiTheme="minorHAnsi"/>
          <w:b/>
          <w:i/>
        </w:rPr>
      </w:pPr>
      <w:r>
        <w:rPr>
          <w:rFonts w:asciiTheme="minorHAnsi" w:hAnsiTheme="minorHAnsi"/>
          <w:b/>
          <w:i/>
        </w:rPr>
        <w:t>T</w:t>
      </w:r>
      <w:r w:rsidRPr="00936FC8">
        <w:rPr>
          <w:rFonts w:asciiTheme="minorHAnsi" w:hAnsiTheme="minorHAnsi"/>
          <w:b/>
          <w:i/>
        </w:rPr>
        <w:t xml:space="preserve">his restriction may be subject to further review. Should there be any changes made to the restriction the </w:t>
      </w:r>
      <w:r>
        <w:rPr>
          <w:rFonts w:asciiTheme="minorHAnsi" w:hAnsiTheme="minorHAnsi"/>
          <w:b/>
          <w:i/>
        </w:rPr>
        <w:t>s</w:t>
      </w:r>
      <w:r w:rsidRPr="00936FC8">
        <w:rPr>
          <w:rFonts w:asciiTheme="minorHAnsi" w:hAnsiTheme="minorHAnsi"/>
          <w:b/>
          <w:i/>
        </w:rPr>
        <w:t>ponsor will be informed.</w:t>
      </w:r>
    </w:p>
    <w:p w14:paraId="6F33E3F2" w14:textId="77777777" w:rsidR="00BF7F16" w:rsidRPr="00BE57BE" w:rsidRDefault="00BF7F16" w:rsidP="00BF7F16">
      <w:pPr>
        <w:pStyle w:val="2-SectionHeading"/>
        <w:rPr>
          <w:rFonts w:eastAsia="Calibri"/>
          <w:lang w:eastAsia="en-US"/>
        </w:rPr>
      </w:pPr>
      <w:bookmarkStart w:id="5" w:name="_Hlk112834232"/>
      <w:r w:rsidRPr="00BE57BE">
        <w:rPr>
          <w:rFonts w:eastAsia="Calibri"/>
          <w:lang w:eastAsia="en-US"/>
        </w:rPr>
        <w:t>Context for Decision</w:t>
      </w:r>
    </w:p>
    <w:p w14:paraId="34BCA0AB" w14:textId="77777777" w:rsidR="00BF7F16" w:rsidRPr="007129F2" w:rsidRDefault="00BF7F16" w:rsidP="002A338E">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6C8D5F" w14:textId="77777777" w:rsidR="00BF7F16" w:rsidRPr="00BE57BE" w:rsidRDefault="00BF7F16" w:rsidP="00BF7F16">
      <w:pPr>
        <w:pStyle w:val="2-SectionHeading"/>
        <w:rPr>
          <w:rFonts w:eastAsia="Calibri"/>
          <w:lang w:eastAsia="en-US"/>
        </w:rPr>
      </w:pPr>
      <w:r w:rsidRPr="00BE57BE">
        <w:rPr>
          <w:rFonts w:eastAsia="Calibri"/>
          <w:lang w:eastAsia="en-US"/>
        </w:rPr>
        <w:lastRenderedPageBreak/>
        <w:t>Sponsor’s Comment</w:t>
      </w:r>
    </w:p>
    <w:bookmarkEnd w:id="5"/>
    <w:p w14:paraId="42188F64" w14:textId="77777777" w:rsidR="00BF7F16" w:rsidRPr="001179AC" w:rsidRDefault="00BF7F16" w:rsidP="002A338E">
      <w:pPr>
        <w:spacing w:after="120"/>
        <w:ind w:left="720"/>
        <w:rPr>
          <w:rFonts w:cs="Arial"/>
          <w:bCs/>
        </w:rPr>
      </w:pPr>
      <w:r w:rsidRPr="00C07617">
        <w:rPr>
          <w:rFonts w:cs="Arial"/>
          <w:bCs/>
        </w:rPr>
        <w:t>The sponsor had no comment.</w:t>
      </w:r>
    </w:p>
    <w:sectPr w:rsidR="00BF7F16" w:rsidRPr="001179AC" w:rsidSect="0017079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FFF8" w14:textId="77777777" w:rsidR="002206D5" w:rsidRDefault="002206D5">
      <w:r>
        <w:separator/>
      </w:r>
    </w:p>
    <w:p w14:paraId="6A94A62E" w14:textId="77777777" w:rsidR="002206D5" w:rsidRDefault="002206D5"/>
  </w:endnote>
  <w:endnote w:type="continuationSeparator" w:id="0">
    <w:p w14:paraId="2C5AEE9F" w14:textId="77777777" w:rsidR="002206D5" w:rsidRDefault="002206D5">
      <w:r>
        <w:continuationSeparator/>
      </w:r>
    </w:p>
    <w:p w14:paraId="3781143E" w14:textId="77777777" w:rsidR="002206D5" w:rsidRDefault="002206D5"/>
  </w:endnote>
  <w:endnote w:type="continuationNotice" w:id="1">
    <w:p w14:paraId="05056735" w14:textId="77777777" w:rsidR="002206D5" w:rsidRDefault="00220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254792"/>
      <w:docPartObj>
        <w:docPartGallery w:val="Page Numbers (Bottom of Page)"/>
        <w:docPartUnique/>
      </w:docPartObj>
    </w:sdtPr>
    <w:sdtEndPr>
      <w:rPr>
        <w:b/>
        <w:bCs/>
        <w:noProof/>
      </w:rPr>
    </w:sdtEndPr>
    <w:sdtContent>
      <w:p w14:paraId="5B62A0FC" w14:textId="77777777" w:rsidR="00813AC1" w:rsidRDefault="00813AC1" w:rsidP="00AF35C4">
        <w:pPr>
          <w:pStyle w:val="Footer"/>
          <w:jc w:val="center"/>
        </w:pPr>
      </w:p>
      <w:p w14:paraId="355827FE" w14:textId="2AF385D9" w:rsidR="009C26AA" w:rsidRPr="00AF35C4" w:rsidRDefault="00AF35C4" w:rsidP="00AF35C4">
        <w:pPr>
          <w:pStyle w:val="Footer"/>
          <w:jc w:val="center"/>
          <w:rPr>
            <w:b/>
            <w:bCs/>
          </w:rPr>
        </w:pPr>
        <w:r w:rsidRPr="00AF35C4">
          <w:rPr>
            <w:b/>
            <w:bCs/>
          </w:rPr>
          <w:fldChar w:fldCharType="begin"/>
        </w:r>
        <w:r w:rsidRPr="00AF35C4">
          <w:rPr>
            <w:b/>
            <w:bCs/>
          </w:rPr>
          <w:instrText xml:space="preserve"> PAGE   \* MERGEFORMAT </w:instrText>
        </w:r>
        <w:r w:rsidRPr="00AF35C4">
          <w:rPr>
            <w:b/>
            <w:bCs/>
          </w:rPr>
          <w:fldChar w:fldCharType="separate"/>
        </w:r>
        <w:r w:rsidRPr="00AF35C4">
          <w:rPr>
            <w:b/>
            <w:bCs/>
            <w:noProof/>
          </w:rPr>
          <w:t>2</w:t>
        </w:r>
        <w:r w:rsidRPr="00AF35C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0C2A" w14:textId="77777777" w:rsidR="002206D5" w:rsidRDefault="002206D5">
      <w:r>
        <w:separator/>
      </w:r>
    </w:p>
    <w:p w14:paraId="3F7785AB" w14:textId="77777777" w:rsidR="002206D5" w:rsidRDefault="002206D5"/>
  </w:footnote>
  <w:footnote w:type="continuationSeparator" w:id="0">
    <w:p w14:paraId="7A6699D4" w14:textId="77777777" w:rsidR="002206D5" w:rsidRDefault="002206D5">
      <w:r>
        <w:continuationSeparator/>
      </w:r>
    </w:p>
    <w:p w14:paraId="4D286575" w14:textId="77777777" w:rsidR="002206D5" w:rsidRDefault="002206D5"/>
  </w:footnote>
  <w:footnote w:type="continuationNotice" w:id="1">
    <w:p w14:paraId="3A2BA650" w14:textId="77777777" w:rsidR="002206D5" w:rsidRDefault="00220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13FBF648" w:rsidR="00C56D78" w:rsidRPr="00C56D78" w:rsidRDefault="00BF7F16"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 xml:space="preserve">Public Summary </w:t>
    </w:r>
    <w:r w:rsidR="003F492B">
      <w:rPr>
        <w:rFonts w:asciiTheme="minorHAnsi" w:eastAsiaTheme="minorEastAsia" w:hAnsiTheme="minorHAnsi" w:cstheme="minorHAnsi"/>
        <w:i/>
        <w:color w:val="808080"/>
      </w:rPr>
      <w:t xml:space="preserve">Document </w:t>
    </w:r>
    <w:r w:rsidR="00AF35C4">
      <w:rPr>
        <w:rFonts w:asciiTheme="minorHAnsi" w:eastAsiaTheme="minorEastAsia" w:hAnsiTheme="minorHAnsi" w:cstheme="minorHAnsi"/>
        <w:i/>
        <w:color w:val="808080"/>
      </w:rPr>
      <w:t xml:space="preserve">– </w:t>
    </w:r>
    <w:r w:rsidR="0089710D">
      <w:rPr>
        <w:rFonts w:asciiTheme="minorHAnsi" w:eastAsiaTheme="minorEastAsia" w:hAnsiTheme="minorHAnsi" w:cstheme="minorHAnsi"/>
        <w:i/>
        <w:color w:val="808080"/>
      </w:rPr>
      <w:t>September</w:t>
    </w:r>
    <w:r w:rsidR="00C56D78">
      <w:rPr>
        <w:rFonts w:asciiTheme="minorHAnsi" w:eastAsiaTheme="minorEastAsia" w:hAnsiTheme="minorHAnsi" w:cstheme="minorHAnsi"/>
        <w:i/>
        <w:color w:val="808080"/>
      </w:rPr>
      <w:t xml:space="preserve"> 202</w:t>
    </w:r>
    <w:r w:rsidR="0089710D">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w:t>
    </w:r>
    <w:r w:rsidR="0089710D">
      <w:rPr>
        <w:rFonts w:asciiTheme="minorHAnsi" w:eastAsiaTheme="minorEastAsia" w:hAnsiTheme="minorHAnsi" w:cstheme="minorHAnsi"/>
        <w:i/>
        <w:color w:val="808080"/>
      </w:rPr>
      <w:t xml:space="preserve"> Intracycle</w:t>
    </w:r>
    <w:r w:rsidR="00C56D78" w:rsidRPr="00C56D78">
      <w:rPr>
        <w:rFonts w:asciiTheme="minorHAnsi" w:eastAsiaTheme="minorEastAsia" w:hAnsiTheme="minorHAnsi" w:cstheme="minorHAnsi"/>
        <w:i/>
        <w:color w:val="808080"/>
      </w:rPr>
      <w:t xml:space="preserve"> Meeting</w:t>
    </w:r>
    <w:r w:rsidR="005610B9">
      <w:rPr>
        <w:rFonts w:asciiTheme="minorHAnsi" w:eastAsiaTheme="minorEastAsia" w:hAnsiTheme="minorHAnsi" w:cstheme="minorHAnsi"/>
        <w:i/>
        <w:color w:val="808080"/>
      </w:rPr>
      <w:t xml:space="preserve"> with Corrigendum</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644E" w14:textId="77777777" w:rsidR="006F3DA6" w:rsidRDefault="006F3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648ED"/>
    <w:multiLevelType w:val="multilevel"/>
    <w:tmpl w:val="33DE2870"/>
    <w:lvl w:ilvl="0">
      <w:start w:val="1"/>
      <w:numFmt w:val="decimal"/>
      <w:lvlText w:val="%1."/>
      <w:lvlJc w:val="left"/>
      <w:pPr>
        <w:tabs>
          <w:tab w:val="num" w:pos="720"/>
        </w:tabs>
        <w:ind w:left="720" w:hanging="360"/>
      </w:pPr>
      <w:rPr>
        <w:rFonts w:ascii="Arial Narrow" w:hAnsi="Arial Narrow"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22340"/>
    <w:multiLevelType w:val="hybridMultilevel"/>
    <w:tmpl w:val="C3FAF23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153E1168"/>
    <w:multiLevelType w:val="hybridMultilevel"/>
    <w:tmpl w:val="0F7669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FE5E84"/>
    <w:multiLevelType w:val="hybridMultilevel"/>
    <w:tmpl w:val="73A638C4"/>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6244933"/>
    <w:multiLevelType w:val="hybridMultilevel"/>
    <w:tmpl w:val="7BDE777C"/>
    <w:lvl w:ilvl="0" w:tplc="73A03082">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46173189"/>
    <w:multiLevelType w:val="multilevel"/>
    <w:tmpl w:val="97E005F8"/>
    <w:lvl w:ilvl="0">
      <w:start w:val="1"/>
      <w:numFmt w:val="decimal"/>
      <w:lvlText w:val="%1."/>
      <w:lvlJc w:val="left"/>
      <w:pPr>
        <w:tabs>
          <w:tab w:val="num" w:pos="720"/>
        </w:tabs>
        <w:ind w:left="720" w:hanging="360"/>
      </w:pPr>
      <w:rPr>
        <w:rFonts w:ascii="Arial Narrow" w:hAnsi="Arial Narrow"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6" w15:restartNumberingAfterBreak="0">
    <w:nsid w:val="7356062A"/>
    <w:multiLevelType w:val="hybridMultilevel"/>
    <w:tmpl w:val="51B4BF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57E3C09"/>
    <w:multiLevelType w:val="hybridMultilevel"/>
    <w:tmpl w:val="D6843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4628BE"/>
    <w:multiLevelType w:val="hybridMultilevel"/>
    <w:tmpl w:val="9094ECC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8180E58"/>
    <w:multiLevelType w:val="hybridMultilevel"/>
    <w:tmpl w:val="FCFAA4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84D033C"/>
    <w:multiLevelType w:val="multilevel"/>
    <w:tmpl w:val="925A1110"/>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D5208E2"/>
    <w:multiLevelType w:val="hybridMultilevel"/>
    <w:tmpl w:val="583EDEF0"/>
    <w:lvl w:ilvl="0" w:tplc="0C090001">
      <w:start w:val="1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1652CB"/>
    <w:multiLevelType w:val="multilevel"/>
    <w:tmpl w:val="3E6C104A"/>
    <w:lvl w:ilvl="0">
      <w:start w:val="1"/>
      <w:numFmt w:val="decimal"/>
      <w:lvlText w:val="%1."/>
      <w:lvlJc w:val="left"/>
      <w:pPr>
        <w:tabs>
          <w:tab w:val="num" w:pos="720"/>
        </w:tabs>
        <w:ind w:left="720" w:hanging="360"/>
      </w:pPr>
      <w:rPr>
        <w:rFonts w:ascii="Arial Narrow" w:hAnsi="Arial Narrow" w:cstheme="minorHAnsi"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498588">
    <w:abstractNumId w:val="18"/>
  </w:num>
  <w:num w:numId="2" w16cid:durableId="957570559">
    <w:abstractNumId w:val="40"/>
  </w:num>
  <w:num w:numId="3" w16cid:durableId="536628895">
    <w:abstractNumId w:val="0"/>
  </w:num>
  <w:num w:numId="4" w16cid:durableId="1159004663">
    <w:abstractNumId w:val="28"/>
  </w:num>
  <w:num w:numId="5" w16cid:durableId="418600173">
    <w:abstractNumId w:val="42"/>
  </w:num>
  <w:num w:numId="6" w16cid:durableId="34236669">
    <w:abstractNumId w:val="34"/>
  </w:num>
  <w:num w:numId="7" w16cid:durableId="1279799443">
    <w:abstractNumId w:val="24"/>
  </w:num>
  <w:num w:numId="8" w16cid:durableId="495537779">
    <w:abstractNumId w:val="21"/>
  </w:num>
  <w:num w:numId="9" w16cid:durableId="1468400811">
    <w:abstractNumId w:val="1"/>
  </w:num>
  <w:num w:numId="10" w16cid:durableId="132985464">
    <w:abstractNumId w:val="40"/>
  </w:num>
  <w:num w:numId="11" w16cid:durableId="1915313393">
    <w:abstractNumId w:val="32"/>
  </w:num>
  <w:num w:numId="12" w16cid:durableId="473567604">
    <w:abstractNumId w:val="35"/>
  </w:num>
  <w:num w:numId="13" w16cid:durableId="315574325">
    <w:abstractNumId w:val="17"/>
  </w:num>
  <w:num w:numId="14" w16cid:durableId="1841651190">
    <w:abstractNumId w:val="12"/>
  </w:num>
  <w:num w:numId="15" w16cid:durableId="1743868723">
    <w:abstractNumId w:val="30"/>
  </w:num>
  <w:num w:numId="16" w16cid:durableId="1751541441">
    <w:abstractNumId w:val="3"/>
  </w:num>
  <w:num w:numId="17" w16cid:durableId="939459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41"/>
  </w:num>
  <w:num w:numId="19" w16cid:durableId="957954296">
    <w:abstractNumId w:val="27"/>
  </w:num>
  <w:num w:numId="20" w16cid:durableId="1630238752">
    <w:abstractNumId w:val="10"/>
  </w:num>
  <w:num w:numId="21" w16cid:durableId="432090342">
    <w:abstractNumId w:val="9"/>
  </w:num>
  <w:num w:numId="22" w16cid:durableId="1662348298">
    <w:abstractNumId w:val="23"/>
  </w:num>
  <w:num w:numId="23" w16cid:durableId="2082019313">
    <w:abstractNumId w:val="11"/>
  </w:num>
  <w:num w:numId="24" w16cid:durableId="1752043239">
    <w:abstractNumId w:val="5"/>
  </w:num>
  <w:num w:numId="25" w16cid:durableId="18237940">
    <w:abstractNumId w:val="19"/>
  </w:num>
  <w:num w:numId="26" w16cid:durableId="888148472">
    <w:abstractNumId w:val="26"/>
  </w:num>
  <w:num w:numId="27" w16cid:durableId="216868142">
    <w:abstractNumId w:val="20"/>
  </w:num>
  <w:num w:numId="28" w16cid:durableId="124128312">
    <w:abstractNumId w:val="38"/>
  </w:num>
  <w:num w:numId="29" w16cid:durableId="910312432">
    <w:abstractNumId w:val="13"/>
  </w:num>
  <w:num w:numId="30" w16cid:durableId="2014406939">
    <w:abstractNumId w:val="36"/>
  </w:num>
  <w:num w:numId="31" w16cid:durableId="1356151184">
    <w:abstractNumId w:val="7"/>
  </w:num>
  <w:num w:numId="32" w16cid:durableId="1913540632">
    <w:abstractNumId w:val="37"/>
  </w:num>
  <w:num w:numId="33" w16cid:durableId="735054561">
    <w:abstractNumId w:val="8"/>
  </w:num>
  <w:num w:numId="34" w16cid:durableId="1300768377">
    <w:abstractNumId w:val="43"/>
  </w:num>
  <w:num w:numId="35" w16cid:durableId="761266783">
    <w:abstractNumId w:val="39"/>
  </w:num>
  <w:num w:numId="36" w16cid:durableId="1785031522">
    <w:abstractNumId w:val="6"/>
  </w:num>
  <w:num w:numId="37" w16cid:durableId="956641818">
    <w:abstractNumId w:val="22"/>
  </w:num>
  <w:num w:numId="38" w16cid:durableId="1702897374">
    <w:abstractNumId w:val="44"/>
  </w:num>
  <w:num w:numId="39" w16cid:durableId="2088184032">
    <w:abstractNumId w:val="25"/>
  </w:num>
  <w:num w:numId="40" w16cid:durableId="1427919334">
    <w:abstractNumId w:val="4"/>
  </w:num>
  <w:num w:numId="41" w16cid:durableId="543561517">
    <w:abstractNumId w:val="2"/>
  </w:num>
  <w:num w:numId="42" w16cid:durableId="1538157006">
    <w:abstractNumId w:val="15"/>
  </w:num>
  <w:num w:numId="43" w16cid:durableId="1644237513">
    <w:abstractNumId w:val="16"/>
  </w:num>
  <w:num w:numId="44" w16cid:durableId="1508902090">
    <w:abstractNumId w:val="14"/>
  </w:num>
  <w:num w:numId="45" w16cid:durableId="129744317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6440779">
    <w:abstractNumId w:val="33"/>
  </w:num>
  <w:num w:numId="47" w16cid:durableId="1814564315">
    <w:abstractNumId w:val="40"/>
  </w:num>
  <w:num w:numId="48" w16cid:durableId="1087271163">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97D"/>
    <w:rsid w:val="00002A98"/>
    <w:rsid w:val="0000335D"/>
    <w:rsid w:val="000039D7"/>
    <w:rsid w:val="00003EC5"/>
    <w:rsid w:val="00004003"/>
    <w:rsid w:val="00006782"/>
    <w:rsid w:val="00011766"/>
    <w:rsid w:val="0001179A"/>
    <w:rsid w:val="00011A59"/>
    <w:rsid w:val="0001471C"/>
    <w:rsid w:val="00014D69"/>
    <w:rsid w:val="00015883"/>
    <w:rsid w:val="00016A41"/>
    <w:rsid w:val="0002127C"/>
    <w:rsid w:val="000214D1"/>
    <w:rsid w:val="00021F20"/>
    <w:rsid w:val="0002464A"/>
    <w:rsid w:val="00025A04"/>
    <w:rsid w:val="0002693D"/>
    <w:rsid w:val="000269FB"/>
    <w:rsid w:val="0003050E"/>
    <w:rsid w:val="000309D3"/>
    <w:rsid w:val="0003106B"/>
    <w:rsid w:val="000335B9"/>
    <w:rsid w:val="0003404E"/>
    <w:rsid w:val="00034905"/>
    <w:rsid w:val="00035509"/>
    <w:rsid w:val="00037906"/>
    <w:rsid w:val="00040728"/>
    <w:rsid w:val="00040A30"/>
    <w:rsid w:val="000421A1"/>
    <w:rsid w:val="0004240E"/>
    <w:rsid w:val="000425A2"/>
    <w:rsid w:val="00044E52"/>
    <w:rsid w:val="00044EC4"/>
    <w:rsid w:val="00045E26"/>
    <w:rsid w:val="00046903"/>
    <w:rsid w:val="000514B5"/>
    <w:rsid w:val="000521ED"/>
    <w:rsid w:val="0005322E"/>
    <w:rsid w:val="00054336"/>
    <w:rsid w:val="00054E2B"/>
    <w:rsid w:val="00060E64"/>
    <w:rsid w:val="000621AB"/>
    <w:rsid w:val="00062C03"/>
    <w:rsid w:val="00062E88"/>
    <w:rsid w:val="00066193"/>
    <w:rsid w:val="000666B9"/>
    <w:rsid w:val="00066755"/>
    <w:rsid w:val="00071A5B"/>
    <w:rsid w:val="0007235E"/>
    <w:rsid w:val="00072730"/>
    <w:rsid w:val="0007337F"/>
    <w:rsid w:val="00073C82"/>
    <w:rsid w:val="00074320"/>
    <w:rsid w:val="00074CBC"/>
    <w:rsid w:val="00075B6E"/>
    <w:rsid w:val="000763D5"/>
    <w:rsid w:val="00076C38"/>
    <w:rsid w:val="00077143"/>
    <w:rsid w:val="000771B4"/>
    <w:rsid w:val="00077A39"/>
    <w:rsid w:val="00077DF7"/>
    <w:rsid w:val="0008050C"/>
    <w:rsid w:val="00081358"/>
    <w:rsid w:val="00082169"/>
    <w:rsid w:val="000834BE"/>
    <w:rsid w:val="00083F01"/>
    <w:rsid w:val="00084141"/>
    <w:rsid w:val="00086B14"/>
    <w:rsid w:val="00087C4C"/>
    <w:rsid w:val="000918CB"/>
    <w:rsid w:val="00091B06"/>
    <w:rsid w:val="000951C4"/>
    <w:rsid w:val="00095ADA"/>
    <w:rsid w:val="00095F3A"/>
    <w:rsid w:val="000969AD"/>
    <w:rsid w:val="000975FB"/>
    <w:rsid w:val="000A02F8"/>
    <w:rsid w:val="000A1F3C"/>
    <w:rsid w:val="000A2AC9"/>
    <w:rsid w:val="000A3AA2"/>
    <w:rsid w:val="000A42EF"/>
    <w:rsid w:val="000A44B2"/>
    <w:rsid w:val="000A52F6"/>
    <w:rsid w:val="000A58B8"/>
    <w:rsid w:val="000A6D98"/>
    <w:rsid w:val="000B0AE2"/>
    <w:rsid w:val="000B44C3"/>
    <w:rsid w:val="000B558D"/>
    <w:rsid w:val="000B55F9"/>
    <w:rsid w:val="000B5A89"/>
    <w:rsid w:val="000B6331"/>
    <w:rsid w:val="000B65F6"/>
    <w:rsid w:val="000B7767"/>
    <w:rsid w:val="000C0F15"/>
    <w:rsid w:val="000C1AFF"/>
    <w:rsid w:val="000C5740"/>
    <w:rsid w:val="000C5C47"/>
    <w:rsid w:val="000C5F95"/>
    <w:rsid w:val="000C6996"/>
    <w:rsid w:val="000C7C46"/>
    <w:rsid w:val="000D09E9"/>
    <w:rsid w:val="000D0A4A"/>
    <w:rsid w:val="000D113F"/>
    <w:rsid w:val="000D23BA"/>
    <w:rsid w:val="000D657B"/>
    <w:rsid w:val="000E19B7"/>
    <w:rsid w:val="000E20FC"/>
    <w:rsid w:val="000E3C1D"/>
    <w:rsid w:val="000E3DFB"/>
    <w:rsid w:val="000E5EA1"/>
    <w:rsid w:val="000E681E"/>
    <w:rsid w:val="000E696B"/>
    <w:rsid w:val="000E7C68"/>
    <w:rsid w:val="000E7E52"/>
    <w:rsid w:val="000E7E90"/>
    <w:rsid w:val="000EE1C7"/>
    <w:rsid w:val="000F0003"/>
    <w:rsid w:val="000F3384"/>
    <w:rsid w:val="000F4780"/>
    <w:rsid w:val="000F4E6A"/>
    <w:rsid w:val="000F6ABB"/>
    <w:rsid w:val="000F7354"/>
    <w:rsid w:val="000F7C27"/>
    <w:rsid w:val="00100635"/>
    <w:rsid w:val="00101ABE"/>
    <w:rsid w:val="00102202"/>
    <w:rsid w:val="00102700"/>
    <w:rsid w:val="00102A78"/>
    <w:rsid w:val="00103118"/>
    <w:rsid w:val="001032CE"/>
    <w:rsid w:val="00103F1B"/>
    <w:rsid w:val="00104227"/>
    <w:rsid w:val="001053D5"/>
    <w:rsid w:val="00107409"/>
    <w:rsid w:val="001077C5"/>
    <w:rsid w:val="001107BF"/>
    <w:rsid w:val="00110FC9"/>
    <w:rsid w:val="00113649"/>
    <w:rsid w:val="00113D5C"/>
    <w:rsid w:val="00114312"/>
    <w:rsid w:val="00116B03"/>
    <w:rsid w:val="00120AA6"/>
    <w:rsid w:val="001210EB"/>
    <w:rsid w:val="0012329F"/>
    <w:rsid w:val="001239DB"/>
    <w:rsid w:val="0012417C"/>
    <w:rsid w:val="00124BF2"/>
    <w:rsid w:val="00125837"/>
    <w:rsid w:val="0012597F"/>
    <w:rsid w:val="00126B19"/>
    <w:rsid w:val="00126D3A"/>
    <w:rsid w:val="0012749D"/>
    <w:rsid w:val="00127A23"/>
    <w:rsid w:val="001306A5"/>
    <w:rsid w:val="00130918"/>
    <w:rsid w:val="001311AE"/>
    <w:rsid w:val="001322BF"/>
    <w:rsid w:val="00134994"/>
    <w:rsid w:val="001366C2"/>
    <w:rsid w:val="00136C17"/>
    <w:rsid w:val="001371F0"/>
    <w:rsid w:val="001374F1"/>
    <w:rsid w:val="001378D8"/>
    <w:rsid w:val="00137DAB"/>
    <w:rsid w:val="00140B74"/>
    <w:rsid w:val="00140D94"/>
    <w:rsid w:val="00141A1A"/>
    <w:rsid w:val="00142395"/>
    <w:rsid w:val="0014250D"/>
    <w:rsid w:val="00142714"/>
    <w:rsid w:val="00144D09"/>
    <w:rsid w:val="00144E06"/>
    <w:rsid w:val="00144F78"/>
    <w:rsid w:val="00145146"/>
    <w:rsid w:val="001452ED"/>
    <w:rsid w:val="00146E4F"/>
    <w:rsid w:val="00147D84"/>
    <w:rsid w:val="00150AD2"/>
    <w:rsid w:val="00151642"/>
    <w:rsid w:val="00151CBD"/>
    <w:rsid w:val="00151E8D"/>
    <w:rsid w:val="00152E29"/>
    <w:rsid w:val="001533C3"/>
    <w:rsid w:val="001549C1"/>
    <w:rsid w:val="00155934"/>
    <w:rsid w:val="00156C8D"/>
    <w:rsid w:val="00160F4D"/>
    <w:rsid w:val="00162BDD"/>
    <w:rsid w:val="00162D4E"/>
    <w:rsid w:val="00163329"/>
    <w:rsid w:val="00163A4F"/>
    <w:rsid w:val="00164623"/>
    <w:rsid w:val="001652DE"/>
    <w:rsid w:val="001653EC"/>
    <w:rsid w:val="00165B64"/>
    <w:rsid w:val="00165BAE"/>
    <w:rsid w:val="00167C39"/>
    <w:rsid w:val="0017079D"/>
    <w:rsid w:val="001715E4"/>
    <w:rsid w:val="001718B7"/>
    <w:rsid w:val="00172EBB"/>
    <w:rsid w:val="0017649A"/>
    <w:rsid w:val="00176B9D"/>
    <w:rsid w:val="00180713"/>
    <w:rsid w:val="00180720"/>
    <w:rsid w:val="001810A9"/>
    <w:rsid w:val="001830CE"/>
    <w:rsid w:val="001836E3"/>
    <w:rsid w:val="00184659"/>
    <w:rsid w:val="001860E5"/>
    <w:rsid w:val="0018643B"/>
    <w:rsid w:val="0019041E"/>
    <w:rsid w:val="00192EEC"/>
    <w:rsid w:val="00195544"/>
    <w:rsid w:val="00196307"/>
    <w:rsid w:val="00197C70"/>
    <w:rsid w:val="00197F03"/>
    <w:rsid w:val="001A0D10"/>
    <w:rsid w:val="001A33EA"/>
    <w:rsid w:val="001A3615"/>
    <w:rsid w:val="001A4413"/>
    <w:rsid w:val="001A4C4F"/>
    <w:rsid w:val="001A5A2B"/>
    <w:rsid w:val="001A7596"/>
    <w:rsid w:val="001A76FB"/>
    <w:rsid w:val="001B017F"/>
    <w:rsid w:val="001B0B79"/>
    <w:rsid w:val="001B19EA"/>
    <w:rsid w:val="001B2BBC"/>
    <w:rsid w:val="001B2BCD"/>
    <w:rsid w:val="001B3A40"/>
    <w:rsid w:val="001B3F91"/>
    <w:rsid w:val="001B3FFE"/>
    <w:rsid w:val="001B5129"/>
    <w:rsid w:val="001C0B4C"/>
    <w:rsid w:val="001C0EC4"/>
    <w:rsid w:val="001C1195"/>
    <w:rsid w:val="001C12AE"/>
    <w:rsid w:val="001C1E84"/>
    <w:rsid w:val="001C20E1"/>
    <w:rsid w:val="001C2A0F"/>
    <w:rsid w:val="001C2E42"/>
    <w:rsid w:val="001C35AC"/>
    <w:rsid w:val="001C64BE"/>
    <w:rsid w:val="001D1F5F"/>
    <w:rsid w:val="001E06D2"/>
    <w:rsid w:val="001E17C4"/>
    <w:rsid w:val="001E2D65"/>
    <w:rsid w:val="001E41EB"/>
    <w:rsid w:val="001F005B"/>
    <w:rsid w:val="001F1850"/>
    <w:rsid w:val="001F1FBF"/>
    <w:rsid w:val="001F2311"/>
    <w:rsid w:val="001F2B80"/>
    <w:rsid w:val="001F2F1C"/>
    <w:rsid w:val="001F3087"/>
    <w:rsid w:val="001F3189"/>
    <w:rsid w:val="001F3CF0"/>
    <w:rsid w:val="00200BEA"/>
    <w:rsid w:val="00201FB8"/>
    <w:rsid w:val="002021E2"/>
    <w:rsid w:val="002027C8"/>
    <w:rsid w:val="00203AA5"/>
    <w:rsid w:val="00203FAC"/>
    <w:rsid w:val="00207F99"/>
    <w:rsid w:val="00211CAD"/>
    <w:rsid w:val="002133FB"/>
    <w:rsid w:val="00213CFB"/>
    <w:rsid w:val="0021553C"/>
    <w:rsid w:val="0021557B"/>
    <w:rsid w:val="00216B87"/>
    <w:rsid w:val="002174FD"/>
    <w:rsid w:val="00217BE1"/>
    <w:rsid w:val="002206D5"/>
    <w:rsid w:val="00221361"/>
    <w:rsid w:val="002214B9"/>
    <w:rsid w:val="00222680"/>
    <w:rsid w:val="00223370"/>
    <w:rsid w:val="00224D1E"/>
    <w:rsid w:val="00226611"/>
    <w:rsid w:val="00227BC5"/>
    <w:rsid w:val="00230F63"/>
    <w:rsid w:val="00234252"/>
    <w:rsid w:val="0023466E"/>
    <w:rsid w:val="0023513C"/>
    <w:rsid w:val="00235F15"/>
    <w:rsid w:val="00236705"/>
    <w:rsid w:val="0023711B"/>
    <w:rsid w:val="00237AC6"/>
    <w:rsid w:val="00241F49"/>
    <w:rsid w:val="00242B64"/>
    <w:rsid w:val="00242BFD"/>
    <w:rsid w:val="00244139"/>
    <w:rsid w:val="00244490"/>
    <w:rsid w:val="00244BEC"/>
    <w:rsid w:val="00245B9C"/>
    <w:rsid w:val="00246306"/>
    <w:rsid w:val="0025168B"/>
    <w:rsid w:val="00252587"/>
    <w:rsid w:val="002529C1"/>
    <w:rsid w:val="00253499"/>
    <w:rsid w:val="002535F3"/>
    <w:rsid w:val="002551A4"/>
    <w:rsid w:val="00256282"/>
    <w:rsid w:val="00256771"/>
    <w:rsid w:val="00257664"/>
    <w:rsid w:val="00260165"/>
    <w:rsid w:val="00261D46"/>
    <w:rsid w:val="0026251E"/>
    <w:rsid w:val="00265151"/>
    <w:rsid w:val="00265C2C"/>
    <w:rsid w:val="00266509"/>
    <w:rsid w:val="00271BA1"/>
    <w:rsid w:val="00272BEA"/>
    <w:rsid w:val="00273167"/>
    <w:rsid w:val="00273AC5"/>
    <w:rsid w:val="002748A2"/>
    <w:rsid w:val="002762FA"/>
    <w:rsid w:val="00276BE3"/>
    <w:rsid w:val="00277505"/>
    <w:rsid w:val="00277873"/>
    <w:rsid w:val="0028158C"/>
    <w:rsid w:val="002823B6"/>
    <w:rsid w:val="00284993"/>
    <w:rsid w:val="00290C03"/>
    <w:rsid w:val="0029171E"/>
    <w:rsid w:val="00292392"/>
    <w:rsid w:val="00292E3B"/>
    <w:rsid w:val="002933A8"/>
    <w:rsid w:val="00294274"/>
    <w:rsid w:val="0029458F"/>
    <w:rsid w:val="00297A63"/>
    <w:rsid w:val="002A018F"/>
    <w:rsid w:val="002A0E04"/>
    <w:rsid w:val="002A104C"/>
    <w:rsid w:val="002A1EF7"/>
    <w:rsid w:val="002A2B7B"/>
    <w:rsid w:val="002A338E"/>
    <w:rsid w:val="002A3DE0"/>
    <w:rsid w:val="002A42D9"/>
    <w:rsid w:val="002A494D"/>
    <w:rsid w:val="002A4960"/>
    <w:rsid w:val="002A636A"/>
    <w:rsid w:val="002A755F"/>
    <w:rsid w:val="002B01CD"/>
    <w:rsid w:val="002B0AE0"/>
    <w:rsid w:val="002B1AE6"/>
    <w:rsid w:val="002B1D51"/>
    <w:rsid w:val="002B2DE8"/>
    <w:rsid w:val="002B30F8"/>
    <w:rsid w:val="002B388A"/>
    <w:rsid w:val="002B3BFE"/>
    <w:rsid w:val="002B3C1A"/>
    <w:rsid w:val="002B4C2A"/>
    <w:rsid w:val="002B5596"/>
    <w:rsid w:val="002B6DBE"/>
    <w:rsid w:val="002B77D7"/>
    <w:rsid w:val="002C0763"/>
    <w:rsid w:val="002C212F"/>
    <w:rsid w:val="002C2F35"/>
    <w:rsid w:val="002C3432"/>
    <w:rsid w:val="002C465A"/>
    <w:rsid w:val="002C6AA9"/>
    <w:rsid w:val="002C7485"/>
    <w:rsid w:val="002D2641"/>
    <w:rsid w:val="002D283A"/>
    <w:rsid w:val="002D3BCF"/>
    <w:rsid w:val="002D4543"/>
    <w:rsid w:val="002D5DEE"/>
    <w:rsid w:val="002D715F"/>
    <w:rsid w:val="002E022A"/>
    <w:rsid w:val="002E3153"/>
    <w:rsid w:val="002E4A02"/>
    <w:rsid w:val="002E5292"/>
    <w:rsid w:val="002E72CA"/>
    <w:rsid w:val="002E75DD"/>
    <w:rsid w:val="002F1D07"/>
    <w:rsid w:val="002F536A"/>
    <w:rsid w:val="002F5C5B"/>
    <w:rsid w:val="002F600D"/>
    <w:rsid w:val="002F653A"/>
    <w:rsid w:val="002F6F0F"/>
    <w:rsid w:val="002F7E47"/>
    <w:rsid w:val="00300AD6"/>
    <w:rsid w:val="00300B1B"/>
    <w:rsid w:val="003019D0"/>
    <w:rsid w:val="003019DE"/>
    <w:rsid w:val="0030258F"/>
    <w:rsid w:val="0030311E"/>
    <w:rsid w:val="003064AF"/>
    <w:rsid w:val="003070D3"/>
    <w:rsid w:val="0030715B"/>
    <w:rsid w:val="00307DC6"/>
    <w:rsid w:val="00310A8B"/>
    <w:rsid w:val="00310B68"/>
    <w:rsid w:val="003125EA"/>
    <w:rsid w:val="003151D7"/>
    <w:rsid w:val="003160D2"/>
    <w:rsid w:val="00316295"/>
    <w:rsid w:val="003173FC"/>
    <w:rsid w:val="00317C6C"/>
    <w:rsid w:val="00320255"/>
    <w:rsid w:val="00320B80"/>
    <w:rsid w:val="00320CD3"/>
    <w:rsid w:val="003210DC"/>
    <w:rsid w:val="0032154A"/>
    <w:rsid w:val="003215FF"/>
    <w:rsid w:val="00322667"/>
    <w:rsid w:val="0032607C"/>
    <w:rsid w:val="00326098"/>
    <w:rsid w:val="00326E79"/>
    <w:rsid w:val="0032748A"/>
    <w:rsid w:val="003301B1"/>
    <w:rsid w:val="00331189"/>
    <w:rsid w:val="00331FEF"/>
    <w:rsid w:val="0033263D"/>
    <w:rsid w:val="00334E69"/>
    <w:rsid w:val="0033518A"/>
    <w:rsid w:val="00335535"/>
    <w:rsid w:val="003359CD"/>
    <w:rsid w:val="003367EF"/>
    <w:rsid w:val="00336ABD"/>
    <w:rsid w:val="00341AE4"/>
    <w:rsid w:val="003425CA"/>
    <w:rsid w:val="00343FB7"/>
    <w:rsid w:val="003455F1"/>
    <w:rsid w:val="003468A8"/>
    <w:rsid w:val="003476EE"/>
    <w:rsid w:val="003536F5"/>
    <w:rsid w:val="00353E59"/>
    <w:rsid w:val="003541DD"/>
    <w:rsid w:val="0035451C"/>
    <w:rsid w:val="00356E5B"/>
    <w:rsid w:val="00360887"/>
    <w:rsid w:val="00362492"/>
    <w:rsid w:val="0036249F"/>
    <w:rsid w:val="00371246"/>
    <w:rsid w:val="003736C9"/>
    <w:rsid w:val="00375D39"/>
    <w:rsid w:val="00382D47"/>
    <w:rsid w:val="003832AF"/>
    <w:rsid w:val="00383B77"/>
    <w:rsid w:val="00384988"/>
    <w:rsid w:val="003872CF"/>
    <w:rsid w:val="003874CB"/>
    <w:rsid w:val="00387EB1"/>
    <w:rsid w:val="00391B1F"/>
    <w:rsid w:val="003928CF"/>
    <w:rsid w:val="00395FF7"/>
    <w:rsid w:val="0039605C"/>
    <w:rsid w:val="00396E08"/>
    <w:rsid w:val="003970DD"/>
    <w:rsid w:val="0039782C"/>
    <w:rsid w:val="003A13A6"/>
    <w:rsid w:val="003A1676"/>
    <w:rsid w:val="003A2165"/>
    <w:rsid w:val="003A2E84"/>
    <w:rsid w:val="003A3AF3"/>
    <w:rsid w:val="003A3DDE"/>
    <w:rsid w:val="003A3FD4"/>
    <w:rsid w:val="003A41AC"/>
    <w:rsid w:val="003A478B"/>
    <w:rsid w:val="003A534C"/>
    <w:rsid w:val="003A5B4A"/>
    <w:rsid w:val="003A5D95"/>
    <w:rsid w:val="003A6510"/>
    <w:rsid w:val="003A6FD5"/>
    <w:rsid w:val="003A74E2"/>
    <w:rsid w:val="003B0AA9"/>
    <w:rsid w:val="003B0D3A"/>
    <w:rsid w:val="003B2302"/>
    <w:rsid w:val="003B23C5"/>
    <w:rsid w:val="003B2A75"/>
    <w:rsid w:val="003B49B2"/>
    <w:rsid w:val="003B6124"/>
    <w:rsid w:val="003B7960"/>
    <w:rsid w:val="003C0908"/>
    <w:rsid w:val="003C093A"/>
    <w:rsid w:val="003C1ECF"/>
    <w:rsid w:val="003C2FB5"/>
    <w:rsid w:val="003C36C0"/>
    <w:rsid w:val="003C6893"/>
    <w:rsid w:val="003D043E"/>
    <w:rsid w:val="003D24C5"/>
    <w:rsid w:val="003D2A74"/>
    <w:rsid w:val="003D4594"/>
    <w:rsid w:val="003D4AC4"/>
    <w:rsid w:val="003D5433"/>
    <w:rsid w:val="003D63B7"/>
    <w:rsid w:val="003D6789"/>
    <w:rsid w:val="003D6B81"/>
    <w:rsid w:val="003D74C5"/>
    <w:rsid w:val="003E09C1"/>
    <w:rsid w:val="003E3E05"/>
    <w:rsid w:val="003E4374"/>
    <w:rsid w:val="003E468B"/>
    <w:rsid w:val="003E62BD"/>
    <w:rsid w:val="003E658D"/>
    <w:rsid w:val="003E671D"/>
    <w:rsid w:val="003E77F7"/>
    <w:rsid w:val="003F044F"/>
    <w:rsid w:val="003F0C3A"/>
    <w:rsid w:val="003F15F0"/>
    <w:rsid w:val="003F21F1"/>
    <w:rsid w:val="003F2AD9"/>
    <w:rsid w:val="003F3228"/>
    <w:rsid w:val="003F492B"/>
    <w:rsid w:val="003F5C8C"/>
    <w:rsid w:val="003F63CE"/>
    <w:rsid w:val="003F775A"/>
    <w:rsid w:val="003F7C9C"/>
    <w:rsid w:val="00400E55"/>
    <w:rsid w:val="0040128E"/>
    <w:rsid w:val="00401640"/>
    <w:rsid w:val="0040216B"/>
    <w:rsid w:val="0040278F"/>
    <w:rsid w:val="00404852"/>
    <w:rsid w:val="0040590E"/>
    <w:rsid w:val="00407CC8"/>
    <w:rsid w:val="00414F0C"/>
    <w:rsid w:val="00420400"/>
    <w:rsid w:val="00423E6F"/>
    <w:rsid w:val="00423E78"/>
    <w:rsid w:val="004252EC"/>
    <w:rsid w:val="00426555"/>
    <w:rsid w:val="00430D39"/>
    <w:rsid w:val="004318F9"/>
    <w:rsid w:val="00431CD8"/>
    <w:rsid w:val="00432A05"/>
    <w:rsid w:val="00437EF3"/>
    <w:rsid w:val="004400A3"/>
    <w:rsid w:val="00442C91"/>
    <w:rsid w:val="00443F9F"/>
    <w:rsid w:val="00443FB5"/>
    <w:rsid w:val="00444E9D"/>
    <w:rsid w:val="004465BD"/>
    <w:rsid w:val="00446938"/>
    <w:rsid w:val="00446F51"/>
    <w:rsid w:val="00451197"/>
    <w:rsid w:val="004528FA"/>
    <w:rsid w:val="00452A6C"/>
    <w:rsid w:val="0046008E"/>
    <w:rsid w:val="00461A44"/>
    <w:rsid w:val="00461BA8"/>
    <w:rsid w:val="00462D26"/>
    <w:rsid w:val="0046368B"/>
    <w:rsid w:val="0046385A"/>
    <w:rsid w:val="00464039"/>
    <w:rsid w:val="00465946"/>
    <w:rsid w:val="00466ADA"/>
    <w:rsid w:val="0046702A"/>
    <w:rsid w:val="004702BB"/>
    <w:rsid w:val="00470704"/>
    <w:rsid w:val="0047494B"/>
    <w:rsid w:val="00475BE7"/>
    <w:rsid w:val="00476245"/>
    <w:rsid w:val="00477A9B"/>
    <w:rsid w:val="00482AE4"/>
    <w:rsid w:val="00483035"/>
    <w:rsid w:val="00485940"/>
    <w:rsid w:val="00486C95"/>
    <w:rsid w:val="00487616"/>
    <w:rsid w:val="004877C2"/>
    <w:rsid w:val="004904B9"/>
    <w:rsid w:val="00491EDC"/>
    <w:rsid w:val="004928E1"/>
    <w:rsid w:val="00492D8D"/>
    <w:rsid w:val="00496662"/>
    <w:rsid w:val="004A1431"/>
    <w:rsid w:val="004A191F"/>
    <w:rsid w:val="004A2484"/>
    <w:rsid w:val="004A502C"/>
    <w:rsid w:val="004A5A85"/>
    <w:rsid w:val="004A71D1"/>
    <w:rsid w:val="004A7C5B"/>
    <w:rsid w:val="004B1845"/>
    <w:rsid w:val="004B2348"/>
    <w:rsid w:val="004B29FB"/>
    <w:rsid w:val="004B2E01"/>
    <w:rsid w:val="004B2E98"/>
    <w:rsid w:val="004B3A48"/>
    <w:rsid w:val="004B5640"/>
    <w:rsid w:val="004B6084"/>
    <w:rsid w:val="004BCF29"/>
    <w:rsid w:val="004C0009"/>
    <w:rsid w:val="004C0206"/>
    <w:rsid w:val="004C03D0"/>
    <w:rsid w:val="004C1569"/>
    <w:rsid w:val="004C1BD7"/>
    <w:rsid w:val="004C1BF2"/>
    <w:rsid w:val="004C239C"/>
    <w:rsid w:val="004C31FE"/>
    <w:rsid w:val="004C3A5B"/>
    <w:rsid w:val="004C3ACE"/>
    <w:rsid w:val="004C3DFC"/>
    <w:rsid w:val="004C524C"/>
    <w:rsid w:val="004C5EDD"/>
    <w:rsid w:val="004C5FFA"/>
    <w:rsid w:val="004C691D"/>
    <w:rsid w:val="004C6C07"/>
    <w:rsid w:val="004C7E15"/>
    <w:rsid w:val="004C7EC6"/>
    <w:rsid w:val="004D27BD"/>
    <w:rsid w:val="004D2CD1"/>
    <w:rsid w:val="004D365C"/>
    <w:rsid w:val="004D4310"/>
    <w:rsid w:val="004D4FF6"/>
    <w:rsid w:val="004D5ADD"/>
    <w:rsid w:val="004D60A4"/>
    <w:rsid w:val="004D669A"/>
    <w:rsid w:val="004E0CC3"/>
    <w:rsid w:val="004E1A9F"/>
    <w:rsid w:val="004E1B1F"/>
    <w:rsid w:val="004E36D8"/>
    <w:rsid w:val="004E4966"/>
    <w:rsid w:val="004E5CEC"/>
    <w:rsid w:val="004E692D"/>
    <w:rsid w:val="004E7230"/>
    <w:rsid w:val="004E7D87"/>
    <w:rsid w:val="004F09D9"/>
    <w:rsid w:val="004F0DC0"/>
    <w:rsid w:val="004F1939"/>
    <w:rsid w:val="004F2553"/>
    <w:rsid w:val="004F306A"/>
    <w:rsid w:val="004F6F65"/>
    <w:rsid w:val="00500A8D"/>
    <w:rsid w:val="00501554"/>
    <w:rsid w:val="00502AFE"/>
    <w:rsid w:val="00502E64"/>
    <w:rsid w:val="00503AD7"/>
    <w:rsid w:val="00503E89"/>
    <w:rsid w:val="005043D2"/>
    <w:rsid w:val="00504E0C"/>
    <w:rsid w:val="00504E13"/>
    <w:rsid w:val="00507D78"/>
    <w:rsid w:val="005109D4"/>
    <w:rsid w:val="0051230A"/>
    <w:rsid w:val="0051494A"/>
    <w:rsid w:val="00514CD7"/>
    <w:rsid w:val="005167EC"/>
    <w:rsid w:val="005170DA"/>
    <w:rsid w:val="00520906"/>
    <w:rsid w:val="00520D6A"/>
    <w:rsid w:val="00522689"/>
    <w:rsid w:val="00522CC8"/>
    <w:rsid w:val="00522DB6"/>
    <w:rsid w:val="00523720"/>
    <w:rsid w:val="00523A44"/>
    <w:rsid w:val="005264A7"/>
    <w:rsid w:val="00526C88"/>
    <w:rsid w:val="00527768"/>
    <w:rsid w:val="0052792D"/>
    <w:rsid w:val="005319B2"/>
    <w:rsid w:val="00532402"/>
    <w:rsid w:val="00532C74"/>
    <w:rsid w:val="00533239"/>
    <w:rsid w:val="00534E2E"/>
    <w:rsid w:val="00535133"/>
    <w:rsid w:val="00537C9E"/>
    <w:rsid w:val="00537F83"/>
    <w:rsid w:val="0054064C"/>
    <w:rsid w:val="00542733"/>
    <w:rsid w:val="00544552"/>
    <w:rsid w:val="00545130"/>
    <w:rsid w:val="00546B36"/>
    <w:rsid w:val="005511A0"/>
    <w:rsid w:val="0055286A"/>
    <w:rsid w:val="0055570D"/>
    <w:rsid w:val="00555745"/>
    <w:rsid w:val="00557D4F"/>
    <w:rsid w:val="005610B9"/>
    <w:rsid w:val="0056122E"/>
    <w:rsid w:val="00561C74"/>
    <w:rsid w:val="00562658"/>
    <w:rsid w:val="0056484E"/>
    <w:rsid w:val="00565999"/>
    <w:rsid w:val="005672F5"/>
    <w:rsid w:val="00567D8A"/>
    <w:rsid w:val="00570231"/>
    <w:rsid w:val="005714B7"/>
    <w:rsid w:val="005764CD"/>
    <w:rsid w:val="00577C4D"/>
    <w:rsid w:val="00580532"/>
    <w:rsid w:val="00581932"/>
    <w:rsid w:val="00583002"/>
    <w:rsid w:val="00583561"/>
    <w:rsid w:val="00584CA1"/>
    <w:rsid w:val="005903BB"/>
    <w:rsid w:val="00590457"/>
    <w:rsid w:val="00593893"/>
    <w:rsid w:val="005963BB"/>
    <w:rsid w:val="0059645C"/>
    <w:rsid w:val="0059660F"/>
    <w:rsid w:val="00596D37"/>
    <w:rsid w:val="005A15D2"/>
    <w:rsid w:val="005A3173"/>
    <w:rsid w:val="005A3223"/>
    <w:rsid w:val="005A3DA3"/>
    <w:rsid w:val="005A52C4"/>
    <w:rsid w:val="005A63A1"/>
    <w:rsid w:val="005B0486"/>
    <w:rsid w:val="005B07FA"/>
    <w:rsid w:val="005B1032"/>
    <w:rsid w:val="005B1473"/>
    <w:rsid w:val="005B1549"/>
    <w:rsid w:val="005B36FA"/>
    <w:rsid w:val="005B5C94"/>
    <w:rsid w:val="005B7837"/>
    <w:rsid w:val="005C4C91"/>
    <w:rsid w:val="005C4F73"/>
    <w:rsid w:val="005C59B3"/>
    <w:rsid w:val="005C70CD"/>
    <w:rsid w:val="005D03AB"/>
    <w:rsid w:val="005D401D"/>
    <w:rsid w:val="005D4265"/>
    <w:rsid w:val="005D5017"/>
    <w:rsid w:val="005D5708"/>
    <w:rsid w:val="005D63FA"/>
    <w:rsid w:val="005D643D"/>
    <w:rsid w:val="005D73C7"/>
    <w:rsid w:val="005E0C2D"/>
    <w:rsid w:val="005E0D82"/>
    <w:rsid w:val="005E0F59"/>
    <w:rsid w:val="005E1333"/>
    <w:rsid w:val="005E22D6"/>
    <w:rsid w:val="005E3136"/>
    <w:rsid w:val="005E4D72"/>
    <w:rsid w:val="005E507D"/>
    <w:rsid w:val="005F0AD0"/>
    <w:rsid w:val="005F15F3"/>
    <w:rsid w:val="005F6067"/>
    <w:rsid w:val="00601A91"/>
    <w:rsid w:val="00602BA3"/>
    <w:rsid w:val="00605B63"/>
    <w:rsid w:val="00605F9A"/>
    <w:rsid w:val="00606442"/>
    <w:rsid w:val="00606EED"/>
    <w:rsid w:val="0060744D"/>
    <w:rsid w:val="00607DDB"/>
    <w:rsid w:val="00612A95"/>
    <w:rsid w:val="00612E34"/>
    <w:rsid w:val="00614159"/>
    <w:rsid w:val="006158A3"/>
    <w:rsid w:val="00616C5F"/>
    <w:rsid w:val="00616DAC"/>
    <w:rsid w:val="00617725"/>
    <w:rsid w:val="00617C00"/>
    <w:rsid w:val="0062344A"/>
    <w:rsid w:val="00624D06"/>
    <w:rsid w:val="006263BF"/>
    <w:rsid w:val="0062748A"/>
    <w:rsid w:val="00627E48"/>
    <w:rsid w:val="00630546"/>
    <w:rsid w:val="00630A2C"/>
    <w:rsid w:val="006341AC"/>
    <w:rsid w:val="00634A75"/>
    <w:rsid w:val="0063682E"/>
    <w:rsid w:val="0063742C"/>
    <w:rsid w:val="00640088"/>
    <w:rsid w:val="00642672"/>
    <w:rsid w:val="00642DA8"/>
    <w:rsid w:val="006436CD"/>
    <w:rsid w:val="00643D62"/>
    <w:rsid w:val="00643E76"/>
    <w:rsid w:val="00645187"/>
    <w:rsid w:val="00650976"/>
    <w:rsid w:val="00651169"/>
    <w:rsid w:val="00653D69"/>
    <w:rsid w:val="006552E6"/>
    <w:rsid w:val="00655794"/>
    <w:rsid w:val="006558FA"/>
    <w:rsid w:val="00656F2F"/>
    <w:rsid w:val="00657C63"/>
    <w:rsid w:val="00661CBC"/>
    <w:rsid w:val="00662B85"/>
    <w:rsid w:val="00666DF0"/>
    <w:rsid w:val="006670B3"/>
    <w:rsid w:val="006670BE"/>
    <w:rsid w:val="00670A76"/>
    <w:rsid w:val="006711AA"/>
    <w:rsid w:val="00672B57"/>
    <w:rsid w:val="00673F1F"/>
    <w:rsid w:val="006752DD"/>
    <w:rsid w:val="00675622"/>
    <w:rsid w:val="00675DEB"/>
    <w:rsid w:val="0067747D"/>
    <w:rsid w:val="006818D5"/>
    <w:rsid w:val="00681CA4"/>
    <w:rsid w:val="00684474"/>
    <w:rsid w:val="00686559"/>
    <w:rsid w:val="00687EC6"/>
    <w:rsid w:val="0069039D"/>
    <w:rsid w:val="006906DB"/>
    <w:rsid w:val="00691900"/>
    <w:rsid w:val="00691E6C"/>
    <w:rsid w:val="00693425"/>
    <w:rsid w:val="0069342D"/>
    <w:rsid w:val="00693576"/>
    <w:rsid w:val="0069399D"/>
    <w:rsid w:val="00693DFB"/>
    <w:rsid w:val="00694FD5"/>
    <w:rsid w:val="0069501D"/>
    <w:rsid w:val="006954E0"/>
    <w:rsid w:val="00696129"/>
    <w:rsid w:val="00697485"/>
    <w:rsid w:val="00697CF2"/>
    <w:rsid w:val="006A12A5"/>
    <w:rsid w:val="006A18EC"/>
    <w:rsid w:val="006A2515"/>
    <w:rsid w:val="006A2EC9"/>
    <w:rsid w:val="006A43E5"/>
    <w:rsid w:val="006A5230"/>
    <w:rsid w:val="006A572D"/>
    <w:rsid w:val="006A5E20"/>
    <w:rsid w:val="006A6C69"/>
    <w:rsid w:val="006A7436"/>
    <w:rsid w:val="006B06A9"/>
    <w:rsid w:val="006B0D94"/>
    <w:rsid w:val="006B16B6"/>
    <w:rsid w:val="006B32F9"/>
    <w:rsid w:val="006B390A"/>
    <w:rsid w:val="006B485D"/>
    <w:rsid w:val="006B69EA"/>
    <w:rsid w:val="006B7053"/>
    <w:rsid w:val="006B7DDA"/>
    <w:rsid w:val="006C0C45"/>
    <w:rsid w:val="006C1620"/>
    <w:rsid w:val="006C2806"/>
    <w:rsid w:val="006C334C"/>
    <w:rsid w:val="006C5C3E"/>
    <w:rsid w:val="006C694E"/>
    <w:rsid w:val="006C6C10"/>
    <w:rsid w:val="006C708E"/>
    <w:rsid w:val="006D14E7"/>
    <w:rsid w:val="006D39F0"/>
    <w:rsid w:val="006D4444"/>
    <w:rsid w:val="006D4D74"/>
    <w:rsid w:val="006D4FCF"/>
    <w:rsid w:val="006D6377"/>
    <w:rsid w:val="006D6493"/>
    <w:rsid w:val="006D6EC7"/>
    <w:rsid w:val="006D7B05"/>
    <w:rsid w:val="006D7E45"/>
    <w:rsid w:val="006D7F91"/>
    <w:rsid w:val="006E1143"/>
    <w:rsid w:val="006E1BCD"/>
    <w:rsid w:val="006E248B"/>
    <w:rsid w:val="006E2732"/>
    <w:rsid w:val="006E281E"/>
    <w:rsid w:val="006E59CD"/>
    <w:rsid w:val="006E6385"/>
    <w:rsid w:val="006E6D7E"/>
    <w:rsid w:val="006F00ED"/>
    <w:rsid w:val="006F026F"/>
    <w:rsid w:val="006F0A71"/>
    <w:rsid w:val="006F1C6B"/>
    <w:rsid w:val="006F318B"/>
    <w:rsid w:val="006F3DA6"/>
    <w:rsid w:val="006F40C2"/>
    <w:rsid w:val="006F5125"/>
    <w:rsid w:val="006F6C25"/>
    <w:rsid w:val="006F733D"/>
    <w:rsid w:val="00700765"/>
    <w:rsid w:val="00700C93"/>
    <w:rsid w:val="00702959"/>
    <w:rsid w:val="007029B4"/>
    <w:rsid w:val="00702B6F"/>
    <w:rsid w:val="007030B4"/>
    <w:rsid w:val="00703B86"/>
    <w:rsid w:val="00704069"/>
    <w:rsid w:val="00704594"/>
    <w:rsid w:val="00704E9D"/>
    <w:rsid w:val="00706A2F"/>
    <w:rsid w:val="0070718E"/>
    <w:rsid w:val="00707E52"/>
    <w:rsid w:val="00710259"/>
    <w:rsid w:val="0071031F"/>
    <w:rsid w:val="00710737"/>
    <w:rsid w:val="0071340B"/>
    <w:rsid w:val="00713C50"/>
    <w:rsid w:val="0071436D"/>
    <w:rsid w:val="00714905"/>
    <w:rsid w:val="00715BBB"/>
    <w:rsid w:val="007174BB"/>
    <w:rsid w:val="007201E6"/>
    <w:rsid w:val="0072025D"/>
    <w:rsid w:val="0072152B"/>
    <w:rsid w:val="00723328"/>
    <w:rsid w:val="007237DE"/>
    <w:rsid w:val="0072502E"/>
    <w:rsid w:val="0073069B"/>
    <w:rsid w:val="00730A0F"/>
    <w:rsid w:val="00730D26"/>
    <w:rsid w:val="0073137C"/>
    <w:rsid w:val="007340B9"/>
    <w:rsid w:val="007353D3"/>
    <w:rsid w:val="007359E1"/>
    <w:rsid w:val="00737A26"/>
    <w:rsid w:val="0074156B"/>
    <w:rsid w:val="00741619"/>
    <w:rsid w:val="00742885"/>
    <w:rsid w:val="00747092"/>
    <w:rsid w:val="007477FF"/>
    <w:rsid w:val="007526E6"/>
    <w:rsid w:val="00754284"/>
    <w:rsid w:val="007547F4"/>
    <w:rsid w:val="00754DF9"/>
    <w:rsid w:val="007555E8"/>
    <w:rsid w:val="00755CC5"/>
    <w:rsid w:val="007608D4"/>
    <w:rsid w:val="00762614"/>
    <w:rsid w:val="00762862"/>
    <w:rsid w:val="0076420C"/>
    <w:rsid w:val="00771D07"/>
    <w:rsid w:val="00772649"/>
    <w:rsid w:val="00773BE3"/>
    <w:rsid w:val="007743DD"/>
    <w:rsid w:val="00774E2C"/>
    <w:rsid w:val="0077503C"/>
    <w:rsid w:val="0077518D"/>
    <w:rsid w:val="007753C2"/>
    <w:rsid w:val="007755BD"/>
    <w:rsid w:val="00776068"/>
    <w:rsid w:val="00777D20"/>
    <w:rsid w:val="007838B8"/>
    <w:rsid w:val="007845AC"/>
    <w:rsid w:val="00785779"/>
    <w:rsid w:val="00787FD8"/>
    <w:rsid w:val="00790682"/>
    <w:rsid w:val="007915BA"/>
    <w:rsid w:val="00791844"/>
    <w:rsid w:val="00792E28"/>
    <w:rsid w:val="00793CE9"/>
    <w:rsid w:val="00796667"/>
    <w:rsid w:val="00797068"/>
    <w:rsid w:val="007979BD"/>
    <w:rsid w:val="007A0CFA"/>
    <w:rsid w:val="007A3D8E"/>
    <w:rsid w:val="007A5C88"/>
    <w:rsid w:val="007A6A2F"/>
    <w:rsid w:val="007A6AC0"/>
    <w:rsid w:val="007A75ED"/>
    <w:rsid w:val="007A7765"/>
    <w:rsid w:val="007B024E"/>
    <w:rsid w:val="007B3BAF"/>
    <w:rsid w:val="007B3DDC"/>
    <w:rsid w:val="007B3EF0"/>
    <w:rsid w:val="007B65F9"/>
    <w:rsid w:val="007B72A6"/>
    <w:rsid w:val="007C06D2"/>
    <w:rsid w:val="007C08E0"/>
    <w:rsid w:val="007C0F57"/>
    <w:rsid w:val="007C2F4B"/>
    <w:rsid w:val="007C3F73"/>
    <w:rsid w:val="007C40B6"/>
    <w:rsid w:val="007C4356"/>
    <w:rsid w:val="007C4C90"/>
    <w:rsid w:val="007C5975"/>
    <w:rsid w:val="007C712C"/>
    <w:rsid w:val="007C729F"/>
    <w:rsid w:val="007C72AD"/>
    <w:rsid w:val="007D2E2F"/>
    <w:rsid w:val="007D4B7E"/>
    <w:rsid w:val="007D503D"/>
    <w:rsid w:val="007D59E7"/>
    <w:rsid w:val="007D5F2A"/>
    <w:rsid w:val="007D7E1E"/>
    <w:rsid w:val="007D7F0F"/>
    <w:rsid w:val="007E07AC"/>
    <w:rsid w:val="007E1014"/>
    <w:rsid w:val="007E12F8"/>
    <w:rsid w:val="007E1D28"/>
    <w:rsid w:val="007E218F"/>
    <w:rsid w:val="007E4564"/>
    <w:rsid w:val="007E490F"/>
    <w:rsid w:val="007E5C64"/>
    <w:rsid w:val="007E5C7C"/>
    <w:rsid w:val="007E6533"/>
    <w:rsid w:val="007E7719"/>
    <w:rsid w:val="007F0021"/>
    <w:rsid w:val="007F0635"/>
    <w:rsid w:val="007F0E67"/>
    <w:rsid w:val="007F2641"/>
    <w:rsid w:val="007F7AE1"/>
    <w:rsid w:val="007F7C36"/>
    <w:rsid w:val="007F7F45"/>
    <w:rsid w:val="0080001F"/>
    <w:rsid w:val="00801958"/>
    <w:rsid w:val="00801D57"/>
    <w:rsid w:val="008055AF"/>
    <w:rsid w:val="008057CD"/>
    <w:rsid w:val="008066B8"/>
    <w:rsid w:val="00806796"/>
    <w:rsid w:val="00810167"/>
    <w:rsid w:val="008103C1"/>
    <w:rsid w:val="008104D0"/>
    <w:rsid w:val="00811CC0"/>
    <w:rsid w:val="00813AC1"/>
    <w:rsid w:val="00814276"/>
    <w:rsid w:val="008151D6"/>
    <w:rsid w:val="00820803"/>
    <w:rsid w:val="00821527"/>
    <w:rsid w:val="0082173E"/>
    <w:rsid w:val="00821D43"/>
    <w:rsid w:val="008225CE"/>
    <w:rsid w:val="00822696"/>
    <w:rsid w:val="00825A6C"/>
    <w:rsid w:val="0082617E"/>
    <w:rsid w:val="008268BB"/>
    <w:rsid w:val="00826ABF"/>
    <w:rsid w:val="00826F6D"/>
    <w:rsid w:val="008306F3"/>
    <w:rsid w:val="00830E40"/>
    <w:rsid w:val="008328C7"/>
    <w:rsid w:val="00832D9A"/>
    <w:rsid w:val="00834CDE"/>
    <w:rsid w:val="008351F0"/>
    <w:rsid w:val="00835C62"/>
    <w:rsid w:val="008368A1"/>
    <w:rsid w:val="00840EF7"/>
    <w:rsid w:val="00844C0A"/>
    <w:rsid w:val="00846056"/>
    <w:rsid w:val="0084681F"/>
    <w:rsid w:val="00847D08"/>
    <w:rsid w:val="00847EC0"/>
    <w:rsid w:val="008500A3"/>
    <w:rsid w:val="00851FFF"/>
    <w:rsid w:val="008525BE"/>
    <w:rsid w:val="00854506"/>
    <w:rsid w:val="00855FD6"/>
    <w:rsid w:val="00856DDD"/>
    <w:rsid w:val="00860233"/>
    <w:rsid w:val="008622D7"/>
    <w:rsid w:val="00863E68"/>
    <w:rsid w:val="008647B5"/>
    <w:rsid w:val="00866508"/>
    <w:rsid w:val="00867D64"/>
    <w:rsid w:val="00872E8F"/>
    <w:rsid w:val="00875108"/>
    <w:rsid w:val="00875DCB"/>
    <w:rsid w:val="00875E2E"/>
    <w:rsid w:val="00876FBF"/>
    <w:rsid w:val="0087755A"/>
    <w:rsid w:val="00881372"/>
    <w:rsid w:val="00882085"/>
    <w:rsid w:val="00883188"/>
    <w:rsid w:val="00884A0C"/>
    <w:rsid w:val="00886ACA"/>
    <w:rsid w:val="00886B01"/>
    <w:rsid w:val="008878FE"/>
    <w:rsid w:val="0089031E"/>
    <w:rsid w:val="0089109A"/>
    <w:rsid w:val="00892522"/>
    <w:rsid w:val="00893D5C"/>
    <w:rsid w:val="0089460B"/>
    <w:rsid w:val="0089710D"/>
    <w:rsid w:val="00897852"/>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5645"/>
    <w:rsid w:val="008B5D72"/>
    <w:rsid w:val="008B6DCF"/>
    <w:rsid w:val="008C03B7"/>
    <w:rsid w:val="008C17F3"/>
    <w:rsid w:val="008C4D49"/>
    <w:rsid w:val="008D0945"/>
    <w:rsid w:val="008D1409"/>
    <w:rsid w:val="008D15CC"/>
    <w:rsid w:val="008D1729"/>
    <w:rsid w:val="008D1B5C"/>
    <w:rsid w:val="008D3C82"/>
    <w:rsid w:val="008D3E77"/>
    <w:rsid w:val="008D447E"/>
    <w:rsid w:val="008D4817"/>
    <w:rsid w:val="008D4FAB"/>
    <w:rsid w:val="008D6ACF"/>
    <w:rsid w:val="008D7A41"/>
    <w:rsid w:val="008E1B55"/>
    <w:rsid w:val="008E20E3"/>
    <w:rsid w:val="008E2C72"/>
    <w:rsid w:val="008E3680"/>
    <w:rsid w:val="008E4F87"/>
    <w:rsid w:val="008E5870"/>
    <w:rsid w:val="008E63E1"/>
    <w:rsid w:val="008E77E4"/>
    <w:rsid w:val="008F0213"/>
    <w:rsid w:val="008F07ED"/>
    <w:rsid w:val="008F11F8"/>
    <w:rsid w:val="008F1434"/>
    <w:rsid w:val="008F1B13"/>
    <w:rsid w:val="008F2BB9"/>
    <w:rsid w:val="008F3D6A"/>
    <w:rsid w:val="008F54C3"/>
    <w:rsid w:val="008F7355"/>
    <w:rsid w:val="008F77CE"/>
    <w:rsid w:val="009023DC"/>
    <w:rsid w:val="009027C5"/>
    <w:rsid w:val="0090367C"/>
    <w:rsid w:val="00904413"/>
    <w:rsid w:val="009067B7"/>
    <w:rsid w:val="00906E7A"/>
    <w:rsid w:val="00906E7F"/>
    <w:rsid w:val="0090775A"/>
    <w:rsid w:val="00907DFD"/>
    <w:rsid w:val="00913C99"/>
    <w:rsid w:val="00917D69"/>
    <w:rsid w:val="00920B6D"/>
    <w:rsid w:val="00923208"/>
    <w:rsid w:val="00925A85"/>
    <w:rsid w:val="00926560"/>
    <w:rsid w:val="00926B15"/>
    <w:rsid w:val="00930291"/>
    <w:rsid w:val="00930937"/>
    <w:rsid w:val="009324A6"/>
    <w:rsid w:val="00933B7D"/>
    <w:rsid w:val="00933E6C"/>
    <w:rsid w:val="00935A6E"/>
    <w:rsid w:val="00936E4A"/>
    <w:rsid w:val="009371D8"/>
    <w:rsid w:val="00937958"/>
    <w:rsid w:val="009406E5"/>
    <w:rsid w:val="00940CC9"/>
    <w:rsid w:val="00941602"/>
    <w:rsid w:val="00942160"/>
    <w:rsid w:val="00946921"/>
    <w:rsid w:val="00947343"/>
    <w:rsid w:val="00947BA7"/>
    <w:rsid w:val="00947E78"/>
    <w:rsid w:val="0095146F"/>
    <w:rsid w:val="00951A0A"/>
    <w:rsid w:val="00951F2D"/>
    <w:rsid w:val="00952839"/>
    <w:rsid w:val="0095284B"/>
    <w:rsid w:val="009534C7"/>
    <w:rsid w:val="00957944"/>
    <w:rsid w:val="009602C5"/>
    <w:rsid w:val="0096081D"/>
    <w:rsid w:val="0096103A"/>
    <w:rsid w:val="00962223"/>
    <w:rsid w:val="0096252B"/>
    <w:rsid w:val="009644D9"/>
    <w:rsid w:val="00964A9F"/>
    <w:rsid w:val="00966D0D"/>
    <w:rsid w:val="00967732"/>
    <w:rsid w:val="0096783C"/>
    <w:rsid w:val="00970023"/>
    <w:rsid w:val="00970BF7"/>
    <w:rsid w:val="009722B3"/>
    <w:rsid w:val="0097382A"/>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74"/>
    <w:rsid w:val="00990CF8"/>
    <w:rsid w:val="009913F4"/>
    <w:rsid w:val="00991782"/>
    <w:rsid w:val="009919DB"/>
    <w:rsid w:val="0099272A"/>
    <w:rsid w:val="00992D88"/>
    <w:rsid w:val="009937F7"/>
    <w:rsid w:val="0099465B"/>
    <w:rsid w:val="009951A1"/>
    <w:rsid w:val="009972CE"/>
    <w:rsid w:val="00997631"/>
    <w:rsid w:val="00997A44"/>
    <w:rsid w:val="009A0CDD"/>
    <w:rsid w:val="009A3168"/>
    <w:rsid w:val="009A4621"/>
    <w:rsid w:val="009A4BDF"/>
    <w:rsid w:val="009A4F64"/>
    <w:rsid w:val="009A5D04"/>
    <w:rsid w:val="009A61CA"/>
    <w:rsid w:val="009B0062"/>
    <w:rsid w:val="009B0C64"/>
    <w:rsid w:val="009B0F67"/>
    <w:rsid w:val="009B208A"/>
    <w:rsid w:val="009B2756"/>
    <w:rsid w:val="009B3D56"/>
    <w:rsid w:val="009B3F8C"/>
    <w:rsid w:val="009B4356"/>
    <w:rsid w:val="009B461A"/>
    <w:rsid w:val="009B533B"/>
    <w:rsid w:val="009B546B"/>
    <w:rsid w:val="009B7822"/>
    <w:rsid w:val="009B7E68"/>
    <w:rsid w:val="009B7F9C"/>
    <w:rsid w:val="009C26AA"/>
    <w:rsid w:val="009C4D75"/>
    <w:rsid w:val="009C5893"/>
    <w:rsid w:val="009C5EB0"/>
    <w:rsid w:val="009C703C"/>
    <w:rsid w:val="009C787B"/>
    <w:rsid w:val="009D0C29"/>
    <w:rsid w:val="009D100B"/>
    <w:rsid w:val="009D206E"/>
    <w:rsid w:val="009D295B"/>
    <w:rsid w:val="009D3CAA"/>
    <w:rsid w:val="009D507A"/>
    <w:rsid w:val="009D6532"/>
    <w:rsid w:val="009D662A"/>
    <w:rsid w:val="009D6EF6"/>
    <w:rsid w:val="009D71FD"/>
    <w:rsid w:val="009E06F0"/>
    <w:rsid w:val="009E0755"/>
    <w:rsid w:val="009E10AD"/>
    <w:rsid w:val="009E2588"/>
    <w:rsid w:val="009E2E8E"/>
    <w:rsid w:val="009E34EE"/>
    <w:rsid w:val="009E40E1"/>
    <w:rsid w:val="009F0EFA"/>
    <w:rsid w:val="009F353E"/>
    <w:rsid w:val="009F4E46"/>
    <w:rsid w:val="009F5B65"/>
    <w:rsid w:val="009F5F2E"/>
    <w:rsid w:val="00A01432"/>
    <w:rsid w:val="00A01B01"/>
    <w:rsid w:val="00A06225"/>
    <w:rsid w:val="00A066E6"/>
    <w:rsid w:val="00A1014B"/>
    <w:rsid w:val="00A110D1"/>
    <w:rsid w:val="00A12587"/>
    <w:rsid w:val="00A128E6"/>
    <w:rsid w:val="00A12CE9"/>
    <w:rsid w:val="00A144D3"/>
    <w:rsid w:val="00A17EA7"/>
    <w:rsid w:val="00A21D7D"/>
    <w:rsid w:val="00A22AC3"/>
    <w:rsid w:val="00A2351E"/>
    <w:rsid w:val="00A2390F"/>
    <w:rsid w:val="00A23F3F"/>
    <w:rsid w:val="00A24067"/>
    <w:rsid w:val="00A24A4B"/>
    <w:rsid w:val="00A2744D"/>
    <w:rsid w:val="00A30D16"/>
    <w:rsid w:val="00A30ED3"/>
    <w:rsid w:val="00A32A9A"/>
    <w:rsid w:val="00A33A74"/>
    <w:rsid w:val="00A33AD8"/>
    <w:rsid w:val="00A33EB7"/>
    <w:rsid w:val="00A34E6C"/>
    <w:rsid w:val="00A34FD0"/>
    <w:rsid w:val="00A36398"/>
    <w:rsid w:val="00A37C8D"/>
    <w:rsid w:val="00A4020E"/>
    <w:rsid w:val="00A40493"/>
    <w:rsid w:val="00A408E8"/>
    <w:rsid w:val="00A40FB5"/>
    <w:rsid w:val="00A41575"/>
    <w:rsid w:val="00A42826"/>
    <w:rsid w:val="00A429B3"/>
    <w:rsid w:val="00A44EC1"/>
    <w:rsid w:val="00A45FF3"/>
    <w:rsid w:val="00A5020E"/>
    <w:rsid w:val="00A510E4"/>
    <w:rsid w:val="00A51CF7"/>
    <w:rsid w:val="00A51F8C"/>
    <w:rsid w:val="00A526F7"/>
    <w:rsid w:val="00A5273B"/>
    <w:rsid w:val="00A53A9D"/>
    <w:rsid w:val="00A55FEE"/>
    <w:rsid w:val="00A57422"/>
    <w:rsid w:val="00A62C1A"/>
    <w:rsid w:val="00A63CA2"/>
    <w:rsid w:val="00A6426D"/>
    <w:rsid w:val="00A665C1"/>
    <w:rsid w:val="00A673A4"/>
    <w:rsid w:val="00A6755F"/>
    <w:rsid w:val="00A7001A"/>
    <w:rsid w:val="00A70622"/>
    <w:rsid w:val="00A70977"/>
    <w:rsid w:val="00A70D58"/>
    <w:rsid w:val="00A71466"/>
    <w:rsid w:val="00A73668"/>
    <w:rsid w:val="00A744B9"/>
    <w:rsid w:val="00A744F9"/>
    <w:rsid w:val="00A753A1"/>
    <w:rsid w:val="00A756DD"/>
    <w:rsid w:val="00A75D2E"/>
    <w:rsid w:val="00A75D4C"/>
    <w:rsid w:val="00A7750D"/>
    <w:rsid w:val="00A77613"/>
    <w:rsid w:val="00A77B87"/>
    <w:rsid w:val="00A80128"/>
    <w:rsid w:val="00A801AD"/>
    <w:rsid w:val="00A81851"/>
    <w:rsid w:val="00A8390C"/>
    <w:rsid w:val="00A858E6"/>
    <w:rsid w:val="00A86AE0"/>
    <w:rsid w:val="00A90E9E"/>
    <w:rsid w:val="00A912B0"/>
    <w:rsid w:val="00A91362"/>
    <w:rsid w:val="00A9151C"/>
    <w:rsid w:val="00A919C6"/>
    <w:rsid w:val="00A928BD"/>
    <w:rsid w:val="00A929FA"/>
    <w:rsid w:val="00A92D61"/>
    <w:rsid w:val="00A97DE9"/>
    <w:rsid w:val="00AA0FA7"/>
    <w:rsid w:val="00AA12CD"/>
    <w:rsid w:val="00AA4327"/>
    <w:rsid w:val="00AA44C8"/>
    <w:rsid w:val="00AA4D1C"/>
    <w:rsid w:val="00AA52FD"/>
    <w:rsid w:val="00AA7006"/>
    <w:rsid w:val="00AB1203"/>
    <w:rsid w:val="00AB3138"/>
    <w:rsid w:val="00AB4684"/>
    <w:rsid w:val="00AB5856"/>
    <w:rsid w:val="00AC081D"/>
    <w:rsid w:val="00AC0C6F"/>
    <w:rsid w:val="00AC1266"/>
    <w:rsid w:val="00AC193C"/>
    <w:rsid w:val="00AC30C1"/>
    <w:rsid w:val="00AC4DE5"/>
    <w:rsid w:val="00AC5206"/>
    <w:rsid w:val="00AC6420"/>
    <w:rsid w:val="00AD095B"/>
    <w:rsid w:val="00AD2A82"/>
    <w:rsid w:val="00AD3106"/>
    <w:rsid w:val="00AD354C"/>
    <w:rsid w:val="00AD4322"/>
    <w:rsid w:val="00AD529F"/>
    <w:rsid w:val="00AD7360"/>
    <w:rsid w:val="00AD7D40"/>
    <w:rsid w:val="00AE0128"/>
    <w:rsid w:val="00AE11A5"/>
    <w:rsid w:val="00AE13E2"/>
    <w:rsid w:val="00AE22D3"/>
    <w:rsid w:val="00AE5A49"/>
    <w:rsid w:val="00AF03E6"/>
    <w:rsid w:val="00AF0899"/>
    <w:rsid w:val="00AF099C"/>
    <w:rsid w:val="00AF11D8"/>
    <w:rsid w:val="00AF1ED5"/>
    <w:rsid w:val="00AF35C4"/>
    <w:rsid w:val="00AF3E4D"/>
    <w:rsid w:val="00AF42B3"/>
    <w:rsid w:val="00AF5867"/>
    <w:rsid w:val="00AF62DF"/>
    <w:rsid w:val="00AF68CC"/>
    <w:rsid w:val="00AF70D7"/>
    <w:rsid w:val="00B00086"/>
    <w:rsid w:val="00B00CD0"/>
    <w:rsid w:val="00B00E7F"/>
    <w:rsid w:val="00B01FEA"/>
    <w:rsid w:val="00B01FF4"/>
    <w:rsid w:val="00B0326D"/>
    <w:rsid w:val="00B05C75"/>
    <w:rsid w:val="00B06037"/>
    <w:rsid w:val="00B06478"/>
    <w:rsid w:val="00B07533"/>
    <w:rsid w:val="00B07CFB"/>
    <w:rsid w:val="00B07E06"/>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691"/>
    <w:rsid w:val="00B26B3F"/>
    <w:rsid w:val="00B27700"/>
    <w:rsid w:val="00B2778F"/>
    <w:rsid w:val="00B3056E"/>
    <w:rsid w:val="00B327E2"/>
    <w:rsid w:val="00B33635"/>
    <w:rsid w:val="00B35B6C"/>
    <w:rsid w:val="00B37A23"/>
    <w:rsid w:val="00B37CF8"/>
    <w:rsid w:val="00B42AF4"/>
    <w:rsid w:val="00B43E90"/>
    <w:rsid w:val="00B44308"/>
    <w:rsid w:val="00B447A0"/>
    <w:rsid w:val="00B45722"/>
    <w:rsid w:val="00B460F4"/>
    <w:rsid w:val="00B467DC"/>
    <w:rsid w:val="00B47A88"/>
    <w:rsid w:val="00B506C0"/>
    <w:rsid w:val="00B514FB"/>
    <w:rsid w:val="00B52303"/>
    <w:rsid w:val="00B5392A"/>
    <w:rsid w:val="00B539EF"/>
    <w:rsid w:val="00B53FBB"/>
    <w:rsid w:val="00B56019"/>
    <w:rsid w:val="00B56118"/>
    <w:rsid w:val="00B566E1"/>
    <w:rsid w:val="00B56AFB"/>
    <w:rsid w:val="00B60083"/>
    <w:rsid w:val="00B602F6"/>
    <w:rsid w:val="00B60715"/>
    <w:rsid w:val="00B62221"/>
    <w:rsid w:val="00B62EC1"/>
    <w:rsid w:val="00B63CCE"/>
    <w:rsid w:val="00B64A96"/>
    <w:rsid w:val="00B6533B"/>
    <w:rsid w:val="00B65B09"/>
    <w:rsid w:val="00B6773F"/>
    <w:rsid w:val="00B70EB3"/>
    <w:rsid w:val="00B72906"/>
    <w:rsid w:val="00B74F48"/>
    <w:rsid w:val="00B7525E"/>
    <w:rsid w:val="00B75433"/>
    <w:rsid w:val="00B75CF2"/>
    <w:rsid w:val="00B75F70"/>
    <w:rsid w:val="00B760FB"/>
    <w:rsid w:val="00B76765"/>
    <w:rsid w:val="00B767AB"/>
    <w:rsid w:val="00B801BA"/>
    <w:rsid w:val="00B812D6"/>
    <w:rsid w:val="00B846E6"/>
    <w:rsid w:val="00B84D5C"/>
    <w:rsid w:val="00B85698"/>
    <w:rsid w:val="00B856B4"/>
    <w:rsid w:val="00B85AF6"/>
    <w:rsid w:val="00B92E46"/>
    <w:rsid w:val="00B93FB5"/>
    <w:rsid w:val="00B94038"/>
    <w:rsid w:val="00B941ED"/>
    <w:rsid w:val="00B956ED"/>
    <w:rsid w:val="00BA2DA8"/>
    <w:rsid w:val="00BA347C"/>
    <w:rsid w:val="00BA4C79"/>
    <w:rsid w:val="00BB26E9"/>
    <w:rsid w:val="00BB298A"/>
    <w:rsid w:val="00BB3060"/>
    <w:rsid w:val="00BB3469"/>
    <w:rsid w:val="00BB5C49"/>
    <w:rsid w:val="00BB6240"/>
    <w:rsid w:val="00BB6285"/>
    <w:rsid w:val="00BB69F5"/>
    <w:rsid w:val="00BB6E48"/>
    <w:rsid w:val="00BB7583"/>
    <w:rsid w:val="00BB7EC3"/>
    <w:rsid w:val="00BC04B1"/>
    <w:rsid w:val="00BC12DC"/>
    <w:rsid w:val="00BC2367"/>
    <w:rsid w:val="00BC470E"/>
    <w:rsid w:val="00BC4B9A"/>
    <w:rsid w:val="00BC6AD3"/>
    <w:rsid w:val="00BC6F52"/>
    <w:rsid w:val="00BD02C3"/>
    <w:rsid w:val="00BD0783"/>
    <w:rsid w:val="00BD08D3"/>
    <w:rsid w:val="00BD0CF9"/>
    <w:rsid w:val="00BD163F"/>
    <w:rsid w:val="00BD7483"/>
    <w:rsid w:val="00BD784C"/>
    <w:rsid w:val="00BD7859"/>
    <w:rsid w:val="00BE020A"/>
    <w:rsid w:val="00BE1302"/>
    <w:rsid w:val="00BE13DF"/>
    <w:rsid w:val="00BE179F"/>
    <w:rsid w:val="00BE1EF0"/>
    <w:rsid w:val="00BE25D7"/>
    <w:rsid w:val="00BE7A3C"/>
    <w:rsid w:val="00BF092C"/>
    <w:rsid w:val="00BF27A0"/>
    <w:rsid w:val="00BF2B3C"/>
    <w:rsid w:val="00BF4CB6"/>
    <w:rsid w:val="00BF51E1"/>
    <w:rsid w:val="00BF58F4"/>
    <w:rsid w:val="00BF5D23"/>
    <w:rsid w:val="00BF6CBD"/>
    <w:rsid w:val="00BF7F16"/>
    <w:rsid w:val="00C00DA7"/>
    <w:rsid w:val="00C034FB"/>
    <w:rsid w:val="00C04CDE"/>
    <w:rsid w:val="00C059D5"/>
    <w:rsid w:val="00C068A6"/>
    <w:rsid w:val="00C07D55"/>
    <w:rsid w:val="00C12768"/>
    <w:rsid w:val="00C12D70"/>
    <w:rsid w:val="00C16724"/>
    <w:rsid w:val="00C214D3"/>
    <w:rsid w:val="00C21A76"/>
    <w:rsid w:val="00C21B09"/>
    <w:rsid w:val="00C254DC"/>
    <w:rsid w:val="00C25EFF"/>
    <w:rsid w:val="00C263E0"/>
    <w:rsid w:val="00C2673A"/>
    <w:rsid w:val="00C278CD"/>
    <w:rsid w:val="00C27B58"/>
    <w:rsid w:val="00C27C1C"/>
    <w:rsid w:val="00C3166C"/>
    <w:rsid w:val="00C33186"/>
    <w:rsid w:val="00C339BE"/>
    <w:rsid w:val="00C35996"/>
    <w:rsid w:val="00C4165C"/>
    <w:rsid w:val="00C42BCD"/>
    <w:rsid w:val="00C4485F"/>
    <w:rsid w:val="00C46C13"/>
    <w:rsid w:val="00C4747E"/>
    <w:rsid w:val="00C5151E"/>
    <w:rsid w:val="00C52256"/>
    <w:rsid w:val="00C52D3A"/>
    <w:rsid w:val="00C5342C"/>
    <w:rsid w:val="00C53B2B"/>
    <w:rsid w:val="00C56D78"/>
    <w:rsid w:val="00C57465"/>
    <w:rsid w:val="00C60272"/>
    <w:rsid w:val="00C603D4"/>
    <w:rsid w:val="00C61308"/>
    <w:rsid w:val="00C6256A"/>
    <w:rsid w:val="00C639D5"/>
    <w:rsid w:val="00C63FDA"/>
    <w:rsid w:val="00C64EBC"/>
    <w:rsid w:val="00C6564B"/>
    <w:rsid w:val="00C66003"/>
    <w:rsid w:val="00C66093"/>
    <w:rsid w:val="00C664D2"/>
    <w:rsid w:val="00C677E1"/>
    <w:rsid w:val="00C70E6E"/>
    <w:rsid w:val="00C710E2"/>
    <w:rsid w:val="00C71C3F"/>
    <w:rsid w:val="00C7409E"/>
    <w:rsid w:val="00C74D6D"/>
    <w:rsid w:val="00C75A04"/>
    <w:rsid w:val="00C76E76"/>
    <w:rsid w:val="00C77891"/>
    <w:rsid w:val="00C77B74"/>
    <w:rsid w:val="00C82062"/>
    <w:rsid w:val="00C829A9"/>
    <w:rsid w:val="00C8557B"/>
    <w:rsid w:val="00C8684F"/>
    <w:rsid w:val="00C87B80"/>
    <w:rsid w:val="00C90330"/>
    <w:rsid w:val="00C91449"/>
    <w:rsid w:val="00C92D10"/>
    <w:rsid w:val="00C92F79"/>
    <w:rsid w:val="00C95200"/>
    <w:rsid w:val="00C9556D"/>
    <w:rsid w:val="00C96EC0"/>
    <w:rsid w:val="00CA06F9"/>
    <w:rsid w:val="00CA14BB"/>
    <w:rsid w:val="00CA230C"/>
    <w:rsid w:val="00CA3942"/>
    <w:rsid w:val="00CA48D9"/>
    <w:rsid w:val="00CB1193"/>
    <w:rsid w:val="00CB14B7"/>
    <w:rsid w:val="00CB4767"/>
    <w:rsid w:val="00CB493D"/>
    <w:rsid w:val="00CB604B"/>
    <w:rsid w:val="00CC327E"/>
    <w:rsid w:val="00CC3B97"/>
    <w:rsid w:val="00CD1D0F"/>
    <w:rsid w:val="00CD1EBB"/>
    <w:rsid w:val="00CD493D"/>
    <w:rsid w:val="00CD6257"/>
    <w:rsid w:val="00CD6B25"/>
    <w:rsid w:val="00CD7002"/>
    <w:rsid w:val="00CD7C0B"/>
    <w:rsid w:val="00CE10C4"/>
    <w:rsid w:val="00CE1D79"/>
    <w:rsid w:val="00CE2343"/>
    <w:rsid w:val="00CE27B5"/>
    <w:rsid w:val="00CE2BDF"/>
    <w:rsid w:val="00CE48FB"/>
    <w:rsid w:val="00CE6D24"/>
    <w:rsid w:val="00CE6DAF"/>
    <w:rsid w:val="00CE78D4"/>
    <w:rsid w:val="00CF410A"/>
    <w:rsid w:val="00CF7528"/>
    <w:rsid w:val="00CF7FDE"/>
    <w:rsid w:val="00D00D91"/>
    <w:rsid w:val="00D012AF"/>
    <w:rsid w:val="00D0321E"/>
    <w:rsid w:val="00D04801"/>
    <w:rsid w:val="00D05457"/>
    <w:rsid w:val="00D069EB"/>
    <w:rsid w:val="00D07A8A"/>
    <w:rsid w:val="00D10E31"/>
    <w:rsid w:val="00D11199"/>
    <w:rsid w:val="00D126B6"/>
    <w:rsid w:val="00D1455A"/>
    <w:rsid w:val="00D14573"/>
    <w:rsid w:val="00D14A70"/>
    <w:rsid w:val="00D17225"/>
    <w:rsid w:val="00D207EA"/>
    <w:rsid w:val="00D211FB"/>
    <w:rsid w:val="00D22093"/>
    <w:rsid w:val="00D26347"/>
    <w:rsid w:val="00D31150"/>
    <w:rsid w:val="00D3138B"/>
    <w:rsid w:val="00D31FCE"/>
    <w:rsid w:val="00D3280C"/>
    <w:rsid w:val="00D3406A"/>
    <w:rsid w:val="00D34D24"/>
    <w:rsid w:val="00D35382"/>
    <w:rsid w:val="00D35E96"/>
    <w:rsid w:val="00D40B11"/>
    <w:rsid w:val="00D42864"/>
    <w:rsid w:val="00D429EC"/>
    <w:rsid w:val="00D42FD3"/>
    <w:rsid w:val="00D441F1"/>
    <w:rsid w:val="00D456C0"/>
    <w:rsid w:val="00D4572C"/>
    <w:rsid w:val="00D469B2"/>
    <w:rsid w:val="00D47079"/>
    <w:rsid w:val="00D5032E"/>
    <w:rsid w:val="00D517A5"/>
    <w:rsid w:val="00D520DB"/>
    <w:rsid w:val="00D52B24"/>
    <w:rsid w:val="00D52EAA"/>
    <w:rsid w:val="00D52ECF"/>
    <w:rsid w:val="00D54B09"/>
    <w:rsid w:val="00D6243E"/>
    <w:rsid w:val="00D62C81"/>
    <w:rsid w:val="00D65161"/>
    <w:rsid w:val="00D65658"/>
    <w:rsid w:val="00D67EB2"/>
    <w:rsid w:val="00D70349"/>
    <w:rsid w:val="00D70C95"/>
    <w:rsid w:val="00D71ADA"/>
    <w:rsid w:val="00D72B6F"/>
    <w:rsid w:val="00D73A6B"/>
    <w:rsid w:val="00D741EB"/>
    <w:rsid w:val="00D74CEA"/>
    <w:rsid w:val="00D7508E"/>
    <w:rsid w:val="00D7679C"/>
    <w:rsid w:val="00D8003D"/>
    <w:rsid w:val="00D80196"/>
    <w:rsid w:val="00D817A9"/>
    <w:rsid w:val="00D820F3"/>
    <w:rsid w:val="00D83605"/>
    <w:rsid w:val="00D83975"/>
    <w:rsid w:val="00D84934"/>
    <w:rsid w:val="00D866EB"/>
    <w:rsid w:val="00D869C2"/>
    <w:rsid w:val="00D87D1A"/>
    <w:rsid w:val="00D904D0"/>
    <w:rsid w:val="00D906DA"/>
    <w:rsid w:val="00D91271"/>
    <w:rsid w:val="00D919F5"/>
    <w:rsid w:val="00D945F6"/>
    <w:rsid w:val="00D94F03"/>
    <w:rsid w:val="00D95161"/>
    <w:rsid w:val="00D95C23"/>
    <w:rsid w:val="00D96D19"/>
    <w:rsid w:val="00DA0A82"/>
    <w:rsid w:val="00DA0D14"/>
    <w:rsid w:val="00DA15BF"/>
    <w:rsid w:val="00DA1FC9"/>
    <w:rsid w:val="00DA2CB5"/>
    <w:rsid w:val="00DA358F"/>
    <w:rsid w:val="00DA383E"/>
    <w:rsid w:val="00DA4BAC"/>
    <w:rsid w:val="00DA70D1"/>
    <w:rsid w:val="00DA722E"/>
    <w:rsid w:val="00DA792A"/>
    <w:rsid w:val="00DA7A21"/>
    <w:rsid w:val="00DB0151"/>
    <w:rsid w:val="00DB0160"/>
    <w:rsid w:val="00DB04D7"/>
    <w:rsid w:val="00DB50E1"/>
    <w:rsid w:val="00DC0566"/>
    <w:rsid w:val="00DC05E1"/>
    <w:rsid w:val="00DC1499"/>
    <w:rsid w:val="00DC16CF"/>
    <w:rsid w:val="00DC2C3E"/>
    <w:rsid w:val="00DC3137"/>
    <w:rsid w:val="00DC3A71"/>
    <w:rsid w:val="00DC3AC0"/>
    <w:rsid w:val="00DC3DC8"/>
    <w:rsid w:val="00DC4880"/>
    <w:rsid w:val="00DC5E90"/>
    <w:rsid w:val="00DC77A3"/>
    <w:rsid w:val="00DD0BE9"/>
    <w:rsid w:val="00DD26F9"/>
    <w:rsid w:val="00DD350E"/>
    <w:rsid w:val="00DD42AB"/>
    <w:rsid w:val="00DD6177"/>
    <w:rsid w:val="00DD7A48"/>
    <w:rsid w:val="00DE06AF"/>
    <w:rsid w:val="00DE4889"/>
    <w:rsid w:val="00DE5385"/>
    <w:rsid w:val="00DE6D27"/>
    <w:rsid w:val="00DE76EA"/>
    <w:rsid w:val="00DF01F8"/>
    <w:rsid w:val="00DF021D"/>
    <w:rsid w:val="00DF14EE"/>
    <w:rsid w:val="00DF1C57"/>
    <w:rsid w:val="00DF217D"/>
    <w:rsid w:val="00DF26A7"/>
    <w:rsid w:val="00DF3277"/>
    <w:rsid w:val="00DF5F03"/>
    <w:rsid w:val="00DF6A31"/>
    <w:rsid w:val="00DF75D7"/>
    <w:rsid w:val="00DF77A1"/>
    <w:rsid w:val="00DF7919"/>
    <w:rsid w:val="00E01A86"/>
    <w:rsid w:val="00E0207E"/>
    <w:rsid w:val="00E02AE6"/>
    <w:rsid w:val="00E03912"/>
    <w:rsid w:val="00E04748"/>
    <w:rsid w:val="00E04807"/>
    <w:rsid w:val="00E060AF"/>
    <w:rsid w:val="00E078D9"/>
    <w:rsid w:val="00E10293"/>
    <w:rsid w:val="00E103A0"/>
    <w:rsid w:val="00E1043F"/>
    <w:rsid w:val="00E10E4C"/>
    <w:rsid w:val="00E10FA9"/>
    <w:rsid w:val="00E1157E"/>
    <w:rsid w:val="00E11F44"/>
    <w:rsid w:val="00E13E60"/>
    <w:rsid w:val="00E15627"/>
    <w:rsid w:val="00E164B3"/>
    <w:rsid w:val="00E16910"/>
    <w:rsid w:val="00E16FE6"/>
    <w:rsid w:val="00E17F73"/>
    <w:rsid w:val="00E21164"/>
    <w:rsid w:val="00E22C51"/>
    <w:rsid w:val="00E239E2"/>
    <w:rsid w:val="00E24E09"/>
    <w:rsid w:val="00E27234"/>
    <w:rsid w:val="00E30EB5"/>
    <w:rsid w:val="00E32446"/>
    <w:rsid w:val="00E32B7A"/>
    <w:rsid w:val="00E32C55"/>
    <w:rsid w:val="00E3495C"/>
    <w:rsid w:val="00E3541A"/>
    <w:rsid w:val="00E356FB"/>
    <w:rsid w:val="00E35F7E"/>
    <w:rsid w:val="00E36127"/>
    <w:rsid w:val="00E36E62"/>
    <w:rsid w:val="00E42BDB"/>
    <w:rsid w:val="00E471FF"/>
    <w:rsid w:val="00E5045F"/>
    <w:rsid w:val="00E524A9"/>
    <w:rsid w:val="00E53F1A"/>
    <w:rsid w:val="00E5632A"/>
    <w:rsid w:val="00E568DA"/>
    <w:rsid w:val="00E5726D"/>
    <w:rsid w:val="00E57EEB"/>
    <w:rsid w:val="00E61693"/>
    <w:rsid w:val="00E62D94"/>
    <w:rsid w:val="00E62ECC"/>
    <w:rsid w:val="00E63F8E"/>
    <w:rsid w:val="00E64E5D"/>
    <w:rsid w:val="00E64F37"/>
    <w:rsid w:val="00E65091"/>
    <w:rsid w:val="00E65393"/>
    <w:rsid w:val="00E65E54"/>
    <w:rsid w:val="00E661C7"/>
    <w:rsid w:val="00E66679"/>
    <w:rsid w:val="00E67FD1"/>
    <w:rsid w:val="00E710A4"/>
    <w:rsid w:val="00E732C4"/>
    <w:rsid w:val="00E74E41"/>
    <w:rsid w:val="00E75392"/>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3DD6"/>
    <w:rsid w:val="00EA5027"/>
    <w:rsid w:val="00EA52AB"/>
    <w:rsid w:val="00EA5731"/>
    <w:rsid w:val="00EA64C2"/>
    <w:rsid w:val="00EA6518"/>
    <w:rsid w:val="00EA71A2"/>
    <w:rsid w:val="00EA7466"/>
    <w:rsid w:val="00EA7C02"/>
    <w:rsid w:val="00EA7EDE"/>
    <w:rsid w:val="00EB0B63"/>
    <w:rsid w:val="00EB1936"/>
    <w:rsid w:val="00EB3545"/>
    <w:rsid w:val="00EB37BE"/>
    <w:rsid w:val="00EB4BAE"/>
    <w:rsid w:val="00EB5088"/>
    <w:rsid w:val="00EB7210"/>
    <w:rsid w:val="00EB73EF"/>
    <w:rsid w:val="00EC2726"/>
    <w:rsid w:val="00EC46F2"/>
    <w:rsid w:val="00EC681C"/>
    <w:rsid w:val="00EC7B87"/>
    <w:rsid w:val="00ED1644"/>
    <w:rsid w:val="00ED2593"/>
    <w:rsid w:val="00ED3709"/>
    <w:rsid w:val="00ED7D55"/>
    <w:rsid w:val="00ED7D9C"/>
    <w:rsid w:val="00EE00A7"/>
    <w:rsid w:val="00EE2F77"/>
    <w:rsid w:val="00EE3158"/>
    <w:rsid w:val="00EE31A2"/>
    <w:rsid w:val="00EE4329"/>
    <w:rsid w:val="00EE6203"/>
    <w:rsid w:val="00EF0069"/>
    <w:rsid w:val="00EF0D6E"/>
    <w:rsid w:val="00EF3183"/>
    <w:rsid w:val="00EF3C52"/>
    <w:rsid w:val="00EF44A0"/>
    <w:rsid w:val="00EF4580"/>
    <w:rsid w:val="00EF4FED"/>
    <w:rsid w:val="00EF5F45"/>
    <w:rsid w:val="00EF6843"/>
    <w:rsid w:val="00EF6941"/>
    <w:rsid w:val="00EF6FB3"/>
    <w:rsid w:val="00F002E1"/>
    <w:rsid w:val="00F0068B"/>
    <w:rsid w:val="00F007C6"/>
    <w:rsid w:val="00F0172E"/>
    <w:rsid w:val="00F02B7A"/>
    <w:rsid w:val="00F050BD"/>
    <w:rsid w:val="00F05657"/>
    <w:rsid w:val="00F05734"/>
    <w:rsid w:val="00F05AB0"/>
    <w:rsid w:val="00F05E9F"/>
    <w:rsid w:val="00F107FA"/>
    <w:rsid w:val="00F12C74"/>
    <w:rsid w:val="00F13214"/>
    <w:rsid w:val="00F1559A"/>
    <w:rsid w:val="00F1798E"/>
    <w:rsid w:val="00F17ED6"/>
    <w:rsid w:val="00F20129"/>
    <w:rsid w:val="00F20252"/>
    <w:rsid w:val="00F20676"/>
    <w:rsid w:val="00F209E2"/>
    <w:rsid w:val="00F2398F"/>
    <w:rsid w:val="00F24BAF"/>
    <w:rsid w:val="00F25578"/>
    <w:rsid w:val="00F258E5"/>
    <w:rsid w:val="00F25AFB"/>
    <w:rsid w:val="00F25B9C"/>
    <w:rsid w:val="00F2675A"/>
    <w:rsid w:val="00F26CC6"/>
    <w:rsid w:val="00F300BC"/>
    <w:rsid w:val="00F305FA"/>
    <w:rsid w:val="00F3125C"/>
    <w:rsid w:val="00F3263C"/>
    <w:rsid w:val="00F3334E"/>
    <w:rsid w:val="00F3573A"/>
    <w:rsid w:val="00F36CCB"/>
    <w:rsid w:val="00F374E5"/>
    <w:rsid w:val="00F37B93"/>
    <w:rsid w:val="00F37BAD"/>
    <w:rsid w:val="00F37ECA"/>
    <w:rsid w:val="00F409BF"/>
    <w:rsid w:val="00F40A1C"/>
    <w:rsid w:val="00F438C7"/>
    <w:rsid w:val="00F43AF2"/>
    <w:rsid w:val="00F45216"/>
    <w:rsid w:val="00F5007E"/>
    <w:rsid w:val="00F508F6"/>
    <w:rsid w:val="00F50EC4"/>
    <w:rsid w:val="00F52232"/>
    <w:rsid w:val="00F527B1"/>
    <w:rsid w:val="00F52DC2"/>
    <w:rsid w:val="00F54AF9"/>
    <w:rsid w:val="00F550CF"/>
    <w:rsid w:val="00F553D2"/>
    <w:rsid w:val="00F55D07"/>
    <w:rsid w:val="00F56A2D"/>
    <w:rsid w:val="00F57800"/>
    <w:rsid w:val="00F57A6D"/>
    <w:rsid w:val="00F6006A"/>
    <w:rsid w:val="00F6044B"/>
    <w:rsid w:val="00F62F19"/>
    <w:rsid w:val="00F638CC"/>
    <w:rsid w:val="00F649C6"/>
    <w:rsid w:val="00F64C9E"/>
    <w:rsid w:val="00F64CC1"/>
    <w:rsid w:val="00F708B1"/>
    <w:rsid w:val="00F72317"/>
    <w:rsid w:val="00F72F3F"/>
    <w:rsid w:val="00F73DC1"/>
    <w:rsid w:val="00F75BB8"/>
    <w:rsid w:val="00F75BF8"/>
    <w:rsid w:val="00F7642D"/>
    <w:rsid w:val="00F7681A"/>
    <w:rsid w:val="00F77714"/>
    <w:rsid w:val="00F80475"/>
    <w:rsid w:val="00F80E6E"/>
    <w:rsid w:val="00F81390"/>
    <w:rsid w:val="00F81F7A"/>
    <w:rsid w:val="00F8247A"/>
    <w:rsid w:val="00F82DAE"/>
    <w:rsid w:val="00F82E5C"/>
    <w:rsid w:val="00F83E86"/>
    <w:rsid w:val="00F83F58"/>
    <w:rsid w:val="00F85206"/>
    <w:rsid w:val="00F87A14"/>
    <w:rsid w:val="00F87C7A"/>
    <w:rsid w:val="00F87CEA"/>
    <w:rsid w:val="00F910DC"/>
    <w:rsid w:val="00F9265D"/>
    <w:rsid w:val="00F9629A"/>
    <w:rsid w:val="00F9719A"/>
    <w:rsid w:val="00F97EFC"/>
    <w:rsid w:val="00FA0B04"/>
    <w:rsid w:val="00FA0C7C"/>
    <w:rsid w:val="00FA1BDD"/>
    <w:rsid w:val="00FA305C"/>
    <w:rsid w:val="00FA462E"/>
    <w:rsid w:val="00FA4DD5"/>
    <w:rsid w:val="00FA54C3"/>
    <w:rsid w:val="00FA5883"/>
    <w:rsid w:val="00FA6055"/>
    <w:rsid w:val="00FB0B39"/>
    <w:rsid w:val="00FB322F"/>
    <w:rsid w:val="00FB442F"/>
    <w:rsid w:val="00FB6043"/>
    <w:rsid w:val="00FB7ACC"/>
    <w:rsid w:val="00FC118C"/>
    <w:rsid w:val="00FC1929"/>
    <w:rsid w:val="00FC392E"/>
    <w:rsid w:val="00FC5B46"/>
    <w:rsid w:val="00FC714B"/>
    <w:rsid w:val="00FD1D4F"/>
    <w:rsid w:val="00FD24BF"/>
    <w:rsid w:val="00FD30DC"/>
    <w:rsid w:val="00FD3B6E"/>
    <w:rsid w:val="00FD4140"/>
    <w:rsid w:val="00FD57EB"/>
    <w:rsid w:val="00FD6918"/>
    <w:rsid w:val="00FD6A13"/>
    <w:rsid w:val="00FD6D8E"/>
    <w:rsid w:val="00FD7BB4"/>
    <w:rsid w:val="00FE0663"/>
    <w:rsid w:val="00FE0E94"/>
    <w:rsid w:val="00FE369C"/>
    <w:rsid w:val="00FE3B93"/>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uiPriority w:val="99"/>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110FC9"/>
    <w:pPr>
      <w:numPr>
        <w:ilvl w:val="1"/>
        <w:numId w:val="2"/>
      </w:numPr>
      <w:jc w:val="both"/>
    </w:pPr>
    <w:rPr>
      <w:rFonts w:eastAsiaTheme="minorHAnsi" w:cstheme="minorBidi"/>
      <w:snapToGrid/>
      <w:szCs w:val="22"/>
      <w:lang w:val="en-GB"/>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110FC9"/>
    <w:rPr>
      <w:rFonts w:asciiTheme="minorHAnsi" w:eastAsiaTheme="minorHAnsi" w:hAnsiTheme="minorHAnsi" w:cstheme="minorBidi"/>
      <w:snapToGrid/>
      <w:sz w:val="24"/>
      <w:szCs w:val="22"/>
      <w:lang w:val="en-GB"/>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val="en-GB"/>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NormalWeb">
    <w:name w:val="Normal (Web)"/>
    <w:basedOn w:val="Normal"/>
    <w:uiPriority w:val="99"/>
    <w:unhideWhenUsed/>
    <w:rsid w:val="009371D8"/>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56848806">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75375911">
      <w:bodyDiv w:val="1"/>
      <w:marLeft w:val="0"/>
      <w:marRight w:val="0"/>
      <w:marTop w:val="0"/>
      <w:marBottom w:val="0"/>
      <w:divBdr>
        <w:top w:val="none" w:sz="0" w:space="0" w:color="auto"/>
        <w:left w:val="none" w:sz="0" w:space="0" w:color="auto"/>
        <w:bottom w:val="none" w:sz="0" w:space="0" w:color="auto"/>
        <w:right w:val="none" w:sz="0" w:space="0" w:color="auto"/>
      </w:divBdr>
    </w:div>
    <w:div w:id="169476615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0291771">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859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elements/pbac-meetings/pbac-outcomes/2021-07/july-2021-pbac-web-outcomes-07-2021.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4616</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2023-12-13T23:29:00Z</dcterms:created>
  <dcterms:modified xsi:type="dcterms:W3CDTF">2023-12-13T23:30:00Z</dcterms:modified>
</cp:coreProperties>
</file>