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64C5" w14:textId="162570FA" w:rsidR="00433044" w:rsidRDefault="00C74E99" w:rsidP="005B7AD6">
      <w:pPr>
        <w:pStyle w:val="1-MainHeading"/>
        <w:ind w:left="851" w:hanging="851"/>
      </w:pPr>
      <w:bookmarkStart w:id="0" w:name="_Toc134692561"/>
      <w:r w:rsidRPr="00C74E99">
        <w:t>6.06</w:t>
      </w:r>
      <w:r w:rsidR="00163F66" w:rsidRPr="00C74E99">
        <w:tab/>
      </w:r>
      <w:r w:rsidR="00B70466" w:rsidRPr="00C74E99">
        <w:t>USTEKINUMAB</w:t>
      </w:r>
      <w:r w:rsidR="00B70466">
        <w:t>,</w:t>
      </w:r>
      <w:r w:rsidR="00B70466">
        <w:br/>
      </w:r>
      <w:r w:rsidR="0047129D">
        <w:t>Solution concentrate for I.V. infusion 130</w:t>
      </w:r>
      <w:r w:rsidR="00DC4EC3">
        <w:t xml:space="preserve"> </w:t>
      </w:r>
      <w:r w:rsidR="0047129D">
        <w:t>mg in 26</w:t>
      </w:r>
      <w:r w:rsidR="005B7AD6">
        <w:t> </w:t>
      </w:r>
      <w:r w:rsidR="0047129D">
        <w:t>mL,</w:t>
      </w:r>
      <w:r w:rsidR="00B70466">
        <w:br/>
      </w:r>
      <w:r w:rsidR="00226979">
        <w:t>Solution for injection 90</w:t>
      </w:r>
      <w:r w:rsidR="00DC4EC3">
        <w:t xml:space="preserve"> </w:t>
      </w:r>
      <w:r w:rsidR="00226979">
        <w:t>mg in 1</w:t>
      </w:r>
      <w:r w:rsidR="00DC4EC3">
        <w:t xml:space="preserve"> </w:t>
      </w:r>
      <w:r w:rsidR="00226979">
        <w:t>mL pre-filled syringe,</w:t>
      </w:r>
      <w:r w:rsidR="00B70466">
        <w:br/>
        <w:t>Stelara</w:t>
      </w:r>
      <w:r w:rsidR="00B70466" w:rsidRPr="004A6040">
        <w:rPr>
          <w:vertAlign w:val="superscript"/>
        </w:rPr>
        <w:t>®</w:t>
      </w:r>
      <w:r w:rsidR="00B70466" w:rsidRPr="004A6040">
        <w:t>,</w:t>
      </w:r>
      <w:r w:rsidR="00B70466" w:rsidRPr="004A6040">
        <w:br/>
      </w:r>
      <w:r w:rsidR="00B70466">
        <w:t>Janssen-Cilag Pty Ltd</w:t>
      </w:r>
      <w:r w:rsidR="00B70466" w:rsidRPr="004A6040">
        <w:t>.</w:t>
      </w:r>
      <w:bookmarkEnd w:id="0"/>
    </w:p>
    <w:p w14:paraId="11C00795" w14:textId="3DFB6D23" w:rsidR="00B50DB8" w:rsidRPr="00407F2D" w:rsidRDefault="00B50DB8" w:rsidP="004A6040">
      <w:pPr>
        <w:pStyle w:val="2-SectionHeading"/>
      </w:pPr>
      <w:bookmarkStart w:id="1" w:name="_Toc134692563"/>
      <w:r w:rsidRPr="00407F2D">
        <w:t xml:space="preserve">Purpose of </w:t>
      </w:r>
      <w:r w:rsidR="00CD7193">
        <w:t>s</w:t>
      </w:r>
      <w:r w:rsidR="00BB3A45">
        <w:t>ubmission</w:t>
      </w:r>
      <w:bookmarkEnd w:id="1"/>
    </w:p>
    <w:p w14:paraId="19414AA1" w14:textId="76489213" w:rsidR="002C2775" w:rsidRPr="00D27966" w:rsidRDefault="007170DA" w:rsidP="002C4E17">
      <w:pPr>
        <w:pStyle w:val="3-BodyText"/>
      </w:pPr>
      <w:r w:rsidRPr="00D27966">
        <w:t xml:space="preserve">The </w:t>
      </w:r>
      <w:r w:rsidR="00F73E08" w:rsidRPr="00D27966">
        <w:t xml:space="preserve">Category </w:t>
      </w:r>
      <w:r w:rsidR="00B70466" w:rsidRPr="00D27966">
        <w:t>2</w:t>
      </w:r>
      <w:r w:rsidR="00F73E08" w:rsidRPr="00D27966">
        <w:t xml:space="preserve"> </w:t>
      </w:r>
      <w:r w:rsidRPr="00D27966">
        <w:t>submission requested</w:t>
      </w:r>
      <w:r w:rsidR="005B363E">
        <w:t xml:space="preserve"> General Schedule and</w:t>
      </w:r>
      <w:r w:rsidRPr="00D27966">
        <w:t xml:space="preserve"> </w:t>
      </w:r>
      <w:r w:rsidR="00B73FF5" w:rsidRPr="00D27966">
        <w:t>Section 100 (Highly Specialised Drugs Program)</w:t>
      </w:r>
      <w:r w:rsidR="005B363E">
        <w:t>,</w:t>
      </w:r>
      <w:r w:rsidR="00B73FF5">
        <w:t xml:space="preserve"> </w:t>
      </w:r>
      <w:r w:rsidR="00B73FF5" w:rsidRPr="00D27966">
        <w:t>Authority Required</w:t>
      </w:r>
      <w:r w:rsidR="00B73FF5">
        <w:t xml:space="preserve"> listings for </w:t>
      </w:r>
      <w:r w:rsidR="0049581E">
        <w:t xml:space="preserve">ustekinumab </w:t>
      </w:r>
      <w:r w:rsidR="0049581E" w:rsidRPr="00D27966">
        <w:t>pre-filled syringe</w:t>
      </w:r>
      <w:r w:rsidR="0049581E">
        <w:t>s</w:t>
      </w:r>
      <w:r w:rsidR="0049581E" w:rsidRPr="00D27966">
        <w:t xml:space="preserve"> for subcutaneous (SC)</w:t>
      </w:r>
      <w:r w:rsidR="00F13C13">
        <w:t xml:space="preserve"> administration</w:t>
      </w:r>
      <w:r w:rsidR="002C4E17" w:rsidRPr="002C4E17">
        <w:t xml:space="preserve"> </w:t>
      </w:r>
      <w:r w:rsidR="002C4E17">
        <w:t>and vials for intravenous (IV infusion)</w:t>
      </w:r>
      <w:r w:rsidR="00B73FF5">
        <w:t xml:space="preserve">, </w:t>
      </w:r>
      <w:r w:rsidR="00B73FF5" w:rsidRPr="00D27966">
        <w:t>for the treatment of complex refractory fistulising Crohn disease (CD)</w:t>
      </w:r>
      <w:r w:rsidR="00B73FF5">
        <w:t xml:space="preserve">. </w:t>
      </w:r>
      <w:r w:rsidR="00325351">
        <w:t>This indication has previously been considered by the PBAC when it considered a submission to list UST for both severe CD and fistulising CD in March 2017.</w:t>
      </w:r>
    </w:p>
    <w:p w14:paraId="4E9FBCB5" w14:textId="6AA31166" w:rsidR="00C2778B" w:rsidRPr="00D27966" w:rsidRDefault="00A71678" w:rsidP="00EA32C0">
      <w:pPr>
        <w:pStyle w:val="3-BodyText"/>
      </w:pPr>
      <w:r w:rsidRPr="00D27966">
        <w:rPr>
          <w:rFonts w:eastAsiaTheme="minorEastAsia"/>
          <w:szCs w:val="22"/>
          <w:lang w:eastAsia="en-US"/>
        </w:rPr>
        <w:t xml:space="preserve">If listed, UST would become the third </w:t>
      </w:r>
      <w:r w:rsidR="00B70466" w:rsidRPr="00D27966">
        <w:t>biologic disease modifying anti-rheumatic drug</w:t>
      </w:r>
      <w:r w:rsidR="00B70466" w:rsidRPr="00D27966">
        <w:rPr>
          <w:rFonts w:eastAsiaTheme="minorEastAsia"/>
          <w:szCs w:val="22"/>
          <w:lang w:eastAsia="en-US"/>
        </w:rPr>
        <w:t xml:space="preserve"> (</w:t>
      </w:r>
      <w:r w:rsidRPr="00D27966">
        <w:rPr>
          <w:rFonts w:eastAsiaTheme="minorEastAsia"/>
          <w:szCs w:val="22"/>
          <w:lang w:eastAsia="en-US"/>
        </w:rPr>
        <w:t>bDMARD</w:t>
      </w:r>
      <w:r w:rsidR="00B70466" w:rsidRPr="00D27966">
        <w:rPr>
          <w:rFonts w:eastAsiaTheme="minorEastAsia"/>
          <w:szCs w:val="22"/>
          <w:lang w:eastAsia="en-US"/>
        </w:rPr>
        <w:t>)</w:t>
      </w:r>
      <w:r w:rsidRPr="00D27966">
        <w:rPr>
          <w:rFonts w:eastAsiaTheme="minorEastAsia"/>
          <w:szCs w:val="22"/>
          <w:lang w:eastAsia="en-US"/>
        </w:rPr>
        <w:t xml:space="preserve"> on the PBS for f</w:t>
      </w:r>
      <w:r w:rsidR="00B70466" w:rsidRPr="00D27966">
        <w:rPr>
          <w:rFonts w:eastAsiaTheme="minorEastAsia"/>
          <w:szCs w:val="22"/>
          <w:lang w:eastAsia="en-US"/>
        </w:rPr>
        <w:t xml:space="preserve">istulising </w:t>
      </w:r>
      <w:r w:rsidRPr="00D27966">
        <w:rPr>
          <w:rFonts w:eastAsiaTheme="minorEastAsia"/>
          <w:szCs w:val="22"/>
          <w:lang w:eastAsia="en-US"/>
        </w:rPr>
        <w:t xml:space="preserve">CD and the first treatment that targets </w:t>
      </w:r>
      <w:r w:rsidR="00B70466" w:rsidRPr="00D27966">
        <w:rPr>
          <w:rFonts w:eastAsiaTheme="minorEastAsia"/>
          <w:szCs w:val="22"/>
          <w:lang w:eastAsia="en-US"/>
        </w:rPr>
        <w:t>pro-inflammatory cytokines interleukin (</w:t>
      </w:r>
      <w:r w:rsidRPr="00D27966">
        <w:rPr>
          <w:rFonts w:eastAsiaTheme="minorEastAsia"/>
          <w:szCs w:val="22"/>
          <w:lang w:eastAsia="en-US"/>
        </w:rPr>
        <w:t>IL</w:t>
      </w:r>
      <w:r w:rsidR="00B70466" w:rsidRPr="00D27966">
        <w:rPr>
          <w:rFonts w:eastAsiaTheme="minorEastAsia"/>
          <w:szCs w:val="22"/>
          <w:lang w:eastAsia="en-US"/>
        </w:rPr>
        <w:t xml:space="preserve">) </w:t>
      </w:r>
      <w:r w:rsidRPr="00D27966">
        <w:rPr>
          <w:rFonts w:eastAsiaTheme="minorEastAsia"/>
          <w:szCs w:val="22"/>
          <w:lang w:eastAsia="en-US"/>
        </w:rPr>
        <w:t>12</w:t>
      </w:r>
      <w:r w:rsidR="00B70466" w:rsidRPr="00D27966">
        <w:rPr>
          <w:rFonts w:eastAsiaTheme="minorEastAsia"/>
          <w:szCs w:val="22"/>
          <w:lang w:eastAsia="en-US"/>
        </w:rPr>
        <w:t xml:space="preserve"> and </w:t>
      </w:r>
      <w:r w:rsidRPr="00D27966">
        <w:rPr>
          <w:rFonts w:eastAsiaTheme="minorEastAsia"/>
          <w:szCs w:val="22"/>
          <w:lang w:eastAsia="en-US"/>
        </w:rPr>
        <w:t>23. There are currently two bDMARDs listed on the PBS for f</w:t>
      </w:r>
      <w:r w:rsidR="00B70466" w:rsidRPr="00D27966">
        <w:rPr>
          <w:rFonts w:eastAsiaTheme="minorEastAsia"/>
          <w:szCs w:val="22"/>
          <w:lang w:eastAsia="en-US"/>
        </w:rPr>
        <w:t xml:space="preserve">istulising </w:t>
      </w:r>
      <w:r w:rsidRPr="00D27966">
        <w:rPr>
          <w:rFonts w:eastAsiaTheme="minorEastAsia"/>
          <w:szCs w:val="22"/>
          <w:lang w:eastAsia="en-US"/>
        </w:rPr>
        <w:t>CD</w:t>
      </w:r>
      <w:r w:rsidR="00EA32C0" w:rsidRPr="00D27966">
        <w:rPr>
          <w:rFonts w:eastAsiaTheme="minorEastAsia"/>
          <w:szCs w:val="22"/>
          <w:lang w:eastAsia="en-US"/>
        </w:rPr>
        <w:t xml:space="preserve"> that target tumour necrosis factor-α (TNF-α)</w:t>
      </w:r>
      <w:r w:rsidRPr="00D27966">
        <w:rPr>
          <w:rFonts w:eastAsiaTheme="minorEastAsia"/>
          <w:szCs w:val="22"/>
          <w:lang w:eastAsia="en-US"/>
        </w:rPr>
        <w:t>, adalimumab (ADA) and infliximab (IFX)</w:t>
      </w:r>
      <w:r w:rsidRPr="00D27966">
        <w:t xml:space="preserve">. </w:t>
      </w:r>
      <w:r w:rsidR="005750C5" w:rsidRPr="00D27966">
        <w:t>Listing was requested on the basis of a cost-minimisation</w:t>
      </w:r>
      <w:r w:rsidR="001D71F4" w:rsidRPr="00D27966">
        <w:t xml:space="preserve"> approach</w:t>
      </w:r>
      <w:r w:rsidR="005750C5" w:rsidRPr="00D27966">
        <w:t xml:space="preserve"> versus </w:t>
      </w:r>
      <w:r w:rsidR="00B70466" w:rsidRPr="00D27966">
        <w:t>IFX (assumed to be the least costly alternative treatment).</w:t>
      </w:r>
    </w:p>
    <w:p w14:paraId="52C0F3FC" w14:textId="5EFD7095" w:rsidR="00C82F46" w:rsidRPr="00E55915" w:rsidRDefault="00006372" w:rsidP="00006372">
      <w:pPr>
        <w:pStyle w:val="Caption"/>
      </w:pPr>
      <w:r>
        <w:lastRenderedPageBreak/>
        <w:t xml:space="preserve">Table </w:t>
      </w:r>
      <w:fldSimple w:instr=" SEQ Table \* ARABIC ">
        <w:r w:rsidR="00522D5A">
          <w:rPr>
            <w:noProof/>
          </w:rPr>
          <w:t>1</w:t>
        </w:r>
      </w:fldSimple>
      <w:r w:rsidR="00696EF9">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21"/>
      </w:tblGrid>
      <w:tr w:rsidR="00C82F46" w:rsidRPr="00A518F3" w14:paraId="71BDAFCA" w14:textId="77777777" w:rsidTr="00240923">
        <w:tc>
          <w:tcPr>
            <w:tcW w:w="663" w:type="pct"/>
            <w:vAlign w:val="center"/>
          </w:tcPr>
          <w:p w14:paraId="4F5CE2E3" w14:textId="77777777" w:rsidR="00C82F46" w:rsidRPr="00A518F3" w:rsidRDefault="00C82F46" w:rsidP="00B70466">
            <w:pPr>
              <w:pStyle w:val="In-tableHeading"/>
            </w:pPr>
            <w:r w:rsidRPr="00A518F3">
              <w:t>Component</w:t>
            </w:r>
          </w:p>
        </w:tc>
        <w:tc>
          <w:tcPr>
            <w:tcW w:w="4337" w:type="pct"/>
            <w:vAlign w:val="center"/>
          </w:tcPr>
          <w:p w14:paraId="3978FE39" w14:textId="77777777" w:rsidR="00C82F46" w:rsidRPr="00A518F3" w:rsidRDefault="00C82F46" w:rsidP="00B70466">
            <w:pPr>
              <w:pStyle w:val="In-tableHeading"/>
            </w:pPr>
            <w:r w:rsidRPr="00A518F3">
              <w:t>Description</w:t>
            </w:r>
          </w:p>
        </w:tc>
      </w:tr>
      <w:tr w:rsidR="00C82F46" w14:paraId="4460DE87" w14:textId="77777777" w:rsidTr="00240923">
        <w:tc>
          <w:tcPr>
            <w:tcW w:w="663" w:type="pct"/>
            <w:shd w:val="clear" w:color="auto" w:fill="C6D9F1" w:themeFill="text2" w:themeFillTint="33"/>
            <w:vAlign w:val="center"/>
          </w:tcPr>
          <w:p w14:paraId="150DC57B" w14:textId="77777777" w:rsidR="00C82F46" w:rsidRDefault="00C82F46" w:rsidP="00B70466">
            <w:pPr>
              <w:pStyle w:val="TableText0"/>
            </w:pPr>
            <w:r>
              <w:t>Population</w:t>
            </w:r>
          </w:p>
        </w:tc>
        <w:tc>
          <w:tcPr>
            <w:tcW w:w="4337" w:type="pct"/>
            <w:shd w:val="clear" w:color="auto" w:fill="C6D9F1" w:themeFill="text2" w:themeFillTint="33"/>
            <w:vAlign w:val="center"/>
          </w:tcPr>
          <w:p w14:paraId="4C5DC524" w14:textId="77777777" w:rsidR="00C82F46" w:rsidRDefault="00C82F46" w:rsidP="00B70466">
            <w:pPr>
              <w:pStyle w:val="TableText0"/>
            </w:pPr>
            <w:r>
              <w:t>Adult patients with complex refractory fistulising Crohn disease (fistulising CD)</w:t>
            </w:r>
          </w:p>
        </w:tc>
      </w:tr>
      <w:tr w:rsidR="00C82F46" w14:paraId="3452FABB" w14:textId="77777777" w:rsidTr="00240923">
        <w:tc>
          <w:tcPr>
            <w:tcW w:w="663" w:type="pct"/>
            <w:shd w:val="clear" w:color="auto" w:fill="C6D9F1" w:themeFill="text2" w:themeFillTint="33"/>
            <w:vAlign w:val="center"/>
          </w:tcPr>
          <w:p w14:paraId="5345C2D3" w14:textId="77777777" w:rsidR="00C82F46" w:rsidRDefault="00C82F46" w:rsidP="00B70466">
            <w:pPr>
              <w:pStyle w:val="TableText0"/>
            </w:pPr>
            <w:r>
              <w:t>Intervention</w:t>
            </w:r>
          </w:p>
        </w:tc>
        <w:tc>
          <w:tcPr>
            <w:tcW w:w="4337" w:type="pct"/>
            <w:shd w:val="clear" w:color="auto" w:fill="C6D9F1" w:themeFill="text2" w:themeFillTint="33"/>
            <w:vAlign w:val="center"/>
          </w:tcPr>
          <w:p w14:paraId="364FF411" w14:textId="6E362E6E" w:rsidR="00C82F46" w:rsidRDefault="00C82F46" w:rsidP="00B70466">
            <w:pPr>
              <w:pStyle w:val="TableText0"/>
            </w:pPr>
            <w:r>
              <w:t>UST: tiered weight-based (</w:t>
            </w:r>
            <w:r w:rsidRPr="00EB6537">
              <w:t>≤55</w:t>
            </w:r>
            <w:r w:rsidR="002C4E17">
              <w:t xml:space="preserve"> </w:t>
            </w:r>
            <w:r w:rsidRPr="00EB6537">
              <w:t>kg</w:t>
            </w:r>
            <w:r>
              <w:t>:</w:t>
            </w:r>
            <w:r w:rsidRPr="00EB6537">
              <w:t xml:space="preserve"> 260</w:t>
            </w:r>
            <w:r w:rsidR="002C4E17">
              <w:t xml:space="preserve"> </w:t>
            </w:r>
            <w:r>
              <w:t>mg</w:t>
            </w:r>
            <w:r w:rsidRPr="00EB6537">
              <w:t>, 55-85</w:t>
            </w:r>
            <w:r w:rsidR="002C4E17">
              <w:t xml:space="preserve"> </w:t>
            </w:r>
            <w:r w:rsidRPr="00EB6537">
              <w:t>kg</w:t>
            </w:r>
            <w:r>
              <w:t>:</w:t>
            </w:r>
            <w:r w:rsidRPr="00EB6537">
              <w:t xml:space="preserve"> 390</w:t>
            </w:r>
            <w:r w:rsidR="002C4E17">
              <w:t xml:space="preserve"> </w:t>
            </w:r>
            <w:r>
              <w:t xml:space="preserve">mg, </w:t>
            </w:r>
            <w:r w:rsidRPr="00EB6537">
              <w:t>&gt;85</w:t>
            </w:r>
            <w:r w:rsidR="002C4E17">
              <w:t xml:space="preserve"> </w:t>
            </w:r>
            <w:r w:rsidRPr="00EB6537">
              <w:t>kg</w:t>
            </w:r>
            <w:r>
              <w:t xml:space="preserve">: </w:t>
            </w:r>
            <w:r w:rsidRPr="00EB6537">
              <w:t>520 mg</w:t>
            </w:r>
            <w:r>
              <w:t>)</w:t>
            </w:r>
            <w:r w:rsidRPr="00AA62CF">
              <w:rPr>
                <w:vertAlign w:val="superscript"/>
              </w:rPr>
              <w:t xml:space="preserve"> </w:t>
            </w:r>
            <w:r>
              <w:t>IV infusion at Week 0, 90</w:t>
            </w:r>
            <w:r w:rsidR="00AB00C2">
              <w:t> </w:t>
            </w:r>
            <w:r>
              <w:t xml:space="preserve">mg SC injection at Week 8, then 90mg SC injection every 8 or 12 weeks thereafter. </w:t>
            </w:r>
          </w:p>
        </w:tc>
      </w:tr>
      <w:tr w:rsidR="00C82F46" w14:paraId="12E97355" w14:textId="77777777" w:rsidTr="00240923">
        <w:tc>
          <w:tcPr>
            <w:tcW w:w="663" w:type="pct"/>
            <w:shd w:val="clear" w:color="auto" w:fill="C6D9F1" w:themeFill="text2" w:themeFillTint="33"/>
            <w:vAlign w:val="center"/>
          </w:tcPr>
          <w:p w14:paraId="6E69A781" w14:textId="77777777" w:rsidR="00C82F46" w:rsidRDefault="00C82F46" w:rsidP="00B70466">
            <w:pPr>
              <w:pStyle w:val="TableText0"/>
            </w:pPr>
            <w:r>
              <w:t>Comparator</w:t>
            </w:r>
          </w:p>
        </w:tc>
        <w:tc>
          <w:tcPr>
            <w:tcW w:w="4337" w:type="pct"/>
            <w:shd w:val="clear" w:color="auto" w:fill="C6D9F1" w:themeFill="text2" w:themeFillTint="33"/>
            <w:vAlign w:val="center"/>
          </w:tcPr>
          <w:p w14:paraId="664BFC51" w14:textId="77777777" w:rsidR="00C82F46" w:rsidRDefault="00C82F46" w:rsidP="00B70466">
            <w:pPr>
              <w:pStyle w:val="TableText0"/>
            </w:pPr>
            <w:r w:rsidRPr="00596682">
              <w:t xml:space="preserve">Main comparator: </w:t>
            </w:r>
          </w:p>
          <w:p w14:paraId="0C1BA464" w14:textId="77777777" w:rsidR="00C82F46" w:rsidRPr="00596682" w:rsidRDefault="00C82F46" w:rsidP="00F81A33">
            <w:pPr>
              <w:pStyle w:val="TableText0"/>
              <w:numPr>
                <w:ilvl w:val="0"/>
                <w:numId w:val="10"/>
              </w:numPr>
              <w:ind w:left="343" w:hanging="236"/>
            </w:pPr>
            <w:r w:rsidRPr="00596682">
              <w:t>ADA</w:t>
            </w:r>
            <w:r>
              <w:t>:</w:t>
            </w:r>
            <w:r w:rsidRPr="00596682">
              <w:t xml:space="preserve"> 160 mg at Week 0, 80 mg at Week 2, then 40 mg every two weeks thereafter</w:t>
            </w:r>
            <w:r>
              <w:t>. The product information states p</w:t>
            </w:r>
            <w:r w:rsidRPr="00596682">
              <w:t>atients who experience a decrease in their response may benefit from an increase in dosage to 40 mg every week or 80 mg fortnightly</w:t>
            </w:r>
            <w:r w:rsidRPr="006C3CD1">
              <w:rPr>
                <w:vertAlign w:val="superscript"/>
              </w:rPr>
              <w:t>a</w:t>
            </w:r>
            <w:r w:rsidRPr="00596682">
              <w:t>.</w:t>
            </w:r>
          </w:p>
          <w:p w14:paraId="1B7E5890" w14:textId="77777777" w:rsidR="00C82F46" w:rsidRDefault="00C82F46" w:rsidP="00B70466">
            <w:pPr>
              <w:pStyle w:val="TableText0"/>
            </w:pPr>
            <w:r w:rsidRPr="00596682">
              <w:t>Secondary comparator</w:t>
            </w:r>
            <w:r>
              <w:t>:</w:t>
            </w:r>
            <w:r w:rsidRPr="00596682">
              <w:t xml:space="preserve"> </w:t>
            </w:r>
          </w:p>
          <w:p w14:paraId="591843AF" w14:textId="3001C362" w:rsidR="00C82F46" w:rsidRPr="00596682" w:rsidRDefault="00C82F46" w:rsidP="00F81A33">
            <w:pPr>
              <w:pStyle w:val="TableText0"/>
              <w:numPr>
                <w:ilvl w:val="0"/>
                <w:numId w:val="10"/>
              </w:numPr>
              <w:ind w:left="343" w:hanging="236"/>
            </w:pPr>
            <w:r w:rsidRPr="00596682">
              <w:t>IFX</w:t>
            </w:r>
            <w:r>
              <w:t xml:space="preserve"> IV^:</w:t>
            </w:r>
            <w:r w:rsidRPr="00596682">
              <w:t xml:space="preserve"> 5 mg/kg </w:t>
            </w:r>
            <w:r>
              <w:t xml:space="preserve">IV infusion </w:t>
            </w:r>
            <w:r w:rsidRPr="00596682">
              <w:t xml:space="preserve">at </w:t>
            </w:r>
            <w:r>
              <w:t xml:space="preserve">Week </w:t>
            </w:r>
            <w:r w:rsidRPr="00596682">
              <w:t xml:space="preserve">0, </w:t>
            </w:r>
            <w:r>
              <w:t xml:space="preserve">Week </w:t>
            </w:r>
            <w:r w:rsidRPr="00596682">
              <w:t xml:space="preserve">2 and </w:t>
            </w:r>
            <w:r>
              <w:t xml:space="preserve">Week </w:t>
            </w:r>
            <w:r w:rsidRPr="00596682">
              <w:t xml:space="preserve">6 then 5 mg/kg </w:t>
            </w:r>
            <w:r>
              <w:t xml:space="preserve">IV infusion </w:t>
            </w:r>
            <w:r w:rsidRPr="00596682">
              <w:t xml:space="preserve">every 8 weeks thereafter. </w:t>
            </w:r>
            <w:r>
              <w:t xml:space="preserve">The product information states </w:t>
            </w:r>
            <w:r w:rsidRPr="00596682">
              <w:t>consideration may be given to treatment with 10</w:t>
            </w:r>
            <w:r w:rsidR="00AB00C2">
              <w:t> </w:t>
            </w:r>
            <w:r w:rsidRPr="00596682">
              <w:t>mg/kg</w:t>
            </w:r>
            <w:r>
              <w:t xml:space="preserve"> for p</w:t>
            </w:r>
            <w:r w:rsidRPr="00596682">
              <w:t>atients who respo</w:t>
            </w:r>
            <w:r>
              <w:t>nd and then lose their response</w:t>
            </w:r>
            <w:r w:rsidRPr="006C3CD1">
              <w:rPr>
                <w:vertAlign w:val="superscript"/>
              </w:rPr>
              <w:t>a</w:t>
            </w:r>
            <w:r w:rsidRPr="00596682">
              <w:t>.</w:t>
            </w:r>
          </w:p>
        </w:tc>
      </w:tr>
      <w:tr w:rsidR="00C82F46" w14:paraId="2F2E6B01" w14:textId="77777777" w:rsidTr="00240923">
        <w:tc>
          <w:tcPr>
            <w:tcW w:w="663" w:type="pct"/>
            <w:vAlign w:val="center"/>
          </w:tcPr>
          <w:p w14:paraId="20FA46CB" w14:textId="77777777" w:rsidR="00C82F46" w:rsidRDefault="00C82F46" w:rsidP="00B70466">
            <w:pPr>
              <w:pStyle w:val="TableText0"/>
            </w:pPr>
            <w:r>
              <w:t>Outcomes</w:t>
            </w:r>
          </w:p>
        </w:tc>
        <w:tc>
          <w:tcPr>
            <w:tcW w:w="4337" w:type="pct"/>
            <w:vAlign w:val="center"/>
          </w:tcPr>
          <w:p w14:paraId="3C7A9517" w14:textId="1445FC4A" w:rsidR="00C82F46" w:rsidRPr="00D770EF" w:rsidRDefault="00C82F46" w:rsidP="005C0942">
            <w:pPr>
              <w:keepNext/>
              <w:jc w:val="left"/>
              <w:rPr>
                <w:rFonts w:ascii="Arial Narrow" w:eastAsiaTheme="minorEastAsia" w:hAnsi="Arial Narrow" w:cs="Times New Roman"/>
                <w:sz w:val="20"/>
                <w:lang w:eastAsia="en-US"/>
              </w:rPr>
            </w:pPr>
            <w:r>
              <w:rPr>
                <w:rFonts w:ascii="Arial Narrow" w:eastAsiaTheme="minorEastAsia" w:hAnsi="Arial Narrow" w:cs="Times New Roman"/>
                <w:sz w:val="20"/>
                <w:lang w:eastAsia="en-US"/>
              </w:rPr>
              <w:t xml:space="preserve">Direct trial evidence, </w:t>
            </w:r>
            <w:r w:rsidR="005C0942">
              <w:rPr>
                <w:rFonts w:ascii="Arial Narrow" w:eastAsiaTheme="minorEastAsia" w:hAnsi="Arial Narrow" w:cs="Times New Roman"/>
                <w:sz w:val="20"/>
                <w:lang w:eastAsia="en-US"/>
              </w:rPr>
              <w:t xml:space="preserve">anchored and unanchored </w:t>
            </w:r>
            <w:r>
              <w:rPr>
                <w:rFonts w:ascii="Arial Narrow" w:eastAsiaTheme="minorEastAsia" w:hAnsi="Arial Narrow" w:cs="Times New Roman"/>
                <w:sz w:val="20"/>
                <w:lang w:eastAsia="en-US"/>
              </w:rPr>
              <w:t>i</w:t>
            </w:r>
            <w:r w:rsidRPr="00D770EF">
              <w:rPr>
                <w:rFonts w:ascii="Arial Narrow" w:eastAsiaTheme="minorEastAsia" w:hAnsi="Arial Narrow" w:cs="Times New Roman"/>
                <w:sz w:val="20"/>
                <w:lang w:eastAsia="en-US"/>
              </w:rPr>
              <w:t>ndirect comparison</w:t>
            </w:r>
            <w:r>
              <w:rPr>
                <w:rFonts w:ascii="Arial Narrow" w:eastAsiaTheme="minorEastAsia" w:hAnsi="Arial Narrow" w:cs="Times New Roman"/>
                <w:sz w:val="20"/>
                <w:lang w:eastAsia="en-US"/>
              </w:rPr>
              <w:t xml:space="preserve">s </w:t>
            </w:r>
            <w:r w:rsidRPr="00D770EF">
              <w:rPr>
                <w:rFonts w:ascii="Arial Narrow" w:eastAsiaTheme="minorEastAsia" w:hAnsi="Arial Narrow" w:cs="Times New Roman"/>
                <w:sz w:val="20"/>
                <w:lang w:eastAsia="en-US"/>
              </w:rPr>
              <w:t>of U</w:t>
            </w:r>
            <w:r>
              <w:rPr>
                <w:rFonts w:ascii="Arial Narrow" w:eastAsiaTheme="minorEastAsia" w:hAnsi="Arial Narrow" w:cs="Times New Roman"/>
                <w:sz w:val="20"/>
                <w:lang w:eastAsia="en-US"/>
              </w:rPr>
              <w:t>ST</w:t>
            </w:r>
            <w:r w:rsidRPr="00D770EF">
              <w:rPr>
                <w:rFonts w:ascii="Arial Narrow" w:eastAsiaTheme="minorEastAsia" w:hAnsi="Arial Narrow" w:cs="Times New Roman"/>
                <w:sz w:val="20"/>
                <w:lang w:eastAsia="en-US"/>
              </w:rPr>
              <w:t xml:space="preserve"> and </w:t>
            </w:r>
            <w:r>
              <w:rPr>
                <w:rFonts w:ascii="Arial Narrow" w:eastAsiaTheme="minorEastAsia" w:hAnsi="Arial Narrow" w:cs="Times New Roman"/>
                <w:sz w:val="20"/>
                <w:lang w:eastAsia="en-US"/>
              </w:rPr>
              <w:t>the nominated comparators,</w:t>
            </w:r>
            <w:r w:rsidRPr="00D770EF">
              <w:rPr>
                <w:rFonts w:ascii="Arial Narrow" w:eastAsiaTheme="minorEastAsia" w:hAnsi="Arial Narrow" w:cs="Times New Roman"/>
                <w:sz w:val="20"/>
                <w:lang w:eastAsia="en-US"/>
              </w:rPr>
              <w:t xml:space="preserve"> for the following outcomes, following induction and maintenance therapy:</w:t>
            </w:r>
          </w:p>
          <w:p w14:paraId="45B667CD" w14:textId="7B1E2005" w:rsidR="00C82F46" w:rsidRPr="00D25F58" w:rsidRDefault="00C82F46" w:rsidP="00F81A33">
            <w:pPr>
              <w:pStyle w:val="TableText0"/>
              <w:numPr>
                <w:ilvl w:val="0"/>
                <w:numId w:val="10"/>
              </w:numPr>
              <w:ind w:left="343" w:hanging="236"/>
            </w:pPr>
            <w:r w:rsidRPr="00D25F58">
              <w:t>Fistula response (</w:t>
            </w:r>
            <w:r w:rsidR="00EA32C0">
              <w:t>≥</w:t>
            </w:r>
            <w:r w:rsidRPr="00D25F58">
              <w:t xml:space="preserve">50% reduction in the number of </w:t>
            </w:r>
            <w:r w:rsidRPr="0077216D">
              <w:t>open/draining</w:t>
            </w:r>
            <w:r w:rsidRPr="00D25F58">
              <w:t xml:space="preserve"> fistulas), </w:t>
            </w:r>
          </w:p>
          <w:p w14:paraId="01B8F227" w14:textId="77777777" w:rsidR="00C82F46" w:rsidRDefault="00C82F46" w:rsidP="00F81A33">
            <w:pPr>
              <w:pStyle w:val="TableText0"/>
              <w:numPr>
                <w:ilvl w:val="0"/>
                <w:numId w:val="10"/>
              </w:numPr>
              <w:ind w:left="343" w:hanging="236"/>
            </w:pPr>
            <w:r w:rsidRPr="00D25F58">
              <w:t xml:space="preserve">Fistula remission </w:t>
            </w:r>
            <w:r w:rsidRPr="00EA32C0">
              <w:t>(complete closure of all open/draining fistulas)</w:t>
            </w:r>
          </w:p>
        </w:tc>
      </w:tr>
      <w:tr w:rsidR="00C82F46" w14:paraId="52809DE0" w14:textId="77777777" w:rsidTr="00240923">
        <w:tc>
          <w:tcPr>
            <w:tcW w:w="663" w:type="pct"/>
            <w:shd w:val="clear" w:color="auto" w:fill="C6D9F1" w:themeFill="text2" w:themeFillTint="33"/>
            <w:vAlign w:val="center"/>
          </w:tcPr>
          <w:p w14:paraId="22CBDEFB" w14:textId="77777777" w:rsidR="00C82F46" w:rsidRDefault="00C82F46" w:rsidP="00B70466">
            <w:pPr>
              <w:pStyle w:val="TableText0"/>
            </w:pPr>
            <w:r>
              <w:t>Clinical claim</w:t>
            </w:r>
          </w:p>
        </w:tc>
        <w:tc>
          <w:tcPr>
            <w:tcW w:w="4337" w:type="pct"/>
            <w:shd w:val="clear" w:color="auto" w:fill="C6D9F1" w:themeFill="text2" w:themeFillTint="33"/>
            <w:vAlign w:val="center"/>
          </w:tcPr>
          <w:p w14:paraId="023616F5" w14:textId="77777777" w:rsidR="00C82F46" w:rsidRDefault="00C82F46" w:rsidP="00B70466">
            <w:pPr>
              <w:pStyle w:val="TableText0"/>
            </w:pPr>
            <w:r>
              <w:t xml:space="preserve">Effectiveness: </w:t>
            </w:r>
          </w:p>
          <w:p w14:paraId="701B6B53" w14:textId="77777777" w:rsidR="00C82F46" w:rsidRDefault="00C82F46" w:rsidP="00F81A33">
            <w:pPr>
              <w:pStyle w:val="TableText0"/>
              <w:numPr>
                <w:ilvl w:val="0"/>
                <w:numId w:val="8"/>
              </w:numPr>
            </w:pPr>
            <w:r>
              <w:t>UST is as effective as ADA and IFX in induction and maintenance treatment.</w:t>
            </w:r>
          </w:p>
          <w:p w14:paraId="66F14371" w14:textId="77777777" w:rsidR="00C82F46" w:rsidRDefault="00C82F46" w:rsidP="00B70466">
            <w:pPr>
              <w:pStyle w:val="TableText0"/>
              <w:rPr>
                <w:rFonts w:cstheme="minorHAnsi"/>
              </w:rPr>
            </w:pPr>
            <w:r>
              <w:rPr>
                <w:rFonts w:cstheme="minorHAnsi"/>
              </w:rPr>
              <w:t xml:space="preserve">Safety: </w:t>
            </w:r>
          </w:p>
          <w:p w14:paraId="50B5335F" w14:textId="77777777" w:rsidR="00C82F46" w:rsidRDefault="00C82F46" w:rsidP="00F81A33">
            <w:pPr>
              <w:pStyle w:val="TableText0"/>
              <w:numPr>
                <w:ilvl w:val="0"/>
                <w:numId w:val="9"/>
              </w:numPr>
            </w:pPr>
            <w:r w:rsidRPr="00200DC1">
              <w:t>U</w:t>
            </w:r>
            <w:r>
              <w:t>ST</w:t>
            </w:r>
            <w:r>
              <w:rPr>
                <w:rFonts w:cstheme="minorHAnsi"/>
              </w:rPr>
              <w:t xml:space="preserve"> is non-inferior in terms of safety compared to </w:t>
            </w:r>
            <w:r>
              <w:t>ADA and IFX in induction and maintenance treatment.</w:t>
            </w:r>
          </w:p>
        </w:tc>
      </w:tr>
    </w:tbl>
    <w:p w14:paraId="2B357677" w14:textId="2E8BB912" w:rsidR="00C82F46" w:rsidRPr="00F35EF4" w:rsidRDefault="00C82F46" w:rsidP="00C82F46">
      <w:pPr>
        <w:pStyle w:val="TableFigureFooter"/>
        <w:spacing w:after="0"/>
        <w:rPr>
          <w:bCs/>
          <w:szCs w:val="18"/>
        </w:rPr>
      </w:pPr>
      <w:r w:rsidRPr="00E7695C">
        <w:rPr>
          <w:rStyle w:val="CommentReference"/>
          <w:b w:val="0"/>
          <w:bCs/>
          <w:sz w:val="18"/>
          <w:szCs w:val="18"/>
          <w:shd w:val="clear" w:color="auto" w:fill="B8CCE4" w:themeFill="accent1" w:themeFillTint="66"/>
        </w:rPr>
        <w:t xml:space="preserve">Blue </w:t>
      </w:r>
      <w:r w:rsidRPr="00E7695C">
        <w:rPr>
          <w:rStyle w:val="CommentReference"/>
          <w:b w:val="0"/>
          <w:bCs/>
          <w:sz w:val="18"/>
          <w:szCs w:val="18"/>
        </w:rPr>
        <w:t xml:space="preserve">shading indicates data previously seen by the PBAC. </w:t>
      </w:r>
    </w:p>
    <w:p w14:paraId="3D0E6FC6" w14:textId="77777777" w:rsidR="00C82F46" w:rsidRDefault="00C82F46" w:rsidP="00C82F46">
      <w:pPr>
        <w:pStyle w:val="FooterTableFigure"/>
      </w:pPr>
      <w:r>
        <w:t xml:space="preserve">Source: Table 1.1, pp2-3 </w:t>
      </w:r>
      <w:r w:rsidRPr="00D13A3E">
        <w:t xml:space="preserve">of the </w:t>
      </w:r>
      <w:r>
        <w:t>submission.</w:t>
      </w:r>
    </w:p>
    <w:p w14:paraId="6DE2CFC6" w14:textId="77777777" w:rsidR="00C82F46" w:rsidRDefault="00C82F46" w:rsidP="00C82F46">
      <w:pPr>
        <w:pStyle w:val="FooterTableFigure"/>
      </w:pPr>
      <w:r>
        <w:t>ADA = adalimumab; IFX = infliximab; IV = intravenous; SC = subcutaneous; UST = ustekinumab.</w:t>
      </w:r>
    </w:p>
    <w:p w14:paraId="3149DEC2" w14:textId="5D8C438B" w:rsidR="00C82F46" w:rsidRDefault="00C82F46" w:rsidP="00C82F46">
      <w:pPr>
        <w:pStyle w:val="FooterTableFigure"/>
        <w:ind w:left="165" w:hanging="165"/>
      </w:pPr>
      <w:r>
        <w:t>^</w:t>
      </w:r>
      <w:r>
        <w:tab/>
        <w:t>Note: IFX SC formulation is available on the PBS for fistulising CD after patients have completed the first two IFX IV infusions at Week 0 and Week 2. The recommended dose is 120</w:t>
      </w:r>
      <w:r w:rsidR="00C82A1A">
        <w:t xml:space="preserve"> </w:t>
      </w:r>
      <w:r>
        <w:t>mg SC injection every two weeks for maintenance therapy (from Week 6).</w:t>
      </w:r>
    </w:p>
    <w:p w14:paraId="79F38DD1" w14:textId="024D7A00" w:rsidR="00C82F46" w:rsidRPr="00E52ABE" w:rsidRDefault="00C82F46" w:rsidP="00C82F46">
      <w:pPr>
        <w:pStyle w:val="FooterTableFigure"/>
        <w:ind w:left="165" w:hanging="165"/>
        <w:rPr>
          <w:rFonts w:asciiTheme="minorHAnsi" w:hAnsiTheme="minorHAnsi" w:cstheme="minorHAnsi"/>
          <w:szCs w:val="18"/>
          <w:lang w:eastAsia="en-US"/>
        </w:rPr>
      </w:pPr>
      <w:r w:rsidRPr="006C3CD1">
        <w:rPr>
          <w:vertAlign w:val="superscript"/>
        </w:rPr>
        <w:t>a</w:t>
      </w:r>
      <w:r w:rsidRPr="006C3CD1">
        <w:rPr>
          <w:vertAlign w:val="superscript"/>
        </w:rPr>
        <w:tab/>
      </w:r>
      <w:r w:rsidRPr="005E48B6">
        <w:t xml:space="preserve">ADA 40 mg every week and IFX IV 10 mg/kg are not the main equi-effective </w:t>
      </w:r>
      <w:r w:rsidR="00240923" w:rsidRPr="005E48B6">
        <w:t>doses but</w:t>
      </w:r>
      <w:r w:rsidRPr="005E48B6">
        <w:t xml:space="preserve"> are mentioned in the product information for specific patients.</w:t>
      </w:r>
    </w:p>
    <w:p w14:paraId="6B4AB6C2" w14:textId="7F01D731" w:rsidR="005C25FF" w:rsidRPr="00407F2D" w:rsidRDefault="005C25FF" w:rsidP="004A6040">
      <w:pPr>
        <w:pStyle w:val="2-SectionHeading"/>
      </w:pPr>
      <w:bookmarkStart w:id="2" w:name="_Toc134692564"/>
      <w:r w:rsidRPr="00407F2D">
        <w:t>Background</w:t>
      </w:r>
      <w:bookmarkEnd w:id="2"/>
    </w:p>
    <w:p w14:paraId="2C521D6D" w14:textId="78CF03EE" w:rsidR="005C25FF" w:rsidRPr="004151CF" w:rsidRDefault="005C25FF" w:rsidP="004A6040">
      <w:pPr>
        <w:pStyle w:val="4-SubsectionHeading"/>
      </w:pPr>
      <w:bookmarkStart w:id="3" w:name="_Toc22897638"/>
      <w:bookmarkStart w:id="4" w:name="_Toc134692565"/>
      <w:r w:rsidRPr="004151CF">
        <w:t>Registration status</w:t>
      </w:r>
      <w:bookmarkEnd w:id="3"/>
      <w:bookmarkEnd w:id="4"/>
    </w:p>
    <w:p w14:paraId="53457918" w14:textId="3642BDBA" w:rsidR="008536E2" w:rsidRPr="009D7ACF" w:rsidRDefault="008536E2" w:rsidP="008536E2">
      <w:pPr>
        <w:pStyle w:val="3-BodyText"/>
      </w:pPr>
      <w:r w:rsidRPr="009D7ACF">
        <w:t>UST</w:t>
      </w:r>
      <w:r w:rsidR="005C25FF" w:rsidRPr="009D7ACF">
        <w:t xml:space="preserve"> was TGA registered </w:t>
      </w:r>
      <w:r w:rsidRPr="009D7ACF">
        <w:t>in March 2017</w:t>
      </w:r>
      <w:r w:rsidR="005C25FF" w:rsidRPr="009D7ACF">
        <w:t xml:space="preserve"> for</w:t>
      </w:r>
      <w:r w:rsidRPr="009D7ACF">
        <w:t>:</w:t>
      </w:r>
      <w:r w:rsidR="005C25FF" w:rsidRPr="009D7ACF">
        <w:t xml:space="preserve"> </w:t>
      </w:r>
      <w:r w:rsidRPr="009D7ACF">
        <w:t>‘treatment of adult patients with moderately to severely active Crohn’s disease who have had an inadequate response, lost response, or were intolerant to either conventional therapy o</w:t>
      </w:r>
      <w:r w:rsidR="00F13C13" w:rsidRPr="009D7ACF">
        <w:t>r</w:t>
      </w:r>
      <w:r w:rsidRPr="009D7ACF">
        <w:t xml:space="preserve"> a TNF</w:t>
      </w:r>
      <w:r w:rsidRPr="009D7ACF">
        <w:rPr>
          <w:rFonts w:cs="Calibri"/>
        </w:rPr>
        <w:t>α</w:t>
      </w:r>
      <w:r w:rsidRPr="009D7ACF">
        <w:t xml:space="preserve"> antagonist or have medical contraindications to such therapies’.</w:t>
      </w:r>
    </w:p>
    <w:p w14:paraId="09BF0EEB" w14:textId="5C878F95" w:rsidR="008536E2" w:rsidRPr="00753E13" w:rsidRDefault="008536E2" w:rsidP="00EA32C0">
      <w:pPr>
        <w:pStyle w:val="3-BodyText"/>
      </w:pPr>
      <w:r w:rsidRPr="00753E13">
        <w:t xml:space="preserve">The submission acknowledged that the approved TGA indication for </w:t>
      </w:r>
      <w:r w:rsidR="00EA32C0" w:rsidRPr="00753E13">
        <w:t>CD</w:t>
      </w:r>
      <w:r w:rsidRPr="00753E13">
        <w:t xml:space="preserve"> makes no reference to fistulising disease, but </w:t>
      </w:r>
      <w:r w:rsidR="00EA32C0" w:rsidRPr="00753E13">
        <w:t xml:space="preserve">argued </w:t>
      </w:r>
      <w:r w:rsidRPr="00753E13">
        <w:t>fistulising disease is considered a manifestation of moderate to severe disease</w:t>
      </w:r>
      <w:r w:rsidR="00723B57">
        <w:t xml:space="preserve"> and</w:t>
      </w:r>
      <w:r w:rsidRPr="00753E13">
        <w:t xml:space="preserve"> the clinical data used to support the TGA indication included some patients with fistulising </w:t>
      </w:r>
      <w:r w:rsidR="00EA32C0" w:rsidRPr="00753E13">
        <w:t>CD</w:t>
      </w:r>
      <w:r w:rsidRPr="00753E13">
        <w:t xml:space="preserve">. The submission noted that the TGA indication of ADA for </w:t>
      </w:r>
      <w:r w:rsidR="00EA32C0" w:rsidRPr="00753E13">
        <w:t>CD</w:t>
      </w:r>
      <w:r w:rsidRPr="00753E13">
        <w:t xml:space="preserve"> also makes no reference to fistulising disease</w:t>
      </w:r>
      <w:r w:rsidR="003C117F">
        <w:t>,</w:t>
      </w:r>
      <w:r w:rsidRPr="00753E13">
        <w:t xml:space="preserve"> </w:t>
      </w:r>
      <w:r w:rsidR="00EA32C0" w:rsidRPr="00753E13">
        <w:t>but</w:t>
      </w:r>
      <w:r w:rsidRPr="00753E13">
        <w:t xml:space="preserve"> the PBAC had ‘considered fistulising disease to be a manifestation of moderate to severe </w:t>
      </w:r>
      <w:r w:rsidR="00EA32C0" w:rsidRPr="00753E13">
        <w:t>CD</w:t>
      </w:r>
      <w:r w:rsidRPr="00753E13">
        <w:t>, and that it was reasonable to interpret that the TGA approved indication [for ADA] includes patients with fistulising disease’ (</w:t>
      </w:r>
      <w:r w:rsidR="005B363E" w:rsidRPr="00753E13">
        <w:t>Section 12</w:t>
      </w:r>
      <w:r w:rsidRPr="00753E13">
        <w:t xml:space="preserve">, ADA </w:t>
      </w:r>
      <w:r w:rsidR="00194BDA">
        <w:t>Public Summary Document (</w:t>
      </w:r>
      <w:r w:rsidRPr="00753E13">
        <w:t>PSD</w:t>
      </w:r>
      <w:r w:rsidR="00194BDA">
        <w:t>)</w:t>
      </w:r>
      <w:r w:rsidRPr="00753E13">
        <w:t>, November 2010 PBAC meeting).</w:t>
      </w:r>
      <w:r w:rsidR="001C4903" w:rsidRPr="00753E13">
        <w:t xml:space="preserve"> </w:t>
      </w:r>
    </w:p>
    <w:p w14:paraId="3E2A6EAB" w14:textId="2E9DDD9E" w:rsidR="005C25FF" w:rsidRPr="00621ADA" w:rsidRDefault="005C25FF" w:rsidP="004E18E9">
      <w:pPr>
        <w:pStyle w:val="4-SubsectionHeading"/>
      </w:pPr>
      <w:bookmarkStart w:id="5" w:name="_Toc22897639"/>
      <w:bookmarkStart w:id="6" w:name="_Toc134692566"/>
      <w:r w:rsidRPr="00621ADA">
        <w:lastRenderedPageBreak/>
        <w:t>Previous PBAC consideration</w:t>
      </w:r>
      <w:bookmarkEnd w:id="5"/>
      <w:bookmarkEnd w:id="6"/>
    </w:p>
    <w:p w14:paraId="27105E2F" w14:textId="7AF5ED83" w:rsidR="00ED4B04" w:rsidRDefault="009425D3" w:rsidP="009425D3">
      <w:pPr>
        <w:pStyle w:val="3-BodyText"/>
      </w:pPr>
      <w:r>
        <w:t>At the Ma</w:t>
      </w:r>
      <w:r w:rsidR="000D3E6D">
        <w:t>r</w:t>
      </w:r>
      <w:r>
        <w:t>ch 2017 PBAC meeting, the PBAC considered a joint submission for listing of UST for the treatment of severe CD and complex refractory fistulising CD. The PBAC recommended listing of UST for the treatment of severe CD but did not recommend listing for the treatment of complex refractory fistulising CD. The PBAC considered it was uncertain whether UST led to fistula remission or fistula response in patients with fistulising CD when compared to placebo and there was insufficient clinical evidence to support non-inferiority with ADA or IFX (paragraph 7.1, UST PSD, March 2017 PBAC Meeting).</w:t>
      </w:r>
    </w:p>
    <w:p w14:paraId="273B767E" w14:textId="059A3C33" w:rsidR="009425D3" w:rsidRDefault="009425D3" w:rsidP="000D17E1">
      <w:pPr>
        <w:pStyle w:val="3-BodyText"/>
      </w:pPr>
      <w:r>
        <w:t>For patients with fistulising CD, the March 2017 submission presented limited clinical data from three trials comparing UST vs placebo (UNITI-1, UNITI-2 and IM-UNITI), three trials comparing ADA vs placebo (CLASSIC I, GAIN, CHARM) and two trials comparing IFX vs placebo (T20, ACCENT II). The UST and ADA trials enrolled patients with moderate to severe CD, with only a small proportion of patients having fistulising disease at baseline. The submission did not formally compare UST versus ADA or IFX in patients with fistulising CD owing to differences across the trials and outcomes reported.</w:t>
      </w:r>
      <w:r w:rsidR="000D17E1">
        <w:t xml:space="preserve"> </w:t>
      </w:r>
      <w:r w:rsidR="000D17E1" w:rsidRPr="002C28BB">
        <w:t>The PBAC noted that the trial data for UST for the treatment of fistulising C</w:t>
      </w:r>
      <w:r w:rsidR="000D17E1">
        <w:t>D</w:t>
      </w:r>
      <w:r w:rsidR="000D17E1" w:rsidRPr="002C28BB">
        <w:t xml:space="preserve"> was poor</w:t>
      </w:r>
      <w:r w:rsidR="000D17E1">
        <w:t xml:space="preserve"> (paragraph 7.10, UST PSD, March 2017 PBAC Meeting).</w:t>
      </w:r>
    </w:p>
    <w:p w14:paraId="42DC06B2" w14:textId="7A1E295A" w:rsidR="000D17E1" w:rsidRDefault="000D17E1" w:rsidP="000D17E1">
      <w:pPr>
        <w:pStyle w:val="3-BodyText"/>
      </w:pPr>
      <w:r>
        <w:t>The current submission presented the following additional clinical evidence:</w:t>
      </w:r>
    </w:p>
    <w:p w14:paraId="6E16D8CF" w14:textId="75A33C90" w:rsidR="000D17E1" w:rsidRDefault="000D17E1" w:rsidP="00F81A33">
      <w:pPr>
        <w:pStyle w:val="3-BodyText"/>
        <w:numPr>
          <w:ilvl w:val="0"/>
          <w:numId w:val="14"/>
        </w:numPr>
        <w:ind w:left="1134"/>
      </w:pPr>
      <w:r>
        <w:t xml:space="preserve">Clinical data from two recent trials </w:t>
      </w:r>
      <w:r w:rsidR="00D4537A">
        <w:t xml:space="preserve">that enrolled </w:t>
      </w:r>
      <w:r>
        <w:t xml:space="preserve">patients with moderate to severe CD and </w:t>
      </w:r>
      <w:r w:rsidR="00D4537A">
        <w:t xml:space="preserve">included </w:t>
      </w:r>
      <w:r>
        <w:t>a subgroup of patients with fistulising disease: SEAVUE, comparing UST versus ADA; and STARDUST, comparing UST ‘routine care’ to UST ‘treat-to-target’.</w:t>
      </w:r>
    </w:p>
    <w:p w14:paraId="12575641" w14:textId="2B2D183E" w:rsidR="00D4537A" w:rsidRDefault="00D4537A" w:rsidP="00F81A33">
      <w:pPr>
        <w:pStyle w:val="3-BodyText"/>
        <w:numPr>
          <w:ilvl w:val="0"/>
          <w:numId w:val="14"/>
        </w:numPr>
        <w:ind w:left="1134"/>
      </w:pPr>
      <w:r>
        <w:t>A post-hoc analysis of the UST trials presented in the March 2017 submission (UNITI-1 and UNITI-2 pooled; IM-UNITI), reporting results for the fistula remission outcome in patients with perianal fistulas at baseline.</w:t>
      </w:r>
    </w:p>
    <w:p w14:paraId="0C51C9AA" w14:textId="2D734869" w:rsidR="00D4537A" w:rsidRDefault="00AE43BA" w:rsidP="00F81A33">
      <w:pPr>
        <w:pStyle w:val="3-BodyText"/>
        <w:numPr>
          <w:ilvl w:val="0"/>
          <w:numId w:val="14"/>
        </w:numPr>
        <w:ind w:left="1134"/>
      </w:pPr>
      <w:r>
        <w:t>A</w:t>
      </w:r>
      <w:r w:rsidR="005C0942">
        <w:t xml:space="preserve">nchored </w:t>
      </w:r>
      <w:r w:rsidR="00F13C13">
        <w:t>i</w:t>
      </w:r>
      <w:r w:rsidR="00D4537A">
        <w:t>ndirect comparison</w:t>
      </w:r>
      <w:r>
        <w:t>s</w:t>
      </w:r>
      <w:r w:rsidR="00D4537A">
        <w:t xml:space="preserve"> between UST versus ADA and IFX using placebo as the common reference for fistula response and fistula remission following induction treatment (Week 4 to 18) and maintenance treatment (Week 48 to 56).</w:t>
      </w:r>
    </w:p>
    <w:p w14:paraId="4287F421" w14:textId="34A0B244" w:rsidR="00D4537A" w:rsidRDefault="00AE43BA" w:rsidP="00F81A33">
      <w:pPr>
        <w:pStyle w:val="3-BodyText"/>
        <w:numPr>
          <w:ilvl w:val="0"/>
          <w:numId w:val="14"/>
        </w:numPr>
        <w:ind w:left="1134"/>
      </w:pPr>
      <w:r>
        <w:t>U</w:t>
      </w:r>
      <w:r w:rsidR="005C0942">
        <w:t>nanchored indirect</w:t>
      </w:r>
      <w:r w:rsidR="00D4537A">
        <w:t xml:space="preserve"> comparison</w:t>
      </w:r>
      <w:r>
        <w:t>s</w:t>
      </w:r>
      <w:r w:rsidR="00D4537A">
        <w:t xml:space="preserve"> between UST versus ADA and IFX, including data from SEAVUE and STARDUST, for fistula response and fistula remission following maintenance treatment (Week 48 to 56).</w:t>
      </w:r>
    </w:p>
    <w:p w14:paraId="223D9484" w14:textId="1D91E7F5" w:rsidR="002C4E17" w:rsidRDefault="002C4E17" w:rsidP="002C4E17">
      <w:pPr>
        <w:pStyle w:val="3-BodyText"/>
      </w:pPr>
      <w:r>
        <w:t xml:space="preserve">ADA and IFX are </w:t>
      </w:r>
      <w:r w:rsidR="00723B57">
        <w:t xml:space="preserve">currently </w:t>
      </w:r>
      <w:r>
        <w:t xml:space="preserve">listed for the treatment of fistulising CD. A submission requesting listing of risankizumab for both severe CD and fistulising CD was made to the PBAC for the July 2022 meeting; </w:t>
      </w:r>
      <w:r w:rsidR="00240923">
        <w:t>however,</w:t>
      </w:r>
      <w:r>
        <w:t xml:space="preserve"> the request for the fistulising CD indication was withdrawn prior to PBAC consideration (the severe CD indication was recommended in November 2022).</w:t>
      </w:r>
    </w:p>
    <w:p w14:paraId="5BB26EAE" w14:textId="5EC05D3C" w:rsidR="00311BD8" w:rsidRDefault="00CD3FCC" w:rsidP="00311BD8">
      <w:pPr>
        <w:pStyle w:val="2-SectionHeading"/>
      </w:pPr>
      <w:bookmarkStart w:id="7" w:name="_Toc107902078"/>
      <w:bookmarkStart w:id="8" w:name="_Toc134692567"/>
      <w:bookmarkEnd w:id="7"/>
      <w:r w:rsidRPr="00407F2D">
        <w:lastRenderedPageBreak/>
        <w:t>Requested listing</w:t>
      </w:r>
      <w:bookmarkEnd w:id="8"/>
    </w:p>
    <w:p w14:paraId="0EC897B4" w14:textId="6F7127C5" w:rsidR="00311BD8" w:rsidRPr="003C117F" w:rsidRDefault="00311BD8" w:rsidP="00311BD8">
      <w:pPr>
        <w:pStyle w:val="ExecSumBodyText"/>
        <w:numPr>
          <w:ilvl w:val="1"/>
          <w:numId w:val="1"/>
        </w:numPr>
      </w:pPr>
      <w:r w:rsidRPr="003C117F">
        <w:t xml:space="preserve">For brevity reasons, an abridged version of the restriction is presented below. </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3118"/>
        <w:gridCol w:w="800"/>
        <w:gridCol w:w="801"/>
        <w:gridCol w:w="801"/>
        <w:gridCol w:w="801"/>
      </w:tblGrid>
      <w:tr w:rsidR="00652ECC" w:rsidRPr="001428E9" w14:paraId="77BD09A8" w14:textId="77777777" w:rsidTr="001F660F">
        <w:trPr>
          <w:cantSplit/>
          <w:trHeight w:val="20"/>
        </w:trPr>
        <w:tc>
          <w:tcPr>
            <w:tcW w:w="2694" w:type="dxa"/>
            <w:vAlign w:val="center"/>
          </w:tcPr>
          <w:p w14:paraId="4CB17599" w14:textId="77777777" w:rsidR="00652ECC" w:rsidRPr="001428E9" w:rsidRDefault="00652ECC" w:rsidP="00B70466">
            <w:pPr>
              <w:keepNext/>
              <w:keepLines/>
              <w:rPr>
                <w:rFonts w:ascii="Arial Narrow" w:hAnsi="Arial Narrow"/>
                <w:b/>
                <w:bCs/>
                <w:sz w:val="20"/>
                <w:szCs w:val="20"/>
              </w:rPr>
            </w:pPr>
            <w:bookmarkStart w:id="9" w:name="_Hlk104809082"/>
            <w:r w:rsidRPr="001428E9">
              <w:rPr>
                <w:rFonts w:ascii="Arial Narrow" w:hAnsi="Arial Narrow"/>
                <w:b/>
                <w:bCs/>
                <w:sz w:val="20"/>
                <w:szCs w:val="20"/>
              </w:rPr>
              <w:t>MEDICINAL PRODUCT</w:t>
            </w:r>
          </w:p>
          <w:p w14:paraId="4EF95E73" w14:textId="77777777" w:rsidR="00652ECC" w:rsidRPr="001428E9" w:rsidRDefault="00652ECC" w:rsidP="00B70466">
            <w:pPr>
              <w:keepNext/>
              <w:keepLines/>
              <w:rPr>
                <w:rFonts w:ascii="Arial Narrow" w:hAnsi="Arial Narrow"/>
                <w:b/>
                <w:sz w:val="20"/>
                <w:szCs w:val="20"/>
              </w:rPr>
            </w:pPr>
            <w:r w:rsidRPr="001428E9">
              <w:rPr>
                <w:rFonts w:ascii="Arial Narrow" w:hAnsi="Arial Narrow"/>
                <w:b/>
                <w:bCs/>
                <w:sz w:val="20"/>
                <w:szCs w:val="20"/>
              </w:rPr>
              <w:t>medicinal product pack</w:t>
            </w:r>
          </w:p>
        </w:tc>
        <w:tc>
          <w:tcPr>
            <w:tcW w:w="3118" w:type="dxa"/>
            <w:vAlign w:val="center"/>
          </w:tcPr>
          <w:p w14:paraId="4FA942E2" w14:textId="77777777" w:rsidR="00652ECC" w:rsidRPr="00C61A59" w:rsidRDefault="00652ECC" w:rsidP="00B70466">
            <w:pPr>
              <w:pStyle w:val="TableText0"/>
              <w:keepLines/>
              <w:jc w:val="center"/>
              <w:rPr>
                <w:b/>
                <w:bCs w:val="0"/>
                <w:szCs w:val="20"/>
              </w:rPr>
            </w:pPr>
            <w:r w:rsidRPr="00C61A59">
              <w:rPr>
                <w:b/>
                <w:bCs w:val="0"/>
                <w:snapToGrid w:val="0"/>
              </w:rPr>
              <w:t>Dispensed Price for Max. Qty</w:t>
            </w:r>
          </w:p>
        </w:tc>
        <w:tc>
          <w:tcPr>
            <w:tcW w:w="800" w:type="dxa"/>
            <w:vAlign w:val="center"/>
          </w:tcPr>
          <w:p w14:paraId="2B77C187" w14:textId="77777777" w:rsidR="00652ECC" w:rsidRPr="001428E9" w:rsidRDefault="00652ECC" w:rsidP="00B70466">
            <w:pPr>
              <w:keepNext/>
              <w:keepLines/>
              <w:jc w:val="center"/>
              <w:rPr>
                <w:rFonts w:ascii="Arial Narrow" w:hAnsi="Arial Narrow"/>
                <w:b/>
                <w:sz w:val="20"/>
                <w:szCs w:val="20"/>
              </w:rPr>
            </w:pPr>
            <w:r w:rsidRPr="001428E9">
              <w:rPr>
                <w:rFonts w:ascii="Arial Narrow" w:hAnsi="Arial Narrow"/>
                <w:b/>
                <w:sz w:val="20"/>
                <w:szCs w:val="20"/>
              </w:rPr>
              <w:t>Max. qty packs</w:t>
            </w:r>
          </w:p>
        </w:tc>
        <w:tc>
          <w:tcPr>
            <w:tcW w:w="801" w:type="dxa"/>
            <w:vAlign w:val="center"/>
          </w:tcPr>
          <w:p w14:paraId="2C482153" w14:textId="77777777" w:rsidR="00652ECC" w:rsidRPr="001428E9" w:rsidRDefault="00652ECC" w:rsidP="00B70466">
            <w:pPr>
              <w:keepNext/>
              <w:keepLines/>
              <w:jc w:val="center"/>
              <w:rPr>
                <w:rFonts w:ascii="Arial Narrow" w:hAnsi="Arial Narrow"/>
                <w:b/>
                <w:sz w:val="20"/>
                <w:szCs w:val="20"/>
              </w:rPr>
            </w:pPr>
            <w:r w:rsidRPr="001428E9">
              <w:rPr>
                <w:rFonts w:ascii="Arial Narrow" w:hAnsi="Arial Narrow"/>
                <w:b/>
                <w:sz w:val="20"/>
                <w:szCs w:val="20"/>
              </w:rPr>
              <w:t>Max. qty units</w:t>
            </w:r>
          </w:p>
        </w:tc>
        <w:tc>
          <w:tcPr>
            <w:tcW w:w="801" w:type="dxa"/>
            <w:vAlign w:val="center"/>
          </w:tcPr>
          <w:p w14:paraId="6633395A" w14:textId="78F72220" w:rsidR="00652ECC" w:rsidRPr="001428E9" w:rsidRDefault="00240923" w:rsidP="00B70466">
            <w:pPr>
              <w:keepNext/>
              <w:keepLines/>
              <w:jc w:val="center"/>
              <w:rPr>
                <w:rFonts w:ascii="Arial Narrow" w:hAnsi="Arial Narrow"/>
                <w:b/>
                <w:sz w:val="20"/>
                <w:szCs w:val="20"/>
              </w:rPr>
            </w:pPr>
            <w:r w:rsidRPr="001428E9">
              <w:rPr>
                <w:rFonts w:ascii="Arial Narrow" w:hAnsi="Arial Narrow"/>
                <w:b/>
                <w:sz w:val="20"/>
                <w:szCs w:val="20"/>
              </w:rPr>
              <w:t>№. of</w:t>
            </w:r>
          </w:p>
          <w:p w14:paraId="562C277B" w14:textId="1CA31425" w:rsidR="00652ECC" w:rsidRPr="001428E9" w:rsidRDefault="001F660F" w:rsidP="00B70466">
            <w:pPr>
              <w:keepNext/>
              <w:keepLines/>
              <w:jc w:val="center"/>
              <w:rPr>
                <w:rFonts w:ascii="Arial Narrow" w:hAnsi="Arial Narrow"/>
                <w:b/>
                <w:sz w:val="20"/>
                <w:szCs w:val="20"/>
              </w:rPr>
            </w:pPr>
            <w:r>
              <w:rPr>
                <w:rFonts w:ascii="Arial Narrow" w:hAnsi="Arial Narrow"/>
                <w:b/>
                <w:sz w:val="20"/>
                <w:szCs w:val="20"/>
              </w:rPr>
              <w:t>re</w:t>
            </w:r>
            <w:r w:rsidR="00652ECC" w:rsidRPr="001428E9">
              <w:rPr>
                <w:rFonts w:ascii="Arial Narrow" w:hAnsi="Arial Narrow"/>
                <w:b/>
                <w:sz w:val="20"/>
                <w:szCs w:val="20"/>
              </w:rPr>
              <w:t>p</w:t>
            </w:r>
            <w:r>
              <w:rPr>
                <w:rFonts w:ascii="Arial Narrow" w:hAnsi="Arial Narrow"/>
                <w:b/>
                <w:sz w:val="20"/>
                <w:szCs w:val="20"/>
              </w:rPr>
              <w:t>ea</w:t>
            </w:r>
            <w:r w:rsidR="00652ECC" w:rsidRPr="001428E9">
              <w:rPr>
                <w:rFonts w:ascii="Arial Narrow" w:hAnsi="Arial Narrow"/>
                <w:b/>
                <w:sz w:val="20"/>
                <w:szCs w:val="20"/>
              </w:rPr>
              <w:t>ts</w:t>
            </w:r>
          </w:p>
        </w:tc>
        <w:tc>
          <w:tcPr>
            <w:tcW w:w="801" w:type="dxa"/>
            <w:vAlign w:val="center"/>
          </w:tcPr>
          <w:p w14:paraId="76F38833" w14:textId="77777777" w:rsidR="00652ECC" w:rsidRPr="001428E9" w:rsidRDefault="00652ECC" w:rsidP="00B70466">
            <w:pPr>
              <w:keepNext/>
              <w:keepLines/>
              <w:rPr>
                <w:rFonts w:ascii="Arial Narrow" w:hAnsi="Arial Narrow"/>
                <w:b/>
                <w:sz w:val="20"/>
                <w:szCs w:val="20"/>
                <w:lang w:val="fr-FR"/>
              </w:rPr>
            </w:pPr>
            <w:r w:rsidRPr="001428E9">
              <w:rPr>
                <w:rFonts w:ascii="Arial Narrow" w:hAnsi="Arial Narrow"/>
                <w:b/>
                <w:sz w:val="20"/>
                <w:szCs w:val="20"/>
              </w:rPr>
              <w:t>Available brands</w:t>
            </w:r>
          </w:p>
        </w:tc>
      </w:tr>
      <w:tr w:rsidR="00652ECC" w:rsidRPr="009510BB" w14:paraId="68ED64FF" w14:textId="77777777" w:rsidTr="00B70466">
        <w:trPr>
          <w:cantSplit/>
          <w:trHeight w:val="20"/>
        </w:trPr>
        <w:tc>
          <w:tcPr>
            <w:tcW w:w="9015" w:type="dxa"/>
            <w:gridSpan w:val="6"/>
            <w:vAlign w:val="center"/>
          </w:tcPr>
          <w:p w14:paraId="2A28590F" w14:textId="77777777" w:rsidR="00652ECC" w:rsidRPr="009510BB" w:rsidRDefault="00652ECC" w:rsidP="00B70466">
            <w:pPr>
              <w:pStyle w:val="TableText0"/>
              <w:keepLines/>
              <w:rPr>
                <w:rFonts w:cs="Arial"/>
                <w:szCs w:val="20"/>
              </w:rPr>
            </w:pPr>
            <w:r w:rsidRPr="009510BB">
              <w:t>USTEKINUMAB</w:t>
            </w:r>
          </w:p>
        </w:tc>
      </w:tr>
      <w:tr w:rsidR="00652ECC" w:rsidRPr="009510BB" w14:paraId="0CEE4EBA" w14:textId="77777777" w:rsidTr="001F660F">
        <w:trPr>
          <w:cantSplit/>
          <w:trHeight w:val="20"/>
        </w:trPr>
        <w:tc>
          <w:tcPr>
            <w:tcW w:w="2694" w:type="dxa"/>
            <w:vAlign w:val="center"/>
          </w:tcPr>
          <w:p w14:paraId="76486E97" w14:textId="77777777" w:rsidR="00652ECC" w:rsidRPr="009510BB" w:rsidRDefault="00652ECC" w:rsidP="00B70466">
            <w:pPr>
              <w:pStyle w:val="TableText0"/>
              <w:keepLines/>
              <w:rPr>
                <w:b/>
                <w:bCs w:val="0"/>
                <w:szCs w:val="20"/>
              </w:rPr>
            </w:pPr>
            <w:r>
              <w:rPr>
                <w:b/>
                <w:bCs w:val="0"/>
                <w:szCs w:val="20"/>
              </w:rPr>
              <w:t>[</w:t>
            </w:r>
            <w:r w:rsidRPr="009510BB">
              <w:rPr>
                <w:b/>
                <w:bCs w:val="0"/>
                <w:szCs w:val="20"/>
              </w:rPr>
              <w:t>Induction treatment</w:t>
            </w:r>
            <w:r>
              <w:rPr>
                <w:b/>
                <w:bCs w:val="0"/>
                <w:szCs w:val="20"/>
              </w:rPr>
              <w:t>]</w:t>
            </w:r>
          </w:p>
          <w:p w14:paraId="53C77C88" w14:textId="5895C717" w:rsidR="00652ECC" w:rsidRPr="009510BB" w:rsidRDefault="00652ECC" w:rsidP="00B70466">
            <w:pPr>
              <w:pStyle w:val="TableText0"/>
              <w:keepLines/>
              <w:rPr>
                <w:szCs w:val="20"/>
              </w:rPr>
            </w:pPr>
            <w:r w:rsidRPr="009510BB">
              <w:rPr>
                <w:szCs w:val="20"/>
              </w:rPr>
              <w:t>130</w:t>
            </w:r>
            <w:r w:rsidR="00C82A1A">
              <w:rPr>
                <w:szCs w:val="20"/>
              </w:rPr>
              <w:t xml:space="preserve"> </w:t>
            </w:r>
            <w:r w:rsidRPr="009510BB">
              <w:rPr>
                <w:szCs w:val="20"/>
              </w:rPr>
              <w:t>mg/26mL injection, 26</w:t>
            </w:r>
            <w:r w:rsidR="00C82A1A">
              <w:rPr>
                <w:szCs w:val="20"/>
              </w:rPr>
              <w:t xml:space="preserve"> </w:t>
            </w:r>
            <w:r w:rsidRPr="009510BB">
              <w:rPr>
                <w:szCs w:val="20"/>
              </w:rPr>
              <w:t xml:space="preserve">mL vial </w:t>
            </w:r>
          </w:p>
        </w:tc>
        <w:tc>
          <w:tcPr>
            <w:tcW w:w="3118" w:type="dxa"/>
          </w:tcPr>
          <w:p w14:paraId="270159FB" w14:textId="77777777" w:rsidR="00652ECC" w:rsidRPr="00C73961" w:rsidRDefault="00652ECC" w:rsidP="00B70466">
            <w:pPr>
              <w:pStyle w:val="TableText0"/>
              <w:keepLines/>
              <w:jc w:val="center"/>
              <w:rPr>
                <w:szCs w:val="20"/>
              </w:rPr>
            </w:pPr>
            <w:r w:rsidRPr="00C73961">
              <w:rPr>
                <w:szCs w:val="20"/>
              </w:rPr>
              <w:t>$15,236.22 (public) published price;</w:t>
            </w:r>
          </w:p>
          <w:p w14:paraId="79E5AD39" w14:textId="77777777" w:rsidR="00652ECC" w:rsidRPr="00C73961" w:rsidRDefault="00652ECC" w:rsidP="00B70466">
            <w:pPr>
              <w:pStyle w:val="TableText0"/>
              <w:keepLines/>
              <w:jc w:val="center"/>
              <w:rPr>
                <w:szCs w:val="20"/>
              </w:rPr>
            </w:pPr>
            <w:r w:rsidRPr="00C73961">
              <w:rPr>
                <w:szCs w:val="20"/>
              </w:rPr>
              <w:t>$15,284.14 (private) published price;</w:t>
            </w:r>
          </w:p>
          <w:p w14:paraId="7B336900" w14:textId="4D034C81" w:rsidR="00652ECC" w:rsidRPr="00C73961" w:rsidRDefault="00652ECC" w:rsidP="00B70466">
            <w:pPr>
              <w:pStyle w:val="TableText0"/>
              <w:keepLines/>
              <w:jc w:val="center"/>
              <w:rPr>
                <w:szCs w:val="20"/>
              </w:rPr>
            </w:pPr>
            <w:r w:rsidRPr="00723B57">
              <w:rPr>
                <w:szCs w:val="20"/>
              </w:rPr>
              <w:t>$</w:t>
            </w:r>
            <w:r w:rsidR="00091900" w:rsidRPr="00091900">
              <w:rPr>
                <w:color w:val="000000"/>
                <w:szCs w:val="20"/>
                <w:shd w:val="solid" w:color="000000" w:fill="000000"/>
                <w14:textFill>
                  <w14:solidFill>
                    <w14:srgbClr w14:val="000000">
                      <w14:alpha w14:val="100000"/>
                    </w14:srgbClr>
                  </w14:solidFill>
                </w14:textFill>
              </w:rPr>
              <w:t>|</w:t>
            </w:r>
            <w:r w:rsidRPr="00C73961">
              <w:rPr>
                <w:szCs w:val="20"/>
              </w:rPr>
              <w:t xml:space="preserve"> (public) effective price</w:t>
            </w:r>
          </w:p>
          <w:p w14:paraId="7E502A98" w14:textId="5986CB07" w:rsidR="00652ECC" w:rsidRPr="00C73961" w:rsidRDefault="00652ECC" w:rsidP="00B70466">
            <w:pPr>
              <w:pStyle w:val="TableText0"/>
              <w:keepLines/>
              <w:jc w:val="center"/>
              <w:rPr>
                <w:szCs w:val="20"/>
              </w:rPr>
            </w:pPr>
            <w:r w:rsidRPr="00C73961">
              <w:rPr>
                <w:i/>
                <w:iCs/>
                <w:szCs w:val="20"/>
              </w:rPr>
              <w:t>$</w:t>
            </w:r>
            <w:r w:rsidR="00091900" w:rsidRPr="00091900">
              <w:rPr>
                <w:color w:val="000000"/>
                <w:szCs w:val="20"/>
                <w:shd w:val="solid" w:color="000000" w:fill="000000"/>
                <w14:textFill>
                  <w14:solidFill>
                    <w14:srgbClr w14:val="000000">
                      <w14:alpha w14:val="100000"/>
                    </w14:srgbClr>
                  </w14:solidFill>
                </w14:textFill>
              </w:rPr>
              <w:t>|</w:t>
            </w:r>
            <w:r w:rsidRPr="00C73961">
              <w:rPr>
                <w:szCs w:val="20"/>
              </w:rPr>
              <w:t xml:space="preserve"> (private) effective price</w:t>
            </w:r>
          </w:p>
        </w:tc>
        <w:tc>
          <w:tcPr>
            <w:tcW w:w="800" w:type="dxa"/>
            <w:vAlign w:val="center"/>
          </w:tcPr>
          <w:p w14:paraId="647F0453" w14:textId="77777777" w:rsidR="00652ECC" w:rsidRPr="009510BB" w:rsidRDefault="00652ECC" w:rsidP="00B70466">
            <w:pPr>
              <w:keepNext/>
              <w:keepLines/>
              <w:jc w:val="center"/>
              <w:rPr>
                <w:rFonts w:ascii="Arial Narrow" w:hAnsi="Arial Narrow"/>
                <w:sz w:val="20"/>
                <w:szCs w:val="20"/>
              </w:rPr>
            </w:pPr>
            <w:r w:rsidRPr="009510BB">
              <w:rPr>
                <w:rFonts w:ascii="Arial Narrow" w:hAnsi="Arial Narrow"/>
                <w:sz w:val="20"/>
                <w:szCs w:val="20"/>
              </w:rPr>
              <w:t>4</w:t>
            </w:r>
          </w:p>
        </w:tc>
        <w:tc>
          <w:tcPr>
            <w:tcW w:w="801" w:type="dxa"/>
            <w:vAlign w:val="center"/>
          </w:tcPr>
          <w:p w14:paraId="77D5CEC6" w14:textId="77777777" w:rsidR="00652ECC" w:rsidRPr="009510BB" w:rsidRDefault="00652ECC" w:rsidP="00B70466">
            <w:pPr>
              <w:keepNext/>
              <w:keepLines/>
              <w:jc w:val="center"/>
              <w:rPr>
                <w:rFonts w:ascii="Arial Narrow" w:hAnsi="Arial Narrow"/>
                <w:sz w:val="20"/>
                <w:szCs w:val="20"/>
              </w:rPr>
            </w:pPr>
            <w:r w:rsidRPr="009510BB">
              <w:rPr>
                <w:rFonts w:ascii="Arial Narrow" w:hAnsi="Arial Narrow"/>
                <w:sz w:val="20"/>
                <w:szCs w:val="20"/>
              </w:rPr>
              <w:t>4</w:t>
            </w:r>
          </w:p>
        </w:tc>
        <w:tc>
          <w:tcPr>
            <w:tcW w:w="801" w:type="dxa"/>
            <w:shd w:val="clear" w:color="auto" w:fill="auto"/>
            <w:vAlign w:val="center"/>
          </w:tcPr>
          <w:p w14:paraId="606A6DFA" w14:textId="77777777" w:rsidR="00652ECC" w:rsidRPr="009510BB" w:rsidRDefault="00652ECC" w:rsidP="00B70466">
            <w:pPr>
              <w:keepNext/>
              <w:keepLines/>
              <w:jc w:val="center"/>
              <w:rPr>
                <w:rFonts w:ascii="Arial Narrow" w:hAnsi="Arial Narrow"/>
                <w:sz w:val="20"/>
                <w:szCs w:val="20"/>
              </w:rPr>
            </w:pPr>
            <w:r w:rsidRPr="009510BB">
              <w:rPr>
                <w:rFonts w:ascii="Arial Narrow" w:hAnsi="Arial Narrow"/>
                <w:sz w:val="20"/>
                <w:szCs w:val="20"/>
              </w:rPr>
              <w:t>0</w:t>
            </w:r>
          </w:p>
        </w:tc>
        <w:tc>
          <w:tcPr>
            <w:tcW w:w="801" w:type="dxa"/>
            <w:vAlign w:val="center"/>
          </w:tcPr>
          <w:p w14:paraId="6E09E6F6" w14:textId="77777777" w:rsidR="00652ECC" w:rsidRPr="009510BB" w:rsidRDefault="00652ECC" w:rsidP="00B70466">
            <w:pPr>
              <w:keepNext/>
              <w:keepLines/>
              <w:rPr>
                <w:rFonts w:ascii="Arial Narrow" w:hAnsi="Arial Narrow"/>
                <w:sz w:val="20"/>
                <w:szCs w:val="20"/>
              </w:rPr>
            </w:pPr>
            <w:r w:rsidRPr="009510BB">
              <w:rPr>
                <w:rFonts w:ascii="Arial Narrow" w:hAnsi="Arial Narrow"/>
                <w:sz w:val="20"/>
                <w:szCs w:val="20"/>
              </w:rPr>
              <w:t>Stelara</w:t>
            </w:r>
          </w:p>
        </w:tc>
      </w:tr>
      <w:tr w:rsidR="00652ECC" w:rsidRPr="009510BB" w14:paraId="2058D388" w14:textId="77777777" w:rsidTr="001F660F">
        <w:trPr>
          <w:cantSplit/>
          <w:trHeight w:val="20"/>
        </w:trPr>
        <w:tc>
          <w:tcPr>
            <w:tcW w:w="2694" w:type="dxa"/>
            <w:vAlign w:val="center"/>
          </w:tcPr>
          <w:p w14:paraId="2D4EE3A7" w14:textId="77777777" w:rsidR="00652ECC" w:rsidRPr="009510BB" w:rsidRDefault="00652ECC" w:rsidP="00B70466">
            <w:pPr>
              <w:pStyle w:val="TableText0"/>
              <w:keepLines/>
              <w:rPr>
                <w:b/>
                <w:bCs w:val="0"/>
                <w:szCs w:val="20"/>
              </w:rPr>
            </w:pPr>
            <w:r>
              <w:rPr>
                <w:b/>
                <w:bCs w:val="0"/>
                <w:szCs w:val="20"/>
              </w:rPr>
              <w:t>[</w:t>
            </w:r>
            <w:r w:rsidRPr="009510BB">
              <w:rPr>
                <w:b/>
                <w:bCs w:val="0"/>
                <w:szCs w:val="20"/>
              </w:rPr>
              <w:t>Induction treatment</w:t>
            </w:r>
            <w:r>
              <w:rPr>
                <w:b/>
                <w:bCs w:val="0"/>
                <w:szCs w:val="20"/>
              </w:rPr>
              <w:t>]</w:t>
            </w:r>
          </w:p>
          <w:p w14:paraId="46804C58" w14:textId="65874C4A" w:rsidR="00652ECC" w:rsidRPr="009510BB" w:rsidRDefault="00652ECC" w:rsidP="00B70466">
            <w:pPr>
              <w:keepNext/>
              <w:keepLines/>
              <w:rPr>
                <w:rFonts w:ascii="Arial Narrow" w:hAnsi="Arial Narrow"/>
                <w:sz w:val="20"/>
                <w:szCs w:val="20"/>
              </w:rPr>
            </w:pPr>
            <w:r w:rsidRPr="009510BB">
              <w:rPr>
                <w:rFonts w:ascii="Arial Narrow" w:hAnsi="Arial Narrow"/>
                <w:sz w:val="20"/>
                <w:szCs w:val="20"/>
              </w:rPr>
              <w:t>90</w:t>
            </w:r>
            <w:r w:rsidR="00C82A1A">
              <w:rPr>
                <w:rFonts w:ascii="Arial Narrow" w:hAnsi="Arial Narrow"/>
                <w:sz w:val="20"/>
                <w:szCs w:val="20"/>
              </w:rPr>
              <w:t xml:space="preserve"> </w:t>
            </w:r>
            <w:r w:rsidRPr="009510BB">
              <w:rPr>
                <w:rFonts w:ascii="Arial Narrow" w:hAnsi="Arial Narrow"/>
                <w:sz w:val="20"/>
                <w:szCs w:val="20"/>
              </w:rPr>
              <w:t>mg/1mL injection, 1</w:t>
            </w:r>
            <w:r w:rsidR="00C82A1A">
              <w:rPr>
                <w:rFonts w:ascii="Arial Narrow" w:hAnsi="Arial Narrow"/>
                <w:sz w:val="20"/>
                <w:szCs w:val="20"/>
              </w:rPr>
              <w:t xml:space="preserve"> </w:t>
            </w:r>
            <w:r w:rsidRPr="009510BB">
              <w:rPr>
                <w:rFonts w:ascii="Arial Narrow" w:hAnsi="Arial Narrow"/>
                <w:sz w:val="20"/>
                <w:szCs w:val="20"/>
              </w:rPr>
              <w:t xml:space="preserve">mL vial </w:t>
            </w:r>
          </w:p>
        </w:tc>
        <w:tc>
          <w:tcPr>
            <w:tcW w:w="3118" w:type="dxa"/>
          </w:tcPr>
          <w:p w14:paraId="42FD9B2B" w14:textId="77777777" w:rsidR="00652ECC" w:rsidRPr="00C73961" w:rsidRDefault="00652ECC" w:rsidP="00B70466">
            <w:pPr>
              <w:pStyle w:val="TableText0"/>
              <w:keepLines/>
              <w:jc w:val="center"/>
              <w:rPr>
                <w:szCs w:val="20"/>
              </w:rPr>
            </w:pPr>
            <w:r w:rsidRPr="00C73961">
              <w:rPr>
                <w:szCs w:val="20"/>
              </w:rPr>
              <w:t>$3,970.36 published price</w:t>
            </w:r>
          </w:p>
          <w:p w14:paraId="16369A3D" w14:textId="6883ED70" w:rsidR="00652ECC" w:rsidRPr="00C73961" w:rsidRDefault="00652ECC" w:rsidP="00B70466">
            <w:pPr>
              <w:pStyle w:val="TableText0"/>
              <w:keepLines/>
              <w:jc w:val="center"/>
              <w:rPr>
                <w:szCs w:val="20"/>
              </w:rPr>
            </w:pPr>
            <w:r w:rsidRPr="00C73961">
              <w:rPr>
                <w:szCs w:val="20"/>
              </w:rPr>
              <w:t>$</w:t>
            </w:r>
            <w:r w:rsidR="00091900" w:rsidRPr="00091900">
              <w:rPr>
                <w:color w:val="000000"/>
                <w:szCs w:val="20"/>
                <w:shd w:val="solid" w:color="000000" w:fill="000000"/>
                <w14:textFill>
                  <w14:solidFill>
                    <w14:srgbClr w14:val="000000">
                      <w14:alpha w14:val="100000"/>
                    </w14:srgbClr>
                  </w14:solidFill>
                </w14:textFill>
              </w:rPr>
              <w:t>|</w:t>
            </w:r>
            <w:r w:rsidRPr="00C73961">
              <w:rPr>
                <w:szCs w:val="20"/>
              </w:rPr>
              <w:t xml:space="preserve"> effective price</w:t>
            </w:r>
          </w:p>
        </w:tc>
        <w:tc>
          <w:tcPr>
            <w:tcW w:w="800" w:type="dxa"/>
            <w:vAlign w:val="center"/>
          </w:tcPr>
          <w:p w14:paraId="47C7D2ED" w14:textId="77777777" w:rsidR="00652ECC" w:rsidRPr="009510BB" w:rsidRDefault="00652ECC" w:rsidP="00B70466">
            <w:pPr>
              <w:keepNext/>
              <w:keepLines/>
              <w:jc w:val="center"/>
              <w:rPr>
                <w:rFonts w:ascii="Arial Narrow" w:hAnsi="Arial Narrow"/>
                <w:sz w:val="20"/>
                <w:szCs w:val="20"/>
              </w:rPr>
            </w:pPr>
            <w:r w:rsidRPr="009510BB">
              <w:rPr>
                <w:rFonts w:ascii="Arial Narrow" w:hAnsi="Arial Narrow"/>
                <w:sz w:val="20"/>
                <w:szCs w:val="20"/>
              </w:rPr>
              <w:t>1</w:t>
            </w:r>
          </w:p>
        </w:tc>
        <w:tc>
          <w:tcPr>
            <w:tcW w:w="801" w:type="dxa"/>
            <w:vAlign w:val="center"/>
          </w:tcPr>
          <w:p w14:paraId="57F3B3D9" w14:textId="77777777" w:rsidR="00652ECC" w:rsidRPr="009510BB" w:rsidRDefault="00652ECC" w:rsidP="00B70466">
            <w:pPr>
              <w:keepNext/>
              <w:keepLines/>
              <w:jc w:val="center"/>
              <w:rPr>
                <w:rFonts w:ascii="Arial Narrow" w:hAnsi="Arial Narrow"/>
                <w:sz w:val="20"/>
                <w:szCs w:val="20"/>
              </w:rPr>
            </w:pPr>
            <w:r w:rsidRPr="009510BB">
              <w:rPr>
                <w:rFonts w:ascii="Arial Narrow" w:hAnsi="Arial Narrow"/>
                <w:sz w:val="20"/>
                <w:szCs w:val="20"/>
              </w:rPr>
              <w:t>1</w:t>
            </w:r>
          </w:p>
        </w:tc>
        <w:tc>
          <w:tcPr>
            <w:tcW w:w="801" w:type="dxa"/>
            <w:vAlign w:val="center"/>
          </w:tcPr>
          <w:p w14:paraId="3B477F4C" w14:textId="77777777" w:rsidR="00652ECC" w:rsidRPr="009510BB" w:rsidRDefault="00652ECC" w:rsidP="00B70466">
            <w:pPr>
              <w:keepNext/>
              <w:keepLines/>
              <w:jc w:val="center"/>
              <w:rPr>
                <w:rFonts w:ascii="Arial Narrow" w:hAnsi="Arial Narrow"/>
                <w:sz w:val="20"/>
                <w:szCs w:val="20"/>
              </w:rPr>
            </w:pPr>
            <w:r w:rsidRPr="009510BB">
              <w:rPr>
                <w:rFonts w:ascii="Arial Narrow" w:hAnsi="Arial Narrow"/>
                <w:sz w:val="20"/>
                <w:szCs w:val="20"/>
              </w:rPr>
              <w:t>0</w:t>
            </w:r>
            <w:r w:rsidRPr="009510BB">
              <w:rPr>
                <w:rFonts w:ascii="Arial Narrow" w:hAnsi="Arial Narrow"/>
                <w:sz w:val="20"/>
                <w:szCs w:val="20"/>
                <w:vertAlign w:val="superscript"/>
              </w:rPr>
              <w:t>a</w:t>
            </w:r>
          </w:p>
        </w:tc>
        <w:tc>
          <w:tcPr>
            <w:tcW w:w="801" w:type="dxa"/>
            <w:vAlign w:val="center"/>
          </w:tcPr>
          <w:p w14:paraId="40EB5CED" w14:textId="77777777" w:rsidR="00652ECC" w:rsidRPr="009510BB" w:rsidRDefault="00652ECC" w:rsidP="00B70466">
            <w:pPr>
              <w:keepNext/>
              <w:keepLines/>
              <w:rPr>
                <w:rFonts w:ascii="Arial Narrow" w:hAnsi="Arial Narrow"/>
                <w:sz w:val="20"/>
                <w:szCs w:val="20"/>
              </w:rPr>
            </w:pPr>
            <w:r w:rsidRPr="009510BB">
              <w:rPr>
                <w:rFonts w:ascii="Arial Narrow" w:hAnsi="Arial Narrow"/>
                <w:sz w:val="20"/>
                <w:szCs w:val="20"/>
              </w:rPr>
              <w:t>Stelara</w:t>
            </w:r>
          </w:p>
        </w:tc>
      </w:tr>
      <w:tr w:rsidR="00652ECC" w:rsidRPr="009510BB" w14:paraId="3095ABB8" w14:textId="77777777" w:rsidTr="001F660F">
        <w:trPr>
          <w:cantSplit/>
          <w:trHeight w:val="20"/>
        </w:trPr>
        <w:tc>
          <w:tcPr>
            <w:tcW w:w="2694" w:type="dxa"/>
            <w:vAlign w:val="center"/>
          </w:tcPr>
          <w:p w14:paraId="0AB7BD4F" w14:textId="77777777" w:rsidR="00652ECC" w:rsidRPr="009510BB" w:rsidRDefault="00652ECC" w:rsidP="00B70466">
            <w:pPr>
              <w:pStyle w:val="TableText0"/>
              <w:keepLines/>
              <w:rPr>
                <w:b/>
                <w:bCs w:val="0"/>
                <w:szCs w:val="20"/>
              </w:rPr>
            </w:pPr>
            <w:r>
              <w:rPr>
                <w:b/>
                <w:bCs w:val="0"/>
                <w:szCs w:val="20"/>
              </w:rPr>
              <w:t>[</w:t>
            </w:r>
            <w:r w:rsidRPr="009510BB">
              <w:rPr>
                <w:b/>
                <w:bCs w:val="0"/>
                <w:szCs w:val="20"/>
              </w:rPr>
              <w:t>Continuing treatment</w:t>
            </w:r>
            <w:r>
              <w:rPr>
                <w:b/>
                <w:bCs w:val="0"/>
                <w:szCs w:val="20"/>
              </w:rPr>
              <w:t>]</w:t>
            </w:r>
          </w:p>
          <w:p w14:paraId="45E63C51" w14:textId="2F56A5AF" w:rsidR="00652ECC" w:rsidRPr="009510BB" w:rsidRDefault="00652ECC" w:rsidP="00B70466">
            <w:pPr>
              <w:keepNext/>
              <w:keepLines/>
              <w:tabs>
                <w:tab w:val="left" w:pos="1077"/>
              </w:tabs>
              <w:rPr>
                <w:rFonts w:ascii="Arial Narrow" w:hAnsi="Arial Narrow"/>
                <w:sz w:val="20"/>
                <w:szCs w:val="20"/>
              </w:rPr>
            </w:pPr>
            <w:r w:rsidRPr="009510BB">
              <w:rPr>
                <w:rFonts w:ascii="Arial Narrow" w:hAnsi="Arial Narrow"/>
                <w:sz w:val="20"/>
                <w:szCs w:val="20"/>
              </w:rPr>
              <w:t>90</w:t>
            </w:r>
            <w:r w:rsidR="00C82A1A">
              <w:rPr>
                <w:rFonts w:ascii="Arial Narrow" w:hAnsi="Arial Narrow"/>
                <w:sz w:val="20"/>
                <w:szCs w:val="20"/>
              </w:rPr>
              <w:t xml:space="preserve"> </w:t>
            </w:r>
            <w:r w:rsidRPr="009510BB">
              <w:rPr>
                <w:rFonts w:ascii="Arial Narrow" w:hAnsi="Arial Narrow"/>
                <w:sz w:val="20"/>
                <w:szCs w:val="20"/>
              </w:rPr>
              <w:t>mg/1mL injection, 1</w:t>
            </w:r>
            <w:r w:rsidR="00C82A1A">
              <w:rPr>
                <w:rFonts w:ascii="Arial Narrow" w:hAnsi="Arial Narrow"/>
                <w:sz w:val="20"/>
                <w:szCs w:val="20"/>
              </w:rPr>
              <w:t xml:space="preserve"> </w:t>
            </w:r>
            <w:r w:rsidRPr="009510BB">
              <w:rPr>
                <w:rFonts w:ascii="Arial Narrow" w:hAnsi="Arial Narrow"/>
                <w:sz w:val="20"/>
                <w:szCs w:val="20"/>
              </w:rPr>
              <w:t xml:space="preserve">mL vial </w:t>
            </w:r>
          </w:p>
        </w:tc>
        <w:tc>
          <w:tcPr>
            <w:tcW w:w="3118" w:type="dxa"/>
          </w:tcPr>
          <w:p w14:paraId="2CA4C73E" w14:textId="77777777" w:rsidR="00652ECC" w:rsidRPr="00C73961" w:rsidRDefault="00652ECC" w:rsidP="00B70466">
            <w:pPr>
              <w:pStyle w:val="TableText0"/>
              <w:keepLines/>
              <w:jc w:val="center"/>
              <w:rPr>
                <w:szCs w:val="20"/>
              </w:rPr>
            </w:pPr>
            <w:r w:rsidRPr="00C73961">
              <w:rPr>
                <w:szCs w:val="20"/>
              </w:rPr>
              <w:t>$3,970.36 published price</w:t>
            </w:r>
          </w:p>
          <w:p w14:paraId="487C6ADE" w14:textId="41482AED" w:rsidR="00652ECC" w:rsidRPr="00C73961" w:rsidRDefault="00652ECC" w:rsidP="00B70466">
            <w:pPr>
              <w:keepNext/>
              <w:keepLines/>
              <w:jc w:val="center"/>
              <w:rPr>
                <w:rFonts w:ascii="Arial Narrow" w:hAnsi="Arial Narrow"/>
                <w:sz w:val="20"/>
                <w:szCs w:val="20"/>
              </w:rPr>
            </w:pPr>
            <w:r w:rsidRPr="00C73961">
              <w:rPr>
                <w:rFonts w:ascii="Arial Narrow" w:hAnsi="Arial Narrow"/>
                <w:i/>
                <w:iCs/>
                <w:sz w:val="20"/>
                <w:szCs w:val="20"/>
              </w:rPr>
              <w:t>$</w:t>
            </w:r>
            <w:r w:rsidR="00091900" w:rsidRPr="00091900">
              <w:rPr>
                <w:rFonts w:ascii="Arial Narrow" w:hAnsi="Arial Narrow"/>
                <w:color w:val="000000"/>
                <w:sz w:val="20"/>
                <w:szCs w:val="20"/>
                <w:shd w:val="solid" w:color="000000" w:fill="000000"/>
                <w14:textFill>
                  <w14:solidFill>
                    <w14:srgbClr w14:val="000000">
                      <w14:alpha w14:val="100000"/>
                    </w14:srgbClr>
                  </w14:solidFill>
                </w14:textFill>
              </w:rPr>
              <w:t>|</w:t>
            </w:r>
            <w:r w:rsidRPr="00C73961">
              <w:rPr>
                <w:rFonts w:ascii="Arial Narrow" w:hAnsi="Arial Narrow"/>
                <w:sz w:val="20"/>
                <w:szCs w:val="20"/>
              </w:rPr>
              <w:t xml:space="preserve"> effective price</w:t>
            </w:r>
          </w:p>
        </w:tc>
        <w:tc>
          <w:tcPr>
            <w:tcW w:w="800" w:type="dxa"/>
            <w:vAlign w:val="center"/>
          </w:tcPr>
          <w:p w14:paraId="681C9C37" w14:textId="77777777" w:rsidR="00652ECC" w:rsidRPr="009510BB" w:rsidRDefault="00652ECC" w:rsidP="00B70466">
            <w:pPr>
              <w:keepNext/>
              <w:keepLines/>
              <w:jc w:val="center"/>
              <w:rPr>
                <w:rFonts w:ascii="Arial Narrow" w:hAnsi="Arial Narrow"/>
                <w:sz w:val="20"/>
                <w:szCs w:val="20"/>
              </w:rPr>
            </w:pPr>
            <w:r w:rsidRPr="009510BB">
              <w:rPr>
                <w:rFonts w:ascii="Arial Narrow" w:hAnsi="Arial Narrow"/>
                <w:sz w:val="20"/>
                <w:szCs w:val="20"/>
              </w:rPr>
              <w:t>1</w:t>
            </w:r>
          </w:p>
        </w:tc>
        <w:tc>
          <w:tcPr>
            <w:tcW w:w="801" w:type="dxa"/>
            <w:vAlign w:val="center"/>
          </w:tcPr>
          <w:p w14:paraId="2CA1D474" w14:textId="77777777" w:rsidR="00652ECC" w:rsidRPr="009510BB" w:rsidRDefault="00652ECC" w:rsidP="00B70466">
            <w:pPr>
              <w:keepNext/>
              <w:keepLines/>
              <w:jc w:val="center"/>
              <w:rPr>
                <w:rFonts w:ascii="Arial Narrow" w:hAnsi="Arial Narrow"/>
                <w:sz w:val="20"/>
                <w:szCs w:val="20"/>
              </w:rPr>
            </w:pPr>
            <w:r w:rsidRPr="009510BB">
              <w:rPr>
                <w:rFonts w:ascii="Arial Narrow" w:hAnsi="Arial Narrow"/>
                <w:sz w:val="20"/>
                <w:szCs w:val="20"/>
              </w:rPr>
              <w:t>1</w:t>
            </w:r>
          </w:p>
        </w:tc>
        <w:tc>
          <w:tcPr>
            <w:tcW w:w="801" w:type="dxa"/>
            <w:vAlign w:val="center"/>
          </w:tcPr>
          <w:p w14:paraId="57604440" w14:textId="77777777" w:rsidR="00652ECC" w:rsidRPr="009510BB" w:rsidRDefault="00652ECC" w:rsidP="00B70466">
            <w:pPr>
              <w:keepNext/>
              <w:keepLines/>
              <w:jc w:val="center"/>
              <w:rPr>
                <w:rFonts w:ascii="Arial Narrow" w:hAnsi="Arial Narrow"/>
                <w:sz w:val="20"/>
                <w:szCs w:val="20"/>
              </w:rPr>
            </w:pPr>
            <w:r w:rsidRPr="009510BB">
              <w:rPr>
                <w:rFonts w:ascii="Arial Narrow" w:hAnsi="Arial Narrow"/>
                <w:sz w:val="20"/>
                <w:szCs w:val="20"/>
              </w:rPr>
              <w:t>2</w:t>
            </w:r>
            <w:r w:rsidRPr="009510BB">
              <w:rPr>
                <w:rFonts w:ascii="Arial Narrow" w:hAnsi="Arial Narrow"/>
                <w:sz w:val="20"/>
                <w:szCs w:val="20"/>
                <w:vertAlign w:val="superscript"/>
              </w:rPr>
              <w:t>b</w:t>
            </w:r>
            <w:r w:rsidRPr="009510BB">
              <w:rPr>
                <w:rFonts w:ascii="Arial Narrow" w:hAnsi="Arial Narrow"/>
                <w:sz w:val="20"/>
                <w:szCs w:val="20"/>
              </w:rPr>
              <w:t xml:space="preserve"> / 1</w:t>
            </w:r>
            <w:r w:rsidRPr="009510BB">
              <w:rPr>
                <w:rFonts w:ascii="Arial Narrow" w:hAnsi="Arial Narrow"/>
                <w:sz w:val="20"/>
                <w:szCs w:val="20"/>
                <w:vertAlign w:val="superscript"/>
              </w:rPr>
              <w:t>c</w:t>
            </w:r>
          </w:p>
        </w:tc>
        <w:tc>
          <w:tcPr>
            <w:tcW w:w="801" w:type="dxa"/>
            <w:vAlign w:val="center"/>
          </w:tcPr>
          <w:p w14:paraId="23272A7C" w14:textId="77777777" w:rsidR="00652ECC" w:rsidRPr="009510BB" w:rsidRDefault="00652ECC" w:rsidP="00B70466">
            <w:pPr>
              <w:keepNext/>
              <w:keepLines/>
              <w:jc w:val="left"/>
              <w:rPr>
                <w:rFonts w:ascii="Arial Narrow" w:hAnsi="Arial Narrow"/>
                <w:sz w:val="20"/>
                <w:szCs w:val="20"/>
              </w:rPr>
            </w:pPr>
            <w:r w:rsidRPr="009510BB">
              <w:rPr>
                <w:rFonts w:ascii="Arial Narrow" w:hAnsi="Arial Narrow"/>
                <w:sz w:val="20"/>
                <w:szCs w:val="20"/>
              </w:rPr>
              <w:t>Stelara</w:t>
            </w:r>
          </w:p>
        </w:tc>
      </w:tr>
    </w:tbl>
    <w:p w14:paraId="5E35C1F8" w14:textId="65FB246B" w:rsidR="0029631D" w:rsidRPr="00406DA8" w:rsidRDefault="0029631D" w:rsidP="005F1F41">
      <w:pPr>
        <w:pStyle w:val="TableFooter"/>
        <w:tabs>
          <w:tab w:val="left" w:pos="142"/>
        </w:tabs>
        <w:ind w:left="135" w:hanging="135"/>
        <w:rPr>
          <w:rStyle w:val="CommentReference"/>
          <w:bCs/>
          <w:sz w:val="1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29631D" w:rsidRPr="00046D64" w14:paraId="3D2D6AEC" w14:textId="77777777" w:rsidTr="00B70466">
        <w:trPr>
          <w:cantSplit/>
          <w:trHeight w:val="20"/>
        </w:trPr>
        <w:tc>
          <w:tcPr>
            <w:tcW w:w="5000" w:type="pct"/>
          </w:tcPr>
          <w:p w14:paraId="4F5F27D3" w14:textId="77777777" w:rsidR="0029631D" w:rsidRDefault="0029631D" w:rsidP="00B70466">
            <w:pPr>
              <w:pStyle w:val="TableText0"/>
              <w:keepNext w:val="0"/>
              <w:keepLines/>
              <w:rPr>
                <w:b/>
              </w:rPr>
            </w:pPr>
            <w:r w:rsidRPr="00046D64">
              <w:rPr>
                <w:b/>
              </w:rPr>
              <w:t xml:space="preserve">Category / Program: </w:t>
            </w:r>
          </w:p>
          <w:p w14:paraId="1087B69A" w14:textId="77777777" w:rsidR="0029631D" w:rsidRDefault="0029631D" w:rsidP="00B70466">
            <w:pPr>
              <w:pStyle w:val="TableText0"/>
              <w:keepNext w:val="0"/>
              <w:keepLines/>
            </w:pPr>
            <w:r>
              <w:t>Section 100: tiered weight-based IV loading dose</w:t>
            </w:r>
          </w:p>
          <w:p w14:paraId="4174E978" w14:textId="77777777" w:rsidR="0029631D" w:rsidRPr="00046D64" w:rsidRDefault="0029631D" w:rsidP="00B70466">
            <w:pPr>
              <w:pStyle w:val="TableText0"/>
              <w:keepNext w:val="0"/>
              <w:keepLines/>
            </w:pPr>
            <w:r>
              <w:t>General Schedule: SC injection</w:t>
            </w:r>
          </w:p>
        </w:tc>
      </w:tr>
      <w:tr w:rsidR="0029631D" w:rsidRPr="00046D64" w14:paraId="4ACF01A9" w14:textId="77777777" w:rsidTr="00B70466">
        <w:trPr>
          <w:cantSplit/>
          <w:trHeight w:val="20"/>
        </w:trPr>
        <w:tc>
          <w:tcPr>
            <w:tcW w:w="5000" w:type="pct"/>
          </w:tcPr>
          <w:p w14:paraId="126BC0C5" w14:textId="77777777" w:rsidR="0029631D" w:rsidRPr="00046D64" w:rsidRDefault="0029631D" w:rsidP="00B70466">
            <w:pPr>
              <w:pStyle w:val="TableText0"/>
              <w:keepNext w:val="0"/>
              <w:keepLines/>
              <w:rPr>
                <w:b/>
              </w:rPr>
            </w:pPr>
            <w:r w:rsidRPr="00046D64">
              <w:rPr>
                <w:b/>
              </w:rPr>
              <w:t xml:space="preserve">Prescriber type: </w:t>
            </w:r>
            <w:r>
              <w:fldChar w:fldCharType="begin">
                <w:ffData>
                  <w:name w:val=""/>
                  <w:enabled/>
                  <w:calcOnExit w:val="0"/>
                  <w:checkBox>
                    <w:sizeAuto/>
                    <w:default w:val="1"/>
                  </w:checkBox>
                </w:ffData>
              </w:fldChar>
            </w:r>
            <w:r>
              <w:instrText xml:space="preserve"> FORMCHECKBOX </w:instrText>
            </w:r>
            <w:r w:rsidR="00522D5A">
              <w:fldChar w:fldCharType="separate"/>
            </w:r>
            <w:r>
              <w:fldChar w:fldCharType="end"/>
            </w:r>
            <w:r>
              <w:t>Medical Practitioners</w:t>
            </w:r>
          </w:p>
        </w:tc>
      </w:tr>
      <w:tr w:rsidR="0029631D" w:rsidRPr="00046D64" w14:paraId="7009C6EF" w14:textId="77777777" w:rsidTr="00B70466">
        <w:trPr>
          <w:cantSplit/>
          <w:trHeight w:val="20"/>
        </w:trPr>
        <w:tc>
          <w:tcPr>
            <w:tcW w:w="5000" w:type="pct"/>
          </w:tcPr>
          <w:p w14:paraId="027F7DCD" w14:textId="77777777" w:rsidR="0029631D" w:rsidRPr="00046D64" w:rsidRDefault="0029631D" w:rsidP="00B70466">
            <w:pPr>
              <w:pStyle w:val="TableText0"/>
              <w:keepNext w:val="0"/>
              <w:keepLines/>
              <w:rPr>
                <w:rFonts w:eastAsia="Times New Roman"/>
              </w:rPr>
            </w:pPr>
            <w:r>
              <w:rPr>
                <w:b/>
              </w:rPr>
              <w:t xml:space="preserve">Restriction type: </w:t>
            </w:r>
            <w:r>
              <w:rPr>
                <w:rFonts w:eastAsia="Times New Roman"/>
              </w:rPr>
              <w:fldChar w:fldCharType="begin">
                <w:ffData>
                  <w:name w:val=""/>
                  <w:enabled/>
                  <w:calcOnExit w:val="0"/>
                  <w:checkBox>
                    <w:sizeAuto/>
                    <w:default w:val="1"/>
                  </w:checkBox>
                </w:ffData>
              </w:fldChar>
            </w:r>
            <w:r>
              <w:rPr>
                <w:rFonts w:eastAsia="Times New Roman"/>
              </w:rPr>
              <w:instrText xml:space="preserve"> FORMCHECKBOX </w:instrText>
            </w:r>
            <w:r w:rsidR="00522D5A">
              <w:rPr>
                <w:rFonts w:eastAsia="Times New Roman"/>
              </w:rPr>
            </w:r>
            <w:r w:rsidR="00522D5A">
              <w:rPr>
                <w:rFonts w:eastAsia="Times New Roman"/>
              </w:rPr>
              <w:fldChar w:fldCharType="separate"/>
            </w:r>
            <w:r>
              <w:rPr>
                <w:rFonts w:eastAsia="Times New Roman"/>
              </w:rPr>
              <w:fldChar w:fldCharType="end"/>
            </w:r>
            <w:r w:rsidRPr="00046D64">
              <w:rPr>
                <w:rFonts w:eastAsia="Times New Roman"/>
              </w:rPr>
              <w:t xml:space="preserve">Authority Required (in writing)  </w:t>
            </w:r>
          </w:p>
        </w:tc>
      </w:tr>
      <w:tr w:rsidR="0029631D" w:rsidRPr="00046D64" w14:paraId="22A1E41E" w14:textId="77777777" w:rsidTr="00B70466">
        <w:trPr>
          <w:cantSplit/>
          <w:trHeight w:val="20"/>
        </w:trPr>
        <w:tc>
          <w:tcPr>
            <w:tcW w:w="5000" w:type="pct"/>
            <w:tcBorders>
              <w:bottom w:val="single" w:sz="4" w:space="0" w:color="auto"/>
            </w:tcBorders>
            <w:vAlign w:val="center"/>
          </w:tcPr>
          <w:p w14:paraId="4221B823" w14:textId="77777777" w:rsidR="0029631D" w:rsidRPr="00046D64" w:rsidRDefault="0029631D" w:rsidP="00B70466">
            <w:pPr>
              <w:pStyle w:val="TableText0"/>
              <w:keepNext w:val="0"/>
              <w:keepLines/>
              <w:rPr>
                <w:b/>
              </w:rPr>
            </w:pPr>
            <w:r w:rsidRPr="00046D64">
              <w:rPr>
                <w:b/>
              </w:rPr>
              <w:t xml:space="preserve">Condition: </w:t>
            </w:r>
            <w:r w:rsidRPr="00F1454C">
              <w:rPr>
                <w:bCs w:val="0"/>
              </w:rPr>
              <w:t>Complex refractory Fistulising Crohn disease</w:t>
            </w:r>
          </w:p>
        </w:tc>
      </w:tr>
      <w:tr w:rsidR="0029631D" w:rsidRPr="00046D64" w14:paraId="53DC9884" w14:textId="77777777" w:rsidTr="00B70466">
        <w:trPr>
          <w:cantSplit/>
          <w:trHeight w:val="20"/>
        </w:trPr>
        <w:tc>
          <w:tcPr>
            <w:tcW w:w="5000" w:type="pct"/>
            <w:tcBorders>
              <w:bottom w:val="nil"/>
            </w:tcBorders>
            <w:vAlign w:val="center"/>
          </w:tcPr>
          <w:p w14:paraId="37B91EBA" w14:textId="77777777" w:rsidR="0029631D" w:rsidRPr="00046D64" w:rsidRDefault="0029631D" w:rsidP="00B70466">
            <w:pPr>
              <w:pStyle w:val="TableText0"/>
              <w:keepNext w:val="0"/>
              <w:keepLines/>
              <w:rPr>
                <w:b/>
              </w:rPr>
            </w:pPr>
            <w:r w:rsidRPr="00046D64">
              <w:rPr>
                <w:b/>
              </w:rPr>
              <w:t>Treatment criteria:</w:t>
            </w:r>
          </w:p>
        </w:tc>
      </w:tr>
      <w:tr w:rsidR="0029631D" w:rsidRPr="00046D64" w14:paraId="6AC72D5F" w14:textId="77777777" w:rsidTr="00B70466">
        <w:trPr>
          <w:cantSplit/>
          <w:trHeight w:val="20"/>
        </w:trPr>
        <w:tc>
          <w:tcPr>
            <w:tcW w:w="5000" w:type="pct"/>
            <w:tcBorders>
              <w:top w:val="nil"/>
              <w:bottom w:val="nil"/>
            </w:tcBorders>
            <w:vAlign w:val="center"/>
          </w:tcPr>
          <w:p w14:paraId="50D3DCB7" w14:textId="77777777" w:rsidR="0029631D" w:rsidRPr="00046D64" w:rsidRDefault="0029631D" w:rsidP="00B70466">
            <w:pPr>
              <w:pStyle w:val="TableText0"/>
              <w:keepNext w:val="0"/>
              <w:keepLines/>
              <w:rPr>
                <w:b/>
              </w:rPr>
            </w:pPr>
            <w:r w:rsidRPr="00F1454C">
              <w:t>Must be treated by a gastroenterologist (code 87); OR</w:t>
            </w:r>
          </w:p>
        </w:tc>
      </w:tr>
      <w:tr w:rsidR="0029631D" w:rsidRPr="00046D64" w14:paraId="73684C78" w14:textId="77777777" w:rsidTr="00B70466">
        <w:trPr>
          <w:cantSplit/>
          <w:trHeight w:val="20"/>
        </w:trPr>
        <w:tc>
          <w:tcPr>
            <w:tcW w:w="5000" w:type="pct"/>
            <w:tcBorders>
              <w:top w:val="nil"/>
              <w:bottom w:val="nil"/>
            </w:tcBorders>
            <w:vAlign w:val="center"/>
          </w:tcPr>
          <w:p w14:paraId="76248DFE" w14:textId="77777777" w:rsidR="0029631D" w:rsidRPr="00046D64" w:rsidRDefault="0029631D" w:rsidP="00B70466">
            <w:pPr>
              <w:pStyle w:val="TableText0"/>
              <w:keepNext w:val="0"/>
              <w:keepLines/>
              <w:rPr>
                <w:b/>
              </w:rPr>
            </w:pPr>
            <w:r w:rsidRPr="00F1454C">
              <w:t xml:space="preserve">Must be treated by a </w:t>
            </w:r>
            <w:r>
              <w:t>consultant physician [internal medicine specialising in gastroenterology</w:t>
            </w:r>
            <w:r w:rsidRPr="00F1454C">
              <w:t xml:space="preserve"> (code 8</w:t>
            </w:r>
            <w:r>
              <w:t>1</w:t>
            </w:r>
            <w:r w:rsidRPr="00F1454C">
              <w:t>)</w:t>
            </w:r>
            <w:r>
              <w:t>]</w:t>
            </w:r>
            <w:r w:rsidRPr="00F1454C">
              <w:t>; OR</w:t>
            </w:r>
          </w:p>
        </w:tc>
      </w:tr>
      <w:tr w:rsidR="0029631D" w:rsidRPr="00046D64" w14:paraId="5FFEBB3C" w14:textId="77777777" w:rsidTr="00B70466">
        <w:trPr>
          <w:cantSplit/>
          <w:trHeight w:val="20"/>
        </w:trPr>
        <w:tc>
          <w:tcPr>
            <w:tcW w:w="5000" w:type="pct"/>
            <w:tcBorders>
              <w:top w:val="nil"/>
              <w:bottom w:val="single" w:sz="4" w:space="0" w:color="auto"/>
            </w:tcBorders>
            <w:vAlign w:val="center"/>
          </w:tcPr>
          <w:p w14:paraId="034A99E6" w14:textId="77777777" w:rsidR="0029631D" w:rsidRPr="00046D64" w:rsidRDefault="0029631D" w:rsidP="00B70466">
            <w:pPr>
              <w:pStyle w:val="TableText0"/>
              <w:keepNext w:val="0"/>
              <w:keepLines/>
              <w:rPr>
                <w:b/>
              </w:rPr>
            </w:pPr>
            <w:r w:rsidRPr="00F1454C">
              <w:t xml:space="preserve">Must be treated by a </w:t>
            </w:r>
            <w:r>
              <w:t>consultant physician [general medicine specialising in gastroenterology</w:t>
            </w:r>
            <w:r w:rsidRPr="00F1454C">
              <w:t xml:space="preserve"> (code 8</w:t>
            </w:r>
            <w:r>
              <w:t>2</w:t>
            </w:r>
            <w:r w:rsidRPr="00F1454C">
              <w:t>)</w:t>
            </w:r>
            <w:r>
              <w:t>].</w:t>
            </w:r>
          </w:p>
        </w:tc>
      </w:tr>
      <w:tr w:rsidR="0029631D" w:rsidRPr="00046D64" w14:paraId="24FCD928" w14:textId="77777777" w:rsidTr="00B70466">
        <w:trPr>
          <w:cantSplit/>
          <w:trHeight w:val="20"/>
        </w:trPr>
        <w:tc>
          <w:tcPr>
            <w:tcW w:w="5000" w:type="pct"/>
            <w:tcBorders>
              <w:bottom w:val="single" w:sz="4" w:space="0" w:color="auto"/>
            </w:tcBorders>
            <w:vAlign w:val="center"/>
            <w:hideMark/>
          </w:tcPr>
          <w:p w14:paraId="4A61CCDB" w14:textId="77777777" w:rsidR="0029631D" w:rsidRPr="00046D64" w:rsidRDefault="0029631D" w:rsidP="00B70466">
            <w:pPr>
              <w:pStyle w:val="TableText0"/>
              <w:keepNext w:val="0"/>
              <w:keepLines/>
            </w:pPr>
            <w:r w:rsidRPr="00046D64">
              <w:rPr>
                <w:b/>
              </w:rPr>
              <w:t>Treatment Phase:</w:t>
            </w:r>
            <w:r w:rsidRPr="00046D64">
              <w:t xml:space="preserve"> </w:t>
            </w:r>
            <w:r w:rsidRPr="00406DA8">
              <w:t>Initial treatment 1 (new patient or recommencement of treatment after more than 5 years break)</w:t>
            </w:r>
          </w:p>
        </w:tc>
      </w:tr>
      <w:tr w:rsidR="0029631D" w:rsidRPr="00046D64" w14:paraId="59CD720C" w14:textId="77777777" w:rsidTr="00B70466">
        <w:trPr>
          <w:cantSplit/>
          <w:trHeight w:val="20"/>
        </w:trPr>
        <w:tc>
          <w:tcPr>
            <w:tcW w:w="5000" w:type="pct"/>
            <w:tcBorders>
              <w:bottom w:val="nil"/>
            </w:tcBorders>
            <w:vAlign w:val="center"/>
            <w:hideMark/>
          </w:tcPr>
          <w:p w14:paraId="1323A714" w14:textId="77777777" w:rsidR="0029631D" w:rsidRPr="00046D64" w:rsidRDefault="0029631D" w:rsidP="00B70466">
            <w:pPr>
              <w:pStyle w:val="TableText0"/>
              <w:keepNext w:val="0"/>
              <w:keepLines/>
            </w:pPr>
            <w:r w:rsidRPr="00046D64">
              <w:rPr>
                <w:b/>
              </w:rPr>
              <w:t>Clinical criteria:</w:t>
            </w:r>
          </w:p>
        </w:tc>
      </w:tr>
      <w:tr w:rsidR="0029631D" w:rsidRPr="00046D64" w14:paraId="5994856C" w14:textId="77777777" w:rsidTr="00B70466">
        <w:trPr>
          <w:cantSplit/>
          <w:trHeight w:val="20"/>
        </w:trPr>
        <w:tc>
          <w:tcPr>
            <w:tcW w:w="5000" w:type="pct"/>
            <w:tcBorders>
              <w:top w:val="nil"/>
              <w:bottom w:val="nil"/>
            </w:tcBorders>
            <w:vAlign w:val="center"/>
            <w:hideMark/>
          </w:tcPr>
          <w:p w14:paraId="399D10A6" w14:textId="77777777" w:rsidR="0029631D" w:rsidRPr="005F3687" w:rsidRDefault="0029631D" w:rsidP="00B70466">
            <w:pPr>
              <w:pStyle w:val="Tabletext"/>
              <w:rPr>
                <w:bCs/>
                <w:iCs/>
              </w:rPr>
            </w:pPr>
            <w:r>
              <w:t xml:space="preserve">Patient must have confirmed Crohn disease, </w:t>
            </w:r>
            <w:r w:rsidRPr="00EB6537">
              <w:rPr>
                <w:iCs/>
              </w:rPr>
              <w:t>defined by standard clinical, endoscopic and/or imaging features, including histological evidence, with the diagnosis confirmed by a gastroenterolo</w:t>
            </w:r>
            <w:r>
              <w:rPr>
                <w:iCs/>
              </w:rPr>
              <w:t xml:space="preserve">gist or a consultant physician, </w:t>
            </w:r>
            <w:r w:rsidRPr="00EB6537">
              <w:rPr>
                <w:bCs/>
                <w:iCs/>
              </w:rPr>
              <w:t>AND</w:t>
            </w:r>
          </w:p>
        </w:tc>
      </w:tr>
      <w:tr w:rsidR="0029631D" w:rsidRPr="00046D64" w14:paraId="7CB945CF" w14:textId="77777777" w:rsidTr="00B70466">
        <w:trPr>
          <w:cantSplit/>
          <w:trHeight w:val="20"/>
        </w:trPr>
        <w:tc>
          <w:tcPr>
            <w:tcW w:w="5000" w:type="pct"/>
            <w:tcBorders>
              <w:top w:val="nil"/>
              <w:bottom w:val="single" w:sz="4" w:space="0" w:color="auto"/>
            </w:tcBorders>
            <w:vAlign w:val="center"/>
            <w:hideMark/>
          </w:tcPr>
          <w:p w14:paraId="31CF6743" w14:textId="77777777" w:rsidR="0029631D" w:rsidRPr="00A03EDF" w:rsidRDefault="0029631D" w:rsidP="00B70466">
            <w:pPr>
              <w:pStyle w:val="TableText0"/>
              <w:keepNext w:val="0"/>
              <w:keepLines/>
            </w:pPr>
            <w:r w:rsidRPr="00A03EDF">
              <w:t>Patient must have an externally draining enterocutaneous or rectovaginal fistula.</w:t>
            </w:r>
          </w:p>
        </w:tc>
      </w:tr>
      <w:tr w:rsidR="0029631D" w:rsidRPr="00046D64" w14:paraId="00F6B606" w14:textId="77777777" w:rsidTr="00B70466">
        <w:trPr>
          <w:cantSplit/>
          <w:trHeight w:val="20"/>
        </w:trPr>
        <w:tc>
          <w:tcPr>
            <w:tcW w:w="5000" w:type="pct"/>
            <w:vAlign w:val="center"/>
            <w:hideMark/>
          </w:tcPr>
          <w:p w14:paraId="6AB8198C" w14:textId="77777777" w:rsidR="0029631D" w:rsidRDefault="0029631D" w:rsidP="00B70466">
            <w:pPr>
              <w:pStyle w:val="TableText0"/>
              <w:keepNext w:val="0"/>
              <w:keepLines/>
              <w:rPr>
                <w:b/>
              </w:rPr>
            </w:pPr>
            <w:r w:rsidRPr="00046D64">
              <w:rPr>
                <w:b/>
              </w:rPr>
              <w:t>Prescribing Instructions:</w:t>
            </w:r>
          </w:p>
          <w:p w14:paraId="33B8F9BC" w14:textId="77777777" w:rsidR="0029631D" w:rsidRPr="00EB6537" w:rsidRDefault="0029631D" w:rsidP="00B70466">
            <w:pPr>
              <w:pStyle w:val="Tabletext"/>
            </w:pPr>
            <w:r w:rsidRPr="00EB6537">
              <w:t>A maximum of 16 weeks of treatment with this drug will be approved under this criterion.</w:t>
            </w:r>
          </w:p>
          <w:p w14:paraId="5A516E06" w14:textId="77777777" w:rsidR="0029631D" w:rsidRPr="00046D64" w:rsidRDefault="0029631D" w:rsidP="00B70466">
            <w:pPr>
              <w:pStyle w:val="Tabletext"/>
            </w:pPr>
            <w:r w:rsidRPr="00EB6537">
              <w:t>An assessment of a patient's response to this initial course of treatment must be conducted following a minimum of 12 weeks of therapy and no later than 4 weeks prior the completi</w:t>
            </w:r>
            <w:r>
              <w:t>on of this course of treatment.</w:t>
            </w:r>
          </w:p>
        </w:tc>
      </w:tr>
    </w:tbl>
    <w:p w14:paraId="5B51BD33" w14:textId="7BD92096" w:rsidR="0029631D" w:rsidRPr="005F1F41" w:rsidRDefault="0029631D" w:rsidP="005F1F41">
      <w:pPr>
        <w:pStyle w:val="TableFigureFooter"/>
        <w:spacing w:after="0"/>
        <w:rPr>
          <w:rStyle w:val="CommentReference"/>
          <w:b w:val="0"/>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29631D" w:rsidRPr="00046D64" w14:paraId="106CFEE8" w14:textId="77777777" w:rsidTr="00B70466">
        <w:trPr>
          <w:cantSplit/>
          <w:trHeight w:val="20"/>
        </w:trPr>
        <w:tc>
          <w:tcPr>
            <w:tcW w:w="5000" w:type="pct"/>
          </w:tcPr>
          <w:p w14:paraId="69D427ED" w14:textId="77777777" w:rsidR="0029631D" w:rsidRDefault="0029631D" w:rsidP="00B70466">
            <w:pPr>
              <w:pStyle w:val="TableText0"/>
              <w:keepNext w:val="0"/>
              <w:keepLines/>
              <w:rPr>
                <w:b/>
              </w:rPr>
            </w:pPr>
            <w:r w:rsidRPr="00046D64">
              <w:rPr>
                <w:b/>
              </w:rPr>
              <w:t xml:space="preserve">Category / Program: </w:t>
            </w:r>
          </w:p>
          <w:p w14:paraId="0B0CA1E4" w14:textId="77777777" w:rsidR="0029631D" w:rsidRDefault="0029631D" w:rsidP="00B70466">
            <w:pPr>
              <w:pStyle w:val="TableText0"/>
              <w:keepNext w:val="0"/>
              <w:keepLines/>
            </w:pPr>
            <w:r>
              <w:t>Section 100: tiered weight-based IV loading dose</w:t>
            </w:r>
          </w:p>
          <w:p w14:paraId="7EAB65CA" w14:textId="77777777" w:rsidR="0029631D" w:rsidRPr="00046D64" w:rsidRDefault="0029631D" w:rsidP="00B70466">
            <w:pPr>
              <w:pStyle w:val="TableText0"/>
              <w:keepNext w:val="0"/>
              <w:keepLines/>
            </w:pPr>
            <w:r>
              <w:t>General Schedule: SC injection</w:t>
            </w:r>
          </w:p>
        </w:tc>
      </w:tr>
      <w:tr w:rsidR="0029631D" w:rsidRPr="00046D64" w14:paraId="65E69040" w14:textId="77777777" w:rsidTr="00B70466">
        <w:trPr>
          <w:cantSplit/>
          <w:trHeight w:val="20"/>
        </w:trPr>
        <w:tc>
          <w:tcPr>
            <w:tcW w:w="5000" w:type="pct"/>
          </w:tcPr>
          <w:p w14:paraId="407BBBF6" w14:textId="77777777" w:rsidR="0029631D" w:rsidRPr="00046D64" w:rsidRDefault="0029631D" w:rsidP="00B70466">
            <w:pPr>
              <w:pStyle w:val="TableText0"/>
              <w:keepNext w:val="0"/>
              <w:keepLines/>
              <w:rPr>
                <w:b/>
              </w:rPr>
            </w:pPr>
            <w:r w:rsidRPr="00046D64">
              <w:rPr>
                <w:b/>
              </w:rPr>
              <w:t xml:space="preserve">Prescriber type: </w:t>
            </w:r>
            <w:r>
              <w:fldChar w:fldCharType="begin">
                <w:ffData>
                  <w:name w:val=""/>
                  <w:enabled/>
                  <w:calcOnExit w:val="0"/>
                  <w:checkBox>
                    <w:sizeAuto/>
                    <w:default w:val="1"/>
                  </w:checkBox>
                </w:ffData>
              </w:fldChar>
            </w:r>
            <w:r>
              <w:instrText xml:space="preserve"> FORMCHECKBOX </w:instrText>
            </w:r>
            <w:r w:rsidR="00522D5A">
              <w:fldChar w:fldCharType="separate"/>
            </w:r>
            <w:r>
              <w:fldChar w:fldCharType="end"/>
            </w:r>
            <w:r w:rsidRPr="00046D64">
              <w:t>Medical</w:t>
            </w:r>
            <w:r>
              <w:t xml:space="preserve"> Practitioners</w:t>
            </w:r>
          </w:p>
        </w:tc>
      </w:tr>
      <w:tr w:rsidR="0029631D" w:rsidRPr="00046D64" w14:paraId="7495FB85" w14:textId="77777777" w:rsidTr="00B70466">
        <w:trPr>
          <w:cantSplit/>
          <w:trHeight w:val="20"/>
        </w:trPr>
        <w:tc>
          <w:tcPr>
            <w:tcW w:w="5000" w:type="pct"/>
          </w:tcPr>
          <w:p w14:paraId="5938D6D1" w14:textId="77777777" w:rsidR="0029631D" w:rsidRPr="00046D64" w:rsidRDefault="0029631D" w:rsidP="00B70466">
            <w:pPr>
              <w:pStyle w:val="TableText0"/>
              <w:keepNext w:val="0"/>
              <w:keepLines/>
              <w:rPr>
                <w:rFonts w:eastAsia="Times New Roman"/>
              </w:rPr>
            </w:pPr>
            <w:r w:rsidRPr="00046D64">
              <w:rPr>
                <w:b/>
              </w:rPr>
              <w:t xml:space="preserve">Restriction type: </w:t>
            </w:r>
            <w:r>
              <w:rPr>
                <w:rFonts w:eastAsia="Times New Roman"/>
              </w:rPr>
              <w:fldChar w:fldCharType="begin">
                <w:ffData>
                  <w:name w:val=""/>
                  <w:enabled/>
                  <w:calcOnExit w:val="0"/>
                  <w:checkBox>
                    <w:sizeAuto/>
                    <w:default w:val="1"/>
                  </w:checkBox>
                </w:ffData>
              </w:fldChar>
            </w:r>
            <w:r>
              <w:rPr>
                <w:rFonts w:eastAsia="Times New Roman"/>
              </w:rPr>
              <w:instrText xml:space="preserve"> FORMCHECKBOX </w:instrText>
            </w:r>
            <w:r w:rsidR="00522D5A">
              <w:rPr>
                <w:rFonts w:eastAsia="Times New Roman"/>
              </w:rPr>
            </w:r>
            <w:r w:rsidR="00522D5A">
              <w:rPr>
                <w:rFonts w:eastAsia="Times New Roman"/>
              </w:rPr>
              <w:fldChar w:fldCharType="separate"/>
            </w:r>
            <w:r>
              <w:rPr>
                <w:rFonts w:eastAsia="Times New Roman"/>
              </w:rPr>
              <w:fldChar w:fldCharType="end"/>
            </w:r>
            <w:r w:rsidRPr="00046D64">
              <w:rPr>
                <w:rFonts w:eastAsia="Times New Roman"/>
              </w:rPr>
              <w:t>Authority Required (in writing)</w:t>
            </w:r>
          </w:p>
        </w:tc>
      </w:tr>
      <w:tr w:rsidR="0029631D" w:rsidRPr="00046D64" w14:paraId="618AD3ED" w14:textId="77777777" w:rsidTr="00B70466">
        <w:trPr>
          <w:cantSplit/>
          <w:trHeight w:val="20"/>
        </w:trPr>
        <w:tc>
          <w:tcPr>
            <w:tcW w:w="5000" w:type="pct"/>
            <w:tcBorders>
              <w:bottom w:val="single" w:sz="4" w:space="0" w:color="auto"/>
            </w:tcBorders>
            <w:vAlign w:val="center"/>
          </w:tcPr>
          <w:p w14:paraId="38DF173A" w14:textId="77777777" w:rsidR="0029631D" w:rsidRPr="00046D64" w:rsidRDefault="0029631D" w:rsidP="00B70466">
            <w:pPr>
              <w:pStyle w:val="TableText0"/>
              <w:keepNext w:val="0"/>
              <w:keepLines/>
              <w:rPr>
                <w:b/>
              </w:rPr>
            </w:pPr>
            <w:r w:rsidRPr="00046D64">
              <w:rPr>
                <w:b/>
              </w:rPr>
              <w:t xml:space="preserve">Condition: </w:t>
            </w:r>
            <w:r w:rsidRPr="00F1454C">
              <w:rPr>
                <w:bCs w:val="0"/>
              </w:rPr>
              <w:t>Complex refractory Fistulising Crohn disease</w:t>
            </w:r>
          </w:p>
        </w:tc>
      </w:tr>
      <w:tr w:rsidR="0029631D" w:rsidRPr="00046D64" w14:paraId="2B73D00F" w14:textId="77777777" w:rsidTr="00B70466">
        <w:trPr>
          <w:cantSplit/>
          <w:trHeight w:val="20"/>
        </w:trPr>
        <w:tc>
          <w:tcPr>
            <w:tcW w:w="5000" w:type="pct"/>
            <w:tcBorders>
              <w:bottom w:val="nil"/>
            </w:tcBorders>
            <w:vAlign w:val="center"/>
          </w:tcPr>
          <w:p w14:paraId="25F10C5B" w14:textId="77777777" w:rsidR="0029631D" w:rsidRPr="00046D64" w:rsidRDefault="0029631D" w:rsidP="00B70466">
            <w:pPr>
              <w:pStyle w:val="TableText0"/>
              <w:keepNext w:val="0"/>
              <w:keepLines/>
              <w:rPr>
                <w:b/>
              </w:rPr>
            </w:pPr>
            <w:r w:rsidRPr="00046D64">
              <w:rPr>
                <w:b/>
              </w:rPr>
              <w:t>Treatment criteria:</w:t>
            </w:r>
          </w:p>
        </w:tc>
      </w:tr>
      <w:tr w:rsidR="0029631D" w:rsidRPr="00046D64" w14:paraId="7810D85C" w14:textId="77777777" w:rsidTr="00B70466">
        <w:trPr>
          <w:cantSplit/>
          <w:trHeight w:val="20"/>
        </w:trPr>
        <w:tc>
          <w:tcPr>
            <w:tcW w:w="5000" w:type="pct"/>
            <w:tcBorders>
              <w:top w:val="nil"/>
              <w:bottom w:val="nil"/>
            </w:tcBorders>
            <w:vAlign w:val="center"/>
          </w:tcPr>
          <w:p w14:paraId="1501907D" w14:textId="77777777" w:rsidR="0029631D" w:rsidRPr="00046D64" w:rsidRDefault="0029631D" w:rsidP="00B70466">
            <w:pPr>
              <w:pStyle w:val="TableText0"/>
              <w:keepNext w:val="0"/>
              <w:keepLines/>
              <w:rPr>
                <w:b/>
              </w:rPr>
            </w:pPr>
            <w:r w:rsidRPr="00F1454C">
              <w:t>Must be treated by a gastroenterologist (code 87); OR</w:t>
            </w:r>
          </w:p>
        </w:tc>
      </w:tr>
      <w:tr w:rsidR="0029631D" w:rsidRPr="00046D64" w14:paraId="47C9A714" w14:textId="77777777" w:rsidTr="00B70466">
        <w:trPr>
          <w:cantSplit/>
          <w:trHeight w:val="20"/>
        </w:trPr>
        <w:tc>
          <w:tcPr>
            <w:tcW w:w="5000" w:type="pct"/>
            <w:tcBorders>
              <w:top w:val="nil"/>
              <w:bottom w:val="nil"/>
            </w:tcBorders>
            <w:vAlign w:val="center"/>
          </w:tcPr>
          <w:p w14:paraId="3949302B" w14:textId="77777777" w:rsidR="0029631D" w:rsidRPr="00046D64" w:rsidRDefault="0029631D" w:rsidP="00B70466">
            <w:pPr>
              <w:pStyle w:val="TableText0"/>
              <w:keepNext w:val="0"/>
              <w:keepLines/>
              <w:rPr>
                <w:b/>
              </w:rPr>
            </w:pPr>
            <w:r w:rsidRPr="00F1454C">
              <w:t xml:space="preserve">Must be treated by a </w:t>
            </w:r>
            <w:r>
              <w:t>consultant physician [internal medicine specialising in gastroenterology</w:t>
            </w:r>
            <w:r w:rsidRPr="00F1454C">
              <w:t xml:space="preserve"> (code 8</w:t>
            </w:r>
            <w:r>
              <w:t>1</w:t>
            </w:r>
            <w:r w:rsidRPr="00F1454C">
              <w:t>)</w:t>
            </w:r>
            <w:r>
              <w:t>]</w:t>
            </w:r>
            <w:r w:rsidRPr="00F1454C">
              <w:t>; OR</w:t>
            </w:r>
          </w:p>
        </w:tc>
      </w:tr>
      <w:tr w:rsidR="0029631D" w:rsidRPr="00046D64" w14:paraId="22D85844" w14:textId="77777777" w:rsidTr="00B70466">
        <w:trPr>
          <w:cantSplit/>
          <w:trHeight w:val="20"/>
        </w:trPr>
        <w:tc>
          <w:tcPr>
            <w:tcW w:w="5000" w:type="pct"/>
            <w:tcBorders>
              <w:top w:val="nil"/>
            </w:tcBorders>
            <w:vAlign w:val="center"/>
          </w:tcPr>
          <w:p w14:paraId="1E1B92B8" w14:textId="77777777" w:rsidR="0029631D" w:rsidRPr="00046D64" w:rsidRDefault="0029631D" w:rsidP="00B70466">
            <w:pPr>
              <w:pStyle w:val="TableText0"/>
              <w:keepNext w:val="0"/>
              <w:keepLines/>
              <w:rPr>
                <w:b/>
              </w:rPr>
            </w:pPr>
            <w:r w:rsidRPr="00F1454C">
              <w:t xml:space="preserve">Must be treated by a </w:t>
            </w:r>
            <w:r>
              <w:t>consultant physician [general medicine specialising in gastroenterology</w:t>
            </w:r>
            <w:r w:rsidRPr="00F1454C">
              <w:t xml:space="preserve"> (code 8</w:t>
            </w:r>
            <w:r>
              <w:t>2</w:t>
            </w:r>
            <w:r w:rsidRPr="00F1454C">
              <w:t>)</w:t>
            </w:r>
            <w:r>
              <w:t>].</w:t>
            </w:r>
          </w:p>
        </w:tc>
      </w:tr>
      <w:tr w:rsidR="0029631D" w:rsidRPr="00046D64" w14:paraId="154DFFAB" w14:textId="77777777" w:rsidTr="00B70466">
        <w:trPr>
          <w:cantSplit/>
          <w:trHeight w:val="20"/>
        </w:trPr>
        <w:tc>
          <w:tcPr>
            <w:tcW w:w="5000" w:type="pct"/>
            <w:tcBorders>
              <w:bottom w:val="single" w:sz="4" w:space="0" w:color="auto"/>
            </w:tcBorders>
            <w:vAlign w:val="center"/>
            <w:hideMark/>
          </w:tcPr>
          <w:p w14:paraId="60BEDDC0" w14:textId="77777777" w:rsidR="0029631D" w:rsidRPr="00046D64" w:rsidRDefault="0029631D" w:rsidP="00B70466">
            <w:pPr>
              <w:pStyle w:val="TableText0"/>
              <w:keepNext w:val="0"/>
              <w:keepLines/>
            </w:pPr>
            <w:r w:rsidRPr="00046D64">
              <w:rPr>
                <w:b/>
              </w:rPr>
              <w:t>Treatment Phase:</w:t>
            </w:r>
            <w:r w:rsidRPr="00046D64">
              <w:t xml:space="preserve"> </w:t>
            </w:r>
            <w:r>
              <w:t>Continuing treatment</w:t>
            </w:r>
          </w:p>
        </w:tc>
      </w:tr>
      <w:tr w:rsidR="0029631D" w:rsidRPr="00046D64" w14:paraId="3D180CC2" w14:textId="77777777" w:rsidTr="00B70466">
        <w:trPr>
          <w:cantSplit/>
          <w:trHeight w:val="20"/>
        </w:trPr>
        <w:tc>
          <w:tcPr>
            <w:tcW w:w="5000" w:type="pct"/>
            <w:tcBorders>
              <w:bottom w:val="nil"/>
            </w:tcBorders>
            <w:vAlign w:val="center"/>
            <w:hideMark/>
          </w:tcPr>
          <w:p w14:paraId="6C5612B1" w14:textId="77777777" w:rsidR="0029631D" w:rsidRPr="00046D64" w:rsidRDefault="0029631D" w:rsidP="00B70466">
            <w:pPr>
              <w:pStyle w:val="TableText0"/>
              <w:keepNext w:val="0"/>
              <w:keepLines/>
            </w:pPr>
            <w:r w:rsidRPr="00046D64">
              <w:rPr>
                <w:b/>
              </w:rPr>
              <w:t>Clinical criteria:</w:t>
            </w:r>
          </w:p>
        </w:tc>
      </w:tr>
      <w:tr w:rsidR="0029631D" w:rsidRPr="00046D64" w14:paraId="5D69F07F" w14:textId="77777777" w:rsidTr="00B70466">
        <w:trPr>
          <w:cantSplit/>
          <w:trHeight w:val="20"/>
        </w:trPr>
        <w:tc>
          <w:tcPr>
            <w:tcW w:w="5000" w:type="pct"/>
            <w:tcBorders>
              <w:top w:val="nil"/>
              <w:bottom w:val="nil"/>
            </w:tcBorders>
            <w:vAlign w:val="center"/>
            <w:hideMark/>
          </w:tcPr>
          <w:p w14:paraId="5EAE3D13" w14:textId="77777777" w:rsidR="0029631D" w:rsidRPr="005F3687" w:rsidRDefault="0029631D" w:rsidP="00B70466">
            <w:pPr>
              <w:pStyle w:val="Tabletext"/>
              <w:rPr>
                <w:bCs/>
                <w:iCs/>
              </w:rPr>
            </w:pPr>
            <w:r>
              <w:t>Patient must have previously received PBS-subsidised treatment with this drug for this condition</w:t>
            </w:r>
            <w:r w:rsidRPr="00EB6537">
              <w:rPr>
                <w:iCs/>
              </w:rPr>
              <w:t xml:space="preserve">, </w:t>
            </w:r>
            <w:r w:rsidRPr="00EB6537">
              <w:rPr>
                <w:bCs/>
                <w:iCs/>
              </w:rPr>
              <w:t>AND</w:t>
            </w:r>
          </w:p>
        </w:tc>
      </w:tr>
      <w:tr w:rsidR="0029631D" w:rsidRPr="00376EEB" w14:paraId="4DF33007" w14:textId="77777777" w:rsidTr="00B70466">
        <w:trPr>
          <w:cantSplit/>
          <w:trHeight w:val="20"/>
        </w:trPr>
        <w:tc>
          <w:tcPr>
            <w:tcW w:w="5000" w:type="pct"/>
            <w:tcBorders>
              <w:top w:val="nil"/>
            </w:tcBorders>
            <w:vAlign w:val="center"/>
            <w:hideMark/>
          </w:tcPr>
          <w:p w14:paraId="443C15DF" w14:textId="77777777" w:rsidR="0029631D" w:rsidRPr="00376EEB" w:rsidRDefault="0029631D" w:rsidP="00B70466">
            <w:pPr>
              <w:pStyle w:val="TableText0"/>
              <w:keepNext w:val="0"/>
              <w:keepLines/>
            </w:pPr>
            <w:r w:rsidRPr="00376EEB">
              <w:lastRenderedPageBreak/>
              <w:t>Patient must have demonstrated an adequate response to treatment with this drug</w:t>
            </w:r>
            <w:r>
              <w:t>, defined as:</w:t>
            </w:r>
          </w:p>
          <w:p w14:paraId="501FEEC4" w14:textId="77777777" w:rsidR="0029631D" w:rsidRPr="00376EEB" w:rsidRDefault="0029631D" w:rsidP="00B70466">
            <w:pPr>
              <w:pStyle w:val="Tabletext"/>
            </w:pPr>
            <w:r w:rsidRPr="00376EEB">
              <w:t xml:space="preserve">(a) a decrease from baseline in the number of open draining fistulae of greater than or equal to 50%; and/or </w:t>
            </w:r>
          </w:p>
          <w:p w14:paraId="7417BE79" w14:textId="77777777" w:rsidR="0029631D" w:rsidRPr="00376EEB" w:rsidRDefault="0029631D" w:rsidP="00B70466">
            <w:pPr>
              <w:pStyle w:val="TableText0"/>
              <w:keepNext w:val="0"/>
              <w:keepLines/>
            </w:pPr>
            <w:r w:rsidRPr="00376EEB">
              <w:t>(b) a marked reduction in drainage of all fistula(e) from baseline, together with less pain and induration as reported by the patient.</w:t>
            </w:r>
          </w:p>
        </w:tc>
      </w:tr>
      <w:tr w:rsidR="0029631D" w:rsidRPr="00376EEB" w14:paraId="3364F1B1" w14:textId="77777777" w:rsidTr="00B70466">
        <w:trPr>
          <w:cantSplit/>
          <w:trHeight w:val="20"/>
        </w:trPr>
        <w:tc>
          <w:tcPr>
            <w:tcW w:w="5000" w:type="pct"/>
            <w:vAlign w:val="center"/>
            <w:hideMark/>
          </w:tcPr>
          <w:p w14:paraId="058650FE" w14:textId="77777777" w:rsidR="0029631D" w:rsidRPr="00376EEB" w:rsidRDefault="0029631D" w:rsidP="00B70466">
            <w:pPr>
              <w:pStyle w:val="TableText0"/>
              <w:keepNext w:val="0"/>
              <w:keepLines/>
              <w:rPr>
                <w:bCs w:val="0"/>
              </w:rPr>
            </w:pPr>
            <w:r w:rsidRPr="00376EEB">
              <w:rPr>
                <w:b/>
              </w:rPr>
              <w:t>Prescribing Instructions:</w:t>
            </w:r>
          </w:p>
          <w:p w14:paraId="0CDDC897" w14:textId="77777777" w:rsidR="0029631D" w:rsidRPr="00376EEB" w:rsidRDefault="0029631D" w:rsidP="00B70466">
            <w:pPr>
              <w:pStyle w:val="TableText0"/>
              <w:keepNext w:val="0"/>
              <w:keepLines/>
            </w:pPr>
            <w:r w:rsidRPr="00376EEB">
              <w:t>A maximum of 24 weeks treatment will be authorised under this restriction.</w:t>
            </w:r>
          </w:p>
        </w:tc>
      </w:tr>
    </w:tbl>
    <w:p w14:paraId="110A6C25" w14:textId="6057DE54" w:rsidR="005F1F41" w:rsidRPr="009510BB" w:rsidRDefault="0029631D" w:rsidP="005F1F41">
      <w:pPr>
        <w:pStyle w:val="TableFooter"/>
        <w:keepNext/>
        <w:keepLines/>
      </w:pPr>
      <w:r w:rsidRPr="00376EEB">
        <w:t>Source: Table</w:t>
      </w:r>
      <w:r w:rsidR="005F1F41">
        <w:t xml:space="preserve">s 1.8, 1.9, </w:t>
      </w:r>
      <w:r w:rsidRPr="00376EEB">
        <w:t>1.12, p</w:t>
      </w:r>
      <w:r w:rsidR="005F1F41">
        <w:t xml:space="preserve">p.35, 36, </w:t>
      </w:r>
      <w:r w:rsidRPr="00376EEB">
        <w:t xml:space="preserve">40 of the </w:t>
      </w:r>
      <w:r w:rsidR="00240923" w:rsidRPr="00376EEB">
        <w:t>submission.</w:t>
      </w:r>
    </w:p>
    <w:p w14:paraId="1D7D75F7" w14:textId="77777777" w:rsidR="005F1F41" w:rsidRPr="009510BB" w:rsidRDefault="005F1F41" w:rsidP="005F1F41">
      <w:pPr>
        <w:pStyle w:val="TableFooter"/>
        <w:tabs>
          <w:tab w:val="left" w:pos="142"/>
        </w:tabs>
        <w:ind w:left="135" w:hanging="135"/>
      </w:pPr>
      <w:r w:rsidRPr="009510BB">
        <w:rPr>
          <w:vertAlign w:val="superscript"/>
        </w:rPr>
        <w:t>a</w:t>
      </w:r>
      <w:r w:rsidRPr="009510BB">
        <w:tab/>
        <w:t>Week 8 dose for induction treatment.</w:t>
      </w:r>
    </w:p>
    <w:p w14:paraId="71233FD9" w14:textId="77777777" w:rsidR="005F1F41" w:rsidRPr="009510BB" w:rsidRDefault="005F1F41" w:rsidP="005F1F41">
      <w:pPr>
        <w:pStyle w:val="TableFooter"/>
        <w:tabs>
          <w:tab w:val="left" w:pos="142"/>
        </w:tabs>
        <w:ind w:left="135" w:hanging="135"/>
      </w:pPr>
      <w:r w:rsidRPr="009510BB">
        <w:rPr>
          <w:vertAlign w:val="superscript"/>
        </w:rPr>
        <w:t>b</w:t>
      </w:r>
      <w:r w:rsidRPr="009510BB">
        <w:tab/>
        <w:t>Continuing treatment; 8-weekly dosing.</w:t>
      </w:r>
    </w:p>
    <w:p w14:paraId="4298ECEA" w14:textId="70554DBB" w:rsidR="0029631D" w:rsidRPr="00376EEB" w:rsidRDefault="005F1F41" w:rsidP="005F1F41">
      <w:pPr>
        <w:pStyle w:val="FooterTableFigure"/>
      </w:pPr>
      <w:r w:rsidRPr="009510BB">
        <w:rPr>
          <w:vertAlign w:val="superscript"/>
        </w:rPr>
        <w:t>c</w:t>
      </w:r>
      <w:r w:rsidRPr="009510BB">
        <w:tab/>
        <w:t>Continuing treatment; 12-weekly dosing.</w:t>
      </w:r>
      <w:r w:rsidR="0029631D" w:rsidRPr="00376EEB">
        <w:t xml:space="preserve"> </w:t>
      </w:r>
    </w:p>
    <w:bookmarkEnd w:id="9"/>
    <w:p w14:paraId="42D034E5" w14:textId="42D77A03" w:rsidR="002C30BC" w:rsidRPr="00EF7700" w:rsidRDefault="001F660F" w:rsidP="00697311">
      <w:pPr>
        <w:pStyle w:val="3-BodyText"/>
      </w:pPr>
      <w:r w:rsidRPr="00AC40F0">
        <w:t xml:space="preserve">The </w:t>
      </w:r>
      <w:r w:rsidR="00F13C13">
        <w:t>s</w:t>
      </w:r>
      <w:r w:rsidRPr="00AC40F0">
        <w:t xml:space="preserve">ponsor requested PBS listing of the UST 130 mg </w:t>
      </w:r>
      <w:r>
        <w:t xml:space="preserve">solution concentrate for IV infusion </w:t>
      </w:r>
      <w:r w:rsidRPr="00AC40F0">
        <w:t>for initial treatment, and the UST 90 mg</w:t>
      </w:r>
      <w:r w:rsidR="002E17C8">
        <w:t xml:space="preserve"> in </w:t>
      </w:r>
      <w:r w:rsidR="002E17C8" w:rsidRPr="002E17C8">
        <w:t>1mL injection</w:t>
      </w:r>
      <w:r w:rsidR="002E17C8">
        <w:t xml:space="preserve"> (in a</w:t>
      </w:r>
      <w:r w:rsidRPr="00AC40F0">
        <w:t xml:space="preserve"> </w:t>
      </w:r>
      <w:r>
        <w:t>pre-filled syringe</w:t>
      </w:r>
      <w:r w:rsidR="002E17C8">
        <w:t>)</w:t>
      </w:r>
      <w:r>
        <w:t xml:space="preserve"> for SC injection </w:t>
      </w:r>
      <w:r w:rsidRPr="00AC40F0">
        <w:t xml:space="preserve">for initial and continuing treatment. </w:t>
      </w:r>
      <w:r w:rsidR="006D5EE1" w:rsidRPr="00697311">
        <w:rPr>
          <w:rFonts w:eastAsiaTheme="minorEastAsia" w:cstheme="minorHAnsi"/>
          <w:lang w:eastAsia="en-US"/>
        </w:rPr>
        <w:t xml:space="preserve">The </w:t>
      </w:r>
      <w:r w:rsidR="00AE43BA" w:rsidRPr="00697311">
        <w:rPr>
          <w:rFonts w:eastAsiaTheme="minorEastAsia" w:cstheme="minorHAnsi"/>
          <w:lang w:eastAsia="en-US"/>
        </w:rPr>
        <w:t>s</w:t>
      </w:r>
      <w:r w:rsidR="006D5EE1" w:rsidRPr="00697311">
        <w:rPr>
          <w:rFonts w:eastAsiaTheme="minorEastAsia" w:cstheme="minorHAnsi"/>
          <w:lang w:eastAsia="en-US"/>
        </w:rPr>
        <w:t xml:space="preserve">ponsor requested equivalent PBS restriction criteria </w:t>
      </w:r>
      <w:r w:rsidR="002E17C8" w:rsidRPr="00697311">
        <w:rPr>
          <w:rFonts w:eastAsiaTheme="minorEastAsia" w:cstheme="minorHAnsi"/>
          <w:lang w:eastAsia="en-US"/>
        </w:rPr>
        <w:t xml:space="preserve">for UST in </w:t>
      </w:r>
      <w:r w:rsidR="006D5EE1" w:rsidRPr="00697311">
        <w:rPr>
          <w:rFonts w:eastAsiaTheme="minorEastAsia" w:cstheme="minorHAnsi"/>
          <w:lang w:eastAsia="en-US"/>
        </w:rPr>
        <w:t>initial and continuing treatment of adult patients with fistulising CD as other PBS-listed treatments (ADA and IFX).</w:t>
      </w:r>
    </w:p>
    <w:p w14:paraId="44FEF9E9" w14:textId="505E0FDA" w:rsidR="0025589D" w:rsidRPr="001447E7" w:rsidRDefault="0025589D" w:rsidP="0025589D">
      <w:pPr>
        <w:pStyle w:val="3-BodyText"/>
      </w:pPr>
      <w:r w:rsidRPr="00F31DC7">
        <w:t xml:space="preserve">For initial treatment, the maximum quantity of 4 x 130 mg vials (no repeats) and 1 x 90 mg pre-filled syringe (no repeats) </w:t>
      </w:r>
      <w:r w:rsidR="002E17C8">
        <w:t xml:space="preserve">would </w:t>
      </w:r>
      <w:r w:rsidRPr="00F31DC7">
        <w:t xml:space="preserve">allow for a </w:t>
      </w:r>
      <w:r w:rsidR="00240923" w:rsidRPr="00F31DC7">
        <w:t>16-week</w:t>
      </w:r>
      <w:r w:rsidRPr="00F31DC7">
        <w:t xml:space="preserve"> induction period, where clinicians can prescribe the appropriate tiered weight-based IV loading dose at Week 0 (up to a maximum of 520</w:t>
      </w:r>
      <w:r w:rsidR="00A24D76">
        <w:t xml:space="preserve"> </w:t>
      </w:r>
      <w:r w:rsidRPr="00F31DC7">
        <w:t xml:space="preserve">mg) and the first 90 mg SC injection at Week 8. For continuing treatment, the requested maximum quantity of 1 x 90 mg pre-filled syringe (2 repeats) </w:t>
      </w:r>
      <w:r w:rsidR="002E17C8">
        <w:t xml:space="preserve">would </w:t>
      </w:r>
      <w:r w:rsidRPr="00F31DC7">
        <w:t xml:space="preserve">provide for 24 weeks of treatment at the recommended 8-weekly dosing regimen, whereas 1 x 90 mg pre-filled syringe (1 repeat) </w:t>
      </w:r>
      <w:r w:rsidR="002E17C8">
        <w:t xml:space="preserve">would </w:t>
      </w:r>
      <w:r w:rsidRPr="00F31DC7">
        <w:t>provide for 24</w:t>
      </w:r>
      <w:r w:rsidR="004F5AF8">
        <w:t> </w:t>
      </w:r>
      <w:r w:rsidRPr="001447E7">
        <w:t>weeks of treatment at the 12-weekly dosing regimen.</w:t>
      </w:r>
    </w:p>
    <w:p w14:paraId="04C649AC" w14:textId="06BC35FE" w:rsidR="0025589D" w:rsidRPr="001447E7" w:rsidRDefault="0025589D" w:rsidP="00A668AF">
      <w:pPr>
        <w:pStyle w:val="ExecSumBodyText"/>
        <w:numPr>
          <w:ilvl w:val="1"/>
          <w:numId w:val="1"/>
        </w:numPr>
      </w:pPr>
      <w:r w:rsidRPr="001447E7">
        <w:rPr>
          <w:rFonts w:eastAsiaTheme="minorEastAsia"/>
          <w:szCs w:val="22"/>
          <w:lang w:eastAsia="en-US"/>
        </w:rPr>
        <w:t>The submission requested a Special Pricing Arrangement (SPA)</w:t>
      </w:r>
      <w:r w:rsidR="002E17C8" w:rsidRPr="001447E7">
        <w:rPr>
          <w:rFonts w:eastAsiaTheme="minorEastAsia"/>
          <w:szCs w:val="22"/>
          <w:lang w:eastAsia="en-US"/>
        </w:rPr>
        <w:t xml:space="preserve"> to</w:t>
      </w:r>
      <w:r w:rsidRPr="001447E7">
        <w:rPr>
          <w:rFonts w:eastAsiaTheme="minorEastAsia"/>
          <w:szCs w:val="22"/>
          <w:lang w:eastAsia="en-US"/>
        </w:rPr>
        <w:t xml:space="preserve"> be implemented. The proposed published </w:t>
      </w:r>
      <w:r w:rsidRPr="001447E7">
        <w:t>AEMP of $</w:t>
      </w:r>
      <w:r w:rsidRPr="00604032">
        <w:t>3,809.08</w:t>
      </w:r>
      <w:r w:rsidRPr="001447E7">
        <w:t xml:space="preserve"> per 130 mg vial and 90 mg pre-filled syringe </w:t>
      </w:r>
      <w:r w:rsidR="002E17C8" w:rsidRPr="001447E7">
        <w:t>wa</w:t>
      </w:r>
      <w:r w:rsidRPr="001447E7">
        <w:t xml:space="preserve">s consistent with the published price of UST formulations listed </w:t>
      </w:r>
      <w:r w:rsidR="002E17C8" w:rsidRPr="001447E7">
        <w:t xml:space="preserve">on PBS </w:t>
      </w:r>
      <w:r w:rsidRPr="001447E7">
        <w:t>for other indications (i.e.</w:t>
      </w:r>
      <w:r w:rsidR="002E17C8" w:rsidRPr="001447E7">
        <w:t>,</w:t>
      </w:r>
      <w:r w:rsidRPr="001447E7">
        <w:t xml:space="preserve"> 130 mg vial and 45 mg pre-filled syringe). The </w:t>
      </w:r>
      <w:r w:rsidR="00AE43BA" w:rsidRPr="001447E7">
        <w:t>s</w:t>
      </w:r>
      <w:r w:rsidRPr="001447E7">
        <w:t>ponsor requested an effective AEMP ($</w:t>
      </w:r>
      <w:r w:rsidR="00091900" w:rsidRPr="00522D5A">
        <w:rPr>
          <w:color w:val="000000"/>
          <w:w w:val="15"/>
          <w:shd w:val="solid" w:color="000000" w:fill="000000"/>
          <w:fitText w:val="-20" w:id="-1167920896"/>
          <w14:textFill>
            <w14:solidFill>
              <w14:srgbClr w14:val="000000">
                <w14:alpha w14:val="100000"/>
              </w14:srgbClr>
            </w14:solidFill>
          </w14:textFill>
        </w:rPr>
        <w:t xml:space="preserve">|  </w:t>
      </w:r>
      <w:r w:rsidR="00091900" w:rsidRPr="00522D5A">
        <w:rPr>
          <w:color w:val="000000"/>
          <w:spacing w:val="-69"/>
          <w:w w:val="15"/>
          <w:shd w:val="solid" w:color="000000" w:fill="000000"/>
          <w:fitText w:val="-20" w:id="-1167920896"/>
          <w14:textFill>
            <w14:solidFill>
              <w14:srgbClr w14:val="000000">
                <w14:alpha w14:val="100000"/>
              </w14:srgbClr>
            </w14:solidFill>
          </w14:textFill>
        </w:rPr>
        <w:t>|</w:t>
      </w:r>
      <w:r w:rsidRPr="001447E7">
        <w:t xml:space="preserve"> per 130 mg vial and $</w:t>
      </w:r>
      <w:r w:rsidR="00091900" w:rsidRPr="00522D5A">
        <w:rPr>
          <w:color w:val="000000"/>
          <w:w w:val="15"/>
          <w:shd w:val="solid" w:color="000000" w:fill="000000"/>
          <w:fitText w:val="-20" w:id="-1167920895"/>
          <w14:textFill>
            <w14:solidFill>
              <w14:srgbClr w14:val="000000">
                <w14:alpha w14:val="100000"/>
              </w14:srgbClr>
            </w14:solidFill>
          </w14:textFill>
        </w:rPr>
        <w:t xml:space="preserve">|  </w:t>
      </w:r>
      <w:r w:rsidR="00091900" w:rsidRPr="00522D5A">
        <w:rPr>
          <w:color w:val="000000"/>
          <w:spacing w:val="-69"/>
          <w:w w:val="15"/>
          <w:shd w:val="solid" w:color="000000" w:fill="000000"/>
          <w:fitText w:val="-20" w:id="-1167920895"/>
          <w14:textFill>
            <w14:solidFill>
              <w14:srgbClr w14:val="000000">
                <w14:alpha w14:val="100000"/>
              </w14:srgbClr>
            </w14:solidFill>
          </w14:textFill>
        </w:rPr>
        <w:t>|</w:t>
      </w:r>
      <w:r w:rsidRPr="001447E7">
        <w:t xml:space="preserve"> per 90 mg pre-filled syringe) on the basis of a cost-minimisation approach to the least costly alternative</w:t>
      </w:r>
      <w:r w:rsidR="006D5EE1" w:rsidRPr="001447E7">
        <w:t xml:space="preserve"> (</w:t>
      </w:r>
      <w:r w:rsidRPr="001447E7">
        <w:t>assumed to be IFX IV based on current list prices</w:t>
      </w:r>
      <w:r w:rsidR="006D5EE1" w:rsidRPr="001447E7">
        <w:t>)</w:t>
      </w:r>
      <w:r w:rsidRPr="001447E7">
        <w:t>.</w:t>
      </w:r>
      <w:r w:rsidR="00B02C64" w:rsidRPr="001447E7">
        <w:t xml:space="preserve"> By comparison, the effective AEMP of the UST 130</w:t>
      </w:r>
      <w:r w:rsidR="00AB00C2">
        <w:t> </w:t>
      </w:r>
      <w:r w:rsidR="00B02C64" w:rsidRPr="001447E7">
        <w:t>mg vial in severe CD (as of 1 May 2023) is $</w:t>
      </w:r>
      <w:r w:rsidR="00091900" w:rsidRPr="00522D5A">
        <w:rPr>
          <w:color w:val="000000"/>
          <w:w w:val="15"/>
          <w:shd w:val="solid" w:color="000000" w:fill="000000"/>
          <w:fitText w:val="-20" w:id="-1167920894"/>
          <w14:textFill>
            <w14:solidFill>
              <w14:srgbClr w14:val="000000">
                <w14:alpha w14:val="100000"/>
              </w14:srgbClr>
            </w14:solidFill>
          </w14:textFill>
        </w:rPr>
        <w:t xml:space="preserve">|  </w:t>
      </w:r>
      <w:r w:rsidR="00091900" w:rsidRPr="00522D5A">
        <w:rPr>
          <w:color w:val="000000"/>
          <w:spacing w:val="-69"/>
          <w:w w:val="15"/>
          <w:shd w:val="solid" w:color="000000" w:fill="000000"/>
          <w:fitText w:val="-20" w:id="-1167920894"/>
          <w14:textFill>
            <w14:solidFill>
              <w14:srgbClr w14:val="000000">
                <w14:alpha w14:val="100000"/>
              </w14:srgbClr>
            </w14:solidFill>
          </w14:textFill>
        </w:rPr>
        <w:t>|</w:t>
      </w:r>
      <w:r w:rsidR="00B02C64" w:rsidRPr="001447E7">
        <w:t>.</w:t>
      </w:r>
    </w:p>
    <w:p w14:paraId="7EE45D05" w14:textId="17220BED" w:rsidR="00874E70" w:rsidRPr="001447E7" w:rsidRDefault="006D5EE1" w:rsidP="00A668AF">
      <w:pPr>
        <w:pStyle w:val="3-BodyText"/>
      </w:pPr>
      <w:r w:rsidRPr="001447E7">
        <w:rPr>
          <w:rFonts w:eastAsiaTheme="minorEastAsia" w:cstheme="minorHAnsi"/>
          <w:lang w:eastAsia="en-US"/>
        </w:rPr>
        <w:t>T</w:t>
      </w:r>
      <w:r w:rsidR="00874E70" w:rsidRPr="001447E7">
        <w:rPr>
          <w:rFonts w:eastAsiaTheme="minorEastAsia" w:cstheme="minorHAnsi"/>
          <w:lang w:eastAsia="en-US"/>
        </w:rPr>
        <w:t xml:space="preserve">he </w:t>
      </w:r>
      <w:r w:rsidR="00A668AF" w:rsidRPr="001447E7">
        <w:rPr>
          <w:rFonts w:eastAsiaTheme="minorEastAsia" w:cstheme="minorHAnsi"/>
          <w:lang w:eastAsia="en-US"/>
        </w:rPr>
        <w:t xml:space="preserve">current </w:t>
      </w:r>
      <w:r w:rsidR="00874E70" w:rsidRPr="001447E7">
        <w:rPr>
          <w:rFonts w:eastAsiaTheme="minorEastAsia" w:cstheme="minorHAnsi"/>
          <w:lang w:eastAsia="en-US"/>
        </w:rPr>
        <w:t xml:space="preserve">submission presented very limited evidence to support the requested </w:t>
      </w:r>
      <w:r w:rsidR="00240923" w:rsidRPr="001447E7">
        <w:rPr>
          <w:rFonts w:eastAsiaTheme="minorEastAsia" w:cstheme="minorHAnsi"/>
          <w:lang w:eastAsia="en-US"/>
        </w:rPr>
        <w:t>16-week</w:t>
      </w:r>
      <w:r w:rsidR="00874E70" w:rsidRPr="001447E7">
        <w:rPr>
          <w:rFonts w:eastAsiaTheme="minorEastAsia" w:cstheme="minorHAnsi"/>
          <w:lang w:eastAsia="en-US"/>
        </w:rPr>
        <w:t xml:space="preserve"> initial treatment period for patients with fistulising CD. Subgroup data from UNITI-1</w:t>
      </w:r>
      <w:r w:rsidRPr="001447E7">
        <w:rPr>
          <w:rFonts w:eastAsiaTheme="minorEastAsia" w:cstheme="minorHAnsi"/>
          <w:lang w:eastAsia="en-US"/>
        </w:rPr>
        <w:t xml:space="preserve"> and UNITI-</w:t>
      </w:r>
      <w:r w:rsidR="00874E70" w:rsidRPr="001447E7">
        <w:rPr>
          <w:rFonts w:eastAsiaTheme="minorEastAsia" w:cstheme="minorHAnsi"/>
          <w:lang w:eastAsia="en-US"/>
        </w:rPr>
        <w:t>2 showed no difference between UST and placebo</w:t>
      </w:r>
      <w:r w:rsidR="00A668AF" w:rsidRPr="001447E7">
        <w:rPr>
          <w:rFonts w:eastAsiaTheme="minorEastAsia" w:cstheme="minorHAnsi"/>
          <w:lang w:eastAsia="en-US"/>
        </w:rPr>
        <w:t xml:space="preserve"> at Week 8</w:t>
      </w:r>
      <w:r w:rsidR="00874E70" w:rsidRPr="001447E7">
        <w:rPr>
          <w:rFonts w:eastAsiaTheme="minorEastAsia" w:cstheme="minorHAnsi"/>
          <w:lang w:eastAsia="en-US"/>
        </w:rPr>
        <w:t xml:space="preserve"> in terms of fistula response </w:t>
      </w:r>
      <w:r w:rsidRPr="001447E7">
        <w:rPr>
          <w:rFonts w:eastAsiaTheme="minorEastAsia" w:cstheme="minorHAnsi"/>
          <w:lang w:eastAsia="en-US"/>
        </w:rPr>
        <w:t xml:space="preserve">(N=105) or fistula remission (N=81), and </w:t>
      </w:r>
      <w:r w:rsidR="00874E70" w:rsidRPr="001447E7">
        <w:rPr>
          <w:rFonts w:eastAsiaTheme="minorEastAsia" w:cstheme="minorHAnsi"/>
          <w:lang w:eastAsia="en-US"/>
        </w:rPr>
        <w:t xml:space="preserve">subgroup data from SEAVUE (N=29) showed a low proportion of patients with perianal/perirectal fistula at baseline had achieved fistula remission or fistula response with UST by Week 16, illustrated in </w:t>
      </w:r>
      <w:r w:rsidR="00F31DC7" w:rsidRPr="001447E7">
        <w:rPr>
          <w:rFonts w:eastAsiaTheme="minorEastAsia" w:cstheme="minorHAnsi"/>
          <w:lang w:eastAsia="en-US"/>
        </w:rPr>
        <w:fldChar w:fldCharType="begin"/>
      </w:r>
      <w:r w:rsidR="00F31DC7" w:rsidRPr="001447E7">
        <w:rPr>
          <w:rFonts w:eastAsiaTheme="minorEastAsia" w:cstheme="minorHAnsi"/>
          <w:lang w:eastAsia="en-US"/>
        </w:rPr>
        <w:instrText xml:space="preserve"> REF _Ref132494315 \h  \* MERGEFORMAT </w:instrText>
      </w:r>
      <w:r w:rsidR="00F31DC7" w:rsidRPr="001447E7">
        <w:rPr>
          <w:rFonts w:eastAsiaTheme="minorEastAsia" w:cstheme="minorHAnsi"/>
          <w:lang w:eastAsia="en-US"/>
        </w:rPr>
      </w:r>
      <w:r w:rsidR="00F31DC7" w:rsidRPr="001447E7">
        <w:rPr>
          <w:rFonts w:eastAsiaTheme="minorEastAsia" w:cstheme="minorHAnsi"/>
          <w:lang w:eastAsia="en-US"/>
        </w:rPr>
        <w:fldChar w:fldCharType="separate"/>
      </w:r>
      <w:r w:rsidR="00522D5A">
        <w:t xml:space="preserve">Figure </w:t>
      </w:r>
      <w:r w:rsidR="00522D5A">
        <w:rPr>
          <w:noProof/>
        </w:rPr>
        <w:t>1</w:t>
      </w:r>
      <w:r w:rsidR="00F31DC7" w:rsidRPr="001447E7">
        <w:rPr>
          <w:rFonts w:eastAsiaTheme="minorEastAsia" w:cstheme="minorHAnsi"/>
          <w:lang w:eastAsia="en-US"/>
        </w:rPr>
        <w:fldChar w:fldCharType="end"/>
      </w:r>
      <w:r w:rsidR="00F31DC7" w:rsidRPr="001447E7">
        <w:rPr>
          <w:rFonts w:eastAsiaTheme="minorEastAsia" w:cstheme="minorHAnsi"/>
          <w:lang w:eastAsia="en-US"/>
        </w:rPr>
        <w:t xml:space="preserve"> </w:t>
      </w:r>
      <w:r w:rsidR="00874E70" w:rsidRPr="001447E7">
        <w:rPr>
          <w:rFonts w:eastAsiaTheme="minorEastAsia" w:cstheme="minorHAnsi"/>
          <w:lang w:eastAsia="en-US"/>
        </w:rPr>
        <w:t>below. There is a high degree of uncertainty with the available evidence due to the small patient numbers, however the submission stated that time to treatment response would likely take longer to manifest with UST compared to ADA or IFX because it acts at an earlier point in the inflammatory cascade.</w:t>
      </w:r>
    </w:p>
    <w:p w14:paraId="5EC525F0" w14:textId="01B6CB12" w:rsidR="006D5EE1" w:rsidRPr="006D5EE1" w:rsidRDefault="00F31DC7" w:rsidP="006D5EE1">
      <w:pPr>
        <w:pStyle w:val="Caption"/>
      </w:pPr>
      <w:bookmarkStart w:id="10" w:name="_Ref132494315"/>
      <w:r>
        <w:lastRenderedPageBreak/>
        <w:t xml:space="preserve">Figure </w:t>
      </w:r>
      <w:fldSimple w:instr=" SEQ Figure \* ARABIC ">
        <w:r w:rsidR="00522D5A">
          <w:rPr>
            <w:noProof/>
          </w:rPr>
          <w:t>1</w:t>
        </w:r>
      </w:fldSimple>
      <w:bookmarkEnd w:id="10"/>
      <w:r w:rsidR="006D5EE1" w:rsidRPr="006D5EE1">
        <w:t>: Fistula response and remission over time in SEAVUE, patients with open/draining fistulas at baseline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13"/>
        <w:gridCol w:w="4514"/>
      </w:tblGrid>
      <w:tr w:rsidR="006D5EE1" w:rsidRPr="005A1E1E" w14:paraId="1484D779" w14:textId="77777777" w:rsidTr="002253F3">
        <w:tc>
          <w:tcPr>
            <w:tcW w:w="2500" w:type="pct"/>
          </w:tcPr>
          <w:p w14:paraId="4C4D4FAA" w14:textId="77777777" w:rsidR="006D5EE1" w:rsidRPr="004409A4" w:rsidRDefault="006D5EE1" w:rsidP="006D5EE1">
            <w:pPr>
              <w:keepNext/>
              <w:rPr>
                <w:rFonts w:ascii="Arial Narrow" w:eastAsiaTheme="minorEastAsia" w:hAnsi="Arial Narrow" w:cstheme="minorHAnsi"/>
                <w:b/>
                <w:bCs/>
                <w:i/>
                <w:iCs/>
                <w:snapToGrid w:val="0"/>
                <w:sz w:val="20"/>
                <w:szCs w:val="20"/>
                <w:lang w:eastAsia="en-US"/>
              </w:rPr>
            </w:pPr>
            <w:r w:rsidRPr="004409A4">
              <w:rPr>
                <w:rFonts w:ascii="Arial Narrow" w:eastAsiaTheme="minorEastAsia" w:hAnsi="Arial Narrow" w:cstheme="minorHAnsi"/>
                <w:b/>
                <w:bCs/>
                <w:i/>
                <w:iCs/>
                <w:snapToGrid w:val="0"/>
                <w:sz w:val="20"/>
                <w:szCs w:val="20"/>
                <w:lang w:eastAsia="en-US"/>
              </w:rPr>
              <w:t>[A] Fistula response</w:t>
            </w:r>
          </w:p>
        </w:tc>
        <w:tc>
          <w:tcPr>
            <w:tcW w:w="2500" w:type="pct"/>
          </w:tcPr>
          <w:p w14:paraId="4CF600AD" w14:textId="77777777" w:rsidR="006D5EE1" w:rsidRPr="004409A4" w:rsidRDefault="006D5EE1" w:rsidP="006D5EE1">
            <w:pPr>
              <w:keepNext/>
              <w:rPr>
                <w:rFonts w:ascii="Arial Narrow" w:eastAsiaTheme="minorEastAsia" w:hAnsi="Arial Narrow" w:cstheme="minorHAnsi"/>
                <w:b/>
                <w:bCs/>
                <w:i/>
                <w:iCs/>
                <w:snapToGrid w:val="0"/>
                <w:sz w:val="20"/>
                <w:szCs w:val="20"/>
                <w:lang w:eastAsia="en-US"/>
              </w:rPr>
            </w:pPr>
            <w:r w:rsidRPr="004409A4">
              <w:rPr>
                <w:rFonts w:ascii="Arial Narrow" w:eastAsiaTheme="minorEastAsia" w:hAnsi="Arial Narrow" w:cstheme="minorHAnsi"/>
                <w:b/>
                <w:bCs/>
                <w:i/>
                <w:iCs/>
                <w:snapToGrid w:val="0"/>
                <w:sz w:val="20"/>
                <w:szCs w:val="20"/>
                <w:lang w:eastAsia="en-US"/>
              </w:rPr>
              <w:t>[B] Fistula remission</w:t>
            </w:r>
          </w:p>
        </w:tc>
      </w:tr>
      <w:tr w:rsidR="006D5EE1" w:rsidRPr="005A1E1E" w14:paraId="5DD4CA75" w14:textId="77777777" w:rsidTr="002253F3">
        <w:tc>
          <w:tcPr>
            <w:tcW w:w="2500" w:type="pct"/>
            <w:vAlign w:val="center"/>
          </w:tcPr>
          <w:p w14:paraId="474B02A4" w14:textId="77777777" w:rsidR="006D5EE1" w:rsidRPr="005A1E1E" w:rsidRDefault="006D5EE1" w:rsidP="002253F3">
            <w:pPr>
              <w:jc w:val="center"/>
              <w:rPr>
                <w:rFonts w:ascii="Arial Narrow" w:eastAsiaTheme="minorEastAsia" w:hAnsi="Arial Narrow" w:cstheme="minorHAnsi"/>
                <w:i/>
                <w:iCs/>
                <w:snapToGrid w:val="0"/>
                <w:sz w:val="20"/>
                <w:szCs w:val="20"/>
                <w:lang w:eastAsia="en-US"/>
              </w:rPr>
            </w:pPr>
            <w:r>
              <w:rPr>
                <w:rFonts w:ascii="Arial Narrow" w:eastAsiaTheme="minorEastAsia" w:hAnsi="Arial Narrow" w:cstheme="minorHAnsi"/>
                <w:i/>
                <w:iCs/>
                <w:noProof/>
                <w:snapToGrid w:val="0"/>
                <w:sz w:val="20"/>
                <w:szCs w:val="20"/>
                <w:lang w:eastAsia="zh-CN"/>
              </w:rPr>
              <w:drawing>
                <wp:inline distT="0" distB="0" distL="0" distR="0" wp14:anchorId="734BB0FB" wp14:editId="64B31ABC">
                  <wp:extent cx="2813404" cy="1866900"/>
                  <wp:effectExtent l="0" t="0" r="6350" b="0"/>
                  <wp:docPr id="3" name="Picture 3" descr="Figure 1: Fistula response and remission over time in SEAVUE, patients with open/draining fistulas at baseline [A] Fistula respon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Fistula response and remission over time in SEAVUE, patients with open/draining fistulas at baseline [A] Fistula respons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1349" cy="1872172"/>
                          </a:xfrm>
                          <a:prstGeom prst="rect">
                            <a:avLst/>
                          </a:prstGeom>
                          <a:noFill/>
                        </pic:spPr>
                      </pic:pic>
                    </a:graphicData>
                  </a:graphic>
                </wp:inline>
              </w:drawing>
            </w:r>
          </w:p>
        </w:tc>
        <w:tc>
          <w:tcPr>
            <w:tcW w:w="2500" w:type="pct"/>
          </w:tcPr>
          <w:p w14:paraId="23B12492" w14:textId="77777777" w:rsidR="006D5EE1" w:rsidRDefault="006D5EE1" w:rsidP="002253F3">
            <w:pPr>
              <w:jc w:val="center"/>
              <w:rPr>
                <w:rFonts w:ascii="Arial Narrow" w:eastAsiaTheme="minorEastAsia" w:hAnsi="Arial Narrow" w:cstheme="minorHAnsi"/>
                <w:i/>
                <w:iCs/>
                <w:noProof/>
                <w:snapToGrid w:val="0"/>
                <w:sz w:val="20"/>
                <w:szCs w:val="20"/>
                <w:lang w:eastAsia="zh-CN"/>
              </w:rPr>
            </w:pPr>
            <w:r>
              <w:rPr>
                <w:rFonts w:ascii="Arial Narrow" w:eastAsiaTheme="minorEastAsia" w:hAnsi="Arial Narrow" w:cstheme="minorHAnsi"/>
                <w:i/>
                <w:iCs/>
                <w:noProof/>
                <w:snapToGrid w:val="0"/>
                <w:sz w:val="20"/>
                <w:szCs w:val="20"/>
                <w:lang w:eastAsia="zh-CN"/>
              </w:rPr>
              <w:drawing>
                <wp:inline distT="0" distB="0" distL="0" distR="0" wp14:anchorId="37DC18B2" wp14:editId="531D3D1F">
                  <wp:extent cx="2780323" cy="1866900"/>
                  <wp:effectExtent l="0" t="0" r="1270" b="0"/>
                  <wp:docPr id="5" name="Picture 5" descr="Figure 1: Fistula response and remission over time in SEAVUE, patients with open/draining fistulas at baseline [B] Fistula re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1: Fistula response and remission over time in SEAVUE, patients with open/draining fistulas at baseline [B] Fistula remis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8464" cy="1872366"/>
                          </a:xfrm>
                          <a:prstGeom prst="rect">
                            <a:avLst/>
                          </a:prstGeom>
                          <a:noFill/>
                        </pic:spPr>
                      </pic:pic>
                    </a:graphicData>
                  </a:graphic>
                </wp:inline>
              </w:drawing>
            </w:r>
          </w:p>
        </w:tc>
      </w:tr>
    </w:tbl>
    <w:p w14:paraId="46C62DB3" w14:textId="5C56C357" w:rsidR="00F81A33" w:rsidRDefault="006D5EE1" w:rsidP="006D5EE1">
      <w:pPr>
        <w:pStyle w:val="FooterTableFigure"/>
      </w:pPr>
      <w:r w:rsidRPr="005E48B6">
        <w:t>Source: constructed from Tables 2.56 and 2.57, pp153-154 of the submission</w:t>
      </w:r>
      <w:r w:rsidR="00F31DC7" w:rsidRPr="005E48B6">
        <w:t>.</w:t>
      </w:r>
    </w:p>
    <w:p w14:paraId="507EC0FC" w14:textId="0B5E9CB9" w:rsidR="00F81A33" w:rsidRPr="00240923" w:rsidRDefault="00F81A33" w:rsidP="00240923">
      <w:pPr>
        <w:ind w:firstLine="709"/>
        <w:rPr>
          <w:rFonts w:asciiTheme="minorHAnsi" w:hAnsiTheme="minorHAnsi"/>
          <w:i/>
        </w:rPr>
      </w:pPr>
      <w:bookmarkStart w:id="11" w:name="_Hlk76375324"/>
      <w:r w:rsidRPr="00C33D30">
        <w:rPr>
          <w:rFonts w:asciiTheme="minorHAnsi" w:hAnsiTheme="minorHAnsi"/>
          <w:i/>
        </w:rPr>
        <w:t>For more detail on PBAC’s view, see section 7 PBAC outcome.</w:t>
      </w:r>
      <w:bookmarkEnd w:id="11"/>
    </w:p>
    <w:p w14:paraId="7075B85C" w14:textId="2961299D" w:rsidR="00B50DB8" w:rsidRPr="00407F2D" w:rsidDel="00195452" w:rsidRDefault="00203181" w:rsidP="004E18E9">
      <w:pPr>
        <w:pStyle w:val="2-SectionHeading"/>
      </w:pPr>
      <w:bookmarkStart w:id="12" w:name="_Toc134692568"/>
      <w:r w:rsidDel="00195452">
        <w:t xml:space="preserve">Population and </w:t>
      </w:r>
      <w:r w:rsidR="008E0D3C" w:rsidDel="00195452">
        <w:t>d</w:t>
      </w:r>
      <w:r w:rsidDel="00195452">
        <w:t>isease</w:t>
      </w:r>
      <w:bookmarkEnd w:id="12"/>
    </w:p>
    <w:p w14:paraId="54E1D31F" w14:textId="0270376A" w:rsidR="00F90EDE" w:rsidRDefault="001D6C73" w:rsidP="00F90EDE">
      <w:pPr>
        <w:pStyle w:val="3-BodyText"/>
      </w:pPr>
      <w:r w:rsidRPr="00F90EDE">
        <w:rPr>
          <w:lang w:eastAsia="zh-CN"/>
        </w:rPr>
        <w:t>Crohn’s disease (CD) is a chronic but progressive</w:t>
      </w:r>
      <w:r w:rsidRPr="00F90EDE">
        <w:t xml:space="preserve"> </w:t>
      </w:r>
      <w:r w:rsidRPr="00F90EDE">
        <w:rPr>
          <w:lang w:eastAsia="zh-CN"/>
        </w:rPr>
        <w:t>inflammatory bowel disease that often affects the lower small intestine (ileum) and the large intestine (colon</w:t>
      </w:r>
      <w:r w:rsidR="00240923" w:rsidRPr="00F90EDE">
        <w:rPr>
          <w:lang w:eastAsia="zh-CN"/>
        </w:rPr>
        <w:t>) but</w:t>
      </w:r>
      <w:r w:rsidRPr="00F90EDE">
        <w:rPr>
          <w:lang w:eastAsia="zh-CN"/>
        </w:rPr>
        <w:t xml:space="preserve"> may involve the entire gastrointestinal tract. Fistulising </w:t>
      </w:r>
      <w:r w:rsidR="002253F3">
        <w:rPr>
          <w:lang w:eastAsia="zh-CN"/>
        </w:rPr>
        <w:t xml:space="preserve">CD </w:t>
      </w:r>
      <w:r w:rsidRPr="00F90EDE">
        <w:rPr>
          <w:lang w:eastAsia="zh-CN"/>
        </w:rPr>
        <w:t xml:space="preserve">is a frequent manifestation (with a reported lifetime risk of 20% to 40%), </w:t>
      </w:r>
      <w:r w:rsidR="002253F3">
        <w:rPr>
          <w:lang w:eastAsia="zh-CN"/>
        </w:rPr>
        <w:t>where</w:t>
      </w:r>
      <w:r w:rsidRPr="00F90EDE">
        <w:rPr>
          <w:lang w:eastAsia="zh-CN"/>
        </w:rPr>
        <w:t xml:space="preserve"> abnormal connections (i.e.</w:t>
      </w:r>
      <w:r w:rsidR="00D908E5">
        <w:rPr>
          <w:lang w:eastAsia="zh-CN"/>
        </w:rPr>
        <w:t>,</w:t>
      </w:r>
      <w:r w:rsidRPr="00F90EDE">
        <w:rPr>
          <w:lang w:eastAsia="zh-CN"/>
        </w:rPr>
        <w:t xml:space="preserve"> fistulas) form between the inflamed intestine and other parts of the intestine, bladder, skin or vagina. </w:t>
      </w:r>
      <w:r w:rsidRPr="00F90EDE">
        <w:t xml:space="preserve">Fistulas </w:t>
      </w:r>
      <w:r w:rsidRPr="00F90EDE">
        <w:rPr>
          <w:szCs w:val="20"/>
        </w:rPr>
        <w:t xml:space="preserve">can result in chronic, disabling symptoms including local pain, discomfort on sitting, discharge, and faecal incontinence. </w:t>
      </w:r>
      <w:r w:rsidR="009B569A">
        <w:rPr>
          <w:lang w:eastAsia="zh-CN"/>
        </w:rPr>
        <w:t>P</w:t>
      </w:r>
      <w:r w:rsidR="009B569A" w:rsidRPr="00CF10E6">
        <w:rPr>
          <w:lang w:eastAsia="zh-CN"/>
        </w:rPr>
        <w:t>erianal fistul</w:t>
      </w:r>
      <w:r w:rsidR="009B569A">
        <w:rPr>
          <w:lang w:eastAsia="zh-CN"/>
        </w:rPr>
        <w:t>as are</w:t>
      </w:r>
      <w:r w:rsidR="009B569A" w:rsidRPr="00CF10E6">
        <w:rPr>
          <w:lang w:eastAsia="zh-CN"/>
        </w:rPr>
        <w:t xml:space="preserve"> the most common type </w:t>
      </w:r>
      <w:r w:rsidR="009B569A">
        <w:rPr>
          <w:lang w:eastAsia="zh-CN"/>
        </w:rPr>
        <w:t>of</w:t>
      </w:r>
      <w:r w:rsidR="009B569A" w:rsidRPr="00CF10E6">
        <w:rPr>
          <w:lang w:eastAsia="zh-CN"/>
        </w:rPr>
        <w:t xml:space="preserve"> fistul</w:t>
      </w:r>
      <w:r w:rsidR="009B569A">
        <w:rPr>
          <w:lang w:eastAsia="zh-CN"/>
        </w:rPr>
        <w:t>ae</w:t>
      </w:r>
      <w:r w:rsidR="009B569A" w:rsidRPr="00CF10E6">
        <w:rPr>
          <w:lang w:eastAsia="zh-CN"/>
        </w:rPr>
        <w:t xml:space="preserve"> and </w:t>
      </w:r>
      <w:r w:rsidR="009B569A">
        <w:rPr>
          <w:lang w:eastAsia="zh-CN"/>
        </w:rPr>
        <w:t>indicate</w:t>
      </w:r>
      <w:r w:rsidR="009B569A" w:rsidRPr="00CF10E6">
        <w:rPr>
          <w:lang w:eastAsia="zh-CN"/>
        </w:rPr>
        <w:t xml:space="preserve"> </w:t>
      </w:r>
      <w:r w:rsidR="009B569A">
        <w:rPr>
          <w:lang w:eastAsia="zh-CN"/>
        </w:rPr>
        <w:t>worse</w:t>
      </w:r>
      <w:r w:rsidR="009B569A" w:rsidRPr="00CF10E6">
        <w:rPr>
          <w:lang w:eastAsia="zh-CN"/>
        </w:rPr>
        <w:t xml:space="preserve"> disease severity if present at diagnosis</w:t>
      </w:r>
      <w:r w:rsidR="009B569A">
        <w:rPr>
          <w:lang w:eastAsia="zh-CN"/>
        </w:rPr>
        <w:t xml:space="preserve">. </w:t>
      </w:r>
      <w:r w:rsidRPr="00F90EDE">
        <w:rPr>
          <w:szCs w:val="20"/>
        </w:rPr>
        <w:t xml:space="preserve">Fistulas </w:t>
      </w:r>
      <w:r w:rsidRPr="00F90EDE">
        <w:rPr>
          <w:lang w:eastAsia="zh-CN"/>
        </w:rPr>
        <w:t>rarely heal spontaneously and are difficult to treat.</w:t>
      </w:r>
    </w:p>
    <w:p w14:paraId="6160975B" w14:textId="16CE8F01" w:rsidR="00F90EDE" w:rsidRPr="00F90EDE" w:rsidRDefault="00F90EDE" w:rsidP="009B569A">
      <w:pPr>
        <w:pStyle w:val="3-BodyText"/>
      </w:pPr>
      <w:r>
        <w:rPr>
          <w:lang w:eastAsia="zh-CN"/>
        </w:rPr>
        <w:t>The Crohn’s Disease Activity Index (CDAI) is a composite instrument commonly used to define disease activity in both clinical trials and practice. The instrument consists of</w:t>
      </w:r>
      <w:r w:rsidRPr="00EB6537">
        <w:rPr>
          <w:lang w:eastAsia="zh-CN"/>
        </w:rPr>
        <w:t xml:space="preserve"> </w:t>
      </w:r>
      <w:r>
        <w:rPr>
          <w:lang w:eastAsia="zh-CN"/>
        </w:rPr>
        <w:t>several items (stool pattern; abdominal pain;</w:t>
      </w:r>
      <w:r w:rsidRPr="00EB6537">
        <w:rPr>
          <w:lang w:eastAsia="zh-CN"/>
        </w:rPr>
        <w:t xml:space="preserve"> </w:t>
      </w:r>
      <w:r>
        <w:rPr>
          <w:lang w:eastAsia="zh-CN"/>
        </w:rPr>
        <w:t>general wellbeing;</w:t>
      </w:r>
      <w:r w:rsidRPr="00EB6537">
        <w:rPr>
          <w:lang w:eastAsia="zh-CN"/>
        </w:rPr>
        <w:t xml:space="preserve"> complications</w:t>
      </w:r>
      <w:r>
        <w:rPr>
          <w:lang w:eastAsia="zh-CN"/>
        </w:rPr>
        <w:t xml:space="preserve"> including fistulas; abdominal mass;</w:t>
      </w:r>
      <w:r w:rsidRPr="00EB6537">
        <w:rPr>
          <w:lang w:eastAsia="zh-CN"/>
        </w:rPr>
        <w:t xml:space="preserve"> an</w:t>
      </w:r>
      <w:r>
        <w:rPr>
          <w:lang w:eastAsia="zh-CN"/>
        </w:rPr>
        <w:t>aemia;</w:t>
      </w:r>
      <w:r w:rsidRPr="00EB6537">
        <w:rPr>
          <w:lang w:eastAsia="zh-CN"/>
        </w:rPr>
        <w:t xml:space="preserve"> weight change</w:t>
      </w:r>
      <w:r>
        <w:rPr>
          <w:lang w:eastAsia="zh-CN"/>
        </w:rPr>
        <w:t xml:space="preserve">) with a total score ranging </w:t>
      </w:r>
      <w:r w:rsidRPr="00EB6537">
        <w:rPr>
          <w:lang w:eastAsia="zh-CN"/>
        </w:rPr>
        <w:t>from 0 to 1100</w:t>
      </w:r>
      <w:r>
        <w:rPr>
          <w:lang w:eastAsia="zh-CN"/>
        </w:rPr>
        <w:t xml:space="preserve">. Standardised categories of disease severity based on the CDAI score include </w:t>
      </w:r>
      <w:r w:rsidRPr="00EB6537">
        <w:rPr>
          <w:lang w:eastAsia="zh-CN"/>
        </w:rPr>
        <w:t>remission (&lt;150), mild to moderate (150</w:t>
      </w:r>
      <w:r>
        <w:rPr>
          <w:lang w:eastAsia="zh-CN"/>
        </w:rPr>
        <w:t>-</w:t>
      </w:r>
      <w:r w:rsidRPr="00EB6537">
        <w:rPr>
          <w:lang w:eastAsia="zh-CN"/>
        </w:rPr>
        <w:t>220), moderate to severe (220</w:t>
      </w:r>
      <w:r>
        <w:rPr>
          <w:lang w:eastAsia="zh-CN"/>
        </w:rPr>
        <w:t>-</w:t>
      </w:r>
      <w:r w:rsidRPr="00790E0D">
        <w:rPr>
          <w:lang w:eastAsia="zh-CN"/>
        </w:rPr>
        <w:t>450) and severe (&gt;450).</w:t>
      </w:r>
      <w:r w:rsidRPr="00790E0D">
        <w:t xml:space="preserve"> The presence of fistulae only adds 20 points to the overall CDAI score.</w:t>
      </w:r>
    </w:p>
    <w:p w14:paraId="4D67DAB1" w14:textId="21D5D6DD" w:rsidR="001B43CE" w:rsidRDefault="006C2CAB" w:rsidP="001B43CE">
      <w:pPr>
        <w:pStyle w:val="3-BodyText"/>
      </w:pPr>
      <w:r w:rsidRPr="00F90EDE">
        <w:t xml:space="preserve">Patients with fistulising disease and a CDAI score ≥ 300 are </w:t>
      </w:r>
      <w:r w:rsidR="00F80C10">
        <w:t>currently</w:t>
      </w:r>
      <w:r w:rsidR="00F80C10" w:rsidRPr="00F90EDE">
        <w:t xml:space="preserve"> </w:t>
      </w:r>
      <w:r w:rsidRPr="00F90EDE">
        <w:t xml:space="preserve">able to access </w:t>
      </w:r>
      <w:r w:rsidR="009B569A">
        <w:t xml:space="preserve">UST </w:t>
      </w:r>
      <w:r w:rsidR="00F80C10">
        <w:t xml:space="preserve">(and several other treatments) </w:t>
      </w:r>
      <w:r w:rsidR="009B569A">
        <w:t xml:space="preserve">on the </w:t>
      </w:r>
      <w:r w:rsidRPr="00F90EDE">
        <w:t>PBS</w:t>
      </w:r>
      <w:r w:rsidR="009B569A">
        <w:t xml:space="preserve"> </w:t>
      </w:r>
      <w:r w:rsidRPr="00F90EDE">
        <w:t xml:space="preserve">under the </w:t>
      </w:r>
      <w:r w:rsidR="009B569A">
        <w:t xml:space="preserve">listing </w:t>
      </w:r>
      <w:r w:rsidRPr="00F90EDE">
        <w:t xml:space="preserve">for severe </w:t>
      </w:r>
      <w:r w:rsidR="009B569A">
        <w:t>CD</w:t>
      </w:r>
      <w:r w:rsidRPr="00F90EDE">
        <w:t>. The PBAC had consi</w:t>
      </w:r>
      <w:r w:rsidR="009B5846">
        <w:t>dered that</w:t>
      </w:r>
      <w:r w:rsidRPr="00F90EDE">
        <w:t xml:space="preserve"> access to effective treatment for patients with worse fistulae but with a CDAI score &lt; 300 represented an equity issue (</w:t>
      </w:r>
      <w:r w:rsidR="00881963">
        <w:t>Section 12</w:t>
      </w:r>
      <w:r w:rsidRPr="00F90EDE">
        <w:t xml:space="preserve"> ADA PSD, November 2010 PBAC Meeting). The population targeted in the submission was adult patients with complex refractory fistulising CD irrespective of CDAI score, who are currently eligible for treatment with ADA and IFX</w:t>
      </w:r>
      <w:r w:rsidR="001B43CE">
        <w:t xml:space="preserve"> on the PBS under the listing for fistulising CD</w:t>
      </w:r>
      <w:r w:rsidRPr="00F90EDE">
        <w:t>.</w:t>
      </w:r>
    </w:p>
    <w:p w14:paraId="08F216A0" w14:textId="7972F53B" w:rsidR="00DC5FE5" w:rsidRDefault="00390FE5" w:rsidP="00A67016">
      <w:pPr>
        <w:pStyle w:val="3-BodyText"/>
      </w:pPr>
      <w:bookmarkStart w:id="13" w:name="_Toc134692569"/>
      <w:r>
        <w:lastRenderedPageBreak/>
        <w:t>P</w:t>
      </w:r>
      <w:r w:rsidR="00DC5FE5" w:rsidRPr="00F81A33">
        <w:t xml:space="preserve">atients with fistulising CD and CDAI score &lt; 300 are currently eligible to use two biologic treatments from the same class under the fistulising CD indication (ADA and IFX, both TNF inhibitors) whereas patients with fistulising CD and a CDAI score ≥ 300 are currently eligible to use four biologic treatments from different classes under the severe CD indication (UST, an IL-23/12 inhibitor; ADA and IFX, TNF inhibitors; VDZ, an integrin inhibitor). In November 2022, the PBAC recommended a fifth biologic treatment for severe CD (risankizumab, an IL-23 inhibitor) and </w:t>
      </w:r>
      <w:r w:rsidR="002F1A7D" w:rsidRPr="00F81A33">
        <w:t xml:space="preserve">considered there was not high or unmet clinical need for </w:t>
      </w:r>
      <w:r w:rsidR="00A67016" w:rsidRPr="00F81A33">
        <w:t xml:space="preserve">the </w:t>
      </w:r>
      <w:r w:rsidR="002F1A7D" w:rsidRPr="00F81A33">
        <w:t xml:space="preserve">treatment of severe CD </w:t>
      </w:r>
      <w:r w:rsidR="00DC5FE5" w:rsidRPr="00F81A33">
        <w:t>(paragraph 11.4, risankizumab PSD, November 2022 PBAC Meeting).</w:t>
      </w:r>
      <w:r w:rsidR="00E9574F" w:rsidRPr="00F81A33">
        <w:t xml:space="preserve"> The </w:t>
      </w:r>
      <w:r w:rsidR="00194BDA">
        <w:t>Pre-Sub-Committee Response (</w:t>
      </w:r>
      <w:r w:rsidR="00E9574F" w:rsidRPr="00F81A33">
        <w:t>PSCR</w:t>
      </w:r>
      <w:r w:rsidR="00194BDA">
        <w:t>)</w:t>
      </w:r>
      <w:r w:rsidR="00E9574F" w:rsidRPr="00F81A33">
        <w:t xml:space="preserve"> argued that there remained a clinical need for effective therapies for the treatment of fCD as the current options were both of the same therapeutic class and are associated with safety risks such as serious infections and malignancy.</w:t>
      </w:r>
      <w:r w:rsidR="00F81A33">
        <w:t xml:space="preserve"> </w:t>
      </w:r>
      <w:r>
        <w:t>The Pre-PBAC Response further argued the Sponsor hearing further reinforced the need for additional therapies for fCD (see ‘Sponsor hearing’).</w:t>
      </w:r>
    </w:p>
    <w:p w14:paraId="7DE371EC" w14:textId="2F9627CB" w:rsidR="00F81A33" w:rsidRPr="00240923" w:rsidRDefault="00F81A33" w:rsidP="00240923">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803D30" w:rsidRDefault="00B50DB8" w:rsidP="004E18E9">
      <w:pPr>
        <w:pStyle w:val="2-SectionHeading"/>
      </w:pPr>
      <w:r w:rsidRPr="00803D30">
        <w:t>Comparator</w:t>
      </w:r>
      <w:bookmarkEnd w:id="13"/>
    </w:p>
    <w:p w14:paraId="2B8E23BC" w14:textId="12114FFF" w:rsidR="004A1EE9" w:rsidRPr="001447E7" w:rsidRDefault="006B2AF1" w:rsidP="004A1EE9">
      <w:pPr>
        <w:pStyle w:val="3-BodyText"/>
        <w:rPr>
          <w:iCs/>
          <w:snapToGrid/>
          <w:lang w:val="en-US"/>
        </w:rPr>
      </w:pPr>
      <w:r w:rsidRPr="001447E7">
        <w:rPr>
          <w:iCs/>
        </w:rPr>
        <w:t>The submission nominated ADA as the main comparator</w:t>
      </w:r>
      <w:r w:rsidR="008A0322" w:rsidRPr="001447E7">
        <w:rPr>
          <w:iCs/>
        </w:rPr>
        <w:t xml:space="preserve"> on the basis that</w:t>
      </w:r>
      <w:r w:rsidR="00921FF9" w:rsidRPr="001447E7">
        <w:rPr>
          <w:iCs/>
        </w:rPr>
        <w:t xml:space="preserve"> UST would most likely substitute ADA as second-line treatment</w:t>
      </w:r>
      <w:r w:rsidR="00107259" w:rsidRPr="001447E7">
        <w:rPr>
          <w:iCs/>
        </w:rPr>
        <w:t xml:space="preserve"> given IFX is more established as a first-line treatment</w:t>
      </w:r>
      <w:r w:rsidR="008A0322" w:rsidRPr="001447E7">
        <w:rPr>
          <w:iCs/>
        </w:rPr>
        <w:t xml:space="preserve">, and </w:t>
      </w:r>
      <w:r w:rsidR="00054888" w:rsidRPr="001447E7">
        <w:rPr>
          <w:iCs/>
        </w:rPr>
        <w:t>both</w:t>
      </w:r>
      <w:r w:rsidR="008A0322" w:rsidRPr="001447E7">
        <w:rPr>
          <w:iCs/>
        </w:rPr>
        <w:t xml:space="preserve"> UST and ADA are administered by SC injection</w:t>
      </w:r>
      <w:r w:rsidR="00107259" w:rsidRPr="001447E7">
        <w:rPr>
          <w:iCs/>
        </w:rPr>
        <w:t xml:space="preserve">. The submission also nominated </w:t>
      </w:r>
      <w:r w:rsidR="008A0322" w:rsidRPr="001447E7">
        <w:rPr>
          <w:iCs/>
        </w:rPr>
        <w:t>IFX as a secondary comparator</w:t>
      </w:r>
      <w:r w:rsidR="00107259" w:rsidRPr="001447E7">
        <w:rPr>
          <w:iCs/>
        </w:rPr>
        <w:t xml:space="preserve"> given UST may also replace IFX in practice</w:t>
      </w:r>
      <w:r w:rsidR="008A0322" w:rsidRPr="001447E7">
        <w:rPr>
          <w:iCs/>
        </w:rPr>
        <w:t>.</w:t>
      </w:r>
      <w:r w:rsidR="004A1EE9" w:rsidRPr="001447E7">
        <w:rPr>
          <w:iCs/>
        </w:rPr>
        <w:t xml:space="preserve"> </w:t>
      </w:r>
    </w:p>
    <w:p w14:paraId="172321C7" w14:textId="54C8C532" w:rsidR="009B042A" w:rsidRPr="001447E7" w:rsidRDefault="004A1EE9" w:rsidP="009B042A">
      <w:pPr>
        <w:pStyle w:val="3-BodyText"/>
        <w:rPr>
          <w:iCs/>
          <w:snapToGrid/>
          <w:lang w:val="en-US"/>
        </w:rPr>
      </w:pPr>
      <w:r w:rsidRPr="001447E7">
        <w:rPr>
          <w:iCs/>
        </w:rPr>
        <w:t xml:space="preserve">The nominated comparators were appropriate. </w:t>
      </w:r>
      <w:r w:rsidR="00054888" w:rsidRPr="001447E7">
        <w:rPr>
          <w:iCs/>
        </w:rPr>
        <w:t xml:space="preserve">At the </w:t>
      </w:r>
      <w:r w:rsidRPr="001447E7">
        <w:rPr>
          <w:iCs/>
        </w:rPr>
        <w:t>March 2017</w:t>
      </w:r>
      <w:r w:rsidR="00054888" w:rsidRPr="001447E7">
        <w:rPr>
          <w:iCs/>
        </w:rPr>
        <w:t xml:space="preserve"> PBAC meeting</w:t>
      </w:r>
      <w:r w:rsidRPr="001447E7">
        <w:rPr>
          <w:iCs/>
        </w:rPr>
        <w:t>, the PBAC considered both ADA and IFX (i.e.</w:t>
      </w:r>
      <w:r w:rsidR="00D908E5" w:rsidRPr="001447E7">
        <w:rPr>
          <w:iCs/>
        </w:rPr>
        <w:t>,</w:t>
      </w:r>
      <w:r w:rsidRPr="001447E7">
        <w:rPr>
          <w:iCs/>
        </w:rPr>
        <w:t xml:space="preserve"> all PBS-listed treatments for fis</w:t>
      </w:r>
      <w:r w:rsidR="00A307DA" w:rsidRPr="001447E7">
        <w:rPr>
          <w:iCs/>
        </w:rPr>
        <w:t xml:space="preserve">tulising </w:t>
      </w:r>
      <w:r w:rsidRPr="001447E7">
        <w:rPr>
          <w:iCs/>
        </w:rPr>
        <w:t>CD) were relevant comparators given UST may reasonably replace either of these alter</w:t>
      </w:r>
      <w:r w:rsidR="00BF4535" w:rsidRPr="001447E7">
        <w:rPr>
          <w:iCs/>
        </w:rPr>
        <w:t>native treatments in practice (p</w:t>
      </w:r>
      <w:r w:rsidRPr="001447E7">
        <w:rPr>
          <w:iCs/>
        </w:rPr>
        <w:t>aragraph 7.5, UST PSD, March 2017</w:t>
      </w:r>
      <w:r w:rsidR="00BF4535" w:rsidRPr="001447E7">
        <w:rPr>
          <w:iCs/>
        </w:rPr>
        <w:t xml:space="preserve"> PBAC Meeting</w:t>
      </w:r>
      <w:r w:rsidRPr="001447E7">
        <w:rPr>
          <w:iCs/>
        </w:rPr>
        <w:t>).</w:t>
      </w:r>
    </w:p>
    <w:p w14:paraId="591BF696" w14:textId="508BE4BA" w:rsidR="004A1EE9" w:rsidRPr="00F81A33" w:rsidRDefault="009B042A" w:rsidP="009B042A">
      <w:pPr>
        <w:pStyle w:val="3-BodyText"/>
        <w:rPr>
          <w:iCs/>
          <w:snapToGrid/>
          <w:lang w:val="en-US"/>
        </w:rPr>
      </w:pPr>
      <w:r w:rsidRPr="001447E7">
        <w:rPr>
          <w:iCs/>
        </w:rPr>
        <w:t>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As the submission did not present any evidence that UST provided a significant improvement in efficacy and/or reduction in toxicity compared to ADA or IFX for fistulising CD, there was no basis for UST to have a price advantage over ADA or IFX</w:t>
      </w:r>
      <w:r w:rsidR="002C2B32" w:rsidRPr="001447E7">
        <w:rPr>
          <w:iCs/>
        </w:rPr>
        <w:t>.</w:t>
      </w:r>
      <w:r w:rsidR="00F81A33">
        <w:rPr>
          <w:iCs/>
        </w:rPr>
        <w:t xml:space="preserve"> </w:t>
      </w:r>
    </w:p>
    <w:p w14:paraId="5699F403" w14:textId="0790BF78" w:rsidR="00F81A33" w:rsidRPr="005B7AD6" w:rsidRDefault="00F81A33" w:rsidP="005B7AD6">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407F2D" w:rsidRDefault="00223D5A" w:rsidP="00223D5A">
      <w:pPr>
        <w:pStyle w:val="2-SectionHeading"/>
        <w:numPr>
          <w:ilvl w:val="0"/>
          <w:numId w:val="1"/>
        </w:numPr>
      </w:pPr>
      <w:bookmarkStart w:id="14" w:name="_Toc134692570"/>
      <w:bookmarkStart w:id="15" w:name="_Toc22897640"/>
      <w:r>
        <w:lastRenderedPageBreak/>
        <w:t>C</w:t>
      </w:r>
      <w:r w:rsidRPr="00407F2D">
        <w:t>onsideration of the evidence</w:t>
      </w:r>
      <w:bookmarkEnd w:id="14"/>
    </w:p>
    <w:p w14:paraId="0305840C" w14:textId="77777777" w:rsidR="00F81A33" w:rsidRPr="006E1229" w:rsidRDefault="00F81A33" w:rsidP="00BA7B12">
      <w:pPr>
        <w:pStyle w:val="3-SubsectionHeading"/>
        <w:outlineLvl w:val="1"/>
        <w:rPr>
          <w:lang w:eastAsia="en-AU"/>
        </w:rPr>
      </w:pPr>
      <w:bookmarkStart w:id="16" w:name="_Hlk76375935"/>
      <w:bookmarkStart w:id="17" w:name="_Toc134692571"/>
      <w:r w:rsidRPr="006E1229">
        <w:rPr>
          <w:lang w:eastAsia="en-AU"/>
        </w:rPr>
        <w:t>Sponsor hearing</w:t>
      </w:r>
    </w:p>
    <w:p w14:paraId="05A76CA5" w14:textId="51AB67A7" w:rsidR="00F81A33" w:rsidRPr="009B1F98" w:rsidRDefault="00F81A33" w:rsidP="00F81A33">
      <w:pPr>
        <w:widowControl w:val="0"/>
        <w:numPr>
          <w:ilvl w:val="1"/>
          <w:numId w:val="1"/>
        </w:numPr>
        <w:spacing w:after="120"/>
        <w:rPr>
          <w:rFonts w:asciiTheme="minorHAnsi" w:hAnsiTheme="minorHAnsi"/>
          <w:bCs/>
          <w:snapToGrid w:val="0"/>
        </w:rPr>
      </w:pPr>
      <w:bookmarkStart w:id="18" w:name="_Hlk76382586"/>
      <w:r w:rsidRPr="009B1F98">
        <w:rPr>
          <w:rFonts w:asciiTheme="minorHAnsi" w:hAnsiTheme="minorHAnsi"/>
          <w:bCs/>
          <w:snapToGrid w:val="0"/>
        </w:rPr>
        <w:t xml:space="preserve">The sponsor requested a hearing for this item. </w:t>
      </w:r>
      <w:r w:rsidR="009B1F98" w:rsidRPr="009B1F98">
        <w:rPr>
          <w:rFonts w:asciiTheme="minorHAnsi" w:hAnsiTheme="minorHAnsi"/>
          <w:bCs/>
          <w:snapToGrid w:val="0"/>
        </w:rPr>
        <w:t>The clinician described the clinical manifestation of fistulising CD and the severe impacts of the condition, including abscesses and frequent infections</w:t>
      </w:r>
      <w:r w:rsidR="00723B57">
        <w:rPr>
          <w:rFonts w:asciiTheme="minorHAnsi" w:hAnsiTheme="minorHAnsi"/>
          <w:bCs/>
          <w:snapToGrid w:val="0"/>
        </w:rPr>
        <w:t xml:space="preserve">, </w:t>
      </w:r>
      <w:r w:rsidR="009B1F98" w:rsidRPr="009B1F98">
        <w:rPr>
          <w:rFonts w:asciiTheme="minorHAnsi" w:hAnsiTheme="minorHAnsi"/>
          <w:bCs/>
          <w:snapToGrid w:val="0"/>
        </w:rPr>
        <w:t>often requiring patients to have repeated painful surgeries to manage. The clinician also described that up to approximately 26% of patients progress to requiring proctectomy and the need for a permanent stoma to be installed, which further has major impacts on patients’ lives. The hearing also discussed the high rates of primary non-response to anti-TNF therapies</w:t>
      </w:r>
      <w:r w:rsidR="00723B57">
        <w:rPr>
          <w:rFonts w:asciiTheme="minorHAnsi" w:hAnsiTheme="minorHAnsi"/>
          <w:bCs/>
          <w:snapToGrid w:val="0"/>
        </w:rPr>
        <w:t xml:space="preserve">, </w:t>
      </w:r>
      <w:r w:rsidR="00240923">
        <w:rPr>
          <w:rFonts w:asciiTheme="minorHAnsi" w:hAnsiTheme="minorHAnsi"/>
          <w:bCs/>
          <w:snapToGrid w:val="0"/>
        </w:rPr>
        <w:t>with</w:t>
      </w:r>
      <w:r w:rsidR="00240923" w:rsidRPr="009B1F98">
        <w:rPr>
          <w:rFonts w:asciiTheme="minorHAnsi" w:hAnsiTheme="minorHAnsi"/>
          <w:bCs/>
          <w:snapToGrid w:val="0"/>
        </w:rPr>
        <w:t xml:space="preserve"> up</w:t>
      </w:r>
      <w:r w:rsidR="009B1F98" w:rsidRPr="009B1F98">
        <w:rPr>
          <w:rFonts w:asciiTheme="minorHAnsi" w:hAnsiTheme="minorHAnsi"/>
          <w:bCs/>
          <w:snapToGrid w:val="0"/>
        </w:rPr>
        <w:t xml:space="preserve"> to 1/3rd of patients and ongoing discontinuation rates of approximately 13% per year, due to secondary loss of response, intolerance, risk of infections or immunogenicity. </w:t>
      </w:r>
      <w:r w:rsidRPr="009B1F98">
        <w:rPr>
          <w:rFonts w:asciiTheme="minorHAnsi" w:hAnsiTheme="minorHAnsi"/>
          <w:bCs/>
          <w:snapToGrid w:val="0"/>
        </w:rPr>
        <w:t>The PBAC considered that the hearing was informative as it provided a clinical perspective</w:t>
      </w:r>
      <w:r w:rsidR="009B1F98" w:rsidRPr="009B1F98">
        <w:rPr>
          <w:rFonts w:asciiTheme="minorHAnsi" w:hAnsiTheme="minorHAnsi"/>
          <w:bCs/>
          <w:snapToGrid w:val="0"/>
        </w:rPr>
        <w:t xml:space="preserve"> on treating this uncommon disease and highlighted the need for additional therapeutic options, especially those with new mechanisms of action</w:t>
      </w:r>
      <w:r w:rsidR="00360F56">
        <w:rPr>
          <w:rFonts w:asciiTheme="minorHAnsi" w:hAnsiTheme="minorHAnsi"/>
          <w:bCs/>
          <w:snapToGrid w:val="0"/>
        </w:rPr>
        <w:t xml:space="preserve"> that are effective over the longer term</w:t>
      </w:r>
      <w:r w:rsidR="009B1F98" w:rsidRPr="009B1F98">
        <w:rPr>
          <w:rFonts w:asciiTheme="minorHAnsi" w:hAnsiTheme="minorHAnsi"/>
          <w:bCs/>
          <w:snapToGrid w:val="0"/>
        </w:rPr>
        <w:t>.</w:t>
      </w:r>
    </w:p>
    <w:bookmarkEnd w:id="18"/>
    <w:p w14:paraId="0D27B7A2" w14:textId="77777777" w:rsidR="00F81A33" w:rsidRPr="006E1229" w:rsidRDefault="00F81A33" w:rsidP="00BA7B12">
      <w:pPr>
        <w:pStyle w:val="3-SubsectionHeading"/>
        <w:outlineLvl w:val="1"/>
        <w:rPr>
          <w:lang w:eastAsia="en-AU"/>
        </w:rPr>
      </w:pPr>
      <w:r w:rsidRPr="006E1229">
        <w:rPr>
          <w:lang w:eastAsia="en-AU"/>
        </w:rPr>
        <w:t>Consumer comments</w:t>
      </w:r>
    </w:p>
    <w:p w14:paraId="47BC7D32" w14:textId="356BF3C6" w:rsidR="00F81A33" w:rsidRPr="00836F75" w:rsidRDefault="00F81A33" w:rsidP="00F81A33">
      <w:pPr>
        <w:widowControl w:val="0"/>
        <w:numPr>
          <w:ilvl w:val="1"/>
          <w:numId w:val="1"/>
        </w:numPr>
        <w:spacing w:after="120"/>
        <w:rPr>
          <w:rFonts w:asciiTheme="minorHAnsi" w:hAnsiTheme="minorHAnsi"/>
          <w:bCs/>
          <w:snapToGrid w:val="0"/>
        </w:rPr>
      </w:pPr>
      <w:bookmarkStart w:id="19" w:name="_Hlk76382618"/>
      <w:r w:rsidRPr="00836F75">
        <w:rPr>
          <w:rFonts w:asciiTheme="minorHAnsi" w:hAnsiTheme="minorHAnsi"/>
          <w:bCs/>
          <w:snapToGrid w:val="0"/>
        </w:rPr>
        <w:t>The PBAC noted and welcomed the input from health care professionals (</w:t>
      </w:r>
      <w:r w:rsidR="004C4045">
        <w:rPr>
          <w:rFonts w:asciiTheme="minorHAnsi" w:hAnsiTheme="minorHAnsi"/>
          <w:bCs/>
          <w:snapToGrid w:val="0"/>
        </w:rPr>
        <w:t>14</w:t>
      </w:r>
      <w:r w:rsidRPr="00836F75">
        <w:rPr>
          <w:rFonts w:asciiTheme="minorHAnsi" w:hAnsiTheme="minorHAnsi"/>
          <w:bCs/>
          <w:snapToGrid w:val="0"/>
        </w:rPr>
        <w:t>) and organisations (</w:t>
      </w:r>
      <w:r w:rsidR="004C4045">
        <w:rPr>
          <w:rFonts w:asciiTheme="minorHAnsi" w:hAnsiTheme="minorHAnsi"/>
          <w:bCs/>
          <w:snapToGrid w:val="0"/>
        </w:rPr>
        <w:t>2</w:t>
      </w:r>
      <w:r w:rsidRPr="00836F75">
        <w:rPr>
          <w:rFonts w:asciiTheme="minorHAnsi" w:hAnsiTheme="minorHAnsi"/>
          <w:bCs/>
          <w:snapToGrid w:val="0"/>
        </w:rPr>
        <w:t xml:space="preserve">) via the Consumer Comments facility on the PBS website. The comments </w:t>
      </w:r>
      <w:r w:rsidR="004C4045">
        <w:rPr>
          <w:rFonts w:asciiTheme="minorHAnsi" w:hAnsiTheme="minorHAnsi"/>
          <w:bCs/>
          <w:snapToGrid w:val="0"/>
        </w:rPr>
        <w:t xml:space="preserve">from health professionals described the high clinical need for additional effective therapies and the severe impacts of fistulising CD on patients’ quality of life, and the devastating impacts of repeat surgery, often leading to proctectomy and the need for a permanent stoma </w:t>
      </w:r>
      <w:r w:rsidR="006B67E4">
        <w:rPr>
          <w:rFonts w:asciiTheme="minorHAnsi" w:hAnsiTheme="minorHAnsi"/>
          <w:bCs/>
          <w:snapToGrid w:val="0"/>
        </w:rPr>
        <w:t>to</w:t>
      </w:r>
      <w:r w:rsidR="004C4045">
        <w:rPr>
          <w:rFonts w:asciiTheme="minorHAnsi" w:hAnsiTheme="minorHAnsi"/>
          <w:bCs/>
          <w:snapToGrid w:val="0"/>
        </w:rPr>
        <w:t xml:space="preserve"> patients. The comments also described that the current TNF inhibitors do not work for all patients, others are ineligible for treatment, and that the response wanes over time, highlighting the need for additional agents with different mechanisms of action.</w:t>
      </w:r>
    </w:p>
    <w:p w14:paraId="251BBB9C" w14:textId="1AD72F97" w:rsidR="00F81A33" w:rsidRPr="006B67E4" w:rsidRDefault="00F81A33" w:rsidP="006B67E4">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noted the advice received from </w:t>
      </w:r>
      <w:r w:rsidR="004C4045">
        <w:rPr>
          <w:rFonts w:asciiTheme="minorHAnsi" w:hAnsiTheme="minorHAnsi"/>
          <w:bCs/>
          <w:snapToGrid w:val="0"/>
        </w:rPr>
        <w:t xml:space="preserve">Crohn’s and Colitis Australia discussed the effectiveness of ustekinumab in </w:t>
      </w:r>
      <w:r w:rsidR="00240923">
        <w:rPr>
          <w:rFonts w:asciiTheme="minorHAnsi" w:hAnsiTheme="minorHAnsi"/>
          <w:bCs/>
          <w:snapToGrid w:val="0"/>
        </w:rPr>
        <w:t>CD and</w:t>
      </w:r>
      <w:r w:rsidR="004C4045">
        <w:rPr>
          <w:rFonts w:asciiTheme="minorHAnsi" w:hAnsiTheme="minorHAnsi"/>
          <w:bCs/>
          <w:snapToGrid w:val="0"/>
        </w:rPr>
        <w:t xml:space="preserve"> highlighted its favourable dosing regimen and immunogenicity profile compared to the current TNF inhibitor options</w:t>
      </w:r>
      <w:r w:rsidR="005E1B93">
        <w:rPr>
          <w:rFonts w:asciiTheme="minorHAnsi" w:hAnsiTheme="minorHAnsi"/>
          <w:bCs/>
          <w:snapToGrid w:val="0"/>
        </w:rPr>
        <w:t>, in addition to reflecting the comments made by health professionals outlining the severe burden of disease and impact on quality of life experienced due to fistulising CD</w:t>
      </w:r>
      <w:r w:rsidR="004C4045">
        <w:rPr>
          <w:rFonts w:asciiTheme="minorHAnsi" w:hAnsiTheme="minorHAnsi"/>
          <w:bCs/>
          <w:snapToGrid w:val="0"/>
        </w:rPr>
        <w:t xml:space="preserve">. </w:t>
      </w:r>
      <w:r w:rsidRPr="006B67E4">
        <w:rPr>
          <w:rFonts w:asciiTheme="minorHAnsi" w:hAnsiTheme="minorHAnsi"/>
          <w:bCs/>
          <w:snapToGrid w:val="0"/>
        </w:rPr>
        <w:t xml:space="preserve">The PBAC </w:t>
      </w:r>
      <w:r w:rsidR="005E1B93" w:rsidRPr="006B67E4">
        <w:rPr>
          <w:rFonts w:asciiTheme="minorHAnsi" w:hAnsiTheme="minorHAnsi"/>
          <w:bCs/>
          <w:snapToGrid w:val="0"/>
        </w:rPr>
        <w:t>also noted the advice received by the National Paediatric Medicines Forum, describing a cohort of paediatric patients with fistulising CD who are currently receiving treatment with ustekinumab via paediatric hospitals and are responding to treatment. On that basis, the Forum requested no age restriction be applied to the listing of ustekinumab for fistulising CD.</w:t>
      </w:r>
    </w:p>
    <w:bookmarkEnd w:id="16"/>
    <w:bookmarkEnd w:id="19"/>
    <w:p w14:paraId="609C0765" w14:textId="779B6EE1" w:rsidR="00B60939" w:rsidRPr="00C9624D" w:rsidRDefault="00B60939" w:rsidP="002E4F02">
      <w:pPr>
        <w:pStyle w:val="4-SubsectionHeading"/>
      </w:pPr>
      <w:r w:rsidRPr="00C9624D">
        <w:t>Clinical trials</w:t>
      </w:r>
      <w:bookmarkEnd w:id="15"/>
      <w:bookmarkEnd w:id="17"/>
    </w:p>
    <w:p w14:paraId="12F063C5" w14:textId="3C5EE6CA" w:rsidR="001F1331" w:rsidRPr="00E846FE" w:rsidRDefault="00446D6E" w:rsidP="00872112">
      <w:pPr>
        <w:pStyle w:val="3-BodyText"/>
      </w:pPr>
      <w:r w:rsidRPr="00E846FE">
        <w:rPr>
          <w:rFonts w:eastAsiaTheme="minorEastAsia"/>
          <w:szCs w:val="22"/>
          <w:lang w:eastAsia="en-US"/>
        </w:rPr>
        <w:t>There was one head-to-head trial comparing UST versus ADA over 52 weeks in patients with moderate to severe CD</w:t>
      </w:r>
      <w:r w:rsidR="00111CE2">
        <w:rPr>
          <w:rFonts w:eastAsiaTheme="minorEastAsia"/>
          <w:szCs w:val="22"/>
          <w:lang w:eastAsia="en-US"/>
        </w:rPr>
        <w:t xml:space="preserve"> including some patients with fistulising disease</w:t>
      </w:r>
      <w:r w:rsidRPr="00E846FE">
        <w:rPr>
          <w:rFonts w:eastAsiaTheme="minorEastAsia"/>
          <w:szCs w:val="22"/>
          <w:lang w:eastAsia="en-US"/>
        </w:rPr>
        <w:t xml:space="preserve"> </w:t>
      </w:r>
      <w:r w:rsidR="00DF0CAF">
        <w:rPr>
          <w:rFonts w:eastAsiaTheme="minorEastAsia"/>
          <w:szCs w:val="22"/>
          <w:lang w:eastAsia="en-US"/>
        </w:rPr>
        <w:t>(</w:t>
      </w:r>
      <w:r w:rsidRPr="00E846FE">
        <w:rPr>
          <w:rFonts w:eastAsiaTheme="minorEastAsia"/>
          <w:szCs w:val="22"/>
          <w:lang w:eastAsia="en-US"/>
        </w:rPr>
        <w:t>SEAVUE</w:t>
      </w:r>
      <w:r w:rsidR="00DF0CAF">
        <w:rPr>
          <w:rFonts w:eastAsiaTheme="minorEastAsia"/>
          <w:szCs w:val="22"/>
          <w:lang w:eastAsia="en-US"/>
        </w:rPr>
        <w:t>)</w:t>
      </w:r>
      <w:r w:rsidRPr="00E846FE">
        <w:rPr>
          <w:rFonts w:eastAsiaTheme="minorEastAsia"/>
          <w:szCs w:val="22"/>
          <w:lang w:eastAsia="en-US"/>
        </w:rPr>
        <w:t xml:space="preserve">. However, </w:t>
      </w:r>
      <w:r w:rsidR="00872112">
        <w:rPr>
          <w:rFonts w:eastAsiaTheme="minorEastAsia"/>
          <w:szCs w:val="22"/>
          <w:lang w:eastAsia="en-US"/>
        </w:rPr>
        <w:t xml:space="preserve">the </w:t>
      </w:r>
      <w:r w:rsidR="00111CE2">
        <w:rPr>
          <w:rFonts w:eastAsiaTheme="minorEastAsia"/>
          <w:szCs w:val="22"/>
          <w:lang w:eastAsia="en-US"/>
        </w:rPr>
        <w:t xml:space="preserve">relatively small number of patients </w:t>
      </w:r>
      <w:r w:rsidR="009F555B">
        <w:rPr>
          <w:rFonts w:eastAsiaTheme="minorEastAsia"/>
          <w:szCs w:val="22"/>
          <w:lang w:eastAsia="en-US"/>
        </w:rPr>
        <w:t xml:space="preserve">enrolled in the trial </w:t>
      </w:r>
      <w:r w:rsidR="00111CE2">
        <w:rPr>
          <w:rFonts w:eastAsiaTheme="minorEastAsia"/>
          <w:szCs w:val="22"/>
          <w:lang w:eastAsia="en-US"/>
        </w:rPr>
        <w:t xml:space="preserve">with a fistula at </w:t>
      </w:r>
      <w:r w:rsidR="00111CE2">
        <w:rPr>
          <w:rFonts w:eastAsiaTheme="minorEastAsia"/>
          <w:szCs w:val="22"/>
          <w:lang w:eastAsia="en-US"/>
        </w:rPr>
        <w:lastRenderedPageBreak/>
        <w:t xml:space="preserve">baseline limited the conclusions that could be drawn from the trial. </w:t>
      </w:r>
      <w:r w:rsidR="001F1331" w:rsidRPr="00872112">
        <w:rPr>
          <w:rFonts w:eastAsiaTheme="minorEastAsia"/>
          <w:szCs w:val="22"/>
          <w:lang w:eastAsia="en-US"/>
        </w:rPr>
        <w:t xml:space="preserve">To compare UST versus ADA and IFX in patients with fistulising CD, the submission presented an </w:t>
      </w:r>
      <w:r w:rsidR="00EC4E43">
        <w:rPr>
          <w:rFonts w:eastAsiaTheme="minorEastAsia"/>
          <w:szCs w:val="22"/>
          <w:lang w:eastAsia="en-US"/>
        </w:rPr>
        <w:t xml:space="preserve">anchored </w:t>
      </w:r>
      <w:r w:rsidR="001F1331" w:rsidRPr="00872112">
        <w:rPr>
          <w:rFonts w:eastAsiaTheme="minorEastAsia"/>
          <w:szCs w:val="22"/>
          <w:lang w:eastAsia="en-US"/>
        </w:rPr>
        <w:t>indirect treatment comparison using placebo as the common reference, based on:</w:t>
      </w:r>
    </w:p>
    <w:p w14:paraId="2B302C4C" w14:textId="070EED04" w:rsidR="001F1331" w:rsidRPr="00E846FE" w:rsidRDefault="001F1331" w:rsidP="00F81A33">
      <w:pPr>
        <w:pStyle w:val="ListParagraph"/>
        <w:numPr>
          <w:ilvl w:val="0"/>
          <w:numId w:val="12"/>
        </w:numPr>
        <w:ind w:left="1134"/>
        <w:rPr>
          <w:rFonts w:eastAsiaTheme="minorEastAsia"/>
          <w:szCs w:val="22"/>
          <w:lang w:eastAsia="en-US"/>
        </w:rPr>
      </w:pPr>
      <w:r w:rsidRPr="00E846FE">
        <w:rPr>
          <w:rFonts w:eastAsiaTheme="minorEastAsia"/>
          <w:szCs w:val="22"/>
          <w:lang w:eastAsia="en-US"/>
        </w:rPr>
        <w:t>Five RCTs providing evidence for induction therapy</w:t>
      </w:r>
      <w:r w:rsidR="00D908E5">
        <w:rPr>
          <w:rFonts w:eastAsiaTheme="minorEastAsia"/>
          <w:szCs w:val="22"/>
          <w:lang w:eastAsia="en-US"/>
        </w:rPr>
        <w:t>:</w:t>
      </w:r>
    </w:p>
    <w:p w14:paraId="72202E22" w14:textId="77777777" w:rsidR="001F1331" w:rsidRPr="00E846FE" w:rsidRDefault="001F1331" w:rsidP="00F81A33">
      <w:pPr>
        <w:widowControl w:val="0"/>
        <w:numPr>
          <w:ilvl w:val="0"/>
          <w:numId w:val="11"/>
        </w:numPr>
        <w:spacing w:after="160"/>
        <w:ind w:left="1560"/>
        <w:rPr>
          <w:rFonts w:eastAsiaTheme="minorEastAsia"/>
          <w:snapToGrid w:val="0"/>
          <w:szCs w:val="22"/>
          <w:lang w:eastAsia="en-US"/>
        </w:rPr>
      </w:pPr>
      <w:r w:rsidRPr="00E846FE">
        <w:rPr>
          <w:rFonts w:eastAsiaTheme="minorEastAsia"/>
          <w:snapToGrid w:val="0"/>
          <w:szCs w:val="22"/>
          <w:lang w:eastAsia="en-US"/>
        </w:rPr>
        <w:t>UST vs. placebo (two RCTs): UNITI-1 and UNITI-2;</w:t>
      </w:r>
    </w:p>
    <w:p w14:paraId="5796B5FA" w14:textId="77777777" w:rsidR="001F1331" w:rsidRPr="00E846FE" w:rsidRDefault="001F1331" w:rsidP="00F81A33">
      <w:pPr>
        <w:widowControl w:val="0"/>
        <w:numPr>
          <w:ilvl w:val="0"/>
          <w:numId w:val="11"/>
        </w:numPr>
        <w:spacing w:after="160"/>
        <w:ind w:left="1560"/>
        <w:rPr>
          <w:rFonts w:eastAsiaTheme="minorEastAsia"/>
          <w:snapToGrid w:val="0"/>
          <w:szCs w:val="22"/>
          <w:lang w:eastAsia="en-US"/>
        </w:rPr>
      </w:pPr>
      <w:r w:rsidRPr="00E846FE">
        <w:rPr>
          <w:rFonts w:eastAsiaTheme="minorEastAsia"/>
          <w:snapToGrid w:val="0"/>
          <w:szCs w:val="22"/>
          <w:lang w:eastAsia="en-US"/>
        </w:rPr>
        <w:t>ADA vs. placebo (two RCTs): CLASSIC I and GAIN;</w:t>
      </w:r>
    </w:p>
    <w:p w14:paraId="4BD019C0" w14:textId="77777777" w:rsidR="001F1331" w:rsidRPr="00E846FE" w:rsidRDefault="001F1331" w:rsidP="00F81A33">
      <w:pPr>
        <w:widowControl w:val="0"/>
        <w:numPr>
          <w:ilvl w:val="0"/>
          <w:numId w:val="11"/>
        </w:numPr>
        <w:spacing w:after="160"/>
        <w:ind w:left="1560"/>
        <w:rPr>
          <w:rFonts w:eastAsiaTheme="minorEastAsia"/>
          <w:snapToGrid w:val="0"/>
          <w:szCs w:val="22"/>
          <w:lang w:eastAsia="en-US"/>
        </w:rPr>
      </w:pPr>
      <w:r w:rsidRPr="00E846FE">
        <w:rPr>
          <w:rFonts w:eastAsiaTheme="minorEastAsia"/>
          <w:snapToGrid w:val="0"/>
          <w:szCs w:val="22"/>
          <w:lang w:eastAsia="en-US"/>
        </w:rPr>
        <w:t>IFX vs. placebo (one RCT): T20.</w:t>
      </w:r>
    </w:p>
    <w:p w14:paraId="0978C41A" w14:textId="6DBEE080" w:rsidR="001F1331" w:rsidRPr="00E846FE" w:rsidRDefault="001F1331" w:rsidP="00F81A33">
      <w:pPr>
        <w:pStyle w:val="ListParagraph"/>
        <w:numPr>
          <w:ilvl w:val="0"/>
          <w:numId w:val="12"/>
        </w:numPr>
        <w:ind w:left="1134"/>
        <w:rPr>
          <w:rFonts w:eastAsiaTheme="minorEastAsia"/>
          <w:szCs w:val="22"/>
          <w:lang w:eastAsia="en-US"/>
        </w:rPr>
      </w:pPr>
      <w:r w:rsidRPr="00E846FE">
        <w:rPr>
          <w:rFonts w:eastAsiaTheme="minorEastAsia"/>
          <w:szCs w:val="22"/>
          <w:lang w:eastAsia="en-US"/>
        </w:rPr>
        <w:t>Three RCTs providing evidence for maintenance therapy</w:t>
      </w:r>
      <w:r w:rsidR="00D908E5">
        <w:rPr>
          <w:rFonts w:eastAsiaTheme="minorEastAsia"/>
          <w:szCs w:val="22"/>
          <w:lang w:eastAsia="en-US"/>
        </w:rPr>
        <w:t>:</w:t>
      </w:r>
    </w:p>
    <w:p w14:paraId="7907DBC1" w14:textId="77777777" w:rsidR="001F1331" w:rsidRPr="00E846FE" w:rsidRDefault="001F1331" w:rsidP="00F81A33">
      <w:pPr>
        <w:widowControl w:val="0"/>
        <w:numPr>
          <w:ilvl w:val="0"/>
          <w:numId w:val="11"/>
        </w:numPr>
        <w:spacing w:after="160"/>
        <w:ind w:left="1560"/>
        <w:rPr>
          <w:rFonts w:eastAsiaTheme="minorEastAsia"/>
          <w:snapToGrid w:val="0"/>
          <w:szCs w:val="22"/>
          <w:lang w:eastAsia="en-US"/>
        </w:rPr>
      </w:pPr>
      <w:r w:rsidRPr="00E846FE">
        <w:rPr>
          <w:rFonts w:eastAsiaTheme="minorEastAsia"/>
          <w:snapToGrid w:val="0"/>
          <w:szCs w:val="22"/>
          <w:lang w:eastAsia="en-US"/>
        </w:rPr>
        <w:t>UST vs placebo (one RCT): IM-UNITI;</w:t>
      </w:r>
    </w:p>
    <w:p w14:paraId="3D8671CD" w14:textId="77777777" w:rsidR="001F1331" w:rsidRPr="00E846FE" w:rsidRDefault="001F1331" w:rsidP="00F81A33">
      <w:pPr>
        <w:widowControl w:val="0"/>
        <w:numPr>
          <w:ilvl w:val="0"/>
          <w:numId w:val="11"/>
        </w:numPr>
        <w:spacing w:after="160"/>
        <w:ind w:left="1560"/>
        <w:rPr>
          <w:rFonts w:eastAsiaTheme="minorEastAsia"/>
          <w:snapToGrid w:val="0"/>
          <w:szCs w:val="22"/>
          <w:lang w:eastAsia="en-US"/>
        </w:rPr>
      </w:pPr>
      <w:r w:rsidRPr="00E846FE">
        <w:rPr>
          <w:rFonts w:eastAsiaTheme="minorEastAsia"/>
          <w:snapToGrid w:val="0"/>
          <w:szCs w:val="22"/>
          <w:lang w:eastAsia="en-US"/>
        </w:rPr>
        <w:t>ADA vs. placebo (one RCT): CHARM;</w:t>
      </w:r>
    </w:p>
    <w:p w14:paraId="69C89485" w14:textId="6DC4DE83" w:rsidR="001F1331" w:rsidRPr="00E846FE" w:rsidRDefault="001F1331" w:rsidP="00F81A33">
      <w:pPr>
        <w:widowControl w:val="0"/>
        <w:numPr>
          <w:ilvl w:val="0"/>
          <w:numId w:val="11"/>
        </w:numPr>
        <w:spacing w:after="160"/>
        <w:ind w:left="1560"/>
        <w:rPr>
          <w:rFonts w:eastAsiaTheme="minorEastAsia"/>
          <w:snapToGrid w:val="0"/>
          <w:szCs w:val="22"/>
          <w:lang w:eastAsia="en-US"/>
        </w:rPr>
      </w:pPr>
      <w:r w:rsidRPr="00E846FE">
        <w:rPr>
          <w:rFonts w:eastAsiaTheme="minorEastAsia"/>
          <w:snapToGrid w:val="0"/>
          <w:szCs w:val="22"/>
          <w:lang w:eastAsia="en-US"/>
        </w:rPr>
        <w:t>IFX vs. placebo (one RCT): ACCENT II.</w:t>
      </w:r>
    </w:p>
    <w:p w14:paraId="6D8A1C36" w14:textId="1006A5C8" w:rsidR="001F1331" w:rsidRPr="001447E7" w:rsidRDefault="001F1331" w:rsidP="002E0F06">
      <w:pPr>
        <w:pStyle w:val="3-BodyText"/>
      </w:pPr>
      <w:r w:rsidRPr="001447E7">
        <w:rPr>
          <w:rFonts w:eastAsiaTheme="minorEastAsia"/>
          <w:lang w:eastAsia="en-US"/>
        </w:rPr>
        <w:t>The submission also presented a</w:t>
      </w:r>
      <w:r w:rsidR="00104EF0" w:rsidRPr="001447E7">
        <w:rPr>
          <w:rFonts w:eastAsiaTheme="minorEastAsia"/>
          <w:lang w:eastAsia="en-US"/>
        </w:rPr>
        <w:t xml:space="preserve">n unanchored indirect </w:t>
      </w:r>
      <w:r w:rsidRPr="001447E7">
        <w:rPr>
          <w:rFonts w:eastAsiaTheme="minorEastAsia"/>
          <w:lang w:eastAsia="en-US"/>
        </w:rPr>
        <w:t xml:space="preserve">comparison between UST versus ADA and IFX for maintenance treatment, incorporating additional evidence from SEAVUE and </w:t>
      </w:r>
      <w:r w:rsidR="00E57869" w:rsidRPr="001447E7">
        <w:rPr>
          <w:rFonts w:eastAsiaTheme="minorEastAsia"/>
          <w:lang w:eastAsia="en-US"/>
        </w:rPr>
        <w:t xml:space="preserve">STARDUST. The STARDUST trial compared </w:t>
      </w:r>
      <w:r w:rsidRPr="001447E7">
        <w:rPr>
          <w:rFonts w:eastAsiaTheme="minorEastAsia"/>
          <w:lang w:eastAsia="en-US"/>
        </w:rPr>
        <w:t>two UST dosing regimens</w:t>
      </w:r>
      <w:r w:rsidR="00111CE2" w:rsidRPr="001447E7">
        <w:rPr>
          <w:rFonts w:eastAsiaTheme="minorEastAsia"/>
          <w:lang w:eastAsia="en-US"/>
        </w:rPr>
        <w:t xml:space="preserve"> (UST ‘routine care’ versus UST ‘treat-to-target’)</w:t>
      </w:r>
      <w:r w:rsidR="00E57869" w:rsidRPr="001447E7">
        <w:rPr>
          <w:rFonts w:eastAsiaTheme="minorEastAsia"/>
          <w:lang w:eastAsia="en-US"/>
        </w:rPr>
        <w:t xml:space="preserve"> for maintenance treatment</w:t>
      </w:r>
      <w:r w:rsidR="00B82D12" w:rsidRPr="001447E7">
        <w:rPr>
          <w:rFonts w:eastAsiaTheme="minorEastAsia"/>
          <w:lang w:eastAsia="en-US"/>
        </w:rPr>
        <w:t xml:space="preserve">, which was not </w:t>
      </w:r>
      <w:r w:rsidR="00261B10" w:rsidRPr="001447E7">
        <w:rPr>
          <w:rFonts w:eastAsiaTheme="minorEastAsia"/>
          <w:lang w:eastAsia="en-US"/>
        </w:rPr>
        <w:t>directly relevant to the submission</w:t>
      </w:r>
      <w:r w:rsidR="00B82D12" w:rsidRPr="001447E7">
        <w:rPr>
          <w:rFonts w:eastAsiaTheme="minorEastAsia"/>
          <w:lang w:eastAsia="en-US"/>
        </w:rPr>
        <w:t>.</w:t>
      </w:r>
      <w:r w:rsidR="00D65FF0" w:rsidRPr="001447E7">
        <w:rPr>
          <w:rFonts w:eastAsiaTheme="minorEastAsia"/>
          <w:lang w:eastAsia="en-US"/>
        </w:rPr>
        <w:t xml:space="preserve"> Patients randomised to ‘routine care’ in STARDUST received the TGA approved dose of UST (90 mg Q8W or Q12W based on clinical judgement)</w:t>
      </w:r>
      <w:r w:rsidR="003C7FC1" w:rsidRPr="001447E7">
        <w:rPr>
          <w:rFonts w:eastAsiaTheme="minorEastAsia"/>
          <w:lang w:eastAsia="en-US"/>
        </w:rPr>
        <w:t>,</w:t>
      </w:r>
      <w:r w:rsidR="00D65FF0" w:rsidRPr="001447E7">
        <w:rPr>
          <w:rFonts w:eastAsiaTheme="minorEastAsia"/>
          <w:lang w:eastAsia="en-US"/>
        </w:rPr>
        <w:t xml:space="preserve"> whereas patients in the ‘treat-to-target’ arm received a dose </w:t>
      </w:r>
      <w:r w:rsidR="003C7FC1" w:rsidRPr="001447E7">
        <w:rPr>
          <w:rFonts w:eastAsiaTheme="minorEastAsia"/>
          <w:lang w:eastAsia="en-US"/>
        </w:rPr>
        <w:t xml:space="preserve">of UST (90 mg Q12W, Q8W or Q4W) </w:t>
      </w:r>
      <w:r w:rsidR="00D65FF0" w:rsidRPr="001447E7">
        <w:rPr>
          <w:rFonts w:eastAsiaTheme="minorEastAsia"/>
          <w:lang w:eastAsia="en-US"/>
        </w:rPr>
        <w:t>based on individualised targets</w:t>
      </w:r>
      <w:r w:rsidR="003C7FC1" w:rsidRPr="001447E7">
        <w:rPr>
          <w:rFonts w:eastAsiaTheme="minorEastAsia"/>
          <w:lang w:eastAsia="en-US"/>
        </w:rPr>
        <w:t xml:space="preserve">. During the trial, </w:t>
      </w:r>
      <w:r w:rsidR="002E0F06" w:rsidRPr="001447E7">
        <w:rPr>
          <w:rFonts w:eastAsiaTheme="minorEastAsia"/>
          <w:lang w:eastAsia="en-US"/>
        </w:rPr>
        <w:t xml:space="preserve">the majority of patients </w:t>
      </w:r>
      <w:r w:rsidR="003C7FC1" w:rsidRPr="001447E7">
        <w:rPr>
          <w:rFonts w:eastAsiaTheme="minorEastAsia"/>
          <w:lang w:eastAsia="en-US"/>
        </w:rPr>
        <w:t>in the ‘treat-to-target’ received UST 90 mg Q</w:t>
      </w:r>
      <w:r w:rsidR="002E0F06" w:rsidRPr="001447E7">
        <w:rPr>
          <w:rFonts w:eastAsiaTheme="minorEastAsia"/>
          <w:lang w:eastAsia="en-US"/>
        </w:rPr>
        <w:t>12</w:t>
      </w:r>
      <w:r w:rsidR="003C7FC1" w:rsidRPr="001447E7">
        <w:rPr>
          <w:rFonts w:eastAsiaTheme="minorEastAsia"/>
          <w:lang w:eastAsia="en-US"/>
        </w:rPr>
        <w:t>W</w:t>
      </w:r>
      <w:r w:rsidR="002E0F06" w:rsidRPr="001447E7">
        <w:rPr>
          <w:rFonts w:eastAsiaTheme="minorEastAsia"/>
          <w:lang w:eastAsia="en-US"/>
        </w:rPr>
        <w:t xml:space="preserve"> or Q8W</w:t>
      </w:r>
      <w:r w:rsidR="003C7FC1" w:rsidRPr="001447E7">
        <w:rPr>
          <w:rFonts w:eastAsiaTheme="minorEastAsia"/>
          <w:lang w:eastAsia="en-US"/>
        </w:rPr>
        <w:t>.</w:t>
      </w:r>
    </w:p>
    <w:p w14:paraId="2222359A" w14:textId="19A0AB0B" w:rsidR="00E57869" w:rsidRPr="001447E7" w:rsidRDefault="00E57869" w:rsidP="001F1331">
      <w:pPr>
        <w:pStyle w:val="3-BodyText"/>
      </w:pPr>
      <w:r w:rsidRPr="001447E7">
        <w:t>In the March 2017 submission, the PBAC considered evidence from all of the placebo-controlled trials for UST (UNITI-1, UNITI-2, IM-UNITI), ADA (CLASSIC I, GAIN, CHARM) and IFX (T20, ACCENT II). The PBAC ha</w:t>
      </w:r>
      <w:r w:rsidR="009C1807" w:rsidRPr="001447E7">
        <w:t>s</w:t>
      </w:r>
      <w:r w:rsidRPr="001447E7">
        <w:t xml:space="preserve"> not considered evidence from SEAVUE or STARDUST.</w:t>
      </w:r>
    </w:p>
    <w:p w14:paraId="2B59ABAC" w14:textId="57108627" w:rsidR="00862502" w:rsidRPr="001447E7" w:rsidRDefault="00A73134" w:rsidP="002532A2">
      <w:pPr>
        <w:pStyle w:val="3-BodyText"/>
      </w:pPr>
      <w:r w:rsidRPr="001447E7">
        <w:rPr>
          <w:snapToGrid/>
          <w:lang w:val="en-US"/>
        </w:rPr>
        <w:t xml:space="preserve">Details of the trials presented in the submission are provided in </w:t>
      </w:r>
      <w:r w:rsidR="00CD670A" w:rsidRPr="001447E7">
        <w:rPr>
          <w:snapToGrid/>
          <w:lang w:val="en-US"/>
        </w:rPr>
        <w:fldChar w:fldCharType="begin"/>
      </w:r>
      <w:r w:rsidR="00CD670A" w:rsidRPr="001447E7">
        <w:rPr>
          <w:snapToGrid/>
          <w:lang w:val="en-US"/>
        </w:rPr>
        <w:instrText xml:space="preserve"> REF _Ref104803956 \h </w:instrText>
      </w:r>
      <w:r w:rsidR="001447E7" w:rsidRPr="001447E7">
        <w:rPr>
          <w:snapToGrid/>
          <w:lang w:val="en-US"/>
        </w:rPr>
        <w:instrText xml:space="preserve"> \* MERGEFORMAT </w:instrText>
      </w:r>
      <w:r w:rsidR="00CD670A" w:rsidRPr="001447E7">
        <w:rPr>
          <w:snapToGrid/>
          <w:lang w:val="en-US"/>
        </w:rPr>
      </w:r>
      <w:r w:rsidR="00CD670A" w:rsidRPr="001447E7">
        <w:rPr>
          <w:snapToGrid/>
          <w:lang w:val="en-US"/>
        </w:rPr>
        <w:fldChar w:fldCharType="separate"/>
      </w:r>
      <w:r w:rsidR="00522D5A">
        <w:t xml:space="preserve">Table </w:t>
      </w:r>
      <w:r w:rsidR="00522D5A">
        <w:rPr>
          <w:noProof/>
        </w:rPr>
        <w:t>2</w:t>
      </w:r>
      <w:r w:rsidR="00CD670A" w:rsidRPr="001447E7">
        <w:rPr>
          <w:snapToGrid/>
          <w:lang w:val="en-US"/>
        </w:rPr>
        <w:fldChar w:fldCharType="end"/>
      </w:r>
      <w:r w:rsidRPr="001447E7">
        <w:rPr>
          <w:snapToGrid/>
          <w:lang w:val="en-US"/>
        </w:rPr>
        <w:t>.</w:t>
      </w:r>
      <w:r w:rsidR="002532A2" w:rsidRPr="001447E7">
        <w:rPr>
          <w:snapToGrid/>
          <w:lang w:val="en-US"/>
        </w:rPr>
        <w:t xml:space="preserve"> </w:t>
      </w:r>
      <w:r w:rsidR="002532A2" w:rsidRPr="001447E7">
        <w:t>An independent search identified one ongoing trial of UST versus placebo evaluating the efficacy and safety of UST in fistulising perianal CD: USTAP (NCT04496063), estimated completion date in September 2023.</w:t>
      </w:r>
    </w:p>
    <w:p w14:paraId="1AA2D7BB" w14:textId="36A69BAB" w:rsidR="00C86883" w:rsidRPr="0023413C" w:rsidRDefault="00696EF9" w:rsidP="00240923">
      <w:pPr>
        <w:pStyle w:val="TableFigureHeading"/>
      </w:pPr>
      <w:bookmarkStart w:id="20" w:name="_Ref104803956"/>
      <w:r>
        <w:lastRenderedPageBreak/>
        <w:t xml:space="preserve">Table </w:t>
      </w:r>
      <w:fldSimple w:instr=" SEQ Table \* ARABIC ">
        <w:r w:rsidR="00522D5A">
          <w:rPr>
            <w:noProof/>
          </w:rPr>
          <w:t>2</w:t>
        </w:r>
      </w:fldSimple>
      <w:bookmarkEnd w:id="20"/>
      <w:r>
        <w:t>:</w:t>
      </w:r>
      <w:r w:rsidR="00BC591F" w:rsidRPr="002E4F02">
        <w:rPr>
          <w:rStyle w:val="CommentReference"/>
          <w:b/>
          <w:szCs w:val="24"/>
        </w:rPr>
        <w:t xml:space="preserve"> </w:t>
      </w:r>
      <w:r w:rsidR="008E0D3C" w:rsidRPr="002E4F02">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C86883" w:rsidRPr="001447E7" w14:paraId="792F3779" w14:textId="77777777" w:rsidTr="00B70466">
        <w:trPr>
          <w:tblHeader/>
        </w:trPr>
        <w:tc>
          <w:tcPr>
            <w:tcW w:w="796" w:type="pct"/>
            <w:tcBorders>
              <w:bottom w:val="single" w:sz="4" w:space="0" w:color="auto"/>
            </w:tcBorders>
            <w:vAlign w:val="center"/>
          </w:tcPr>
          <w:p w14:paraId="743AE557" w14:textId="77777777" w:rsidR="00C86883" w:rsidRPr="001447E7" w:rsidRDefault="00C86883" w:rsidP="00240923">
            <w:pPr>
              <w:pStyle w:val="In-tableHeading"/>
            </w:pPr>
            <w:r w:rsidRPr="001447E7">
              <w:t>Trial ID</w:t>
            </w:r>
          </w:p>
        </w:tc>
        <w:tc>
          <w:tcPr>
            <w:tcW w:w="3027" w:type="pct"/>
            <w:tcBorders>
              <w:bottom w:val="single" w:sz="4" w:space="0" w:color="auto"/>
            </w:tcBorders>
            <w:vAlign w:val="center"/>
          </w:tcPr>
          <w:p w14:paraId="127D3498" w14:textId="77777777" w:rsidR="00C86883" w:rsidRPr="001447E7" w:rsidRDefault="00C86883" w:rsidP="00240923">
            <w:pPr>
              <w:pStyle w:val="In-tableHeading"/>
            </w:pPr>
            <w:r w:rsidRPr="001447E7">
              <w:t>Protocol title/ Publication title</w:t>
            </w:r>
          </w:p>
        </w:tc>
        <w:tc>
          <w:tcPr>
            <w:tcW w:w="1177" w:type="pct"/>
            <w:tcBorders>
              <w:bottom w:val="single" w:sz="4" w:space="0" w:color="auto"/>
            </w:tcBorders>
            <w:vAlign w:val="center"/>
          </w:tcPr>
          <w:p w14:paraId="6857539A" w14:textId="77777777" w:rsidR="00C86883" w:rsidRPr="001447E7" w:rsidRDefault="00C86883" w:rsidP="00240923">
            <w:pPr>
              <w:pStyle w:val="In-tableHeading"/>
            </w:pPr>
            <w:r w:rsidRPr="001447E7">
              <w:t>Publication citation</w:t>
            </w:r>
          </w:p>
        </w:tc>
      </w:tr>
      <w:tr w:rsidR="00C86883" w:rsidRPr="001447E7" w14:paraId="1E74C725" w14:textId="77777777" w:rsidTr="00B70466">
        <w:tc>
          <w:tcPr>
            <w:tcW w:w="5000" w:type="pct"/>
            <w:gridSpan w:val="3"/>
            <w:tcBorders>
              <w:bottom w:val="single" w:sz="4" w:space="0" w:color="auto"/>
            </w:tcBorders>
            <w:vAlign w:val="center"/>
          </w:tcPr>
          <w:p w14:paraId="237018D1" w14:textId="77777777" w:rsidR="00C86883" w:rsidRPr="001447E7" w:rsidRDefault="00C86883" w:rsidP="00240923">
            <w:pPr>
              <w:pStyle w:val="TableText0"/>
            </w:pPr>
            <w:r w:rsidRPr="001447E7">
              <w:rPr>
                <w:b/>
                <w:bCs w:val="0"/>
              </w:rPr>
              <w:t>UST vs ADA</w:t>
            </w:r>
          </w:p>
        </w:tc>
      </w:tr>
      <w:tr w:rsidR="00C86883" w:rsidRPr="001447E7" w14:paraId="5BE4CA38" w14:textId="77777777" w:rsidTr="00B70466">
        <w:tc>
          <w:tcPr>
            <w:tcW w:w="796" w:type="pct"/>
            <w:tcBorders>
              <w:top w:val="single" w:sz="4" w:space="0" w:color="auto"/>
              <w:bottom w:val="nil"/>
            </w:tcBorders>
            <w:vAlign w:val="center"/>
          </w:tcPr>
          <w:p w14:paraId="127F75EC" w14:textId="77777777" w:rsidR="00C86883" w:rsidRPr="001447E7" w:rsidRDefault="00C86883" w:rsidP="00240923">
            <w:pPr>
              <w:pStyle w:val="TableText0"/>
            </w:pPr>
            <w:r w:rsidRPr="001447E7">
              <w:t>SEAVUE</w:t>
            </w:r>
          </w:p>
          <w:p w14:paraId="01089948" w14:textId="68B75D98" w:rsidR="00C86883" w:rsidRPr="001447E7" w:rsidRDefault="00C86883" w:rsidP="00240923">
            <w:pPr>
              <w:pStyle w:val="TableText0"/>
              <w:rPr>
                <w:b/>
                <w:bCs w:val="0"/>
              </w:rPr>
            </w:pPr>
            <w:r w:rsidRPr="001447E7">
              <w:t>NCT0346136</w:t>
            </w:r>
          </w:p>
        </w:tc>
        <w:tc>
          <w:tcPr>
            <w:tcW w:w="3027" w:type="pct"/>
            <w:tcBorders>
              <w:top w:val="single" w:sz="4" w:space="0" w:color="auto"/>
              <w:bottom w:val="nil"/>
            </w:tcBorders>
            <w:vAlign w:val="center"/>
          </w:tcPr>
          <w:p w14:paraId="41ED1388" w14:textId="77777777" w:rsidR="00C86883" w:rsidRPr="001447E7" w:rsidRDefault="00C86883" w:rsidP="00240923">
            <w:pPr>
              <w:pStyle w:val="TableText0"/>
              <w:rPr>
                <w:szCs w:val="18"/>
              </w:rPr>
            </w:pPr>
            <w:r w:rsidRPr="001447E7">
              <w:t xml:space="preserve">Clinical Study Report </w:t>
            </w:r>
            <w:r w:rsidRPr="001447E7">
              <w:rPr>
                <w:rFonts w:eastAsia="TimesNewRoman,Bold" w:cs="TimesNewRoman,Bold"/>
              </w:rPr>
              <w:t>CNTO1275CRD3007. A phase 3, randomized, blinded, active-controlled study to compare the efficacy and safety of ustekinumab to that of adalimumab in the treatment of biologic naïve subjects with moderately-to-severe active Crohn’s disease: Safety and efficacy of adalimumab versus ustekinumab for one year (SEAVUE)</w:t>
            </w:r>
          </w:p>
        </w:tc>
        <w:tc>
          <w:tcPr>
            <w:tcW w:w="1177" w:type="pct"/>
            <w:tcBorders>
              <w:top w:val="single" w:sz="4" w:space="0" w:color="auto"/>
              <w:bottom w:val="nil"/>
            </w:tcBorders>
            <w:vAlign w:val="center"/>
          </w:tcPr>
          <w:p w14:paraId="3F1320F9" w14:textId="77777777" w:rsidR="00C86883" w:rsidRPr="001447E7" w:rsidRDefault="00C86883" w:rsidP="00240923">
            <w:pPr>
              <w:pStyle w:val="TableText0"/>
            </w:pPr>
            <w:r w:rsidRPr="001447E7">
              <w:t>March 2022</w:t>
            </w:r>
          </w:p>
        </w:tc>
      </w:tr>
      <w:tr w:rsidR="00C86883" w:rsidRPr="001447E7" w14:paraId="3C613360" w14:textId="77777777" w:rsidTr="00B70466">
        <w:tc>
          <w:tcPr>
            <w:tcW w:w="796" w:type="pct"/>
            <w:tcBorders>
              <w:top w:val="nil"/>
              <w:left w:val="single" w:sz="4" w:space="0" w:color="auto"/>
              <w:bottom w:val="single" w:sz="4" w:space="0" w:color="auto"/>
              <w:right w:val="single" w:sz="4" w:space="0" w:color="auto"/>
            </w:tcBorders>
            <w:vAlign w:val="center"/>
          </w:tcPr>
          <w:p w14:paraId="732EB768" w14:textId="77777777" w:rsidR="00C86883" w:rsidRPr="001447E7" w:rsidRDefault="00C86883" w:rsidP="00240923">
            <w:pPr>
              <w:pStyle w:val="TableText0"/>
            </w:pPr>
          </w:p>
        </w:tc>
        <w:tc>
          <w:tcPr>
            <w:tcW w:w="3027" w:type="pct"/>
            <w:tcBorders>
              <w:top w:val="nil"/>
              <w:left w:val="single" w:sz="4" w:space="0" w:color="auto"/>
              <w:bottom w:val="single" w:sz="4" w:space="0" w:color="auto"/>
              <w:right w:val="single" w:sz="4" w:space="0" w:color="auto"/>
            </w:tcBorders>
            <w:vAlign w:val="center"/>
          </w:tcPr>
          <w:p w14:paraId="623F14A7" w14:textId="77777777" w:rsidR="00C86883" w:rsidRPr="001447E7" w:rsidRDefault="00C86883" w:rsidP="00240923">
            <w:pPr>
              <w:pStyle w:val="TableText0"/>
            </w:pPr>
            <w:r w:rsidRPr="001447E7">
              <w:t>Sands BE, Irving PM, Hoops T et al. Ustekinumab versus adalimumab for induction and maintenance therapy in biologic-naïve patients with moderately to severely active Crohn’s disease: a multicentre, randomised, double-blind, parallel-group, phase 3b trial.</w:t>
            </w:r>
          </w:p>
        </w:tc>
        <w:tc>
          <w:tcPr>
            <w:tcW w:w="1177" w:type="pct"/>
            <w:tcBorders>
              <w:top w:val="nil"/>
              <w:left w:val="single" w:sz="4" w:space="0" w:color="auto"/>
              <w:bottom w:val="single" w:sz="4" w:space="0" w:color="auto"/>
              <w:right w:val="single" w:sz="4" w:space="0" w:color="auto"/>
            </w:tcBorders>
            <w:vAlign w:val="center"/>
          </w:tcPr>
          <w:p w14:paraId="29083EE2" w14:textId="77777777" w:rsidR="00C86883" w:rsidRPr="001447E7" w:rsidRDefault="00C86883" w:rsidP="00240923">
            <w:pPr>
              <w:pStyle w:val="TableText0"/>
            </w:pPr>
            <w:r w:rsidRPr="001447E7">
              <w:rPr>
                <w:rFonts w:cs="Arial Narrow"/>
              </w:rPr>
              <w:t>Lancet 2022; 399: 2200-2211.</w:t>
            </w:r>
          </w:p>
        </w:tc>
      </w:tr>
      <w:tr w:rsidR="00C86883" w:rsidRPr="001447E7" w14:paraId="37EFC984" w14:textId="77777777" w:rsidTr="00B70466">
        <w:tc>
          <w:tcPr>
            <w:tcW w:w="5000" w:type="pct"/>
            <w:gridSpan w:val="3"/>
            <w:tcBorders>
              <w:top w:val="single" w:sz="4" w:space="0" w:color="auto"/>
            </w:tcBorders>
            <w:vAlign w:val="center"/>
          </w:tcPr>
          <w:p w14:paraId="77FCCA74" w14:textId="77777777" w:rsidR="00C86883" w:rsidRPr="001447E7" w:rsidRDefault="00C86883" w:rsidP="00B70466">
            <w:pPr>
              <w:pStyle w:val="TableText0"/>
              <w:keepNext w:val="0"/>
              <w:rPr>
                <w:rFonts w:cs="Arial Narrow"/>
                <w:szCs w:val="20"/>
              </w:rPr>
            </w:pPr>
            <w:r w:rsidRPr="001447E7">
              <w:rPr>
                <w:b/>
                <w:szCs w:val="20"/>
                <w:lang w:val="en-US"/>
              </w:rPr>
              <w:t>UST ‘routine care’ v UST ‘treat-to-target’</w:t>
            </w:r>
          </w:p>
        </w:tc>
      </w:tr>
      <w:tr w:rsidR="00C86883" w:rsidRPr="001447E7" w14:paraId="036D0F02" w14:textId="77777777" w:rsidTr="00B70466">
        <w:tc>
          <w:tcPr>
            <w:tcW w:w="796" w:type="pct"/>
            <w:tcBorders>
              <w:top w:val="nil"/>
              <w:bottom w:val="nil"/>
            </w:tcBorders>
            <w:vAlign w:val="center"/>
          </w:tcPr>
          <w:p w14:paraId="47CBB7C1" w14:textId="77777777" w:rsidR="00C86883" w:rsidRPr="001447E7" w:rsidRDefault="00C86883" w:rsidP="00B70466">
            <w:pPr>
              <w:pStyle w:val="TableText0"/>
              <w:keepNext w:val="0"/>
            </w:pPr>
            <w:r w:rsidRPr="001447E7">
              <w:t>STARDUST</w:t>
            </w:r>
          </w:p>
          <w:p w14:paraId="05128CB9" w14:textId="54E30CB7" w:rsidR="00E749B1" w:rsidRPr="001447E7" w:rsidRDefault="00E749B1" w:rsidP="00B70466">
            <w:pPr>
              <w:pStyle w:val="TableText0"/>
              <w:keepNext w:val="0"/>
            </w:pPr>
            <w:r w:rsidRPr="001447E7">
              <w:t>NCT03107793</w:t>
            </w:r>
          </w:p>
        </w:tc>
        <w:tc>
          <w:tcPr>
            <w:tcW w:w="3027" w:type="pct"/>
            <w:tcBorders>
              <w:top w:val="nil"/>
              <w:bottom w:val="nil"/>
            </w:tcBorders>
            <w:vAlign w:val="center"/>
          </w:tcPr>
          <w:p w14:paraId="33AD386D" w14:textId="77777777" w:rsidR="00C86883" w:rsidRPr="001447E7" w:rsidRDefault="00C86883" w:rsidP="00B70466">
            <w:pPr>
              <w:pStyle w:val="TableText0"/>
              <w:keepNext w:val="0"/>
            </w:pPr>
            <w:r w:rsidRPr="001447E7">
              <w:t xml:space="preserve">Clinical Study Report </w:t>
            </w:r>
            <w:r w:rsidRPr="001447E7">
              <w:rPr>
                <w:rFonts w:eastAsia="TimesNewRoman,Bold" w:cs="TimesNewRoman,Bold"/>
              </w:rPr>
              <w:t>CNTO1275CRD3005. Study of treat to target versus routine care maintenance strategies in Crohn’s disease patients treated with ustekinumab.</w:t>
            </w:r>
          </w:p>
        </w:tc>
        <w:tc>
          <w:tcPr>
            <w:tcW w:w="1177" w:type="pct"/>
            <w:tcBorders>
              <w:top w:val="nil"/>
              <w:bottom w:val="nil"/>
            </w:tcBorders>
            <w:vAlign w:val="center"/>
          </w:tcPr>
          <w:p w14:paraId="175A6F50" w14:textId="77777777" w:rsidR="00C86883" w:rsidRPr="001447E7" w:rsidRDefault="00C86883" w:rsidP="00B70466">
            <w:pPr>
              <w:pStyle w:val="TableText0"/>
              <w:keepNext w:val="0"/>
              <w:rPr>
                <w:rFonts w:cs="Arial Narrow"/>
              </w:rPr>
            </w:pPr>
            <w:r w:rsidRPr="001447E7">
              <w:t>June 2022.</w:t>
            </w:r>
          </w:p>
        </w:tc>
      </w:tr>
      <w:tr w:rsidR="00C86883" w:rsidRPr="001447E7" w14:paraId="65216FD1" w14:textId="77777777" w:rsidTr="00B70466">
        <w:tc>
          <w:tcPr>
            <w:tcW w:w="796" w:type="pct"/>
            <w:tcBorders>
              <w:top w:val="nil"/>
              <w:left w:val="single" w:sz="4" w:space="0" w:color="auto"/>
              <w:bottom w:val="single" w:sz="4" w:space="0" w:color="auto"/>
              <w:right w:val="single" w:sz="4" w:space="0" w:color="auto"/>
            </w:tcBorders>
            <w:vAlign w:val="center"/>
          </w:tcPr>
          <w:p w14:paraId="09E56305" w14:textId="77777777" w:rsidR="00C86883" w:rsidRPr="001447E7" w:rsidRDefault="00C86883" w:rsidP="00B70466">
            <w:pPr>
              <w:pStyle w:val="TableText0"/>
              <w:keepNext w:val="0"/>
            </w:pPr>
          </w:p>
        </w:tc>
        <w:tc>
          <w:tcPr>
            <w:tcW w:w="3027" w:type="pct"/>
            <w:tcBorders>
              <w:top w:val="nil"/>
              <w:left w:val="single" w:sz="4" w:space="0" w:color="auto"/>
              <w:bottom w:val="single" w:sz="4" w:space="0" w:color="auto"/>
              <w:right w:val="single" w:sz="4" w:space="0" w:color="auto"/>
            </w:tcBorders>
            <w:vAlign w:val="center"/>
          </w:tcPr>
          <w:p w14:paraId="40147F7F" w14:textId="77777777" w:rsidR="00C86883" w:rsidRPr="001447E7" w:rsidRDefault="00C86883" w:rsidP="00B70466">
            <w:pPr>
              <w:pStyle w:val="TableText0"/>
              <w:keepNext w:val="0"/>
            </w:pPr>
            <w:r w:rsidRPr="001447E7">
              <w:t>Danese S, Vermeire S, D’Haens G. Treat to target versus standard of care for patients with Crohn’s disease treated with ustekinumab (STARDUST): an open-label, multicentre, randomised phase 3b trial.</w:t>
            </w:r>
          </w:p>
        </w:tc>
        <w:tc>
          <w:tcPr>
            <w:tcW w:w="1177" w:type="pct"/>
            <w:tcBorders>
              <w:top w:val="nil"/>
              <w:left w:val="single" w:sz="4" w:space="0" w:color="auto"/>
              <w:bottom w:val="single" w:sz="4" w:space="0" w:color="auto"/>
              <w:right w:val="single" w:sz="4" w:space="0" w:color="auto"/>
            </w:tcBorders>
            <w:vAlign w:val="center"/>
          </w:tcPr>
          <w:p w14:paraId="6D6C0C51" w14:textId="77777777" w:rsidR="00C86883" w:rsidRPr="001447E7" w:rsidRDefault="00C86883" w:rsidP="00B70466">
            <w:pPr>
              <w:pStyle w:val="TableText0"/>
              <w:keepNext w:val="0"/>
            </w:pPr>
            <w:r w:rsidRPr="001447E7">
              <w:t>Lancet Gastroenterol Hepatol 2022; 7: 294-306.</w:t>
            </w:r>
          </w:p>
        </w:tc>
      </w:tr>
      <w:tr w:rsidR="00C86883" w:rsidRPr="001447E7" w14:paraId="7271585A" w14:textId="77777777" w:rsidTr="00B70466">
        <w:tc>
          <w:tcPr>
            <w:tcW w:w="5000" w:type="pct"/>
            <w:gridSpan w:val="3"/>
            <w:tcBorders>
              <w:top w:val="single" w:sz="4" w:space="0" w:color="auto"/>
              <w:bottom w:val="nil"/>
            </w:tcBorders>
            <w:vAlign w:val="center"/>
          </w:tcPr>
          <w:p w14:paraId="4ECB9073" w14:textId="77777777" w:rsidR="00C86883" w:rsidRPr="001447E7" w:rsidRDefault="00C86883" w:rsidP="00B70466">
            <w:pPr>
              <w:pStyle w:val="TableText0"/>
              <w:keepNext w:val="0"/>
            </w:pPr>
            <w:r w:rsidRPr="001447E7">
              <w:rPr>
                <w:b/>
                <w:bCs w:val="0"/>
              </w:rPr>
              <w:t>UST vs PBO</w:t>
            </w:r>
          </w:p>
        </w:tc>
      </w:tr>
      <w:tr w:rsidR="00C86883" w:rsidRPr="001447E7" w14:paraId="5A9C63C5" w14:textId="77777777" w:rsidTr="00B70466">
        <w:tc>
          <w:tcPr>
            <w:tcW w:w="796" w:type="pct"/>
            <w:tcBorders>
              <w:bottom w:val="nil"/>
            </w:tcBorders>
            <w:shd w:val="clear" w:color="auto" w:fill="C6D9F1" w:themeFill="text2" w:themeFillTint="33"/>
            <w:vAlign w:val="center"/>
          </w:tcPr>
          <w:p w14:paraId="7A9092DD" w14:textId="77777777" w:rsidR="00C86883" w:rsidRPr="001447E7" w:rsidRDefault="00C86883" w:rsidP="00B70466">
            <w:pPr>
              <w:pStyle w:val="TableText0"/>
              <w:keepNext w:val="0"/>
            </w:pPr>
            <w:r w:rsidRPr="001447E7">
              <w:t>UNITI-1*</w:t>
            </w:r>
          </w:p>
          <w:p w14:paraId="015766F7" w14:textId="457AAC7F" w:rsidR="00E749B1" w:rsidRPr="001447E7" w:rsidRDefault="00E749B1" w:rsidP="00B70466">
            <w:pPr>
              <w:pStyle w:val="TableText0"/>
              <w:keepNext w:val="0"/>
            </w:pPr>
            <w:r w:rsidRPr="001447E7">
              <w:t>NCT01369329</w:t>
            </w:r>
          </w:p>
        </w:tc>
        <w:tc>
          <w:tcPr>
            <w:tcW w:w="3027" w:type="pct"/>
            <w:tcBorders>
              <w:bottom w:val="nil"/>
            </w:tcBorders>
            <w:shd w:val="clear" w:color="auto" w:fill="C6D9F1" w:themeFill="text2" w:themeFillTint="33"/>
            <w:vAlign w:val="center"/>
          </w:tcPr>
          <w:p w14:paraId="1115C55C" w14:textId="77777777" w:rsidR="00C86883" w:rsidRPr="001447E7" w:rsidRDefault="00C86883" w:rsidP="00B70466">
            <w:pPr>
              <w:pStyle w:val="TableText0"/>
              <w:keepNext w:val="0"/>
              <w:rPr>
                <w:szCs w:val="18"/>
              </w:rPr>
            </w:pPr>
            <w:r w:rsidRPr="001447E7">
              <w:t>Clinical Study Report CNTO1275CRD3001. A phase 3, randomized, double-blind, placebo-controlled, parallel-group, multicentre study to evaluate the safety and efficacy of ustekinumab induction therapy in subjects with moderately to severely active Crohn’s disease who have failed or are intolerant to TNF antagonist therapy.</w:t>
            </w:r>
          </w:p>
        </w:tc>
        <w:tc>
          <w:tcPr>
            <w:tcW w:w="1177" w:type="pct"/>
            <w:tcBorders>
              <w:bottom w:val="nil"/>
            </w:tcBorders>
            <w:shd w:val="clear" w:color="auto" w:fill="C6D9F1" w:themeFill="text2" w:themeFillTint="33"/>
            <w:vAlign w:val="center"/>
          </w:tcPr>
          <w:p w14:paraId="0B4113AC" w14:textId="77777777" w:rsidR="00C86883" w:rsidRPr="001447E7" w:rsidRDefault="00C86883" w:rsidP="00B70466">
            <w:pPr>
              <w:pStyle w:val="TableText0"/>
              <w:keepNext w:val="0"/>
            </w:pPr>
            <w:r w:rsidRPr="001447E7">
              <w:t>Sept 2015</w:t>
            </w:r>
          </w:p>
        </w:tc>
      </w:tr>
      <w:tr w:rsidR="00C86883" w:rsidRPr="001447E7" w14:paraId="702EC8EC" w14:textId="77777777" w:rsidTr="00B70466">
        <w:tc>
          <w:tcPr>
            <w:tcW w:w="796" w:type="pct"/>
            <w:tcBorders>
              <w:bottom w:val="nil"/>
            </w:tcBorders>
            <w:shd w:val="clear" w:color="auto" w:fill="C6D9F1" w:themeFill="text2" w:themeFillTint="33"/>
            <w:vAlign w:val="center"/>
          </w:tcPr>
          <w:p w14:paraId="23ABEC25" w14:textId="77777777" w:rsidR="00C86883" w:rsidRPr="001447E7" w:rsidRDefault="00C86883" w:rsidP="00B70466">
            <w:pPr>
              <w:pStyle w:val="TableText0"/>
              <w:keepNext w:val="0"/>
            </w:pPr>
            <w:r w:rsidRPr="001447E7">
              <w:t>UNITI-2*</w:t>
            </w:r>
          </w:p>
          <w:p w14:paraId="3CAC5A31" w14:textId="38C74201" w:rsidR="00E749B1" w:rsidRPr="001447E7" w:rsidRDefault="00E749B1" w:rsidP="00B70466">
            <w:pPr>
              <w:pStyle w:val="TableText0"/>
              <w:keepNext w:val="0"/>
            </w:pPr>
            <w:r w:rsidRPr="001447E7">
              <w:t>NCT01369342</w:t>
            </w:r>
          </w:p>
        </w:tc>
        <w:tc>
          <w:tcPr>
            <w:tcW w:w="3027" w:type="pct"/>
            <w:tcBorders>
              <w:bottom w:val="nil"/>
            </w:tcBorders>
            <w:shd w:val="clear" w:color="auto" w:fill="C6D9F1" w:themeFill="text2" w:themeFillTint="33"/>
            <w:vAlign w:val="center"/>
          </w:tcPr>
          <w:p w14:paraId="3B0CCEE3" w14:textId="77777777" w:rsidR="00C86883" w:rsidRPr="001447E7" w:rsidRDefault="00C86883" w:rsidP="00B70466">
            <w:pPr>
              <w:pStyle w:val="TableText0"/>
              <w:keepNext w:val="0"/>
            </w:pPr>
            <w:r w:rsidRPr="001447E7">
              <w:t>Clinical Study Report CNTO1275CRD3002. A phase 3, randomized, double-blind, placebo-controlled, parallel-group, multicentre study to evaluate the safety and efficacy of ustekinumab induction therapy in subjects with moderately to severely active Crohn’s disease.</w:t>
            </w:r>
          </w:p>
        </w:tc>
        <w:tc>
          <w:tcPr>
            <w:tcW w:w="1177" w:type="pct"/>
            <w:tcBorders>
              <w:bottom w:val="nil"/>
            </w:tcBorders>
            <w:shd w:val="clear" w:color="auto" w:fill="C6D9F1" w:themeFill="text2" w:themeFillTint="33"/>
            <w:vAlign w:val="center"/>
          </w:tcPr>
          <w:p w14:paraId="7569A012" w14:textId="77777777" w:rsidR="00C86883" w:rsidRPr="001447E7" w:rsidRDefault="00C86883" w:rsidP="00B70466">
            <w:pPr>
              <w:pStyle w:val="TableText0"/>
              <w:keepNext w:val="0"/>
            </w:pPr>
            <w:r w:rsidRPr="001447E7">
              <w:t>Oct 2015</w:t>
            </w:r>
          </w:p>
        </w:tc>
      </w:tr>
      <w:tr w:rsidR="00C86883" w:rsidRPr="001447E7" w14:paraId="1E110285" w14:textId="77777777" w:rsidTr="00B70466">
        <w:tc>
          <w:tcPr>
            <w:tcW w:w="796" w:type="pct"/>
            <w:tcBorders>
              <w:bottom w:val="nil"/>
            </w:tcBorders>
            <w:shd w:val="clear" w:color="auto" w:fill="C6D9F1" w:themeFill="text2" w:themeFillTint="33"/>
            <w:vAlign w:val="center"/>
          </w:tcPr>
          <w:p w14:paraId="0DE10BAD" w14:textId="77777777" w:rsidR="00C86883" w:rsidRPr="001447E7" w:rsidRDefault="00C86883" w:rsidP="00B70466">
            <w:pPr>
              <w:pStyle w:val="TableText0"/>
              <w:keepNext w:val="0"/>
            </w:pPr>
            <w:r w:rsidRPr="001447E7">
              <w:t>IM-UNITI*</w:t>
            </w:r>
          </w:p>
          <w:p w14:paraId="4DDF05A3" w14:textId="5CFF524D" w:rsidR="00E749B1" w:rsidRPr="001447E7" w:rsidRDefault="00E749B1" w:rsidP="00B70466">
            <w:pPr>
              <w:pStyle w:val="TableText0"/>
              <w:keepNext w:val="0"/>
            </w:pPr>
            <w:r w:rsidRPr="001447E7">
              <w:t>NCT01369355</w:t>
            </w:r>
          </w:p>
        </w:tc>
        <w:tc>
          <w:tcPr>
            <w:tcW w:w="3027" w:type="pct"/>
            <w:tcBorders>
              <w:bottom w:val="nil"/>
            </w:tcBorders>
            <w:shd w:val="clear" w:color="auto" w:fill="C6D9F1" w:themeFill="text2" w:themeFillTint="33"/>
            <w:vAlign w:val="center"/>
          </w:tcPr>
          <w:p w14:paraId="7FE81A73" w14:textId="77777777" w:rsidR="00C86883" w:rsidRPr="001447E7" w:rsidRDefault="00C86883" w:rsidP="00B70466">
            <w:pPr>
              <w:pStyle w:val="TableText0"/>
              <w:keepNext w:val="0"/>
            </w:pPr>
            <w:r w:rsidRPr="001447E7">
              <w:t>Clinical Study Report CNTO1275CRD3003. A phase 3, randomized, double-blind, placebo-controlled, parallel-group, multicentre study to evaluate the safety and efficacy of ustekinumab maintenance therapy in subjects with moderately to severely active Crohn’s disease.</w:t>
            </w:r>
          </w:p>
        </w:tc>
        <w:tc>
          <w:tcPr>
            <w:tcW w:w="1177" w:type="pct"/>
            <w:tcBorders>
              <w:bottom w:val="nil"/>
            </w:tcBorders>
            <w:shd w:val="clear" w:color="auto" w:fill="C6D9F1" w:themeFill="text2" w:themeFillTint="33"/>
            <w:vAlign w:val="center"/>
          </w:tcPr>
          <w:p w14:paraId="064B9EA0" w14:textId="77777777" w:rsidR="00C86883" w:rsidRPr="001447E7" w:rsidRDefault="00C86883" w:rsidP="00B70466">
            <w:pPr>
              <w:pStyle w:val="TableText0"/>
              <w:keepNext w:val="0"/>
            </w:pPr>
            <w:r w:rsidRPr="001447E7">
              <w:t>Nov 2015</w:t>
            </w:r>
          </w:p>
        </w:tc>
      </w:tr>
      <w:tr w:rsidR="00C86883" w:rsidRPr="001447E7" w14:paraId="2F289BE8" w14:textId="77777777" w:rsidTr="002B0175">
        <w:tc>
          <w:tcPr>
            <w:tcW w:w="796" w:type="pct"/>
            <w:tcBorders>
              <w:top w:val="nil"/>
              <w:left w:val="single" w:sz="4" w:space="0" w:color="auto"/>
              <w:bottom w:val="single" w:sz="4" w:space="0" w:color="auto"/>
              <w:right w:val="single" w:sz="4" w:space="0" w:color="auto"/>
            </w:tcBorders>
            <w:shd w:val="clear" w:color="auto" w:fill="C6D9F1" w:themeFill="text2" w:themeFillTint="33"/>
            <w:vAlign w:val="center"/>
          </w:tcPr>
          <w:p w14:paraId="0D9A6A1B" w14:textId="77777777" w:rsidR="00C86883" w:rsidRPr="001447E7" w:rsidRDefault="00C86883" w:rsidP="00B70466">
            <w:pPr>
              <w:pStyle w:val="TableText0"/>
              <w:keepNext w:val="0"/>
            </w:pPr>
          </w:p>
        </w:tc>
        <w:tc>
          <w:tcPr>
            <w:tcW w:w="3027" w:type="pct"/>
            <w:tcBorders>
              <w:top w:val="nil"/>
              <w:left w:val="single" w:sz="4" w:space="0" w:color="auto"/>
              <w:bottom w:val="single" w:sz="4" w:space="0" w:color="auto"/>
              <w:right w:val="single" w:sz="4" w:space="0" w:color="auto"/>
            </w:tcBorders>
            <w:vAlign w:val="center"/>
          </w:tcPr>
          <w:p w14:paraId="77E553B7" w14:textId="77777777" w:rsidR="00C86883" w:rsidRPr="001447E7" w:rsidRDefault="00C86883" w:rsidP="00B70466">
            <w:pPr>
              <w:pStyle w:val="Tablebullet1"/>
              <w:keepNext w:val="0"/>
              <w:widowControl/>
              <w:numPr>
                <w:ilvl w:val="0"/>
                <w:numId w:val="0"/>
              </w:numPr>
              <w:tabs>
                <w:tab w:val="clear" w:pos="316"/>
                <w:tab w:val="clear" w:pos="442"/>
              </w:tabs>
              <w:contextualSpacing w:val="0"/>
            </w:pPr>
            <w:r w:rsidRPr="001447E7">
              <w:rPr>
                <w:lang w:val="de-DE"/>
              </w:rPr>
              <w:t xml:space="preserve">Sandborn WJ, Rebuck R, Wang Y et al. </w:t>
            </w:r>
            <w:r w:rsidRPr="001447E7">
              <w:t>Five-Year Efficacy and Safety of Ustekinumab Treatment in Crohn’s Disease: The IM-UNITI Trial</w:t>
            </w:r>
          </w:p>
        </w:tc>
        <w:tc>
          <w:tcPr>
            <w:tcW w:w="1177" w:type="pct"/>
            <w:tcBorders>
              <w:top w:val="nil"/>
              <w:left w:val="single" w:sz="4" w:space="0" w:color="auto"/>
              <w:bottom w:val="single" w:sz="4" w:space="0" w:color="auto"/>
              <w:right w:val="single" w:sz="4" w:space="0" w:color="auto"/>
            </w:tcBorders>
            <w:vAlign w:val="center"/>
          </w:tcPr>
          <w:p w14:paraId="5428754B" w14:textId="55E02FA8" w:rsidR="00C86883" w:rsidRPr="001447E7" w:rsidRDefault="00C86883" w:rsidP="00965883">
            <w:pPr>
              <w:pStyle w:val="Tablebullet1"/>
              <w:keepNext w:val="0"/>
              <w:widowControl/>
              <w:numPr>
                <w:ilvl w:val="0"/>
                <w:numId w:val="0"/>
              </w:numPr>
              <w:tabs>
                <w:tab w:val="clear" w:pos="316"/>
                <w:tab w:val="clear" w:pos="442"/>
              </w:tabs>
              <w:contextualSpacing w:val="0"/>
            </w:pPr>
            <w:r w:rsidRPr="001447E7">
              <w:t>Clin Gastroenterol Hepatol 2022; 20: 578-590.</w:t>
            </w:r>
          </w:p>
        </w:tc>
      </w:tr>
      <w:tr w:rsidR="00C86883" w:rsidRPr="001447E7" w14:paraId="336D4C92" w14:textId="77777777" w:rsidTr="00B70466">
        <w:tc>
          <w:tcPr>
            <w:tcW w:w="5000" w:type="pct"/>
            <w:gridSpan w:val="3"/>
            <w:tcBorders>
              <w:top w:val="nil"/>
              <w:bottom w:val="single" w:sz="4" w:space="0" w:color="auto"/>
            </w:tcBorders>
            <w:vAlign w:val="center"/>
          </w:tcPr>
          <w:p w14:paraId="43F1EF12" w14:textId="77777777" w:rsidR="00C86883" w:rsidRPr="001447E7" w:rsidRDefault="00C86883" w:rsidP="00B76EF2">
            <w:pPr>
              <w:pStyle w:val="TableText0"/>
              <w:keepLines/>
            </w:pPr>
            <w:r w:rsidRPr="001447E7">
              <w:rPr>
                <w:b/>
                <w:bCs w:val="0"/>
              </w:rPr>
              <w:t>ADA vs PBO</w:t>
            </w:r>
          </w:p>
        </w:tc>
      </w:tr>
      <w:tr w:rsidR="00C86883" w:rsidRPr="001447E7" w14:paraId="52EC2146" w14:textId="77777777" w:rsidTr="00B70466">
        <w:tc>
          <w:tcPr>
            <w:tcW w:w="796" w:type="pct"/>
            <w:shd w:val="clear" w:color="auto" w:fill="C6D9F1" w:themeFill="text2" w:themeFillTint="33"/>
          </w:tcPr>
          <w:p w14:paraId="031F5E60" w14:textId="77777777" w:rsidR="00C86883" w:rsidRPr="001447E7" w:rsidRDefault="00C86883" w:rsidP="00B76EF2">
            <w:pPr>
              <w:pStyle w:val="TableText0"/>
              <w:keepLines/>
            </w:pPr>
            <w:r w:rsidRPr="001447E7">
              <w:rPr>
                <w:rFonts w:cs="Arial Narrow"/>
              </w:rPr>
              <w:t>CLASSIC I</w:t>
            </w:r>
          </w:p>
        </w:tc>
        <w:tc>
          <w:tcPr>
            <w:tcW w:w="3027" w:type="pct"/>
            <w:shd w:val="clear" w:color="auto" w:fill="C6D9F1" w:themeFill="text2" w:themeFillTint="33"/>
          </w:tcPr>
          <w:p w14:paraId="65743A7A" w14:textId="77777777" w:rsidR="00C86883" w:rsidRPr="001447E7" w:rsidRDefault="00C86883" w:rsidP="00B76EF2">
            <w:pPr>
              <w:pStyle w:val="TableText0"/>
              <w:keepLines/>
              <w:rPr>
                <w:szCs w:val="18"/>
              </w:rPr>
            </w:pPr>
            <w:r w:rsidRPr="001447E7">
              <w:rPr>
                <w:rFonts w:cs="Arial Narrow"/>
              </w:rPr>
              <w:t xml:space="preserve">Hanauer SB, Sandborn WJ, Rutgeerts P, et al. Human anti-tumor necrosis factor monoclonal antibody (adalimumab) in Crohn's disease: The CLASSIC-I trial. </w:t>
            </w:r>
          </w:p>
        </w:tc>
        <w:tc>
          <w:tcPr>
            <w:tcW w:w="1177" w:type="pct"/>
            <w:shd w:val="clear" w:color="auto" w:fill="C6D9F1" w:themeFill="text2" w:themeFillTint="33"/>
          </w:tcPr>
          <w:p w14:paraId="36F43D9B" w14:textId="77777777" w:rsidR="00C86883" w:rsidRPr="001447E7" w:rsidRDefault="00C86883" w:rsidP="00B76EF2">
            <w:pPr>
              <w:pStyle w:val="TableText0"/>
              <w:keepLines/>
            </w:pPr>
            <w:r w:rsidRPr="001447E7">
              <w:rPr>
                <w:rFonts w:cs="Arial Narrow"/>
              </w:rPr>
              <w:t>Gastroenterology 2006; 130 (2): 323-333.</w:t>
            </w:r>
          </w:p>
        </w:tc>
      </w:tr>
      <w:tr w:rsidR="00C86883" w:rsidRPr="001447E7" w14:paraId="05D38F75" w14:textId="77777777" w:rsidTr="00B70466">
        <w:tc>
          <w:tcPr>
            <w:tcW w:w="796" w:type="pct"/>
            <w:tcBorders>
              <w:bottom w:val="nil"/>
            </w:tcBorders>
            <w:shd w:val="clear" w:color="auto" w:fill="C6D9F1" w:themeFill="text2" w:themeFillTint="33"/>
          </w:tcPr>
          <w:p w14:paraId="47C55C96" w14:textId="77777777" w:rsidR="00C86883" w:rsidRPr="001447E7" w:rsidRDefault="00C86883" w:rsidP="00B70466">
            <w:pPr>
              <w:pStyle w:val="TableText0"/>
              <w:keepNext w:val="0"/>
            </w:pPr>
            <w:r w:rsidRPr="001447E7">
              <w:t>GAIN</w:t>
            </w:r>
          </w:p>
        </w:tc>
        <w:tc>
          <w:tcPr>
            <w:tcW w:w="3027" w:type="pct"/>
            <w:tcBorders>
              <w:bottom w:val="nil"/>
            </w:tcBorders>
            <w:shd w:val="clear" w:color="auto" w:fill="C6D9F1" w:themeFill="text2" w:themeFillTint="33"/>
          </w:tcPr>
          <w:p w14:paraId="797DBE61" w14:textId="77777777" w:rsidR="00C86883" w:rsidRPr="001447E7" w:rsidRDefault="00C86883" w:rsidP="00B70466">
            <w:pPr>
              <w:pStyle w:val="TableText0"/>
              <w:keepNext w:val="0"/>
              <w:rPr>
                <w:szCs w:val="18"/>
              </w:rPr>
            </w:pPr>
            <w:r w:rsidRPr="001447E7">
              <w:rPr>
                <w:rFonts w:cs="Arial Narrow"/>
              </w:rPr>
              <w:t>Sandborn, WJ, Rutgeerts P, Enns R, et al. Adalimumab induction therapy for Crohn disease previously treated with infliximab: A randomized trial.</w:t>
            </w:r>
          </w:p>
        </w:tc>
        <w:tc>
          <w:tcPr>
            <w:tcW w:w="1177" w:type="pct"/>
            <w:tcBorders>
              <w:bottom w:val="nil"/>
            </w:tcBorders>
            <w:shd w:val="clear" w:color="auto" w:fill="C6D9F1" w:themeFill="text2" w:themeFillTint="33"/>
          </w:tcPr>
          <w:p w14:paraId="67FD91E9" w14:textId="77777777" w:rsidR="00C86883" w:rsidRPr="001447E7" w:rsidRDefault="00C86883" w:rsidP="00B70466">
            <w:pPr>
              <w:pStyle w:val="TableText0"/>
              <w:keepNext w:val="0"/>
            </w:pPr>
            <w:r w:rsidRPr="001447E7">
              <w:rPr>
                <w:rFonts w:cs="Arial Narrow"/>
              </w:rPr>
              <w:t>Annals of Internal Medicine 2007; 146 (12): 829-838</w:t>
            </w:r>
          </w:p>
        </w:tc>
      </w:tr>
      <w:tr w:rsidR="00C86883" w:rsidRPr="001447E7" w14:paraId="5D6D5C87" w14:textId="77777777" w:rsidTr="002B0175">
        <w:tc>
          <w:tcPr>
            <w:tcW w:w="796" w:type="pct"/>
            <w:tcBorders>
              <w:top w:val="nil"/>
              <w:left w:val="single" w:sz="4" w:space="0" w:color="auto"/>
              <w:bottom w:val="single" w:sz="4" w:space="0" w:color="auto"/>
              <w:right w:val="single" w:sz="4" w:space="0" w:color="auto"/>
            </w:tcBorders>
            <w:shd w:val="clear" w:color="auto" w:fill="C6D9F1" w:themeFill="text2" w:themeFillTint="33"/>
          </w:tcPr>
          <w:p w14:paraId="20333FFE" w14:textId="77777777" w:rsidR="00C86883" w:rsidRPr="001447E7" w:rsidRDefault="00C86883" w:rsidP="00B70466">
            <w:pPr>
              <w:pStyle w:val="TableText0"/>
              <w:keepNext w:val="0"/>
            </w:pPr>
          </w:p>
        </w:tc>
        <w:tc>
          <w:tcPr>
            <w:tcW w:w="3027" w:type="pct"/>
            <w:tcBorders>
              <w:top w:val="nil"/>
              <w:left w:val="single" w:sz="4" w:space="0" w:color="auto"/>
              <w:bottom w:val="single" w:sz="4" w:space="0" w:color="auto"/>
              <w:right w:val="single" w:sz="4" w:space="0" w:color="auto"/>
            </w:tcBorders>
          </w:tcPr>
          <w:p w14:paraId="692AA77F" w14:textId="77777777" w:rsidR="00C86883" w:rsidRPr="001447E7" w:rsidRDefault="00C86883" w:rsidP="00B70466">
            <w:pPr>
              <w:pStyle w:val="TableText0"/>
              <w:keepNext w:val="0"/>
              <w:rPr>
                <w:rFonts w:cs="Arial Narrow"/>
              </w:rPr>
            </w:pPr>
            <w:r w:rsidRPr="001447E7">
              <w:t xml:space="preserve">Panaccione R, Sandborn WJ, D’Haens G, et al. Clinical benefit of long-term adalimumab treatment in patients with Crohn’s disease following loss of response or intolerance to infliximab: 96-week efficacy data from GAIN/ADHERE trials. </w:t>
            </w:r>
          </w:p>
        </w:tc>
        <w:tc>
          <w:tcPr>
            <w:tcW w:w="1177" w:type="pct"/>
            <w:tcBorders>
              <w:top w:val="nil"/>
              <w:left w:val="single" w:sz="4" w:space="0" w:color="auto"/>
              <w:bottom w:val="single" w:sz="4" w:space="0" w:color="auto"/>
              <w:right w:val="single" w:sz="4" w:space="0" w:color="auto"/>
            </w:tcBorders>
          </w:tcPr>
          <w:p w14:paraId="2468A421" w14:textId="77777777" w:rsidR="00C86883" w:rsidRPr="001447E7" w:rsidRDefault="00C86883" w:rsidP="00B70466">
            <w:pPr>
              <w:pStyle w:val="TableText0"/>
              <w:keepNext w:val="0"/>
              <w:rPr>
                <w:rFonts w:cs="Arial Narrow"/>
              </w:rPr>
            </w:pPr>
            <w:r w:rsidRPr="001447E7">
              <w:t>J Crohns Colitis 2018; 12 (8): 930-938.</w:t>
            </w:r>
          </w:p>
        </w:tc>
      </w:tr>
      <w:tr w:rsidR="00C86883" w:rsidRPr="001447E7" w14:paraId="0908D28B" w14:textId="77777777" w:rsidTr="00B70466">
        <w:tc>
          <w:tcPr>
            <w:tcW w:w="796" w:type="pct"/>
            <w:tcBorders>
              <w:top w:val="single" w:sz="4" w:space="0" w:color="auto"/>
              <w:bottom w:val="nil"/>
            </w:tcBorders>
            <w:shd w:val="clear" w:color="auto" w:fill="C6D9F1" w:themeFill="text2" w:themeFillTint="33"/>
          </w:tcPr>
          <w:p w14:paraId="47839F61" w14:textId="77777777" w:rsidR="00C86883" w:rsidRPr="001447E7" w:rsidRDefault="00C86883" w:rsidP="00B70466">
            <w:pPr>
              <w:pStyle w:val="TableText0"/>
              <w:keepNext w:val="0"/>
            </w:pPr>
            <w:r w:rsidRPr="001447E7">
              <w:t>CHARM</w:t>
            </w:r>
          </w:p>
        </w:tc>
        <w:tc>
          <w:tcPr>
            <w:tcW w:w="3027" w:type="pct"/>
            <w:tcBorders>
              <w:top w:val="single" w:sz="4" w:space="0" w:color="auto"/>
              <w:bottom w:val="nil"/>
            </w:tcBorders>
            <w:shd w:val="clear" w:color="auto" w:fill="C6D9F1" w:themeFill="text2" w:themeFillTint="33"/>
          </w:tcPr>
          <w:p w14:paraId="1F861B24" w14:textId="77777777" w:rsidR="00C86883" w:rsidRPr="001447E7" w:rsidRDefault="00C86883" w:rsidP="00B70466">
            <w:pPr>
              <w:pStyle w:val="TableText0"/>
              <w:keepNext w:val="0"/>
              <w:rPr>
                <w:szCs w:val="18"/>
              </w:rPr>
            </w:pPr>
            <w:r w:rsidRPr="001447E7">
              <w:rPr>
                <w:rFonts w:cs="Arial Narrow"/>
              </w:rPr>
              <w:t xml:space="preserve">Colombel J., Sandborn WJ, Rutgeerts P, et al. Adalimumab for maintenance of clinical response and remission in patients with Crohn's disease: The CHARM trial. </w:t>
            </w:r>
          </w:p>
        </w:tc>
        <w:tc>
          <w:tcPr>
            <w:tcW w:w="1177" w:type="pct"/>
            <w:tcBorders>
              <w:top w:val="single" w:sz="4" w:space="0" w:color="auto"/>
              <w:bottom w:val="nil"/>
            </w:tcBorders>
            <w:shd w:val="clear" w:color="auto" w:fill="C6D9F1" w:themeFill="text2" w:themeFillTint="33"/>
          </w:tcPr>
          <w:p w14:paraId="76CBF1D1" w14:textId="77777777" w:rsidR="00C86883" w:rsidRPr="001447E7" w:rsidRDefault="00C86883" w:rsidP="00B70466">
            <w:pPr>
              <w:pStyle w:val="TableText0"/>
              <w:keepNext w:val="0"/>
            </w:pPr>
            <w:r w:rsidRPr="001447E7">
              <w:rPr>
                <w:rFonts w:cs="Arial Narrow"/>
              </w:rPr>
              <w:t>Gastroenterology 2007; 132 (1): 52-65.</w:t>
            </w:r>
          </w:p>
        </w:tc>
      </w:tr>
      <w:tr w:rsidR="00C86883" w:rsidRPr="001447E7" w14:paraId="48B7B9DA" w14:textId="77777777" w:rsidTr="00B70466">
        <w:tc>
          <w:tcPr>
            <w:tcW w:w="796" w:type="pct"/>
            <w:tcBorders>
              <w:top w:val="nil"/>
              <w:left w:val="single" w:sz="4" w:space="0" w:color="auto"/>
              <w:bottom w:val="nil"/>
              <w:right w:val="single" w:sz="4" w:space="0" w:color="auto"/>
            </w:tcBorders>
            <w:shd w:val="clear" w:color="auto" w:fill="C6D9F1" w:themeFill="text2" w:themeFillTint="33"/>
          </w:tcPr>
          <w:p w14:paraId="3281DC77" w14:textId="77777777" w:rsidR="00C86883" w:rsidRPr="001447E7" w:rsidRDefault="00C86883" w:rsidP="00B70466">
            <w:pPr>
              <w:pStyle w:val="TableText0"/>
              <w:keepNext w:val="0"/>
            </w:pPr>
          </w:p>
        </w:tc>
        <w:tc>
          <w:tcPr>
            <w:tcW w:w="3027" w:type="pct"/>
            <w:tcBorders>
              <w:top w:val="nil"/>
              <w:left w:val="single" w:sz="4" w:space="0" w:color="auto"/>
              <w:bottom w:val="nil"/>
              <w:right w:val="single" w:sz="4" w:space="0" w:color="auto"/>
            </w:tcBorders>
            <w:shd w:val="clear" w:color="auto" w:fill="C6D9F1" w:themeFill="text2" w:themeFillTint="33"/>
          </w:tcPr>
          <w:p w14:paraId="3AF37D06" w14:textId="77777777" w:rsidR="00C86883" w:rsidRPr="001447E7" w:rsidRDefault="00C86883" w:rsidP="00B70466">
            <w:pPr>
              <w:pStyle w:val="TableText0"/>
              <w:keepNext w:val="0"/>
              <w:rPr>
                <w:szCs w:val="18"/>
              </w:rPr>
            </w:pPr>
            <w:r w:rsidRPr="001447E7">
              <w:rPr>
                <w:rFonts w:cs="Arial Narrow"/>
                <w:lang w:val="de-DE"/>
              </w:rPr>
              <w:t xml:space="preserve">Colombel J, Schwartz, DA., Sandborn, WJ, et al. </w:t>
            </w:r>
            <w:r w:rsidRPr="001447E7">
              <w:rPr>
                <w:rFonts w:cs="Arial Narrow"/>
              </w:rPr>
              <w:t xml:space="preserve">Adalimumab for the treatment of fistulas in patients with Crohn’s disease. </w:t>
            </w:r>
          </w:p>
        </w:tc>
        <w:tc>
          <w:tcPr>
            <w:tcW w:w="1177" w:type="pct"/>
            <w:tcBorders>
              <w:top w:val="nil"/>
              <w:left w:val="single" w:sz="4" w:space="0" w:color="auto"/>
              <w:bottom w:val="nil"/>
              <w:right w:val="single" w:sz="4" w:space="0" w:color="auto"/>
            </w:tcBorders>
            <w:shd w:val="clear" w:color="auto" w:fill="C6D9F1" w:themeFill="text2" w:themeFillTint="33"/>
          </w:tcPr>
          <w:p w14:paraId="2A102712" w14:textId="77777777" w:rsidR="00C86883" w:rsidRPr="001447E7" w:rsidRDefault="00C86883" w:rsidP="00B70466">
            <w:pPr>
              <w:pStyle w:val="TableText0"/>
              <w:keepNext w:val="0"/>
            </w:pPr>
            <w:r w:rsidRPr="001447E7">
              <w:rPr>
                <w:rFonts w:cs="Arial Narrow"/>
              </w:rPr>
              <w:t>Gut 2009; 58: 940-948.</w:t>
            </w:r>
          </w:p>
        </w:tc>
      </w:tr>
      <w:tr w:rsidR="00C86883" w:rsidRPr="001447E7" w14:paraId="74C4741D" w14:textId="77777777" w:rsidTr="00B70466">
        <w:tc>
          <w:tcPr>
            <w:tcW w:w="5000" w:type="pct"/>
            <w:gridSpan w:val="3"/>
          </w:tcPr>
          <w:p w14:paraId="028649A8" w14:textId="77777777" w:rsidR="00C86883" w:rsidRPr="001447E7" w:rsidRDefault="00C86883" w:rsidP="00B70466">
            <w:pPr>
              <w:pStyle w:val="TableText0"/>
              <w:keepNext w:val="0"/>
              <w:rPr>
                <w:rFonts w:cs="Arial Narrow"/>
              </w:rPr>
            </w:pPr>
            <w:r w:rsidRPr="001447E7">
              <w:rPr>
                <w:b/>
                <w:bCs w:val="0"/>
              </w:rPr>
              <w:t>IFX vs PBO</w:t>
            </w:r>
          </w:p>
        </w:tc>
      </w:tr>
      <w:tr w:rsidR="00C86883" w:rsidRPr="001447E7" w14:paraId="65B78537" w14:textId="77777777" w:rsidTr="00E42074">
        <w:tc>
          <w:tcPr>
            <w:tcW w:w="796" w:type="pct"/>
            <w:tcBorders>
              <w:bottom w:val="single" w:sz="4" w:space="0" w:color="auto"/>
            </w:tcBorders>
            <w:shd w:val="clear" w:color="auto" w:fill="C6D9F1" w:themeFill="text2" w:themeFillTint="33"/>
          </w:tcPr>
          <w:p w14:paraId="2FA784AF" w14:textId="77777777" w:rsidR="00C86883" w:rsidRPr="001447E7" w:rsidRDefault="00C86883" w:rsidP="00B70466">
            <w:pPr>
              <w:pStyle w:val="TableText0"/>
              <w:keepNext w:val="0"/>
            </w:pPr>
            <w:r w:rsidRPr="001447E7">
              <w:t>T20</w:t>
            </w:r>
          </w:p>
        </w:tc>
        <w:tc>
          <w:tcPr>
            <w:tcW w:w="3027" w:type="pct"/>
            <w:tcBorders>
              <w:bottom w:val="single" w:sz="4" w:space="0" w:color="auto"/>
            </w:tcBorders>
            <w:shd w:val="clear" w:color="auto" w:fill="C6D9F1" w:themeFill="text2" w:themeFillTint="33"/>
          </w:tcPr>
          <w:p w14:paraId="4899F9A0" w14:textId="77777777" w:rsidR="00C86883" w:rsidRPr="001447E7" w:rsidRDefault="00C86883" w:rsidP="00B70466">
            <w:pPr>
              <w:pStyle w:val="TableText0"/>
              <w:keepNext w:val="0"/>
              <w:rPr>
                <w:rFonts w:cs="Arial Narrow"/>
              </w:rPr>
            </w:pPr>
            <w:r w:rsidRPr="001447E7">
              <w:t xml:space="preserve">Present DH, Rutgeerts P, Targan S, et al. Infliximab for the treatment of fistulas in patients with Crohn’s disease. </w:t>
            </w:r>
          </w:p>
        </w:tc>
        <w:tc>
          <w:tcPr>
            <w:tcW w:w="1177" w:type="pct"/>
            <w:tcBorders>
              <w:bottom w:val="single" w:sz="4" w:space="0" w:color="auto"/>
            </w:tcBorders>
            <w:shd w:val="clear" w:color="auto" w:fill="C6D9F1" w:themeFill="text2" w:themeFillTint="33"/>
          </w:tcPr>
          <w:p w14:paraId="560A56F9" w14:textId="77777777" w:rsidR="00C86883" w:rsidRPr="001447E7" w:rsidRDefault="00C86883" w:rsidP="00B70466">
            <w:pPr>
              <w:pStyle w:val="TableText0"/>
              <w:keepNext w:val="0"/>
              <w:rPr>
                <w:rFonts w:cs="Arial Narrow"/>
              </w:rPr>
            </w:pPr>
            <w:r w:rsidRPr="001447E7">
              <w:t>The New England Journal of Medicine 1999; 340: 1398-1405.</w:t>
            </w:r>
          </w:p>
        </w:tc>
      </w:tr>
      <w:tr w:rsidR="00C86883" w:rsidRPr="001447E7" w14:paraId="440BC52D" w14:textId="77777777" w:rsidTr="00E42074">
        <w:tc>
          <w:tcPr>
            <w:tcW w:w="796" w:type="pct"/>
            <w:tcBorders>
              <w:bottom w:val="single" w:sz="4" w:space="0" w:color="auto"/>
            </w:tcBorders>
            <w:shd w:val="clear" w:color="auto" w:fill="C6D9F1" w:themeFill="text2" w:themeFillTint="33"/>
          </w:tcPr>
          <w:p w14:paraId="4C7E8B5C" w14:textId="77777777" w:rsidR="00C86883" w:rsidRPr="001447E7" w:rsidRDefault="00C86883" w:rsidP="00B70466">
            <w:pPr>
              <w:pStyle w:val="TableText0"/>
              <w:keepNext w:val="0"/>
            </w:pPr>
            <w:r w:rsidRPr="001447E7">
              <w:lastRenderedPageBreak/>
              <w:t>ACCENT II</w:t>
            </w:r>
          </w:p>
        </w:tc>
        <w:tc>
          <w:tcPr>
            <w:tcW w:w="3027" w:type="pct"/>
            <w:tcBorders>
              <w:bottom w:val="single" w:sz="4" w:space="0" w:color="auto"/>
            </w:tcBorders>
            <w:shd w:val="clear" w:color="auto" w:fill="C6D9F1" w:themeFill="text2" w:themeFillTint="33"/>
          </w:tcPr>
          <w:p w14:paraId="2DB53658" w14:textId="77777777" w:rsidR="00C86883" w:rsidRPr="001447E7" w:rsidRDefault="00C86883" w:rsidP="00B70466">
            <w:pPr>
              <w:pStyle w:val="TableText0"/>
              <w:keepNext w:val="0"/>
              <w:rPr>
                <w:rFonts w:cs="Arial Narrow"/>
              </w:rPr>
            </w:pPr>
            <w:r w:rsidRPr="001447E7">
              <w:rPr>
                <w:lang w:val="de-DE"/>
              </w:rPr>
              <w:t xml:space="preserve">Sands BE., Anderson FH, Bernstein CN, et al. </w:t>
            </w:r>
            <w:r w:rsidRPr="001447E7">
              <w:t xml:space="preserve">Infliximab maintenance therapy for fistulising Crohn's disease. </w:t>
            </w:r>
          </w:p>
        </w:tc>
        <w:tc>
          <w:tcPr>
            <w:tcW w:w="1177" w:type="pct"/>
            <w:tcBorders>
              <w:bottom w:val="single" w:sz="4" w:space="0" w:color="auto"/>
            </w:tcBorders>
            <w:shd w:val="clear" w:color="auto" w:fill="C6D9F1" w:themeFill="text2" w:themeFillTint="33"/>
          </w:tcPr>
          <w:p w14:paraId="1BF2935B" w14:textId="77777777" w:rsidR="00C86883" w:rsidRPr="001447E7" w:rsidRDefault="00C86883" w:rsidP="00B70466">
            <w:pPr>
              <w:pStyle w:val="TableText0"/>
              <w:keepNext w:val="0"/>
              <w:rPr>
                <w:rFonts w:cs="Arial Narrow"/>
              </w:rPr>
            </w:pPr>
            <w:r w:rsidRPr="001447E7">
              <w:t>The New England Journal of Medicine 2004; 350(9): 876-885.</w:t>
            </w:r>
          </w:p>
        </w:tc>
      </w:tr>
    </w:tbl>
    <w:p w14:paraId="327ECCC4" w14:textId="77777777" w:rsidR="00C86883" w:rsidRDefault="00C86883" w:rsidP="00C86883">
      <w:pPr>
        <w:pStyle w:val="FooterTableFigure"/>
      </w:pPr>
      <w:r w:rsidRPr="00C455B8">
        <w:rPr>
          <w:rStyle w:val="CommentReference"/>
          <w:b w:val="0"/>
          <w:bCs/>
          <w:sz w:val="18"/>
          <w:szCs w:val="18"/>
          <w:shd w:val="clear" w:color="auto" w:fill="B8CCE4" w:themeFill="accent1" w:themeFillTint="66"/>
        </w:rPr>
        <w:t xml:space="preserve">Blue </w:t>
      </w:r>
      <w:r w:rsidRPr="00C455B8">
        <w:rPr>
          <w:rStyle w:val="CommentReference"/>
          <w:b w:val="0"/>
          <w:bCs/>
          <w:sz w:val="18"/>
          <w:szCs w:val="18"/>
        </w:rPr>
        <w:t>shading indicates data previously seen by the PBAC.</w:t>
      </w:r>
    </w:p>
    <w:p w14:paraId="458259C3" w14:textId="77777777" w:rsidR="00C86883" w:rsidRDefault="00C86883" w:rsidP="00C86883">
      <w:pPr>
        <w:pStyle w:val="FooterTableFigure"/>
      </w:pPr>
      <w:r>
        <w:t xml:space="preserve">Source: Table 2-6, pp60-63 </w:t>
      </w:r>
      <w:r w:rsidRPr="00D13A3E">
        <w:t xml:space="preserve">of the </w:t>
      </w:r>
      <w:r>
        <w:t>submission.</w:t>
      </w:r>
    </w:p>
    <w:p w14:paraId="34BA7085" w14:textId="47E0B630" w:rsidR="00C86883" w:rsidRPr="001447E7" w:rsidRDefault="00C86883" w:rsidP="00C86883">
      <w:pPr>
        <w:pStyle w:val="FooterTableFigure"/>
        <w:rPr>
          <w:sz w:val="20"/>
        </w:rPr>
      </w:pPr>
      <w:r w:rsidRPr="001447E7">
        <w:t xml:space="preserve">*The submission listed additional </w:t>
      </w:r>
      <w:r w:rsidR="00240923" w:rsidRPr="001447E7">
        <w:t>publications,</w:t>
      </w:r>
      <w:r w:rsidRPr="001447E7">
        <w:t xml:space="preserve"> but these were excluded from this table as these publications did not focus on fistulising CD and did not report on fistulising efficacy outcomes.</w:t>
      </w:r>
    </w:p>
    <w:p w14:paraId="2743CA73" w14:textId="50A3F598" w:rsidR="00F37EC5" w:rsidRPr="00F5233C" w:rsidRDefault="008F120A" w:rsidP="00F37EC5">
      <w:pPr>
        <w:pStyle w:val="3-BodyText"/>
      </w:pPr>
      <w:r w:rsidRPr="00B50DB8">
        <w:t xml:space="preserve">The key features of the </w:t>
      </w:r>
      <w:r w:rsidR="00621ADA">
        <w:t>included evidence</w:t>
      </w:r>
      <w:r w:rsidRPr="00B50DB8">
        <w:t xml:space="preserve"> are summarised in</w:t>
      </w:r>
      <w:r w:rsidR="00D6076E">
        <w:t xml:space="preserve"> </w:t>
      </w:r>
      <w:r w:rsidR="00D6076E">
        <w:fldChar w:fldCharType="begin"/>
      </w:r>
      <w:r w:rsidR="00D6076E">
        <w:instrText xml:space="preserve"> REF _Ref104804098 \h  \* MERGEFORMAT </w:instrText>
      </w:r>
      <w:r w:rsidR="00D6076E">
        <w:fldChar w:fldCharType="separate"/>
      </w:r>
      <w:r w:rsidR="00522D5A" w:rsidRPr="00522D5A">
        <w:t>Table 3</w:t>
      </w:r>
      <w:r w:rsidR="00D6076E">
        <w:fldChar w:fldCharType="end"/>
      </w:r>
      <w:r w:rsidRPr="00B50DB8">
        <w:t>.</w:t>
      </w:r>
    </w:p>
    <w:p w14:paraId="4AD3272A" w14:textId="7F14E041" w:rsidR="00F37EC5" w:rsidRPr="00F37EC5" w:rsidRDefault="00696EF9" w:rsidP="00F37EC5">
      <w:pPr>
        <w:pStyle w:val="Caption"/>
        <w:rPr>
          <w:rStyle w:val="CommentReference"/>
          <w:rFonts w:eastAsiaTheme="majorEastAsia" w:cstheme="majorBidi"/>
          <w:b/>
          <w:szCs w:val="24"/>
        </w:rPr>
      </w:pPr>
      <w:bookmarkStart w:id="21"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522D5A">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21"/>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6"/>
        <w:gridCol w:w="1527"/>
        <w:gridCol w:w="1681"/>
        <w:gridCol w:w="1212"/>
        <w:gridCol w:w="1417"/>
        <w:gridCol w:w="2074"/>
      </w:tblGrid>
      <w:tr w:rsidR="00F37EC5" w:rsidRPr="00F81A33" w14:paraId="5E5CD6DC" w14:textId="77777777" w:rsidTr="00712094">
        <w:trPr>
          <w:cantSplit/>
          <w:tblHeader/>
        </w:trPr>
        <w:tc>
          <w:tcPr>
            <w:tcW w:w="613" w:type="pct"/>
            <w:shd w:val="clear" w:color="auto" w:fill="auto"/>
            <w:vAlign w:val="center"/>
          </w:tcPr>
          <w:p w14:paraId="21926587" w14:textId="77777777" w:rsidR="00F37EC5" w:rsidRPr="00F81A33" w:rsidRDefault="00F37EC5" w:rsidP="00712094">
            <w:pPr>
              <w:pStyle w:val="In-tableHeading"/>
              <w:keepNext w:val="0"/>
              <w:rPr>
                <w:szCs w:val="20"/>
              </w:rPr>
            </w:pPr>
            <w:r w:rsidRPr="00F81A33">
              <w:rPr>
                <w:szCs w:val="20"/>
              </w:rPr>
              <w:t>Trial</w:t>
            </w:r>
          </w:p>
        </w:tc>
        <w:tc>
          <w:tcPr>
            <w:tcW w:w="847" w:type="pct"/>
            <w:shd w:val="clear" w:color="auto" w:fill="auto"/>
            <w:vAlign w:val="center"/>
          </w:tcPr>
          <w:p w14:paraId="084DBBC5" w14:textId="77777777" w:rsidR="00F37EC5" w:rsidRPr="00F81A33" w:rsidRDefault="00F37EC5" w:rsidP="00712094">
            <w:pPr>
              <w:pStyle w:val="In-tableHeading"/>
              <w:keepNext w:val="0"/>
              <w:jc w:val="center"/>
              <w:rPr>
                <w:szCs w:val="20"/>
              </w:rPr>
            </w:pPr>
            <w:r w:rsidRPr="00F81A33">
              <w:rPr>
                <w:szCs w:val="20"/>
              </w:rPr>
              <w:t>N</w:t>
            </w:r>
          </w:p>
        </w:tc>
        <w:tc>
          <w:tcPr>
            <w:tcW w:w="932" w:type="pct"/>
            <w:shd w:val="clear" w:color="auto" w:fill="auto"/>
            <w:vAlign w:val="center"/>
          </w:tcPr>
          <w:p w14:paraId="2929323C" w14:textId="77777777" w:rsidR="00F37EC5" w:rsidRPr="00F81A33" w:rsidRDefault="00F37EC5" w:rsidP="00712094">
            <w:pPr>
              <w:pStyle w:val="In-tableHeading"/>
              <w:keepNext w:val="0"/>
              <w:jc w:val="center"/>
              <w:rPr>
                <w:szCs w:val="20"/>
              </w:rPr>
            </w:pPr>
            <w:r w:rsidRPr="00F81A33">
              <w:rPr>
                <w:szCs w:val="20"/>
              </w:rPr>
              <w:t>Design/ duration</w:t>
            </w:r>
          </w:p>
        </w:tc>
        <w:tc>
          <w:tcPr>
            <w:tcW w:w="672" w:type="pct"/>
            <w:shd w:val="clear" w:color="auto" w:fill="auto"/>
            <w:vAlign w:val="center"/>
          </w:tcPr>
          <w:p w14:paraId="2C78EE15" w14:textId="77777777" w:rsidR="00F37EC5" w:rsidRPr="00F81A33" w:rsidRDefault="00F37EC5" w:rsidP="00712094">
            <w:pPr>
              <w:pStyle w:val="In-tableHeading"/>
              <w:keepNext w:val="0"/>
              <w:jc w:val="center"/>
              <w:rPr>
                <w:szCs w:val="20"/>
              </w:rPr>
            </w:pPr>
            <w:r w:rsidRPr="00F81A33">
              <w:rPr>
                <w:szCs w:val="20"/>
              </w:rPr>
              <w:t>Risk of bias</w:t>
            </w:r>
          </w:p>
        </w:tc>
        <w:tc>
          <w:tcPr>
            <w:tcW w:w="786" w:type="pct"/>
            <w:shd w:val="clear" w:color="auto" w:fill="auto"/>
            <w:vAlign w:val="center"/>
          </w:tcPr>
          <w:p w14:paraId="36525DA4" w14:textId="77777777" w:rsidR="00F37EC5" w:rsidRPr="00F81A33" w:rsidRDefault="00F37EC5" w:rsidP="00712094">
            <w:pPr>
              <w:pStyle w:val="In-tableHeading"/>
              <w:keepNext w:val="0"/>
              <w:jc w:val="center"/>
              <w:rPr>
                <w:szCs w:val="20"/>
              </w:rPr>
            </w:pPr>
            <w:r w:rsidRPr="00F81A33">
              <w:rPr>
                <w:szCs w:val="20"/>
              </w:rPr>
              <w:t>Patient population</w:t>
            </w:r>
          </w:p>
        </w:tc>
        <w:tc>
          <w:tcPr>
            <w:tcW w:w="1151" w:type="pct"/>
            <w:shd w:val="clear" w:color="auto" w:fill="auto"/>
            <w:vAlign w:val="center"/>
          </w:tcPr>
          <w:p w14:paraId="10DF3765" w14:textId="77777777" w:rsidR="00F37EC5" w:rsidRPr="00F81A33" w:rsidRDefault="00F37EC5" w:rsidP="00712094">
            <w:pPr>
              <w:pStyle w:val="In-tableHeading"/>
              <w:keepNext w:val="0"/>
              <w:jc w:val="center"/>
              <w:rPr>
                <w:szCs w:val="20"/>
              </w:rPr>
            </w:pPr>
            <w:r w:rsidRPr="00F81A33">
              <w:rPr>
                <w:szCs w:val="20"/>
              </w:rPr>
              <w:t>Relevant outcomes</w:t>
            </w:r>
          </w:p>
        </w:tc>
      </w:tr>
      <w:tr w:rsidR="00F37EC5" w:rsidRPr="00F81A33" w14:paraId="161DF654" w14:textId="77777777" w:rsidTr="00712094">
        <w:trPr>
          <w:cantSplit/>
        </w:trPr>
        <w:tc>
          <w:tcPr>
            <w:tcW w:w="5000" w:type="pct"/>
            <w:gridSpan w:val="6"/>
            <w:shd w:val="clear" w:color="auto" w:fill="auto"/>
            <w:vAlign w:val="center"/>
          </w:tcPr>
          <w:p w14:paraId="2AABA677" w14:textId="77777777" w:rsidR="00F37EC5" w:rsidRPr="00F81A33" w:rsidRDefault="00F37EC5" w:rsidP="00712094">
            <w:pPr>
              <w:tabs>
                <w:tab w:val="left" w:pos="180"/>
              </w:tabs>
              <w:snapToGrid w:val="0"/>
              <w:ind w:left="38"/>
              <w:jc w:val="left"/>
              <w:rPr>
                <w:rFonts w:ascii="Arial Narrow" w:hAnsi="Arial Narrow"/>
                <w:bCs/>
                <w:sz w:val="20"/>
                <w:szCs w:val="20"/>
                <w:u w:val="single"/>
              </w:rPr>
            </w:pPr>
            <w:r w:rsidRPr="00F81A33">
              <w:rPr>
                <w:rFonts w:ascii="Arial Narrow" w:hAnsi="Arial Narrow"/>
                <w:b/>
                <w:sz w:val="20"/>
                <w:szCs w:val="20"/>
                <w:lang w:val="en-US"/>
              </w:rPr>
              <w:t>UST v ADA</w:t>
            </w:r>
          </w:p>
        </w:tc>
      </w:tr>
      <w:tr w:rsidR="00F37EC5" w:rsidRPr="00F81A33" w14:paraId="2CBFDB13" w14:textId="77777777" w:rsidTr="00712094">
        <w:trPr>
          <w:cantSplit/>
        </w:trPr>
        <w:tc>
          <w:tcPr>
            <w:tcW w:w="613" w:type="pct"/>
            <w:shd w:val="clear" w:color="auto" w:fill="auto"/>
            <w:vAlign w:val="center"/>
          </w:tcPr>
          <w:p w14:paraId="167FB8DA" w14:textId="77777777" w:rsidR="00F37EC5" w:rsidRPr="00F81A33" w:rsidRDefault="00F37EC5" w:rsidP="00712094">
            <w:pPr>
              <w:pStyle w:val="TableText0"/>
              <w:keepNext w:val="0"/>
              <w:rPr>
                <w:szCs w:val="20"/>
                <w:lang w:val="en-US"/>
              </w:rPr>
            </w:pPr>
            <w:r w:rsidRPr="00F81A33">
              <w:rPr>
                <w:szCs w:val="20"/>
                <w:lang w:val="en-US"/>
              </w:rPr>
              <w:t>SEAVUE</w:t>
            </w:r>
          </w:p>
          <w:p w14:paraId="3CE34FD9" w14:textId="77777777" w:rsidR="00F37EC5" w:rsidRPr="00F81A33" w:rsidRDefault="00F37EC5" w:rsidP="00712094">
            <w:pPr>
              <w:pStyle w:val="In-tableHeading"/>
              <w:keepNext w:val="0"/>
              <w:rPr>
                <w:b w:val="0"/>
                <w:bCs/>
                <w:szCs w:val="20"/>
              </w:rPr>
            </w:pPr>
            <w:r w:rsidRPr="00F81A33">
              <w:rPr>
                <w:b w:val="0"/>
                <w:bCs/>
                <w:szCs w:val="20"/>
              </w:rPr>
              <w:t>[induction and maintenance]</w:t>
            </w:r>
          </w:p>
          <w:p w14:paraId="777B0AB3" w14:textId="77777777" w:rsidR="00F37EC5" w:rsidRPr="00F81A33" w:rsidRDefault="00F37EC5" w:rsidP="00712094">
            <w:pPr>
              <w:pStyle w:val="TableText0"/>
              <w:keepNext w:val="0"/>
              <w:rPr>
                <w:szCs w:val="20"/>
                <w:lang w:val="en-US"/>
              </w:rPr>
            </w:pPr>
            <w:r w:rsidRPr="00F81A33">
              <w:rPr>
                <w:szCs w:val="20"/>
              </w:rPr>
              <w:t>(2018-2021)</w:t>
            </w:r>
          </w:p>
        </w:tc>
        <w:tc>
          <w:tcPr>
            <w:tcW w:w="847" w:type="pct"/>
            <w:shd w:val="clear" w:color="auto" w:fill="auto"/>
            <w:vAlign w:val="center"/>
          </w:tcPr>
          <w:p w14:paraId="4656712F" w14:textId="77777777" w:rsidR="00F37EC5" w:rsidRPr="00F81A33" w:rsidRDefault="00F37EC5" w:rsidP="00712094">
            <w:pPr>
              <w:pStyle w:val="In-tableHeading"/>
              <w:keepNext w:val="0"/>
              <w:jc w:val="center"/>
              <w:rPr>
                <w:b w:val="0"/>
                <w:bCs/>
                <w:szCs w:val="20"/>
              </w:rPr>
            </w:pPr>
            <w:r w:rsidRPr="00F81A33">
              <w:rPr>
                <w:b w:val="0"/>
                <w:bCs/>
                <w:szCs w:val="20"/>
              </w:rPr>
              <w:t>CD: 386</w:t>
            </w:r>
          </w:p>
          <w:p w14:paraId="7D40F129" w14:textId="77777777" w:rsidR="00F37EC5" w:rsidRPr="00F81A33" w:rsidRDefault="00F37EC5" w:rsidP="00712094">
            <w:pPr>
              <w:pStyle w:val="In-tableHeading"/>
              <w:keepNext w:val="0"/>
              <w:jc w:val="center"/>
              <w:rPr>
                <w:b w:val="0"/>
                <w:bCs/>
                <w:szCs w:val="20"/>
              </w:rPr>
            </w:pPr>
            <w:r w:rsidRPr="00F81A33">
              <w:rPr>
                <w:b w:val="0"/>
                <w:bCs/>
                <w:szCs w:val="20"/>
              </w:rPr>
              <w:t xml:space="preserve">fCD baseline </w:t>
            </w:r>
            <w:r w:rsidRPr="00F81A33">
              <w:rPr>
                <w:b w:val="0"/>
                <w:bCs/>
                <w:szCs w:val="20"/>
                <w:vertAlign w:val="superscript"/>
              </w:rPr>
              <w:t>1</w:t>
            </w:r>
            <w:r w:rsidRPr="00F81A33">
              <w:rPr>
                <w:b w:val="0"/>
                <w:bCs/>
                <w:szCs w:val="20"/>
              </w:rPr>
              <w:t>: 37</w:t>
            </w:r>
          </w:p>
          <w:p w14:paraId="3F70B0F9" w14:textId="77777777" w:rsidR="00F37EC5" w:rsidRPr="00F81A33" w:rsidRDefault="00F37EC5" w:rsidP="00712094">
            <w:pPr>
              <w:pStyle w:val="TableText0"/>
              <w:keepNext w:val="0"/>
              <w:jc w:val="center"/>
              <w:rPr>
                <w:szCs w:val="20"/>
                <w:lang w:val="en-US"/>
              </w:rPr>
            </w:pPr>
            <w:r w:rsidRPr="00F81A33">
              <w:rPr>
                <w:szCs w:val="20"/>
              </w:rPr>
              <w:t xml:space="preserve">fCD outcome </w:t>
            </w:r>
            <w:r w:rsidRPr="00F81A33">
              <w:rPr>
                <w:szCs w:val="20"/>
                <w:vertAlign w:val="superscript"/>
              </w:rPr>
              <w:t>2</w:t>
            </w:r>
            <w:r w:rsidRPr="00F81A33">
              <w:rPr>
                <w:szCs w:val="20"/>
              </w:rPr>
              <w:t>: 29</w:t>
            </w:r>
          </w:p>
        </w:tc>
        <w:tc>
          <w:tcPr>
            <w:tcW w:w="932" w:type="pct"/>
            <w:shd w:val="clear" w:color="auto" w:fill="auto"/>
            <w:vAlign w:val="center"/>
          </w:tcPr>
          <w:p w14:paraId="61421CB1" w14:textId="77777777" w:rsidR="00F37EC5" w:rsidRPr="00F81A33" w:rsidRDefault="00F37EC5" w:rsidP="00712094">
            <w:pPr>
              <w:pStyle w:val="TableText0"/>
              <w:keepNext w:val="0"/>
              <w:jc w:val="center"/>
              <w:rPr>
                <w:szCs w:val="20"/>
                <w:lang w:val="en-US"/>
              </w:rPr>
            </w:pPr>
            <w:r w:rsidRPr="00F81A33">
              <w:rPr>
                <w:szCs w:val="20"/>
              </w:rPr>
              <w:t>MC, R, DB, IP&amp;MP (52wk), TTD</w:t>
            </w:r>
          </w:p>
        </w:tc>
        <w:tc>
          <w:tcPr>
            <w:tcW w:w="672" w:type="pct"/>
            <w:vAlign w:val="center"/>
          </w:tcPr>
          <w:p w14:paraId="4053A325" w14:textId="77777777" w:rsidR="00F37EC5" w:rsidRPr="00F81A33" w:rsidRDefault="00F37EC5" w:rsidP="00712094">
            <w:pPr>
              <w:pStyle w:val="In-tableHeading"/>
              <w:keepNext w:val="0"/>
              <w:jc w:val="center"/>
              <w:rPr>
                <w:b w:val="0"/>
                <w:bCs/>
                <w:szCs w:val="20"/>
              </w:rPr>
            </w:pPr>
            <w:r w:rsidRPr="00F81A33">
              <w:rPr>
                <w:b w:val="0"/>
                <w:bCs/>
                <w:szCs w:val="20"/>
              </w:rPr>
              <w:t>CD: Low</w:t>
            </w:r>
          </w:p>
          <w:p w14:paraId="63A68B0C" w14:textId="77777777" w:rsidR="00F37EC5" w:rsidRPr="00F81A33" w:rsidRDefault="00F37EC5" w:rsidP="00712094">
            <w:pPr>
              <w:pStyle w:val="In-tableHeading"/>
              <w:keepNext w:val="0"/>
              <w:jc w:val="center"/>
              <w:rPr>
                <w:b w:val="0"/>
                <w:bCs/>
                <w:szCs w:val="20"/>
              </w:rPr>
            </w:pPr>
            <w:r w:rsidRPr="00F81A33">
              <w:rPr>
                <w:b w:val="0"/>
                <w:bCs/>
                <w:szCs w:val="20"/>
              </w:rPr>
              <w:t>fCD: High</w:t>
            </w:r>
          </w:p>
        </w:tc>
        <w:tc>
          <w:tcPr>
            <w:tcW w:w="785" w:type="pct"/>
            <w:vAlign w:val="center"/>
          </w:tcPr>
          <w:p w14:paraId="07312594" w14:textId="77777777" w:rsidR="00F37EC5" w:rsidRPr="00F81A33" w:rsidRDefault="00F37EC5" w:rsidP="00712094">
            <w:pPr>
              <w:pStyle w:val="In-tableHeading"/>
              <w:keepNext w:val="0"/>
              <w:jc w:val="center"/>
              <w:rPr>
                <w:b w:val="0"/>
                <w:bCs/>
                <w:szCs w:val="20"/>
              </w:rPr>
            </w:pPr>
            <w:r w:rsidRPr="00F81A33">
              <w:rPr>
                <w:b w:val="0"/>
                <w:bCs/>
                <w:szCs w:val="20"/>
              </w:rPr>
              <w:t xml:space="preserve">CD; </w:t>
            </w:r>
          </w:p>
          <w:p w14:paraId="037B468E" w14:textId="77777777" w:rsidR="00F37EC5" w:rsidRPr="00F81A33" w:rsidRDefault="00F37EC5" w:rsidP="00712094">
            <w:pPr>
              <w:pStyle w:val="TableText0"/>
              <w:keepNext w:val="0"/>
              <w:jc w:val="center"/>
              <w:rPr>
                <w:szCs w:val="20"/>
              </w:rPr>
            </w:pPr>
            <w:r w:rsidRPr="00F81A33">
              <w:rPr>
                <w:szCs w:val="20"/>
              </w:rPr>
              <w:t>TNF naïve</w:t>
            </w:r>
          </w:p>
        </w:tc>
        <w:tc>
          <w:tcPr>
            <w:tcW w:w="1151" w:type="pct"/>
            <w:vAlign w:val="center"/>
          </w:tcPr>
          <w:p w14:paraId="2B4E7A5F" w14:textId="77777777" w:rsidR="00F37EC5" w:rsidRPr="00F81A33" w:rsidRDefault="00F37EC5" w:rsidP="00712094">
            <w:pPr>
              <w:tabs>
                <w:tab w:val="left" w:pos="180"/>
              </w:tabs>
              <w:snapToGrid w:val="0"/>
              <w:ind w:left="38"/>
              <w:jc w:val="center"/>
              <w:rPr>
                <w:rFonts w:ascii="Arial Narrow" w:hAnsi="Arial Narrow"/>
                <w:bCs/>
                <w:sz w:val="20"/>
                <w:szCs w:val="20"/>
                <w:u w:val="single"/>
              </w:rPr>
            </w:pPr>
            <w:r w:rsidRPr="00F81A33">
              <w:rPr>
                <w:rFonts w:ascii="Arial Narrow" w:hAnsi="Arial Narrow"/>
                <w:bCs/>
                <w:sz w:val="20"/>
                <w:szCs w:val="20"/>
                <w:u w:val="single"/>
              </w:rPr>
              <w:t>Fistula response</w:t>
            </w:r>
          </w:p>
          <w:p w14:paraId="7CB95E9B" w14:textId="77777777" w:rsidR="00F37EC5" w:rsidRPr="00F81A33" w:rsidRDefault="00F37EC5" w:rsidP="00712094">
            <w:pPr>
              <w:pStyle w:val="In-tableHeading"/>
              <w:keepNext w:val="0"/>
              <w:jc w:val="center"/>
              <w:rPr>
                <w:b w:val="0"/>
                <w:bCs/>
                <w:szCs w:val="20"/>
              </w:rPr>
            </w:pPr>
            <w:r w:rsidRPr="00F81A33">
              <w:rPr>
                <w:b w:val="0"/>
                <w:bCs/>
                <w:szCs w:val="20"/>
              </w:rPr>
              <w:t>50% reduction from baseline of open/draining perianal/perirectal fistulas</w:t>
            </w:r>
            <w:r w:rsidRPr="00F81A33">
              <w:rPr>
                <w:b w:val="0"/>
                <w:bCs/>
                <w:szCs w:val="20"/>
                <w:vertAlign w:val="superscript"/>
              </w:rPr>
              <w:t>8</w:t>
            </w:r>
          </w:p>
          <w:p w14:paraId="6E6F672D" w14:textId="77777777" w:rsidR="00F37EC5" w:rsidRPr="00F81A33" w:rsidRDefault="00F37EC5" w:rsidP="00712094">
            <w:pPr>
              <w:tabs>
                <w:tab w:val="left" w:pos="180"/>
              </w:tabs>
              <w:snapToGrid w:val="0"/>
              <w:jc w:val="center"/>
              <w:rPr>
                <w:rFonts w:ascii="Arial Narrow" w:hAnsi="Arial Narrow"/>
                <w:sz w:val="20"/>
                <w:szCs w:val="20"/>
                <w:u w:val="single"/>
              </w:rPr>
            </w:pPr>
            <w:r w:rsidRPr="00F81A33">
              <w:rPr>
                <w:rFonts w:ascii="Arial Narrow" w:hAnsi="Arial Narrow"/>
                <w:sz w:val="20"/>
                <w:szCs w:val="20"/>
                <w:u w:val="single"/>
              </w:rPr>
              <w:t>Fistula remission (resolution)</w:t>
            </w:r>
          </w:p>
          <w:p w14:paraId="42D627C0" w14:textId="77777777" w:rsidR="00F37EC5" w:rsidRPr="00F81A33" w:rsidRDefault="00F37EC5" w:rsidP="00712094">
            <w:pPr>
              <w:tabs>
                <w:tab w:val="left" w:pos="180"/>
              </w:tabs>
              <w:snapToGrid w:val="0"/>
              <w:jc w:val="center"/>
              <w:rPr>
                <w:rFonts w:ascii="Arial Narrow" w:hAnsi="Arial Narrow"/>
                <w:sz w:val="20"/>
                <w:szCs w:val="20"/>
                <w:u w:val="single"/>
              </w:rPr>
            </w:pPr>
            <w:r w:rsidRPr="00F81A33">
              <w:rPr>
                <w:rFonts w:ascii="Arial Narrow" w:hAnsi="Arial Narrow"/>
                <w:sz w:val="20"/>
                <w:szCs w:val="20"/>
              </w:rPr>
              <w:t>Absence/closure of all perianal/perirectal fistulas</w:t>
            </w:r>
            <w:r w:rsidRPr="00F81A33">
              <w:rPr>
                <w:b/>
                <w:sz w:val="20"/>
                <w:szCs w:val="20"/>
                <w:vertAlign w:val="superscript"/>
              </w:rPr>
              <w:t>8</w:t>
            </w:r>
          </w:p>
        </w:tc>
      </w:tr>
      <w:tr w:rsidR="00F37EC5" w:rsidRPr="00F81A33" w14:paraId="6F281860" w14:textId="77777777" w:rsidTr="00712094">
        <w:trPr>
          <w:cantSplit/>
          <w:trHeight w:val="70"/>
        </w:trPr>
        <w:tc>
          <w:tcPr>
            <w:tcW w:w="5000" w:type="pct"/>
            <w:gridSpan w:val="6"/>
            <w:shd w:val="clear" w:color="auto" w:fill="auto"/>
            <w:vAlign w:val="center"/>
          </w:tcPr>
          <w:p w14:paraId="57443813" w14:textId="77777777" w:rsidR="00F37EC5" w:rsidRPr="00F81A33" w:rsidRDefault="00F37EC5" w:rsidP="00712094">
            <w:pPr>
              <w:pStyle w:val="TableFigureFooter"/>
              <w:spacing w:after="0"/>
              <w:rPr>
                <w:sz w:val="20"/>
                <w:szCs w:val="20"/>
              </w:rPr>
            </w:pPr>
            <w:r w:rsidRPr="00F81A33">
              <w:rPr>
                <w:b/>
                <w:sz w:val="20"/>
                <w:szCs w:val="20"/>
                <w:lang w:val="en-US"/>
              </w:rPr>
              <w:t>UST ‘routine care’ v UST ‘treat-to-target’</w:t>
            </w:r>
          </w:p>
        </w:tc>
      </w:tr>
      <w:tr w:rsidR="00F37EC5" w:rsidRPr="00F81A33" w14:paraId="7DCCD66B" w14:textId="77777777" w:rsidTr="00712094">
        <w:trPr>
          <w:cantSplit/>
        </w:trPr>
        <w:tc>
          <w:tcPr>
            <w:tcW w:w="613" w:type="pct"/>
            <w:shd w:val="clear" w:color="auto" w:fill="auto"/>
            <w:vAlign w:val="center"/>
          </w:tcPr>
          <w:p w14:paraId="703C1528" w14:textId="77777777" w:rsidR="00F37EC5" w:rsidRPr="00F81A33" w:rsidRDefault="00F37EC5" w:rsidP="00712094">
            <w:pPr>
              <w:pStyle w:val="TableText0"/>
              <w:keepNext w:val="0"/>
              <w:rPr>
                <w:szCs w:val="20"/>
                <w:lang w:val="en-US"/>
              </w:rPr>
            </w:pPr>
            <w:r w:rsidRPr="00F81A33">
              <w:rPr>
                <w:szCs w:val="20"/>
                <w:lang w:val="en-US"/>
              </w:rPr>
              <w:t>STARDUST</w:t>
            </w:r>
          </w:p>
          <w:p w14:paraId="4C048A27" w14:textId="77777777" w:rsidR="00F37EC5" w:rsidRPr="00F81A33" w:rsidRDefault="00F37EC5" w:rsidP="00712094">
            <w:pPr>
              <w:pStyle w:val="TableText0"/>
              <w:keepNext w:val="0"/>
              <w:rPr>
                <w:szCs w:val="20"/>
                <w:lang w:val="en-US"/>
              </w:rPr>
            </w:pPr>
            <w:r w:rsidRPr="00F81A33">
              <w:rPr>
                <w:szCs w:val="20"/>
                <w:lang w:val="en-US"/>
              </w:rPr>
              <w:t>[maintenance]</w:t>
            </w:r>
          </w:p>
          <w:p w14:paraId="6534E64A" w14:textId="77777777" w:rsidR="00F37EC5" w:rsidRPr="00F81A33" w:rsidRDefault="00F37EC5" w:rsidP="00712094">
            <w:pPr>
              <w:pStyle w:val="TableText0"/>
              <w:keepNext w:val="0"/>
              <w:rPr>
                <w:szCs w:val="20"/>
                <w:lang w:val="en-US"/>
              </w:rPr>
            </w:pPr>
            <w:r w:rsidRPr="00F81A33">
              <w:rPr>
                <w:szCs w:val="20"/>
                <w:lang w:val="en-US"/>
              </w:rPr>
              <w:t>(2017-2021)</w:t>
            </w:r>
          </w:p>
        </w:tc>
        <w:tc>
          <w:tcPr>
            <w:tcW w:w="847" w:type="pct"/>
            <w:shd w:val="clear" w:color="auto" w:fill="auto"/>
            <w:vAlign w:val="center"/>
          </w:tcPr>
          <w:p w14:paraId="397382D8" w14:textId="77777777" w:rsidR="00F37EC5" w:rsidRPr="00F81A33" w:rsidRDefault="00F37EC5" w:rsidP="00712094">
            <w:pPr>
              <w:pStyle w:val="TableText0"/>
              <w:keepNext w:val="0"/>
              <w:jc w:val="center"/>
              <w:rPr>
                <w:szCs w:val="20"/>
                <w:lang w:val="en-US"/>
              </w:rPr>
            </w:pPr>
            <w:r w:rsidRPr="00F81A33">
              <w:rPr>
                <w:szCs w:val="20"/>
                <w:lang w:val="en-US"/>
              </w:rPr>
              <w:t xml:space="preserve">CD (MP) </w:t>
            </w:r>
            <w:r w:rsidRPr="00F81A33">
              <w:rPr>
                <w:szCs w:val="20"/>
                <w:vertAlign w:val="superscript"/>
                <w:lang w:val="en-US"/>
              </w:rPr>
              <w:t>3:</w:t>
            </w:r>
            <w:r w:rsidRPr="00F81A33">
              <w:rPr>
                <w:szCs w:val="20"/>
                <w:lang w:val="en-US"/>
              </w:rPr>
              <w:t xml:space="preserve"> 440</w:t>
            </w:r>
          </w:p>
          <w:p w14:paraId="1F6F69C5" w14:textId="77777777" w:rsidR="00F37EC5" w:rsidRPr="00F81A33" w:rsidRDefault="00F37EC5" w:rsidP="00712094">
            <w:pPr>
              <w:pStyle w:val="TableText0"/>
              <w:keepNext w:val="0"/>
              <w:jc w:val="center"/>
              <w:rPr>
                <w:szCs w:val="20"/>
                <w:lang w:val="en-US"/>
              </w:rPr>
            </w:pPr>
            <w:r w:rsidRPr="00F81A33">
              <w:rPr>
                <w:szCs w:val="20"/>
                <w:lang w:val="en-US"/>
              </w:rPr>
              <w:t>fCD (MP): 19</w:t>
            </w:r>
          </w:p>
        </w:tc>
        <w:tc>
          <w:tcPr>
            <w:tcW w:w="932" w:type="pct"/>
            <w:shd w:val="clear" w:color="auto" w:fill="auto"/>
            <w:vAlign w:val="center"/>
          </w:tcPr>
          <w:p w14:paraId="1039611E" w14:textId="77777777" w:rsidR="00F37EC5" w:rsidRPr="00F81A33" w:rsidRDefault="00F37EC5" w:rsidP="00712094">
            <w:pPr>
              <w:pStyle w:val="TableText0"/>
              <w:keepNext w:val="0"/>
              <w:jc w:val="center"/>
              <w:rPr>
                <w:szCs w:val="20"/>
                <w:lang w:val="en-US"/>
              </w:rPr>
            </w:pPr>
            <w:r w:rsidRPr="00F81A33">
              <w:rPr>
                <w:szCs w:val="20"/>
                <w:lang w:val="en-US"/>
              </w:rPr>
              <w:t xml:space="preserve">MC, OL IP (16wk) / </w:t>
            </w:r>
          </w:p>
          <w:p w14:paraId="044F785F" w14:textId="77777777" w:rsidR="00F37EC5" w:rsidRPr="00F81A33" w:rsidRDefault="00F37EC5" w:rsidP="00712094">
            <w:pPr>
              <w:pStyle w:val="TableText0"/>
              <w:keepNext w:val="0"/>
              <w:jc w:val="center"/>
              <w:rPr>
                <w:szCs w:val="20"/>
                <w:lang w:val="en-US"/>
              </w:rPr>
            </w:pPr>
            <w:r w:rsidRPr="00F81A33">
              <w:rPr>
                <w:szCs w:val="20"/>
                <w:lang w:val="en-US"/>
              </w:rPr>
              <w:t xml:space="preserve">R OL MP (+32wk), </w:t>
            </w:r>
          </w:p>
          <w:p w14:paraId="77C97806" w14:textId="77777777" w:rsidR="00F37EC5" w:rsidRPr="00F81A33" w:rsidRDefault="00F37EC5" w:rsidP="00712094">
            <w:pPr>
              <w:pStyle w:val="TableText0"/>
              <w:keepNext w:val="0"/>
              <w:jc w:val="center"/>
              <w:rPr>
                <w:szCs w:val="20"/>
                <w:lang w:val="en-US"/>
              </w:rPr>
            </w:pPr>
            <w:r w:rsidRPr="00F81A33">
              <w:rPr>
                <w:szCs w:val="20"/>
                <w:lang w:val="en-US"/>
              </w:rPr>
              <w:t>RWD (IP responders)</w:t>
            </w:r>
          </w:p>
        </w:tc>
        <w:tc>
          <w:tcPr>
            <w:tcW w:w="672" w:type="pct"/>
            <w:vAlign w:val="center"/>
          </w:tcPr>
          <w:p w14:paraId="070E8222" w14:textId="77777777" w:rsidR="00F37EC5" w:rsidRPr="00F81A33" w:rsidRDefault="00F37EC5" w:rsidP="00712094">
            <w:pPr>
              <w:pStyle w:val="In-tableHeading"/>
              <w:keepNext w:val="0"/>
              <w:jc w:val="center"/>
              <w:rPr>
                <w:b w:val="0"/>
                <w:bCs/>
                <w:szCs w:val="20"/>
              </w:rPr>
            </w:pPr>
            <w:r w:rsidRPr="00F81A33">
              <w:rPr>
                <w:b w:val="0"/>
                <w:bCs/>
                <w:szCs w:val="20"/>
              </w:rPr>
              <w:t>CD: Low</w:t>
            </w:r>
          </w:p>
          <w:p w14:paraId="52A300E2" w14:textId="77777777" w:rsidR="00F37EC5" w:rsidRPr="00F81A33" w:rsidRDefault="00F37EC5" w:rsidP="00712094">
            <w:pPr>
              <w:pStyle w:val="In-tableHeading"/>
              <w:keepNext w:val="0"/>
              <w:jc w:val="center"/>
              <w:rPr>
                <w:b w:val="0"/>
                <w:bCs/>
                <w:szCs w:val="20"/>
              </w:rPr>
            </w:pPr>
            <w:r w:rsidRPr="00F81A33">
              <w:rPr>
                <w:b w:val="0"/>
                <w:bCs/>
                <w:szCs w:val="20"/>
              </w:rPr>
              <w:t>fCD: High</w:t>
            </w:r>
          </w:p>
        </w:tc>
        <w:tc>
          <w:tcPr>
            <w:tcW w:w="785" w:type="pct"/>
            <w:vAlign w:val="center"/>
          </w:tcPr>
          <w:p w14:paraId="5265B039" w14:textId="77777777" w:rsidR="00F37EC5" w:rsidRPr="00F81A33" w:rsidRDefault="00F37EC5" w:rsidP="00712094">
            <w:pPr>
              <w:pStyle w:val="TableText0"/>
              <w:keepNext w:val="0"/>
              <w:jc w:val="center"/>
              <w:rPr>
                <w:szCs w:val="20"/>
              </w:rPr>
            </w:pPr>
            <w:r w:rsidRPr="00F81A33">
              <w:rPr>
                <w:szCs w:val="20"/>
              </w:rPr>
              <w:t>CD patients with response (CR-70) to UST induction at W16; TNF naïve and experienced</w:t>
            </w:r>
          </w:p>
        </w:tc>
        <w:tc>
          <w:tcPr>
            <w:tcW w:w="1151" w:type="pct"/>
            <w:vAlign w:val="center"/>
          </w:tcPr>
          <w:p w14:paraId="2226578C" w14:textId="77777777" w:rsidR="00F37EC5" w:rsidRPr="00F81A33" w:rsidRDefault="00F37EC5" w:rsidP="00712094">
            <w:pPr>
              <w:tabs>
                <w:tab w:val="left" w:pos="180"/>
              </w:tabs>
              <w:snapToGrid w:val="0"/>
              <w:jc w:val="center"/>
              <w:rPr>
                <w:rFonts w:ascii="Arial Narrow" w:hAnsi="Arial Narrow"/>
                <w:sz w:val="20"/>
                <w:szCs w:val="20"/>
                <w:u w:val="single"/>
              </w:rPr>
            </w:pPr>
            <w:r w:rsidRPr="00F81A33">
              <w:rPr>
                <w:rFonts w:ascii="Arial Narrow" w:hAnsi="Arial Narrow"/>
                <w:sz w:val="20"/>
                <w:szCs w:val="20"/>
                <w:u w:val="single"/>
              </w:rPr>
              <w:t>Fistula response</w:t>
            </w:r>
          </w:p>
          <w:p w14:paraId="33F94B5C" w14:textId="77777777" w:rsidR="00F37EC5" w:rsidRPr="00F81A33" w:rsidRDefault="00F37EC5" w:rsidP="00712094">
            <w:pPr>
              <w:tabs>
                <w:tab w:val="left" w:pos="180"/>
              </w:tabs>
              <w:snapToGrid w:val="0"/>
              <w:jc w:val="center"/>
              <w:rPr>
                <w:rFonts w:ascii="Arial Narrow" w:hAnsi="Arial Narrow"/>
                <w:sz w:val="20"/>
                <w:szCs w:val="20"/>
                <w:u w:val="single"/>
              </w:rPr>
            </w:pPr>
            <w:r w:rsidRPr="00F81A33">
              <w:rPr>
                <w:rFonts w:ascii="Arial Narrow" w:hAnsi="Arial Narrow"/>
                <w:sz w:val="20"/>
                <w:szCs w:val="20"/>
              </w:rPr>
              <w:t>≥50% reduction in the number of perianal/perirectal fistulas</w:t>
            </w:r>
            <w:r w:rsidRPr="00F81A33">
              <w:rPr>
                <w:rFonts w:ascii="Arial Narrow" w:hAnsi="Arial Narrow"/>
                <w:sz w:val="20"/>
                <w:szCs w:val="20"/>
                <w:vertAlign w:val="superscript"/>
              </w:rPr>
              <w:t>8</w:t>
            </w:r>
          </w:p>
        </w:tc>
      </w:tr>
      <w:tr w:rsidR="00F37EC5" w:rsidRPr="00F81A33" w14:paraId="6E454FC1" w14:textId="77777777" w:rsidTr="00712094">
        <w:trPr>
          <w:cantSplit/>
        </w:trPr>
        <w:tc>
          <w:tcPr>
            <w:tcW w:w="5000" w:type="pct"/>
            <w:gridSpan w:val="6"/>
            <w:shd w:val="clear" w:color="auto" w:fill="auto"/>
            <w:vAlign w:val="center"/>
          </w:tcPr>
          <w:p w14:paraId="364ACA72" w14:textId="77777777" w:rsidR="00F37EC5" w:rsidRPr="00F81A33" w:rsidRDefault="00F37EC5" w:rsidP="00712094">
            <w:pPr>
              <w:tabs>
                <w:tab w:val="left" w:pos="180"/>
              </w:tabs>
              <w:snapToGrid w:val="0"/>
              <w:jc w:val="left"/>
              <w:rPr>
                <w:rFonts w:ascii="Arial Narrow" w:hAnsi="Arial Narrow"/>
                <w:sz w:val="20"/>
                <w:szCs w:val="20"/>
                <w:u w:val="single"/>
              </w:rPr>
            </w:pPr>
            <w:r w:rsidRPr="00F81A33">
              <w:rPr>
                <w:rFonts w:ascii="Arial Narrow" w:hAnsi="Arial Narrow"/>
                <w:b/>
                <w:sz w:val="20"/>
                <w:szCs w:val="20"/>
                <w:lang w:val="en-US"/>
              </w:rPr>
              <w:t>UST v placebo</w:t>
            </w:r>
          </w:p>
        </w:tc>
      </w:tr>
      <w:tr w:rsidR="00F37EC5" w:rsidRPr="00F81A33" w14:paraId="66B6812B" w14:textId="77777777" w:rsidTr="00712094">
        <w:trPr>
          <w:cantSplit/>
        </w:trPr>
        <w:tc>
          <w:tcPr>
            <w:tcW w:w="613" w:type="pct"/>
            <w:shd w:val="clear" w:color="auto" w:fill="C6D9F1" w:themeFill="text2" w:themeFillTint="33"/>
            <w:vAlign w:val="center"/>
          </w:tcPr>
          <w:p w14:paraId="74117EDE" w14:textId="77777777" w:rsidR="00F37EC5" w:rsidRPr="00F81A33" w:rsidRDefault="00F37EC5" w:rsidP="00712094">
            <w:pPr>
              <w:pStyle w:val="TableText0"/>
              <w:keepNext w:val="0"/>
              <w:rPr>
                <w:szCs w:val="20"/>
                <w:lang w:val="en-US"/>
              </w:rPr>
            </w:pPr>
            <w:r w:rsidRPr="00F81A33">
              <w:rPr>
                <w:szCs w:val="20"/>
                <w:lang w:val="en-US"/>
              </w:rPr>
              <w:t>UNITI-1</w:t>
            </w:r>
          </w:p>
          <w:p w14:paraId="5E3D103E" w14:textId="77777777" w:rsidR="00F37EC5" w:rsidRPr="00F81A33" w:rsidRDefault="00F37EC5" w:rsidP="00712094">
            <w:pPr>
              <w:pStyle w:val="TableText0"/>
              <w:keepNext w:val="0"/>
              <w:rPr>
                <w:szCs w:val="20"/>
                <w:lang w:val="en-US"/>
              </w:rPr>
            </w:pPr>
            <w:r w:rsidRPr="00F81A33">
              <w:rPr>
                <w:szCs w:val="20"/>
                <w:lang w:val="en-US"/>
              </w:rPr>
              <w:t>[induction]</w:t>
            </w:r>
          </w:p>
        </w:tc>
        <w:tc>
          <w:tcPr>
            <w:tcW w:w="847" w:type="pct"/>
            <w:shd w:val="clear" w:color="auto" w:fill="C6D9F1" w:themeFill="text2" w:themeFillTint="33"/>
            <w:vAlign w:val="center"/>
          </w:tcPr>
          <w:p w14:paraId="67A515A1" w14:textId="77777777" w:rsidR="00F37EC5" w:rsidRPr="00F81A33" w:rsidRDefault="00F37EC5" w:rsidP="00712094">
            <w:pPr>
              <w:pStyle w:val="TableText0"/>
              <w:keepNext w:val="0"/>
              <w:jc w:val="center"/>
              <w:rPr>
                <w:szCs w:val="20"/>
                <w:lang w:val="en-US"/>
              </w:rPr>
            </w:pPr>
            <w:r w:rsidRPr="00F81A33">
              <w:rPr>
                <w:szCs w:val="20"/>
                <w:lang w:val="en-US"/>
              </w:rPr>
              <w:t xml:space="preserve">CD </w:t>
            </w:r>
            <w:r w:rsidRPr="00F81A33">
              <w:rPr>
                <w:szCs w:val="20"/>
                <w:vertAlign w:val="superscript"/>
                <w:lang w:val="en-US"/>
              </w:rPr>
              <w:t>4</w:t>
            </w:r>
            <w:r w:rsidRPr="00F81A33">
              <w:rPr>
                <w:szCs w:val="20"/>
                <w:lang w:val="en-US"/>
              </w:rPr>
              <w:t>: 496</w:t>
            </w:r>
          </w:p>
          <w:p w14:paraId="433BAC09" w14:textId="77777777" w:rsidR="00F37EC5" w:rsidRPr="00F81A33" w:rsidRDefault="00F37EC5" w:rsidP="00712094">
            <w:pPr>
              <w:pStyle w:val="TableText0"/>
              <w:keepNext w:val="0"/>
              <w:jc w:val="center"/>
              <w:rPr>
                <w:szCs w:val="20"/>
                <w:lang w:val="en-US"/>
              </w:rPr>
            </w:pPr>
            <w:r w:rsidRPr="00F81A33">
              <w:rPr>
                <w:szCs w:val="20"/>
                <w:lang w:val="en-US"/>
              </w:rPr>
              <w:t xml:space="preserve">fCD baseline </w:t>
            </w:r>
            <w:r w:rsidRPr="00F81A33">
              <w:rPr>
                <w:szCs w:val="20"/>
                <w:vertAlign w:val="superscript"/>
                <w:lang w:val="en-US"/>
              </w:rPr>
              <w:t>1</w:t>
            </w:r>
            <w:r w:rsidRPr="00F81A33">
              <w:rPr>
                <w:szCs w:val="20"/>
                <w:lang w:val="en-US"/>
              </w:rPr>
              <w:t>: 100</w:t>
            </w:r>
          </w:p>
          <w:p w14:paraId="6343BA59" w14:textId="77777777" w:rsidR="00F37EC5" w:rsidRPr="00F81A33" w:rsidRDefault="00F37EC5" w:rsidP="00712094">
            <w:pPr>
              <w:pStyle w:val="TableText0"/>
              <w:keepNext w:val="0"/>
              <w:jc w:val="center"/>
              <w:rPr>
                <w:szCs w:val="20"/>
                <w:lang w:val="en-US"/>
              </w:rPr>
            </w:pPr>
            <w:r w:rsidRPr="00F81A33">
              <w:rPr>
                <w:szCs w:val="20"/>
                <w:lang w:val="en-US"/>
              </w:rPr>
              <w:t xml:space="preserve">fCD W8 outcome </w:t>
            </w:r>
            <w:r w:rsidRPr="00F81A33">
              <w:rPr>
                <w:szCs w:val="20"/>
                <w:vertAlign w:val="superscript"/>
                <w:lang w:val="en-US"/>
              </w:rPr>
              <w:t>4</w:t>
            </w:r>
            <w:r w:rsidRPr="00F81A33">
              <w:rPr>
                <w:szCs w:val="20"/>
                <w:lang w:val="en-US"/>
              </w:rPr>
              <w:t>: 63</w:t>
            </w:r>
          </w:p>
        </w:tc>
        <w:tc>
          <w:tcPr>
            <w:tcW w:w="932" w:type="pct"/>
            <w:shd w:val="clear" w:color="auto" w:fill="C6D9F1" w:themeFill="text2" w:themeFillTint="33"/>
            <w:vAlign w:val="center"/>
          </w:tcPr>
          <w:p w14:paraId="3850C372" w14:textId="77777777" w:rsidR="00F37EC5" w:rsidRPr="00F81A33" w:rsidRDefault="00F37EC5" w:rsidP="00712094">
            <w:pPr>
              <w:pStyle w:val="TableText0"/>
              <w:keepNext w:val="0"/>
              <w:jc w:val="center"/>
              <w:rPr>
                <w:szCs w:val="20"/>
                <w:lang w:val="en-US"/>
              </w:rPr>
            </w:pPr>
            <w:r w:rsidRPr="00F81A33">
              <w:rPr>
                <w:szCs w:val="20"/>
                <w:lang w:val="en-US"/>
              </w:rPr>
              <w:t>MC, R, DB, IP (8wk)</w:t>
            </w:r>
          </w:p>
        </w:tc>
        <w:tc>
          <w:tcPr>
            <w:tcW w:w="672" w:type="pct"/>
            <w:shd w:val="clear" w:color="auto" w:fill="C6D9F1" w:themeFill="text2" w:themeFillTint="33"/>
            <w:vAlign w:val="center"/>
          </w:tcPr>
          <w:p w14:paraId="0D66C176" w14:textId="77777777" w:rsidR="00F37EC5" w:rsidRPr="00F81A33" w:rsidRDefault="00F37EC5" w:rsidP="00712094">
            <w:pPr>
              <w:pStyle w:val="In-tableHeading"/>
              <w:keepNext w:val="0"/>
              <w:jc w:val="center"/>
              <w:rPr>
                <w:b w:val="0"/>
                <w:bCs/>
                <w:szCs w:val="20"/>
              </w:rPr>
            </w:pPr>
            <w:r w:rsidRPr="00F81A33">
              <w:rPr>
                <w:b w:val="0"/>
                <w:bCs/>
                <w:szCs w:val="20"/>
              </w:rPr>
              <w:t>CD: Low</w:t>
            </w:r>
          </w:p>
          <w:p w14:paraId="3A188590" w14:textId="77777777" w:rsidR="00F37EC5" w:rsidRPr="00F81A33" w:rsidRDefault="00F37EC5" w:rsidP="00712094">
            <w:pPr>
              <w:pStyle w:val="TableText0"/>
              <w:keepNext w:val="0"/>
              <w:jc w:val="center"/>
              <w:rPr>
                <w:szCs w:val="20"/>
                <w:lang w:val="en-US"/>
              </w:rPr>
            </w:pPr>
            <w:r w:rsidRPr="00F81A33">
              <w:rPr>
                <w:szCs w:val="20"/>
              </w:rPr>
              <w:t>fCD: High</w:t>
            </w:r>
          </w:p>
        </w:tc>
        <w:tc>
          <w:tcPr>
            <w:tcW w:w="785" w:type="pct"/>
            <w:shd w:val="clear" w:color="auto" w:fill="C6D9F1" w:themeFill="text2" w:themeFillTint="33"/>
            <w:vAlign w:val="center"/>
          </w:tcPr>
          <w:p w14:paraId="59C8B9E8" w14:textId="77777777" w:rsidR="00F37EC5" w:rsidRPr="00F81A33" w:rsidRDefault="00F37EC5" w:rsidP="00712094">
            <w:pPr>
              <w:pStyle w:val="TableText0"/>
              <w:keepNext w:val="0"/>
              <w:jc w:val="center"/>
              <w:rPr>
                <w:szCs w:val="20"/>
                <w:lang w:val="en-US"/>
              </w:rPr>
            </w:pPr>
            <w:r w:rsidRPr="00F81A33">
              <w:rPr>
                <w:szCs w:val="20"/>
              </w:rPr>
              <w:t>TNF experienced (refractory)</w:t>
            </w:r>
          </w:p>
        </w:tc>
        <w:tc>
          <w:tcPr>
            <w:tcW w:w="1151" w:type="pct"/>
            <w:vMerge w:val="restart"/>
            <w:shd w:val="clear" w:color="auto" w:fill="C6D9F1" w:themeFill="text2" w:themeFillTint="33"/>
            <w:vAlign w:val="center"/>
          </w:tcPr>
          <w:p w14:paraId="0490D5E6" w14:textId="77777777" w:rsidR="00F37EC5" w:rsidRPr="00F81A33" w:rsidRDefault="00F37EC5" w:rsidP="00712094">
            <w:pPr>
              <w:tabs>
                <w:tab w:val="left" w:pos="180"/>
              </w:tabs>
              <w:snapToGrid w:val="0"/>
              <w:jc w:val="center"/>
              <w:rPr>
                <w:rFonts w:ascii="Arial Narrow" w:hAnsi="Arial Narrow"/>
                <w:sz w:val="20"/>
                <w:szCs w:val="20"/>
                <w:u w:val="single"/>
              </w:rPr>
            </w:pPr>
            <w:r w:rsidRPr="00F81A33">
              <w:rPr>
                <w:rFonts w:ascii="Arial Narrow" w:hAnsi="Arial Narrow"/>
                <w:sz w:val="20"/>
                <w:szCs w:val="20"/>
                <w:u w:val="single"/>
              </w:rPr>
              <w:t>Fistula response</w:t>
            </w:r>
          </w:p>
          <w:p w14:paraId="436A7926" w14:textId="77777777" w:rsidR="00F37EC5" w:rsidRPr="00F81A33" w:rsidRDefault="00F37EC5" w:rsidP="00712094">
            <w:pPr>
              <w:pStyle w:val="TableText0"/>
              <w:keepNext w:val="0"/>
              <w:jc w:val="center"/>
              <w:rPr>
                <w:szCs w:val="20"/>
                <w:lang w:val="en-US"/>
              </w:rPr>
            </w:pPr>
            <w:r w:rsidRPr="00F81A33">
              <w:rPr>
                <w:szCs w:val="20"/>
              </w:rPr>
              <w:t>≥50% reduction in number of opening/draining fistulas</w:t>
            </w:r>
          </w:p>
        </w:tc>
      </w:tr>
      <w:tr w:rsidR="00F37EC5" w:rsidRPr="00F81A33" w14:paraId="39F2B2D0" w14:textId="77777777" w:rsidTr="00712094">
        <w:trPr>
          <w:cantSplit/>
        </w:trPr>
        <w:tc>
          <w:tcPr>
            <w:tcW w:w="613" w:type="pct"/>
            <w:shd w:val="clear" w:color="auto" w:fill="C6D9F1" w:themeFill="text2" w:themeFillTint="33"/>
            <w:vAlign w:val="center"/>
          </w:tcPr>
          <w:p w14:paraId="02862AB6" w14:textId="77777777" w:rsidR="00F37EC5" w:rsidRPr="00F81A33" w:rsidRDefault="00F37EC5" w:rsidP="00712094">
            <w:pPr>
              <w:pStyle w:val="TableText0"/>
              <w:keepNext w:val="0"/>
              <w:rPr>
                <w:szCs w:val="20"/>
                <w:lang w:val="en-US"/>
              </w:rPr>
            </w:pPr>
            <w:r w:rsidRPr="00F81A33">
              <w:rPr>
                <w:szCs w:val="20"/>
                <w:lang w:val="en-US"/>
              </w:rPr>
              <w:t>UNITI-2</w:t>
            </w:r>
          </w:p>
          <w:p w14:paraId="702144A8" w14:textId="77777777" w:rsidR="00F37EC5" w:rsidRPr="00F81A33" w:rsidRDefault="00F37EC5" w:rsidP="00712094">
            <w:pPr>
              <w:pStyle w:val="TableText0"/>
              <w:keepNext w:val="0"/>
              <w:rPr>
                <w:szCs w:val="20"/>
                <w:lang w:val="en-US"/>
              </w:rPr>
            </w:pPr>
            <w:r w:rsidRPr="00F81A33">
              <w:rPr>
                <w:szCs w:val="20"/>
                <w:lang w:val="en-US"/>
              </w:rPr>
              <w:t>[induction]</w:t>
            </w:r>
          </w:p>
        </w:tc>
        <w:tc>
          <w:tcPr>
            <w:tcW w:w="847" w:type="pct"/>
            <w:shd w:val="clear" w:color="auto" w:fill="C6D9F1" w:themeFill="text2" w:themeFillTint="33"/>
            <w:vAlign w:val="center"/>
          </w:tcPr>
          <w:p w14:paraId="4753D83F" w14:textId="77777777" w:rsidR="00F37EC5" w:rsidRPr="00F81A33" w:rsidRDefault="00F37EC5" w:rsidP="00712094">
            <w:pPr>
              <w:pStyle w:val="TableText0"/>
              <w:keepNext w:val="0"/>
              <w:jc w:val="center"/>
              <w:rPr>
                <w:szCs w:val="20"/>
                <w:lang w:val="en-US"/>
              </w:rPr>
            </w:pPr>
            <w:r w:rsidRPr="00F81A33">
              <w:rPr>
                <w:szCs w:val="20"/>
                <w:lang w:val="en-US"/>
              </w:rPr>
              <w:t xml:space="preserve">CD </w:t>
            </w:r>
            <w:r w:rsidRPr="00F81A33">
              <w:rPr>
                <w:szCs w:val="20"/>
                <w:vertAlign w:val="superscript"/>
                <w:lang w:val="en-US"/>
              </w:rPr>
              <w:t>4</w:t>
            </w:r>
            <w:r w:rsidRPr="00F81A33">
              <w:rPr>
                <w:szCs w:val="20"/>
                <w:lang w:val="en-US"/>
              </w:rPr>
              <w:t>: 419</w:t>
            </w:r>
          </w:p>
          <w:p w14:paraId="769BB2FD" w14:textId="77777777" w:rsidR="00F37EC5" w:rsidRPr="00F81A33" w:rsidRDefault="00F37EC5" w:rsidP="00712094">
            <w:pPr>
              <w:pStyle w:val="TableText0"/>
              <w:keepNext w:val="0"/>
              <w:jc w:val="center"/>
              <w:rPr>
                <w:szCs w:val="20"/>
                <w:lang w:val="en-US"/>
              </w:rPr>
            </w:pPr>
            <w:r w:rsidRPr="00F81A33">
              <w:rPr>
                <w:szCs w:val="20"/>
                <w:lang w:val="en-US"/>
              </w:rPr>
              <w:t xml:space="preserve">fCD baseline </w:t>
            </w:r>
            <w:r w:rsidRPr="00F81A33">
              <w:rPr>
                <w:szCs w:val="20"/>
                <w:vertAlign w:val="superscript"/>
                <w:lang w:val="en-US"/>
              </w:rPr>
              <w:t>1</w:t>
            </w:r>
            <w:r w:rsidRPr="00F81A33">
              <w:rPr>
                <w:szCs w:val="20"/>
                <w:lang w:val="en-US"/>
              </w:rPr>
              <w:t>: 64</w:t>
            </w:r>
          </w:p>
          <w:p w14:paraId="4E2E8666" w14:textId="77777777" w:rsidR="00F37EC5" w:rsidRPr="00F81A33" w:rsidRDefault="00F37EC5" w:rsidP="00712094">
            <w:pPr>
              <w:pStyle w:val="TableText0"/>
              <w:keepNext w:val="0"/>
              <w:jc w:val="center"/>
              <w:rPr>
                <w:szCs w:val="20"/>
                <w:lang w:val="en-US"/>
              </w:rPr>
            </w:pPr>
            <w:r w:rsidRPr="00F81A33">
              <w:rPr>
                <w:szCs w:val="20"/>
                <w:lang w:val="en-US"/>
              </w:rPr>
              <w:t xml:space="preserve">fCD W8 outcome </w:t>
            </w:r>
            <w:r w:rsidRPr="00F81A33">
              <w:rPr>
                <w:szCs w:val="20"/>
                <w:vertAlign w:val="superscript"/>
                <w:lang w:val="en-US"/>
              </w:rPr>
              <w:t>4</w:t>
            </w:r>
            <w:r w:rsidRPr="00F81A33">
              <w:rPr>
                <w:szCs w:val="20"/>
                <w:lang w:val="en-US"/>
              </w:rPr>
              <w:t>: 42</w:t>
            </w:r>
          </w:p>
        </w:tc>
        <w:tc>
          <w:tcPr>
            <w:tcW w:w="932" w:type="pct"/>
            <w:shd w:val="clear" w:color="auto" w:fill="C6D9F1" w:themeFill="text2" w:themeFillTint="33"/>
            <w:vAlign w:val="center"/>
          </w:tcPr>
          <w:p w14:paraId="69E6E5DF" w14:textId="77777777" w:rsidR="00F37EC5" w:rsidRPr="00F81A33" w:rsidRDefault="00F37EC5" w:rsidP="00712094">
            <w:pPr>
              <w:pStyle w:val="TableText0"/>
              <w:keepNext w:val="0"/>
              <w:jc w:val="center"/>
              <w:rPr>
                <w:szCs w:val="20"/>
                <w:lang w:val="en-US"/>
              </w:rPr>
            </w:pPr>
            <w:r w:rsidRPr="00F81A33">
              <w:rPr>
                <w:szCs w:val="20"/>
                <w:lang w:val="en-US"/>
              </w:rPr>
              <w:t>MC, R, DB, IP (8wk)</w:t>
            </w:r>
          </w:p>
        </w:tc>
        <w:tc>
          <w:tcPr>
            <w:tcW w:w="672" w:type="pct"/>
            <w:shd w:val="clear" w:color="auto" w:fill="C6D9F1" w:themeFill="text2" w:themeFillTint="33"/>
            <w:vAlign w:val="center"/>
          </w:tcPr>
          <w:p w14:paraId="5A0D8EA7" w14:textId="77777777" w:rsidR="00F37EC5" w:rsidRPr="00F81A33" w:rsidRDefault="00F37EC5" w:rsidP="00712094">
            <w:pPr>
              <w:pStyle w:val="In-tableHeading"/>
              <w:keepNext w:val="0"/>
              <w:jc w:val="center"/>
              <w:rPr>
                <w:b w:val="0"/>
                <w:bCs/>
                <w:szCs w:val="20"/>
              </w:rPr>
            </w:pPr>
            <w:r w:rsidRPr="00F81A33">
              <w:rPr>
                <w:b w:val="0"/>
                <w:bCs/>
                <w:szCs w:val="20"/>
              </w:rPr>
              <w:t>CD: Low</w:t>
            </w:r>
          </w:p>
          <w:p w14:paraId="5526730F" w14:textId="77777777" w:rsidR="00F37EC5" w:rsidRPr="00F81A33" w:rsidRDefault="00F37EC5" w:rsidP="00712094">
            <w:pPr>
              <w:pStyle w:val="TableText0"/>
              <w:keepNext w:val="0"/>
              <w:jc w:val="center"/>
              <w:rPr>
                <w:szCs w:val="20"/>
                <w:lang w:val="en-US"/>
              </w:rPr>
            </w:pPr>
            <w:r w:rsidRPr="00F81A33">
              <w:rPr>
                <w:szCs w:val="20"/>
              </w:rPr>
              <w:t>fCD: High</w:t>
            </w:r>
          </w:p>
        </w:tc>
        <w:tc>
          <w:tcPr>
            <w:tcW w:w="785" w:type="pct"/>
            <w:shd w:val="clear" w:color="auto" w:fill="C6D9F1" w:themeFill="text2" w:themeFillTint="33"/>
            <w:vAlign w:val="center"/>
          </w:tcPr>
          <w:p w14:paraId="3F18F0D9" w14:textId="77777777" w:rsidR="00F37EC5" w:rsidRPr="00F81A33" w:rsidRDefault="00F37EC5" w:rsidP="00712094">
            <w:pPr>
              <w:pStyle w:val="TableText0"/>
              <w:keepNext w:val="0"/>
              <w:jc w:val="center"/>
              <w:rPr>
                <w:szCs w:val="20"/>
                <w:lang w:val="en-US"/>
              </w:rPr>
            </w:pPr>
            <w:r w:rsidRPr="00F81A33">
              <w:rPr>
                <w:szCs w:val="20"/>
              </w:rPr>
              <w:t>TNF naïve and experienced (non-refractory)</w:t>
            </w:r>
          </w:p>
        </w:tc>
        <w:tc>
          <w:tcPr>
            <w:tcW w:w="1151" w:type="pct"/>
            <w:vMerge/>
            <w:shd w:val="clear" w:color="auto" w:fill="C6D9F1" w:themeFill="text2" w:themeFillTint="33"/>
            <w:vAlign w:val="center"/>
          </w:tcPr>
          <w:p w14:paraId="3ADC8BF9" w14:textId="77777777" w:rsidR="00F37EC5" w:rsidRPr="00F81A33" w:rsidRDefault="00F37EC5" w:rsidP="00712094">
            <w:pPr>
              <w:pStyle w:val="TableText0"/>
              <w:keepNext w:val="0"/>
              <w:jc w:val="center"/>
              <w:rPr>
                <w:szCs w:val="20"/>
                <w:lang w:val="en-US"/>
              </w:rPr>
            </w:pPr>
          </w:p>
        </w:tc>
      </w:tr>
      <w:tr w:rsidR="00F37EC5" w:rsidRPr="00F81A33" w14:paraId="37CFCEF0" w14:textId="77777777" w:rsidTr="00712094">
        <w:trPr>
          <w:cantSplit/>
        </w:trPr>
        <w:tc>
          <w:tcPr>
            <w:tcW w:w="613" w:type="pct"/>
            <w:shd w:val="clear" w:color="auto" w:fill="C6D9F1" w:themeFill="text2" w:themeFillTint="33"/>
            <w:vAlign w:val="center"/>
          </w:tcPr>
          <w:p w14:paraId="2EC2A9DC" w14:textId="77777777" w:rsidR="00F37EC5" w:rsidRPr="00F81A33" w:rsidRDefault="00F37EC5" w:rsidP="00712094">
            <w:pPr>
              <w:pStyle w:val="TableText0"/>
              <w:keepNext w:val="0"/>
              <w:rPr>
                <w:szCs w:val="20"/>
                <w:lang w:val="en-US"/>
              </w:rPr>
            </w:pPr>
            <w:r w:rsidRPr="00F81A33">
              <w:rPr>
                <w:szCs w:val="20"/>
                <w:lang w:val="en-US"/>
              </w:rPr>
              <w:t>IM-UNITI</w:t>
            </w:r>
          </w:p>
          <w:p w14:paraId="7CFB1DA8" w14:textId="77777777" w:rsidR="00F37EC5" w:rsidRPr="00F81A33" w:rsidRDefault="00F37EC5" w:rsidP="00712094">
            <w:pPr>
              <w:pStyle w:val="TableText0"/>
              <w:keepNext w:val="0"/>
              <w:rPr>
                <w:szCs w:val="20"/>
                <w:lang w:val="en-US"/>
              </w:rPr>
            </w:pPr>
            <w:r w:rsidRPr="00F81A33">
              <w:rPr>
                <w:szCs w:val="20"/>
                <w:lang w:val="en-US"/>
              </w:rPr>
              <w:t>[maintenance]</w:t>
            </w:r>
          </w:p>
        </w:tc>
        <w:tc>
          <w:tcPr>
            <w:tcW w:w="847" w:type="pct"/>
            <w:shd w:val="clear" w:color="auto" w:fill="C6D9F1" w:themeFill="text2" w:themeFillTint="33"/>
            <w:vAlign w:val="center"/>
          </w:tcPr>
          <w:p w14:paraId="48ADB3D6" w14:textId="77777777" w:rsidR="00F37EC5" w:rsidRPr="00F81A33" w:rsidRDefault="00F37EC5" w:rsidP="00712094">
            <w:pPr>
              <w:pStyle w:val="TableText0"/>
              <w:keepNext w:val="0"/>
              <w:jc w:val="center"/>
              <w:rPr>
                <w:szCs w:val="20"/>
                <w:lang w:val="en-US"/>
              </w:rPr>
            </w:pPr>
            <w:r w:rsidRPr="00F81A33">
              <w:rPr>
                <w:szCs w:val="20"/>
                <w:lang w:val="en-US"/>
              </w:rPr>
              <w:t>CD: 397</w:t>
            </w:r>
          </w:p>
          <w:p w14:paraId="4AD8F1AF" w14:textId="77777777" w:rsidR="00F37EC5" w:rsidRPr="00F81A33" w:rsidRDefault="00F37EC5" w:rsidP="00712094">
            <w:pPr>
              <w:pStyle w:val="TableText0"/>
              <w:keepNext w:val="0"/>
              <w:jc w:val="center"/>
              <w:rPr>
                <w:szCs w:val="20"/>
                <w:lang w:val="en-US"/>
              </w:rPr>
            </w:pPr>
            <w:r w:rsidRPr="00F81A33">
              <w:rPr>
                <w:szCs w:val="20"/>
                <w:lang w:val="en-US"/>
              </w:rPr>
              <w:t xml:space="preserve">fCD baseline </w:t>
            </w:r>
            <w:r w:rsidRPr="00F81A33">
              <w:rPr>
                <w:szCs w:val="20"/>
                <w:vertAlign w:val="superscript"/>
                <w:lang w:val="en-US"/>
              </w:rPr>
              <w:t>1</w:t>
            </w:r>
            <w:r w:rsidRPr="00F81A33">
              <w:rPr>
                <w:szCs w:val="20"/>
                <w:lang w:val="en-US"/>
              </w:rPr>
              <w:t xml:space="preserve">: 59 </w:t>
            </w:r>
          </w:p>
          <w:p w14:paraId="7FBC9159" w14:textId="77777777" w:rsidR="00F37EC5" w:rsidRPr="00F81A33" w:rsidRDefault="00F37EC5" w:rsidP="00712094">
            <w:pPr>
              <w:pStyle w:val="TableText0"/>
              <w:keepNext w:val="0"/>
              <w:jc w:val="center"/>
              <w:rPr>
                <w:szCs w:val="20"/>
                <w:lang w:val="en-US"/>
              </w:rPr>
            </w:pPr>
            <w:r w:rsidRPr="00F81A33">
              <w:rPr>
                <w:szCs w:val="20"/>
                <w:lang w:val="en-US"/>
              </w:rPr>
              <w:t>fCD outcome: 26</w:t>
            </w:r>
          </w:p>
        </w:tc>
        <w:tc>
          <w:tcPr>
            <w:tcW w:w="932" w:type="pct"/>
            <w:shd w:val="clear" w:color="auto" w:fill="C6D9F1" w:themeFill="text2" w:themeFillTint="33"/>
            <w:vAlign w:val="center"/>
          </w:tcPr>
          <w:p w14:paraId="00210E2E" w14:textId="77777777" w:rsidR="00F37EC5" w:rsidRPr="00F81A33" w:rsidRDefault="00F37EC5" w:rsidP="00712094">
            <w:pPr>
              <w:pStyle w:val="TableText0"/>
              <w:keepNext w:val="0"/>
              <w:jc w:val="center"/>
              <w:rPr>
                <w:szCs w:val="20"/>
                <w:lang w:val="en-US"/>
              </w:rPr>
            </w:pPr>
            <w:r w:rsidRPr="00F81A33">
              <w:rPr>
                <w:szCs w:val="20"/>
                <w:lang w:val="en-US"/>
              </w:rPr>
              <w:t>MC, R, DB, MP (+44wk), RWD (IP responders in UNITI-1/2)</w:t>
            </w:r>
          </w:p>
        </w:tc>
        <w:tc>
          <w:tcPr>
            <w:tcW w:w="672" w:type="pct"/>
            <w:shd w:val="clear" w:color="auto" w:fill="C6D9F1" w:themeFill="text2" w:themeFillTint="33"/>
            <w:vAlign w:val="center"/>
          </w:tcPr>
          <w:p w14:paraId="0F299E28" w14:textId="77777777" w:rsidR="00F37EC5" w:rsidRPr="00F81A33" w:rsidRDefault="00F37EC5" w:rsidP="00712094">
            <w:pPr>
              <w:pStyle w:val="In-tableHeading"/>
              <w:keepNext w:val="0"/>
              <w:jc w:val="center"/>
              <w:rPr>
                <w:b w:val="0"/>
                <w:bCs/>
                <w:szCs w:val="20"/>
              </w:rPr>
            </w:pPr>
            <w:r w:rsidRPr="00F81A33">
              <w:rPr>
                <w:b w:val="0"/>
                <w:bCs/>
                <w:szCs w:val="20"/>
              </w:rPr>
              <w:t>CD: Low</w:t>
            </w:r>
          </w:p>
          <w:p w14:paraId="4AA514C9" w14:textId="77777777" w:rsidR="00F37EC5" w:rsidRPr="00F81A33" w:rsidRDefault="00F37EC5" w:rsidP="00712094">
            <w:pPr>
              <w:pStyle w:val="TableText0"/>
              <w:keepNext w:val="0"/>
              <w:jc w:val="center"/>
              <w:rPr>
                <w:szCs w:val="20"/>
                <w:lang w:val="en-US"/>
              </w:rPr>
            </w:pPr>
            <w:r w:rsidRPr="00F81A33">
              <w:rPr>
                <w:szCs w:val="20"/>
              </w:rPr>
              <w:t>fCD: High</w:t>
            </w:r>
          </w:p>
        </w:tc>
        <w:tc>
          <w:tcPr>
            <w:tcW w:w="785" w:type="pct"/>
            <w:shd w:val="clear" w:color="auto" w:fill="C6D9F1" w:themeFill="text2" w:themeFillTint="33"/>
            <w:vAlign w:val="center"/>
          </w:tcPr>
          <w:p w14:paraId="3A1B4A54" w14:textId="77777777" w:rsidR="00F37EC5" w:rsidRPr="00F81A33" w:rsidRDefault="00F37EC5" w:rsidP="00712094">
            <w:pPr>
              <w:tabs>
                <w:tab w:val="left" w:pos="180"/>
              </w:tabs>
              <w:snapToGrid w:val="0"/>
              <w:jc w:val="center"/>
              <w:rPr>
                <w:rFonts w:ascii="Arial Narrow" w:hAnsi="Arial Narrow"/>
                <w:sz w:val="20"/>
                <w:szCs w:val="20"/>
              </w:rPr>
            </w:pPr>
            <w:r w:rsidRPr="00F81A33">
              <w:rPr>
                <w:rFonts w:ascii="Arial Narrow" w:hAnsi="Arial Narrow"/>
                <w:sz w:val="20"/>
                <w:szCs w:val="20"/>
              </w:rPr>
              <w:t>Patients with response (CR-100) to UST induction at W8 of UNITI</w:t>
            </w:r>
            <w:r w:rsidRPr="00F81A33">
              <w:rPr>
                <w:rFonts w:ascii="Arial Narrow" w:hAnsi="Arial Narrow"/>
                <w:sz w:val="20"/>
                <w:szCs w:val="20"/>
              </w:rPr>
              <w:noBreakHyphen/>
              <w:t>1 or UNITI</w:t>
            </w:r>
            <w:r w:rsidRPr="00F81A33">
              <w:rPr>
                <w:rFonts w:ascii="Arial Narrow" w:hAnsi="Arial Narrow"/>
                <w:sz w:val="20"/>
                <w:szCs w:val="20"/>
              </w:rPr>
              <w:noBreakHyphen/>
              <w:t>2;</w:t>
            </w:r>
          </w:p>
          <w:p w14:paraId="43FF465E" w14:textId="77777777" w:rsidR="00F37EC5" w:rsidRPr="00F81A33" w:rsidRDefault="00F37EC5" w:rsidP="00712094">
            <w:pPr>
              <w:pStyle w:val="TableText0"/>
              <w:keepNext w:val="0"/>
              <w:jc w:val="center"/>
              <w:rPr>
                <w:szCs w:val="20"/>
                <w:lang w:val="en-US"/>
              </w:rPr>
            </w:pPr>
            <w:r w:rsidRPr="00F81A33">
              <w:rPr>
                <w:szCs w:val="20"/>
              </w:rPr>
              <w:t>TNF naïve and experienced</w:t>
            </w:r>
          </w:p>
        </w:tc>
        <w:tc>
          <w:tcPr>
            <w:tcW w:w="1151" w:type="pct"/>
            <w:shd w:val="clear" w:color="auto" w:fill="C6D9F1" w:themeFill="text2" w:themeFillTint="33"/>
            <w:vAlign w:val="center"/>
          </w:tcPr>
          <w:p w14:paraId="333B536C" w14:textId="77777777" w:rsidR="00F37EC5" w:rsidRPr="00F81A33" w:rsidRDefault="00F37EC5" w:rsidP="00712094">
            <w:pPr>
              <w:tabs>
                <w:tab w:val="left" w:pos="180"/>
              </w:tabs>
              <w:snapToGrid w:val="0"/>
              <w:ind w:left="38"/>
              <w:jc w:val="center"/>
              <w:rPr>
                <w:rFonts w:ascii="Arial Narrow" w:hAnsi="Arial Narrow"/>
                <w:sz w:val="20"/>
                <w:szCs w:val="20"/>
                <w:u w:val="single"/>
              </w:rPr>
            </w:pPr>
            <w:r w:rsidRPr="00F81A33">
              <w:rPr>
                <w:rFonts w:ascii="Arial Narrow" w:hAnsi="Arial Narrow"/>
                <w:sz w:val="20"/>
                <w:szCs w:val="20"/>
                <w:u w:val="single"/>
              </w:rPr>
              <w:t>Fistula response</w:t>
            </w:r>
          </w:p>
          <w:p w14:paraId="05FC36D2" w14:textId="77777777" w:rsidR="00F37EC5" w:rsidRPr="00F81A33" w:rsidRDefault="00F37EC5" w:rsidP="00712094">
            <w:pPr>
              <w:pStyle w:val="TableText0"/>
              <w:keepNext w:val="0"/>
              <w:jc w:val="center"/>
              <w:rPr>
                <w:szCs w:val="20"/>
                <w:lang w:val="en-US"/>
              </w:rPr>
            </w:pPr>
            <w:r w:rsidRPr="00F81A33">
              <w:rPr>
                <w:szCs w:val="20"/>
              </w:rPr>
              <w:t>≥50% reduction in the number of opening/draining fistulas</w:t>
            </w:r>
          </w:p>
        </w:tc>
      </w:tr>
      <w:tr w:rsidR="00F37EC5" w:rsidRPr="00F81A33" w14:paraId="26263639" w14:textId="77777777" w:rsidTr="00712094">
        <w:trPr>
          <w:cantSplit/>
        </w:trPr>
        <w:tc>
          <w:tcPr>
            <w:tcW w:w="5000" w:type="pct"/>
            <w:gridSpan w:val="6"/>
            <w:shd w:val="clear" w:color="auto" w:fill="auto"/>
            <w:vAlign w:val="center"/>
          </w:tcPr>
          <w:p w14:paraId="3A428CF4" w14:textId="77777777" w:rsidR="00F37EC5" w:rsidRPr="00F81A33" w:rsidRDefault="00F37EC5" w:rsidP="00712094">
            <w:pPr>
              <w:pStyle w:val="TableText0"/>
              <w:keepNext w:val="0"/>
              <w:rPr>
                <w:b/>
                <w:bCs w:val="0"/>
                <w:szCs w:val="20"/>
                <w:lang w:val="en-US"/>
              </w:rPr>
            </w:pPr>
            <w:r w:rsidRPr="00F81A33">
              <w:rPr>
                <w:b/>
                <w:bCs w:val="0"/>
                <w:szCs w:val="20"/>
                <w:lang w:val="en-US"/>
              </w:rPr>
              <w:t>ADA v placebo</w:t>
            </w:r>
          </w:p>
        </w:tc>
      </w:tr>
      <w:tr w:rsidR="00F37EC5" w:rsidRPr="00F81A33" w14:paraId="38692D67" w14:textId="77777777" w:rsidTr="00712094">
        <w:trPr>
          <w:cantSplit/>
        </w:trPr>
        <w:tc>
          <w:tcPr>
            <w:tcW w:w="613" w:type="pct"/>
            <w:shd w:val="clear" w:color="auto" w:fill="C6D9F1" w:themeFill="text2" w:themeFillTint="33"/>
            <w:vAlign w:val="center"/>
          </w:tcPr>
          <w:p w14:paraId="22FAEA6C" w14:textId="77777777" w:rsidR="00F37EC5" w:rsidRPr="00F81A33" w:rsidRDefault="00F37EC5" w:rsidP="00712094">
            <w:pPr>
              <w:pStyle w:val="TableText0"/>
              <w:keepNext w:val="0"/>
              <w:rPr>
                <w:szCs w:val="20"/>
                <w:lang w:val="en-US"/>
              </w:rPr>
            </w:pPr>
            <w:r w:rsidRPr="00F81A33">
              <w:rPr>
                <w:szCs w:val="20"/>
                <w:lang w:val="en-US"/>
              </w:rPr>
              <w:t>CLASSIC I</w:t>
            </w:r>
          </w:p>
          <w:p w14:paraId="0EFFF02D" w14:textId="77777777" w:rsidR="00F37EC5" w:rsidRPr="00F81A33" w:rsidRDefault="00F37EC5" w:rsidP="00712094">
            <w:pPr>
              <w:pStyle w:val="TableText0"/>
              <w:keepNext w:val="0"/>
              <w:rPr>
                <w:szCs w:val="20"/>
                <w:lang w:val="en-US"/>
              </w:rPr>
            </w:pPr>
            <w:r w:rsidRPr="00F81A33">
              <w:rPr>
                <w:szCs w:val="20"/>
                <w:lang w:val="en-US"/>
              </w:rPr>
              <w:t>[induction]</w:t>
            </w:r>
          </w:p>
        </w:tc>
        <w:tc>
          <w:tcPr>
            <w:tcW w:w="847" w:type="pct"/>
            <w:shd w:val="clear" w:color="auto" w:fill="C6D9F1" w:themeFill="text2" w:themeFillTint="33"/>
            <w:vAlign w:val="center"/>
          </w:tcPr>
          <w:p w14:paraId="0BADB801" w14:textId="77777777" w:rsidR="00F37EC5" w:rsidRPr="00F81A33" w:rsidRDefault="00F37EC5" w:rsidP="00712094">
            <w:pPr>
              <w:pStyle w:val="TableText0"/>
              <w:keepNext w:val="0"/>
              <w:jc w:val="center"/>
              <w:rPr>
                <w:szCs w:val="20"/>
                <w:lang w:val="en-US"/>
              </w:rPr>
            </w:pPr>
            <w:r w:rsidRPr="00F81A33">
              <w:rPr>
                <w:szCs w:val="20"/>
                <w:lang w:val="en-US"/>
              </w:rPr>
              <w:t xml:space="preserve">CD </w:t>
            </w:r>
            <w:r w:rsidRPr="00F81A33">
              <w:rPr>
                <w:szCs w:val="20"/>
                <w:vertAlign w:val="superscript"/>
                <w:lang w:val="en-US"/>
              </w:rPr>
              <w:t>4</w:t>
            </w:r>
            <w:r w:rsidRPr="00F81A33">
              <w:rPr>
                <w:szCs w:val="20"/>
                <w:lang w:val="en-US"/>
              </w:rPr>
              <w:t>: 150</w:t>
            </w:r>
          </w:p>
          <w:p w14:paraId="2278C70C" w14:textId="77777777" w:rsidR="00F37EC5" w:rsidRPr="00F81A33" w:rsidRDefault="00F37EC5" w:rsidP="00712094">
            <w:pPr>
              <w:pStyle w:val="TableText0"/>
              <w:keepNext w:val="0"/>
              <w:jc w:val="center"/>
              <w:rPr>
                <w:szCs w:val="20"/>
                <w:lang w:val="en-US"/>
              </w:rPr>
            </w:pPr>
            <w:r w:rsidRPr="00F81A33">
              <w:rPr>
                <w:szCs w:val="20"/>
                <w:lang w:val="en-US"/>
              </w:rPr>
              <w:t>fCD: 18</w:t>
            </w:r>
          </w:p>
        </w:tc>
        <w:tc>
          <w:tcPr>
            <w:tcW w:w="932" w:type="pct"/>
            <w:shd w:val="clear" w:color="auto" w:fill="C6D9F1" w:themeFill="text2" w:themeFillTint="33"/>
            <w:vAlign w:val="center"/>
          </w:tcPr>
          <w:p w14:paraId="0E78D22E" w14:textId="77777777" w:rsidR="00F37EC5" w:rsidRPr="00F81A33" w:rsidRDefault="00F37EC5" w:rsidP="00712094">
            <w:pPr>
              <w:pStyle w:val="TableText0"/>
              <w:keepNext w:val="0"/>
              <w:jc w:val="center"/>
              <w:rPr>
                <w:szCs w:val="20"/>
                <w:lang w:val="en-US"/>
              </w:rPr>
            </w:pPr>
            <w:r w:rsidRPr="00F81A33">
              <w:rPr>
                <w:szCs w:val="20"/>
                <w:lang w:val="en-US"/>
              </w:rPr>
              <w:t>MC, R, DB, IP (4wk)</w:t>
            </w:r>
          </w:p>
        </w:tc>
        <w:tc>
          <w:tcPr>
            <w:tcW w:w="672" w:type="pct"/>
            <w:shd w:val="clear" w:color="auto" w:fill="C6D9F1" w:themeFill="text2" w:themeFillTint="33"/>
            <w:vAlign w:val="center"/>
          </w:tcPr>
          <w:p w14:paraId="4C23F8BD" w14:textId="77777777" w:rsidR="00F37EC5" w:rsidRPr="00F81A33" w:rsidRDefault="00F37EC5" w:rsidP="00712094">
            <w:pPr>
              <w:pStyle w:val="In-tableHeading"/>
              <w:keepNext w:val="0"/>
              <w:jc w:val="center"/>
              <w:rPr>
                <w:b w:val="0"/>
                <w:bCs/>
                <w:szCs w:val="20"/>
              </w:rPr>
            </w:pPr>
            <w:r w:rsidRPr="00F81A33">
              <w:rPr>
                <w:b w:val="0"/>
                <w:bCs/>
                <w:szCs w:val="20"/>
              </w:rPr>
              <w:t>CD: Low</w:t>
            </w:r>
          </w:p>
          <w:p w14:paraId="1B0A562F" w14:textId="77777777" w:rsidR="00F37EC5" w:rsidRPr="00F81A33" w:rsidRDefault="00F37EC5" w:rsidP="00712094">
            <w:pPr>
              <w:pStyle w:val="TableText0"/>
              <w:keepNext w:val="0"/>
              <w:jc w:val="center"/>
              <w:rPr>
                <w:szCs w:val="20"/>
                <w:lang w:val="en-US"/>
              </w:rPr>
            </w:pPr>
            <w:r w:rsidRPr="00F81A33">
              <w:rPr>
                <w:szCs w:val="20"/>
              </w:rPr>
              <w:t>fCD: High</w:t>
            </w:r>
          </w:p>
        </w:tc>
        <w:tc>
          <w:tcPr>
            <w:tcW w:w="785" w:type="pct"/>
            <w:shd w:val="clear" w:color="auto" w:fill="C6D9F1" w:themeFill="text2" w:themeFillTint="33"/>
            <w:vAlign w:val="center"/>
          </w:tcPr>
          <w:p w14:paraId="769915A6" w14:textId="77777777" w:rsidR="00F37EC5" w:rsidRPr="00F81A33" w:rsidRDefault="00F37EC5" w:rsidP="00712094">
            <w:pPr>
              <w:pStyle w:val="TableText0"/>
              <w:keepNext w:val="0"/>
              <w:jc w:val="center"/>
              <w:rPr>
                <w:szCs w:val="20"/>
                <w:lang w:val="en-US"/>
              </w:rPr>
            </w:pPr>
            <w:r w:rsidRPr="00F81A33">
              <w:rPr>
                <w:szCs w:val="20"/>
              </w:rPr>
              <w:t>TNF naive</w:t>
            </w:r>
          </w:p>
        </w:tc>
        <w:tc>
          <w:tcPr>
            <w:tcW w:w="1151" w:type="pct"/>
            <w:shd w:val="clear" w:color="auto" w:fill="C6D9F1" w:themeFill="text2" w:themeFillTint="33"/>
            <w:vAlign w:val="center"/>
          </w:tcPr>
          <w:p w14:paraId="69E07391" w14:textId="77777777" w:rsidR="00F37EC5" w:rsidRPr="00F81A33" w:rsidRDefault="00F37EC5" w:rsidP="00712094">
            <w:pPr>
              <w:widowControl w:val="0"/>
              <w:tabs>
                <w:tab w:val="left" w:pos="180"/>
              </w:tabs>
              <w:snapToGrid w:val="0"/>
              <w:ind w:left="38"/>
              <w:jc w:val="center"/>
              <w:rPr>
                <w:rFonts w:ascii="Arial Narrow" w:hAnsi="Arial Narrow"/>
                <w:sz w:val="20"/>
                <w:szCs w:val="20"/>
                <w:u w:val="single"/>
                <w:lang w:eastAsia="en-US"/>
              </w:rPr>
            </w:pPr>
            <w:r w:rsidRPr="00F81A33">
              <w:rPr>
                <w:rFonts w:ascii="Arial Narrow" w:hAnsi="Arial Narrow"/>
                <w:sz w:val="20"/>
                <w:szCs w:val="20"/>
                <w:u w:val="single"/>
                <w:lang w:eastAsia="en-US"/>
              </w:rPr>
              <w:t>Fistula response</w:t>
            </w:r>
          </w:p>
          <w:p w14:paraId="62BE8207" w14:textId="77777777" w:rsidR="00F37EC5" w:rsidRPr="00F81A33" w:rsidRDefault="00F37EC5" w:rsidP="00712094">
            <w:pPr>
              <w:widowControl w:val="0"/>
              <w:tabs>
                <w:tab w:val="left" w:pos="180"/>
              </w:tabs>
              <w:snapToGrid w:val="0"/>
              <w:jc w:val="center"/>
              <w:rPr>
                <w:rFonts w:ascii="Arial Narrow" w:hAnsi="Arial Narrow"/>
                <w:sz w:val="20"/>
                <w:szCs w:val="20"/>
                <w:lang w:eastAsia="en-US"/>
              </w:rPr>
            </w:pPr>
            <w:r w:rsidRPr="00F81A33">
              <w:rPr>
                <w:rFonts w:ascii="Arial Narrow" w:hAnsi="Arial Narrow"/>
                <w:sz w:val="20"/>
                <w:szCs w:val="20"/>
                <w:lang w:eastAsia="en-US"/>
              </w:rPr>
              <w:t>≥50% reduction in number of draining fistulas at ≥ 2 consecutive visits.</w:t>
            </w:r>
          </w:p>
          <w:p w14:paraId="418F2627" w14:textId="77777777" w:rsidR="00F37EC5" w:rsidRPr="00F81A33" w:rsidRDefault="00F37EC5" w:rsidP="00712094">
            <w:pPr>
              <w:widowControl w:val="0"/>
              <w:tabs>
                <w:tab w:val="left" w:pos="180"/>
              </w:tabs>
              <w:snapToGrid w:val="0"/>
              <w:jc w:val="center"/>
              <w:rPr>
                <w:rFonts w:ascii="Arial Narrow" w:hAnsi="Arial Narrow"/>
                <w:sz w:val="20"/>
                <w:szCs w:val="20"/>
                <w:u w:val="single"/>
                <w:lang w:eastAsia="en-US"/>
              </w:rPr>
            </w:pPr>
            <w:r w:rsidRPr="00F81A33">
              <w:rPr>
                <w:rFonts w:ascii="Arial Narrow" w:hAnsi="Arial Narrow"/>
                <w:sz w:val="20"/>
                <w:szCs w:val="20"/>
                <w:u w:val="single"/>
                <w:lang w:eastAsia="en-US"/>
              </w:rPr>
              <w:t>Fistula remission</w:t>
            </w:r>
          </w:p>
          <w:p w14:paraId="2BB77751" w14:textId="77777777" w:rsidR="00F37EC5" w:rsidRPr="00F81A33" w:rsidRDefault="00F37EC5" w:rsidP="00712094">
            <w:pPr>
              <w:pStyle w:val="TableText0"/>
              <w:keepNext w:val="0"/>
              <w:jc w:val="center"/>
              <w:rPr>
                <w:szCs w:val="20"/>
                <w:lang w:val="en-US"/>
              </w:rPr>
            </w:pPr>
            <w:r w:rsidRPr="00F81A33">
              <w:rPr>
                <w:rFonts w:eastAsia="Times New Roman" w:cs="Arial"/>
                <w:bCs w:val="0"/>
                <w:szCs w:val="20"/>
                <w:lang w:eastAsia="en-US"/>
              </w:rPr>
              <w:t>Closing of all draining fistulas at ≥ 2 consecutive visits.</w:t>
            </w:r>
          </w:p>
        </w:tc>
      </w:tr>
      <w:tr w:rsidR="00F37EC5" w:rsidRPr="00F81A33" w14:paraId="3F201AFB" w14:textId="77777777" w:rsidTr="00712094">
        <w:trPr>
          <w:cantSplit/>
        </w:trPr>
        <w:tc>
          <w:tcPr>
            <w:tcW w:w="613" w:type="pct"/>
            <w:shd w:val="clear" w:color="auto" w:fill="C6D9F1" w:themeFill="text2" w:themeFillTint="33"/>
            <w:vAlign w:val="center"/>
          </w:tcPr>
          <w:p w14:paraId="35FF8D21" w14:textId="77777777" w:rsidR="00F37EC5" w:rsidRPr="00F81A33" w:rsidRDefault="00F37EC5" w:rsidP="00712094">
            <w:pPr>
              <w:pStyle w:val="TableText0"/>
              <w:keepNext w:val="0"/>
              <w:rPr>
                <w:szCs w:val="20"/>
                <w:lang w:val="en-US"/>
              </w:rPr>
            </w:pPr>
            <w:r w:rsidRPr="00F81A33">
              <w:rPr>
                <w:szCs w:val="20"/>
                <w:lang w:val="en-US"/>
              </w:rPr>
              <w:lastRenderedPageBreak/>
              <w:t>GAIN</w:t>
            </w:r>
          </w:p>
          <w:p w14:paraId="27D5F41F" w14:textId="77777777" w:rsidR="00F37EC5" w:rsidRPr="00F81A33" w:rsidRDefault="00F37EC5" w:rsidP="00712094">
            <w:pPr>
              <w:pStyle w:val="TableText0"/>
              <w:keepNext w:val="0"/>
              <w:rPr>
                <w:szCs w:val="20"/>
                <w:lang w:val="en-US"/>
              </w:rPr>
            </w:pPr>
            <w:r w:rsidRPr="00F81A33">
              <w:rPr>
                <w:szCs w:val="20"/>
                <w:lang w:val="en-US"/>
              </w:rPr>
              <w:t>[induction]</w:t>
            </w:r>
          </w:p>
        </w:tc>
        <w:tc>
          <w:tcPr>
            <w:tcW w:w="847" w:type="pct"/>
            <w:shd w:val="clear" w:color="auto" w:fill="C6D9F1" w:themeFill="text2" w:themeFillTint="33"/>
            <w:vAlign w:val="center"/>
          </w:tcPr>
          <w:p w14:paraId="56030787" w14:textId="77777777" w:rsidR="00F37EC5" w:rsidRPr="00F81A33" w:rsidRDefault="00F37EC5" w:rsidP="00712094">
            <w:pPr>
              <w:pStyle w:val="TableText0"/>
              <w:keepNext w:val="0"/>
              <w:jc w:val="center"/>
              <w:rPr>
                <w:szCs w:val="20"/>
                <w:lang w:val="en-US"/>
              </w:rPr>
            </w:pPr>
            <w:r w:rsidRPr="00F81A33">
              <w:rPr>
                <w:szCs w:val="20"/>
                <w:lang w:val="en-US"/>
              </w:rPr>
              <w:t>CD: 325</w:t>
            </w:r>
          </w:p>
          <w:p w14:paraId="4D449DB5" w14:textId="77777777" w:rsidR="00F37EC5" w:rsidRPr="00F81A33" w:rsidRDefault="00F37EC5" w:rsidP="00712094">
            <w:pPr>
              <w:pStyle w:val="TableText0"/>
              <w:keepNext w:val="0"/>
              <w:jc w:val="center"/>
              <w:rPr>
                <w:szCs w:val="20"/>
                <w:lang w:val="en-US"/>
              </w:rPr>
            </w:pPr>
            <w:r w:rsidRPr="00F81A33">
              <w:rPr>
                <w:szCs w:val="20"/>
                <w:lang w:val="en-US"/>
              </w:rPr>
              <w:t>fCD: 45</w:t>
            </w:r>
          </w:p>
        </w:tc>
        <w:tc>
          <w:tcPr>
            <w:tcW w:w="932" w:type="pct"/>
            <w:shd w:val="clear" w:color="auto" w:fill="C6D9F1" w:themeFill="text2" w:themeFillTint="33"/>
            <w:vAlign w:val="center"/>
          </w:tcPr>
          <w:p w14:paraId="5C631686" w14:textId="77777777" w:rsidR="00F37EC5" w:rsidRPr="00F81A33" w:rsidRDefault="00F37EC5" w:rsidP="00712094">
            <w:pPr>
              <w:pStyle w:val="TableText0"/>
              <w:keepNext w:val="0"/>
              <w:jc w:val="center"/>
              <w:rPr>
                <w:szCs w:val="20"/>
                <w:lang w:val="en-US"/>
              </w:rPr>
            </w:pPr>
            <w:r w:rsidRPr="00F81A33">
              <w:rPr>
                <w:szCs w:val="20"/>
                <w:lang w:val="en-US"/>
              </w:rPr>
              <w:t>MC, R, DB, IP (4wk)</w:t>
            </w:r>
          </w:p>
        </w:tc>
        <w:tc>
          <w:tcPr>
            <w:tcW w:w="672" w:type="pct"/>
            <w:shd w:val="clear" w:color="auto" w:fill="C6D9F1" w:themeFill="text2" w:themeFillTint="33"/>
            <w:vAlign w:val="center"/>
          </w:tcPr>
          <w:p w14:paraId="6063F07D" w14:textId="77777777" w:rsidR="00F37EC5" w:rsidRPr="00F81A33" w:rsidRDefault="00F37EC5" w:rsidP="00712094">
            <w:pPr>
              <w:pStyle w:val="In-tableHeading"/>
              <w:keepNext w:val="0"/>
              <w:jc w:val="center"/>
              <w:rPr>
                <w:b w:val="0"/>
                <w:bCs/>
                <w:szCs w:val="20"/>
              </w:rPr>
            </w:pPr>
            <w:r w:rsidRPr="00F81A33">
              <w:rPr>
                <w:b w:val="0"/>
                <w:bCs/>
                <w:szCs w:val="20"/>
              </w:rPr>
              <w:t>CD: Low</w:t>
            </w:r>
          </w:p>
          <w:p w14:paraId="750DD522" w14:textId="77777777" w:rsidR="00F37EC5" w:rsidRPr="00F81A33" w:rsidRDefault="00F37EC5" w:rsidP="00712094">
            <w:pPr>
              <w:pStyle w:val="TableText0"/>
              <w:keepNext w:val="0"/>
              <w:jc w:val="center"/>
              <w:rPr>
                <w:szCs w:val="20"/>
                <w:lang w:val="en-US"/>
              </w:rPr>
            </w:pPr>
            <w:r w:rsidRPr="00F81A33">
              <w:rPr>
                <w:szCs w:val="20"/>
              </w:rPr>
              <w:t>fCD: High</w:t>
            </w:r>
          </w:p>
        </w:tc>
        <w:tc>
          <w:tcPr>
            <w:tcW w:w="785" w:type="pct"/>
            <w:shd w:val="clear" w:color="auto" w:fill="C6D9F1" w:themeFill="text2" w:themeFillTint="33"/>
            <w:vAlign w:val="center"/>
          </w:tcPr>
          <w:p w14:paraId="2EB65E82" w14:textId="77777777" w:rsidR="00F37EC5" w:rsidRPr="00F81A33" w:rsidRDefault="00F37EC5" w:rsidP="00712094">
            <w:pPr>
              <w:pStyle w:val="TableText0"/>
              <w:keepNext w:val="0"/>
              <w:jc w:val="center"/>
              <w:rPr>
                <w:szCs w:val="20"/>
                <w:lang w:val="en-US"/>
              </w:rPr>
            </w:pPr>
            <w:r w:rsidRPr="00F81A33">
              <w:rPr>
                <w:szCs w:val="20"/>
              </w:rPr>
              <w:t>TNF experienced</w:t>
            </w:r>
          </w:p>
        </w:tc>
        <w:tc>
          <w:tcPr>
            <w:tcW w:w="1151" w:type="pct"/>
            <w:shd w:val="clear" w:color="auto" w:fill="C6D9F1" w:themeFill="text2" w:themeFillTint="33"/>
            <w:vAlign w:val="center"/>
          </w:tcPr>
          <w:p w14:paraId="25545D19" w14:textId="77777777" w:rsidR="00F37EC5" w:rsidRPr="00F81A33" w:rsidRDefault="00F37EC5" w:rsidP="00712094">
            <w:pPr>
              <w:widowControl w:val="0"/>
              <w:tabs>
                <w:tab w:val="left" w:pos="180"/>
              </w:tabs>
              <w:snapToGrid w:val="0"/>
              <w:ind w:left="38"/>
              <w:jc w:val="center"/>
              <w:rPr>
                <w:rFonts w:ascii="Arial Narrow" w:hAnsi="Arial Narrow"/>
                <w:sz w:val="20"/>
                <w:szCs w:val="20"/>
                <w:u w:val="single"/>
                <w:lang w:eastAsia="en-US"/>
              </w:rPr>
            </w:pPr>
            <w:r w:rsidRPr="00F81A33">
              <w:rPr>
                <w:rFonts w:ascii="Arial Narrow" w:hAnsi="Arial Narrow"/>
                <w:sz w:val="20"/>
                <w:szCs w:val="20"/>
                <w:u w:val="single"/>
                <w:lang w:eastAsia="en-US"/>
              </w:rPr>
              <w:t>Fistula response</w:t>
            </w:r>
          </w:p>
          <w:p w14:paraId="30844094" w14:textId="77777777" w:rsidR="00F37EC5" w:rsidRPr="00F81A33" w:rsidRDefault="00F37EC5" w:rsidP="00712094">
            <w:pPr>
              <w:widowControl w:val="0"/>
              <w:tabs>
                <w:tab w:val="left" w:pos="180"/>
              </w:tabs>
              <w:snapToGrid w:val="0"/>
              <w:jc w:val="center"/>
              <w:rPr>
                <w:rFonts w:ascii="Arial Narrow" w:hAnsi="Arial Narrow"/>
                <w:sz w:val="20"/>
                <w:szCs w:val="20"/>
                <w:lang w:eastAsia="en-US"/>
              </w:rPr>
            </w:pPr>
            <w:r w:rsidRPr="00F81A33">
              <w:rPr>
                <w:rFonts w:ascii="Arial Narrow" w:hAnsi="Arial Narrow"/>
                <w:sz w:val="20"/>
                <w:szCs w:val="20"/>
                <w:lang w:eastAsia="en-US"/>
              </w:rPr>
              <w:t>≥50% reduction in number of draining fistulas at wks 2 &amp; 4.</w:t>
            </w:r>
          </w:p>
          <w:p w14:paraId="5CAE45F4" w14:textId="77777777" w:rsidR="00F37EC5" w:rsidRPr="00F81A33" w:rsidRDefault="00F37EC5" w:rsidP="00712094">
            <w:pPr>
              <w:widowControl w:val="0"/>
              <w:tabs>
                <w:tab w:val="left" w:pos="180"/>
              </w:tabs>
              <w:snapToGrid w:val="0"/>
              <w:jc w:val="center"/>
              <w:rPr>
                <w:rFonts w:ascii="Arial Narrow" w:hAnsi="Arial Narrow"/>
                <w:sz w:val="20"/>
                <w:szCs w:val="20"/>
                <w:u w:val="single"/>
                <w:lang w:eastAsia="en-US"/>
              </w:rPr>
            </w:pPr>
            <w:r w:rsidRPr="00F81A33">
              <w:rPr>
                <w:rFonts w:ascii="Arial Narrow" w:hAnsi="Arial Narrow"/>
                <w:sz w:val="20"/>
                <w:szCs w:val="20"/>
                <w:u w:val="single"/>
                <w:lang w:eastAsia="en-US"/>
              </w:rPr>
              <w:t>Fistula remission</w:t>
            </w:r>
          </w:p>
          <w:p w14:paraId="24BE99D4" w14:textId="77777777" w:rsidR="00F37EC5" w:rsidRPr="00F81A33" w:rsidRDefault="00F37EC5" w:rsidP="00712094">
            <w:pPr>
              <w:pStyle w:val="TableText0"/>
              <w:keepNext w:val="0"/>
              <w:jc w:val="center"/>
              <w:rPr>
                <w:szCs w:val="20"/>
                <w:lang w:val="en-US"/>
              </w:rPr>
            </w:pPr>
            <w:r w:rsidRPr="00F81A33">
              <w:rPr>
                <w:rFonts w:eastAsia="Times New Roman" w:cs="Arial"/>
                <w:bCs w:val="0"/>
                <w:szCs w:val="20"/>
                <w:lang w:eastAsia="en-US"/>
              </w:rPr>
              <w:t>Closing of all draining fistulas at wks 2 &amp; 4.</w:t>
            </w:r>
          </w:p>
        </w:tc>
      </w:tr>
      <w:tr w:rsidR="00F37EC5" w:rsidRPr="00F81A33" w14:paraId="242670BC" w14:textId="77777777" w:rsidTr="00712094">
        <w:trPr>
          <w:cantSplit/>
        </w:trPr>
        <w:tc>
          <w:tcPr>
            <w:tcW w:w="613" w:type="pct"/>
            <w:shd w:val="clear" w:color="auto" w:fill="C6D9F1" w:themeFill="text2" w:themeFillTint="33"/>
            <w:vAlign w:val="center"/>
          </w:tcPr>
          <w:p w14:paraId="4DB7D52B" w14:textId="77777777" w:rsidR="00F37EC5" w:rsidRPr="00F81A33" w:rsidRDefault="00F37EC5" w:rsidP="00712094">
            <w:pPr>
              <w:pStyle w:val="TableText0"/>
              <w:keepNext w:val="0"/>
              <w:rPr>
                <w:szCs w:val="20"/>
                <w:lang w:val="en-US"/>
              </w:rPr>
            </w:pPr>
            <w:r w:rsidRPr="00F81A33">
              <w:rPr>
                <w:szCs w:val="20"/>
                <w:lang w:val="en-US"/>
              </w:rPr>
              <w:t>CHARM</w:t>
            </w:r>
          </w:p>
          <w:p w14:paraId="20799F20" w14:textId="77777777" w:rsidR="00F37EC5" w:rsidRPr="00F81A33" w:rsidRDefault="00F37EC5" w:rsidP="00712094">
            <w:pPr>
              <w:pStyle w:val="TableText0"/>
              <w:keepNext w:val="0"/>
              <w:rPr>
                <w:szCs w:val="20"/>
                <w:lang w:val="en-US"/>
              </w:rPr>
            </w:pPr>
            <w:r w:rsidRPr="00F81A33">
              <w:rPr>
                <w:szCs w:val="20"/>
                <w:lang w:val="en-US"/>
              </w:rPr>
              <w:t>[maintenance]</w:t>
            </w:r>
          </w:p>
        </w:tc>
        <w:tc>
          <w:tcPr>
            <w:tcW w:w="847" w:type="pct"/>
            <w:shd w:val="clear" w:color="auto" w:fill="C6D9F1" w:themeFill="text2" w:themeFillTint="33"/>
            <w:vAlign w:val="center"/>
          </w:tcPr>
          <w:p w14:paraId="74DA538E" w14:textId="77777777" w:rsidR="00F37EC5" w:rsidRPr="00F81A33" w:rsidRDefault="00F37EC5" w:rsidP="00712094">
            <w:pPr>
              <w:pStyle w:val="TableText0"/>
              <w:keepNext w:val="0"/>
              <w:jc w:val="center"/>
              <w:rPr>
                <w:szCs w:val="20"/>
                <w:lang w:val="en-US"/>
              </w:rPr>
            </w:pPr>
            <w:r w:rsidRPr="00F81A33">
              <w:rPr>
                <w:szCs w:val="20"/>
                <w:lang w:val="en-US"/>
              </w:rPr>
              <w:t xml:space="preserve">CD </w:t>
            </w:r>
            <w:r w:rsidRPr="00F81A33">
              <w:rPr>
                <w:szCs w:val="20"/>
                <w:vertAlign w:val="superscript"/>
                <w:lang w:val="en-US"/>
              </w:rPr>
              <w:t>4</w:t>
            </w:r>
            <w:r w:rsidRPr="00F81A33">
              <w:rPr>
                <w:szCs w:val="20"/>
                <w:lang w:val="en-US"/>
              </w:rPr>
              <w:t>: 521</w:t>
            </w:r>
          </w:p>
          <w:p w14:paraId="76C472FB" w14:textId="77777777" w:rsidR="00F37EC5" w:rsidRPr="00F81A33" w:rsidRDefault="00F37EC5" w:rsidP="00712094">
            <w:pPr>
              <w:pStyle w:val="TableText0"/>
              <w:keepNext w:val="0"/>
              <w:jc w:val="center"/>
              <w:rPr>
                <w:szCs w:val="20"/>
                <w:lang w:val="en-US"/>
              </w:rPr>
            </w:pPr>
            <w:r w:rsidRPr="00F81A33">
              <w:rPr>
                <w:szCs w:val="20"/>
                <w:lang w:val="en-US"/>
              </w:rPr>
              <w:t xml:space="preserve">fCD </w:t>
            </w:r>
            <w:r w:rsidRPr="00F81A33">
              <w:rPr>
                <w:szCs w:val="20"/>
                <w:vertAlign w:val="superscript"/>
                <w:lang w:val="en-US"/>
              </w:rPr>
              <w:t>4,5</w:t>
            </w:r>
            <w:r w:rsidRPr="00F81A33">
              <w:rPr>
                <w:szCs w:val="20"/>
                <w:lang w:val="en-US"/>
              </w:rPr>
              <w:t>: 77</w:t>
            </w:r>
          </w:p>
        </w:tc>
        <w:tc>
          <w:tcPr>
            <w:tcW w:w="932" w:type="pct"/>
            <w:shd w:val="clear" w:color="auto" w:fill="C6D9F1" w:themeFill="text2" w:themeFillTint="33"/>
            <w:vAlign w:val="center"/>
          </w:tcPr>
          <w:p w14:paraId="697C05E3" w14:textId="77777777" w:rsidR="00F37EC5" w:rsidRPr="00F81A33" w:rsidRDefault="00F37EC5" w:rsidP="00712094">
            <w:pPr>
              <w:pStyle w:val="TableText0"/>
              <w:keepNext w:val="0"/>
              <w:jc w:val="center"/>
              <w:rPr>
                <w:szCs w:val="20"/>
                <w:lang w:val="en-US"/>
              </w:rPr>
            </w:pPr>
            <w:r w:rsidRPr="00F81A33">
              <w:rPr>
                <w:szCs w:val="20"/>
                <w:lang w:val="en-US"/>
              </w:rPr>
              <w:t>MC, OP IP (4wk) / R DB MP (+52wk), RWD (IP responders &amp; non-responders)</w:t>
            </w:r>
          </w:p>
        </w:tc>
        <w:tc>
          <w:tcPr>
            <w:tcW w:w="672" w:type="pct"/>
            <w:shd w:val="clear" w:color="auto" w:fill="C6D9F1" w:themeFill="text2" w:themeFillTint="33"/>
            <w:vAlign w:val="center"/>
          </w:tcPr>
          <w:p w14:paraId="55FAB54C" w14:textId="77777777" w:rsidR="00F37EC5" w:rsidRPr="00F81A33" w:rsidRDefault="00F37EC5" w:rsidP="00712094">
            <w:pPr>
              <w:pStyle w:val="In-tableHeading"/>
              <w:keepNext w:val="0"/>
              <w:jc w:val="center"/>
              <w:rPr>
                <w:b w:val="0"/>
                <w:bCs/>
                <w:szCs w:val="20"/>
              </w:rPr>
            </w:pPr>
            <w:r w:rsidRPr="00F81A33">
              <w:rPr>
                <w:b w:val="0"/>
                <w:bCs/>
                <w:szCs w:val="20"/>
              </w:rPr>
              <w:t>CD: Low</w:t>
            </w:r>
          </w:p>
          <w:p w14:paraId="0E0A0AAA" w14:textId="77777777" w:rsidR="00F37EC5" w:rsidRPr="00F81A33" w:rsidRDefault="00F37EC5" w:rsidP="00712094">
            <w:pPr>
              <w:pStyle w:val="TableText0"/>
              <w:keepNext w:val="0"/>
              <w:jc w:val="center"/>
              <w:rPr>
                <w:szCs w:val="20"/>
                <w:lang w:val="en-US"/>
              </w:rPr>
            </w:pPr>
            <w:r w:rsidRPr="00F81A33">
              <w:rPr>
                <w:szCs w:val="20"/>
              </w:rPr>
              <w:t>fCD: High</w:t>
            </w:r>
          </w:p>
        </w:tc>
        <w:tc>
          <w:tcPr>
            <w:tcW w:w="785" w:type="pct"/>
            <w:shd w:val="clear" w:color="auto" w:fill="C6D9F1" w:themeFill="text2" w:themeFillTint="33"/>
            <w:vAlign w:val="center"/>
          </w:tcPr>
          <w:p w14:paraId="3247DE5F" w14:textId="77777777" w:rsidR="00F37EC5" w:rsidRPr="00F81A33" w:rsidRDefault="00F37EC5" w:rsidP="00712094">
            <w:pPr>
              <w:pStyle w:val="TableText0"/>
              <w:keepNext w:val="0"/>
              <w:jc w:val="center"/>
              <w:rPr>
                <w:szCs w:val="20"/>
                <w:lang w:val="en-US"/>
              </w:rPr>
            </w:pPr>
            <w:r w:rsidRPr="00F81A33">
              <w:rPr>
                <w:szCs w:val="20"/>
              </w:rPr>
              <w:t>TNF na</w:t>
            </w:r>
            <w:r w:rsidRPr="00F81A33">
              <w:rPr>
                <w:rFonts w:cs="Arial Narrow"/>
                <w:szCs w:val="20"/>
              </w:rPr>
              <w:t>ï</w:t>
            </w:r>
            <w:r w:rsidRPr="00F81A33">
              <w:rPr>
                <w:szCs w:val="20"/>
              </w:rPr>
              <w:t>ve and experienced</w:t>
            </w:r>
          </w:p>
        </w:tc>
        <w:tc>
          <w:tcPr>
            <w:tcW w:w="1151" w:type="pct"/>
            <w:shd w:val="clear" w:color="auto" w:fill="C6D9F1" w:themeFill="text2" w:themeFillTint="33"/>
            <w:vAlign w:val="center"/>
          </w:tcPr>
          <w:p w14:paraId="0A2AA859" w14:textId="77777777" w:rsidR="00F37EC5" w:rsidRPr="00F81A33" w:rsidRDefault="00F37EC5" w:rsidP="00712094">
            <w:pPr>
              <w:tabs>
                <w:tab w:val="left" w:pos="180"/>
              </w:tabs>
              <w:snapToGrid w:val="0"/>
              <w:ind w:left="38"/>
              <w:jc w:val="center"/>
              <w:rPr>
                <w:rFonts w:ascii="Arial Narrow" w:hAnsi="Arial Narrow"/>
                <w:sz w:val="20"/>
                <w:szCs w:val="20"/>
                <w:u w:val="single"/>
              </w:rPr>
            </w:pPr>
            <w:r w:rsidRPr="00F81A33">
              <w:rPr>
                <w:rFonts w:ascii="Arial Narrow" w:hAnsi="Arial Narrow"/>
                <w:sz w:val="20"/>
                <w:szCs w:val="20"/>
                <w:u w:val="single"/>
              </w:rPr>
              <w:t>Fistula remission</w:t>
            </w:r>
          </w:p>
          <w:p w14:paraId="21891CE6" w14:textId="77777777" w:rsidR="00F37EC5" w:rsidRPr="00F81A33" w:rsidRDefault="00F37EC5" w:rsidP="00712094">
            <w:pPr>
              <w:pStyle w:val="TableText0"/>
              <w:keepNext w:val="0"/>
              <w:jc w:val="center"/>
              <w:rPr>
                <w:szCs w:val="20"/>
                <w:lang w:val="en-US"/>
              </w:rPr>
            </w:pPr>
            <w:r w:rsidRPr="00F81A33">
              <w:rPr>
                <w:szCs w:val="20"/>
              </w:rPr>
              <w:t>Complete closure of all draining fistulas</w:t>
            </w:r>
          </w:p>
        </w:tc>
      </w:tr>
      <w:tr w:rsidR="00F37EC5" w:rsidRPr="00F81A33" w14:paraId="5D7FAAA7" w14:textId="77777777" w:rsidTr="00712094">
        <w:trPr>
          <w:cantSplit/>
        </w:trPr>
        <w:tc>
          <w:tcPr>
            <w:tcW w:w="5000" w:type="pct"/>
            <w:gridSpan w:val="6"/>
            <w:shd w:val="clear" w:color="auto" w:fill="auto"/>
            <w:vAlign w:val="center"/>
          </w:tcPr>
          <w:p w14:paraId="71BF9337" w14:textId="77777777" w:rsidR="00F37EC5" w:rsidRPr="00F81A33" w:rsidRDefault="00F37EC5" w:rsidP="00712094">
            <w:pPr>
              <w:pStyle w:val="TableText0"/>
              <w:keepNext w:val="0"/>
              <w:rPr>
                <w:b/>
                <w:bCs w:val="0"/>
                <w:szCs w:val="20"/>
                <w:lang w:val="en-US"/>
              </w:rPr>
            </w:pPr>
            <w:r w:rsidRPr="00F81A33">
              <w:rPr>
                <w:b/>
                <w:bCs w:val="0"/>
                <w:szCs w:val="20"/>
                <w:lang w:val="en-US"/>
              </w:rPr>
              <w:t>IFX v placebo</w:t>
            </w:r>
          </w:p>
        </w:tc>
      </w:tr>
      <w:tr w:rsidR="00F37EC5" w:rsidRPr="00F81A33" w14:paraId="09F3DFA6" w14:textId="77777777" w:rsidTr="00712094">
        <w:trPr>
          <w:cantSplit/>
        </w:trPr>
        <w:tc>
          <w:tcPr>
            <w:tcW w:w="613" w:type="pct"/>
            <w:shd w:val="clear" w:color="auto" w:fill="C6D9F1" w:themeFill="text2" w:themeFillTint="33"/>
            <w:vAlign w:val="center"/>
          </w:tcPr>
          <w:p w14:paraId="05C2A44F" w14:textId="77777777" w:rsidR="00F37EC5" w:rsidRPr="00F81A33" w:rsidRDefault="00F37EC5" w:rsidP="00712094">
            <w:pPr>
              <w:pStyle w:val="TableText0"/>
              <w:keepNext w:val="0"/>
              <w:rPr>
                <w:szCs w:val="20"/>
                <w:lang w:val="en-US"/>
              </w:rPr>
            </w:pPr>
            <w:r w:rsidRPr="00F81A33">
              <w:rPr>
                <w:szCs w:val="20"/>
                <w:lang w:val="en-US"/>
              </w:rPr>
              <w:t>T20</w:t>
            </w:r>
          </w:p>
          <w:p w14:paraId="172623CC" w14:textId="77777777" w:rsidR="00F37EC5" w:rsidRPr="00F81A33" w:rsidRDefault="00F37EC5" w:rsidP="00712094">
            <w:pPr>
              <w:pStyle w:val="TableText0"/>
              <w:keepNext w:val="0"/>
              <w:rPr>
                <w:szCs w:val="20"/>
                <w:lang w:val="en-US"/>
              </w:rPr>
            </w:pPr>
            <w:r w:rsidRPr="00F81A33">
              <w:rPr>
                <w:szCs w:val="20"/>
                <w:lang w:val="en-US"/>
              </w:rPr>
              <w:t>[induction]</w:t>
            </w:r>
          </w:p>
        </w:tc>
        <w:tc>
          <w:tcPr>
            <w:tcW w:w="847" w:type="pct"/>
            <w:shd w:val="clear" w:color="auto" w:fill="C6D9F1" w:themeFill="text2" w:themeFillTint="33"/>
            <w:vAlign w:val="center"/>
          </w:tcPr>
          <w:p w14:paraId="2D380C52" w14:textId="77777777" w:rsidR="00F37EC5" w:rsidRPr="00F81A33" w:rsidRDefault="00F37EC5" w:rsidP="00712094">
            <w:pPr>
              <w:pStyle w:val="TableText0"/>
              <w:keepNext w:val="0"/>
              <w:jc w:val="center"/>
              <w:rPr>
                <w:szCs w:val="20"/>
                <w:lang w:val="en-US"/>
              </w:rPr>
            </w:pPr>
            <w:r w:rsidRPr="00F81A33">
              <w:rPr>
                <w:szCs w:val="20"/>
                <w:lang w:val="en-US"/>
              </w:rPr>
              <w:t xml:space="preserve">fCD </w:t>
            </w:r>
            <w:r w:rsidRPr="00F81A33">
              <w:rPr>
                <w:szCs w:val="20"/>
                <w:vertAlign w:val="superscript"/>
                <w:lang w:val="en-US"/>
              </w:rPr>
              <w:t>4</w:t>
            </w:r>
            <w:r w:rsidRPr="00F81A33">
              <w:rPr>
                <w:szCs w:val="20"/>
                <w:lang w:val="en-US"/>
              </w:rPr>
              <w:t>: 62</w:t>
            </w:r>
          </w:p>
        </w:tc>
        <w:tc>
          <w:tcPr>
            <w:tcW w:w="932" w:type="pct"/>
            <w:shd w:val="clear" w:color="auto" w:fill="C6D9F1" w:themeFill="text2" w:themeFillTint="33"/>
            <w:vAlign w:val="center"/>
          </w:tcPr>
          <w:p w14:paraId="5A3D7D01" w14:textId="77777777" w:rsidR="00F37EC5" w:rsidRPr="00F81A33" w:rsidRDefault="00F37EC5" w:rsidP="00712094">
            <w:pPr>
              <w:pStyle w:val="TableText0"/>
              <w:keepNext w:val="0"/>
              <w:jc w:val="center"/>
              <w:rPr>
                <w:szCs w:val="20"/>
                <w:lang w:val="en-US"/>
              </w:rPr>
            </w:pPr>
            <w:r w:rsidRPr="00F81A33">
              <w:rPr>
                <w:szCs w:val="20"/>
                <w:lang w:val="en-US"/>
              </w:rPr>
              <w:t xml:space="preserve">MC, R, DB (18wk) </w:t>
            </w:r>
          </w:p>
        </w:tc>
        <w:tc>
          <w:tcPr>
            <w:tcW w:w="672" w:type="pct"/>
            <w:shd w:val="clear" w:color="auto" w:fill="C6D9F1" w:themeFill="text2" w:themeFillTint="33"/>
            <w:vAlign w:val="center"/>
          </w:tcPr>
          <w:p w14:paraId="03F179B1" w14:textId="77777777" w:rsidR="00F37EC5" w:rsidRPr="00F81A33" w:rsidRDefault="00F37EC5" w:rsidP="00712094">
            <w:pPr>
              <w:pStyle w:val="TableText0"/>
              <w:keepNext w:val="0"/>
              <w:jc w:val="center"/>
              <w:rPr>
                <w:szCs w:val="20"/>
                <w:lang w:val="en-US"/>
              </w:rPr>
            </w:pPr>
            <w:r w:rsidRPr="00F81A33">
              <w:rPr>
                <w:szCs w:val="20"/>
                <w:lang w:val="en-US"/>
              </w:rPr>
              <w:t>Low</w:t>
            </w:r>
          </w:p>
        </w:tc>
        <w:tc>
          <w:tcPr>
            <w:tcW w:w="785" w:type="pct"/>
            <w:shd w:val="clear" w:color="auto" w:fill="C6D9F1" w:themeFill="text2" w:themeFillTint="33"/>
            <w:vAlign w:val="center"/>
          </w:tcPr>
          <w:p w14:paraId="61D6251C" w14:textId="77777777" w:rsidR="00F37EC5" w:rsidRPr="00F81A33" w:rsidRDefault="00F37EC5" w:rsidP="00712094">
            <w:pPr>
              <w:pStyle w:val="TableText0"/>
              <w:keepNext w:val="0"/>
              <w:jc w:val="center"/>
              <w:rPr>
                <w:szCs w:val="20"/>
                <w:lang w:val="en-US"/>
              </w:rPr>
            </w:pPr>
            <w:r w:rsidRPr="00F81A33">
              <w:rPr>
                <w:szCs w:val="20"/>
                <w:lang w:val="en-US"/>
              </w:rPr>
              <w:t xml:space="preserve">Pts with draining fistulas ≥ 3 mths; </w:t>
            </w:r>
          </w:p>
          <w:p w14:paraId="6F5A8AA5" w14:textId="77777777" w:rsidR="00F37EC5" w:rsidRPr="00F81A33" w:rsidRDefault="00F37EC5" w:rsidP="00712094">
            <w:pPr>
              <w:pStyle w:val="TableText0"/>
              <w:keepNext w:val="0"/>
              <w:jc w:val="center"/>
              <w:rPr>
                <w:szCs w:val="20"/>
                <w:lang w:val="en-US"/>
              </w:rPr>
            </w:pPr>
            <w:r w:rsidRPr="00F81A33">
              <w:rPr>
                <w:szCs w:val="20"/>
              </w:rPr>
              <w:t>TNF naive</w:t>
            </w:r>
          </w:p>
        </w:tc>
        <w:tc>
          <w:tcPr>
            <w:tcW w:w="1151" w:type="pct"/>
            <w:shd w:val="clear" w:color="auto" w:fill="C6D9F1" w:themeFill="text2" w:themeFillTint="33"/>
            <w:vAlign w:val="center"/>
          </w:tcPr>
          <w:p w14:paraId="7F85D639" w14:textId="77777777" w:rsidR="00F37EC5" w:rsidRPr="00F81A33" w:rsidRDefault="00F37EC5" w:rsidP="00712094">
            <w:pPr>
              <w:tabs>
                <w:tab w:val="left" w:pos="180"/>
              </w:tabs>
              <w:snapToGrid w:val="0"/>
              <w:ind w:left="38"/>
              <w:jc w:val="center"/>
              <w:rPr>
                <w:rFonts w:ascii="Arial Narrow" w:hAnsi="Arial Narrow"/>
                <w:sz w:val="20"/>
                <w:szCs w:val="20"/>
                <w:u w:val="single"/>
              </w:rPr>
            </w:pPr>
            <w:r w:rsidRPr="00F81A33">
              <w:rPr>
                <w:rFonts w:ascii="Arial Narrow" w:hAnsi="Arial Narrow"/>
                <w:sz w:val="20"/>
                <w:szCs w:val="20"/>
                <w:u w:val="single"/>
              </w:rPr>
              <w:t>Fistula response*</w:t>
            </w:r>
          </w:p>
          <w:p w14:paraId="4C783354" w14:textId="77777777" w:rsidR="00F37EC5" w:rsidRPr="00F81A33" w:rsidRDefault="00F37EC5" w:rsidP="00712094">
            <w:pPr>
              <w:tabs>
                <w:tab w:val="left" w:pos="180"/>
              </w:tabs>
              <w:snapToGrid w:val="0"/>
              <w:jc w:val="center"/>
              <w:rPr>
                <w:rFonts w:ascii="Arial Narrow" w:hAnsi="Arial Narrow"/>
                <w:sz w:val="20"/>
                <w:szCs w:val="20"/>
              </w:rPr>
            </w:pPr>
            <w:r w:rsidRPr="00F81A33">
              <w:rPr>
                <w:rFonts w:ascii="Arial Narrow" w:hAnsi="Arial Narrow"/>
                <w:sz w:val="20"/>
                <w:szCs w:val="20"/>
              </w:rPr>
              <w:t xml:space="preserve">≥50% reduction in number of draining fistulas at </w:t>
            </w:r>
            <w:r w:rsidRPr="00F81A33">
              <w:rPr>
                <w:rFonts w:ascii="Arial Narrow" w:hAnsi="Arial Narrow"/>
                <w:sz w:val="20"/>
                <w:szCs w:val="20"/>
                <w:u w:val="single"/>
              </w:rPr>
              <w:t>&gt;</w:t>
            </w:r>
            <w:r w:rsidRPr="00F81A33">
              <w:rPr>
                <w:rFonts w:ascii="Arial Narrow" w:hAnsi="Arial Narrow"/>
                <w:sz w:val="20"/>
                <w:szCs w:val="20"/>
              </w:rPr>
              <w:t>2 consecutive visits</w:t>
            </w:r>
          </w:p>
          <w:p w14:paraId="3A5609A3" w14:textId="77777777" w:rsidR="00F37EC5" w:rsidRPr="00F81A33" w:rsidRDefault="00F37EC5" w:rsidP="00712094">
            <w:pPr>
              <w:tabs>
                <w:tab w:val="left" w:pos="180"/>
              </w:tabs>
              <w:snapToGrid w:val="0"/>
              <w:jc w:val="center"/>
              <w:rPr>
                <w:rFonts w:ascii="Arial Narrow" w:hAnsi="Arial Narrow"/>
                <w:sz w:val="20"/>
                <w:szCs w:val="20"/>
                <w:u w:val="single"/>
              </w:rPr>
            </w:pPr>
            <w:r w:rsidRPr="00F81A33">
              <w:rPr>
                <w:rFonts w:ascii="Arial Narrow" w:hAnsi="Arial Narrow"/>
                <w:sz w:val="20"/>
                <w:szCs w:val="20"/>
                <w:u w:val="single"/>
              </w:rPr>
              <w:t>Fistula remission</w:t>
            </w:r>
          </w:p>
          <w:p w14:paraId="11BC902E" w14:textId="77777777" w:rsidR="00F37EC5" w:rsidRPr="00F81A33" w:rsidRDefault="00F37EC5" w:rsidP="00712094">
            <w:pPr>
              <w:pStyle w:val="TableText0"/>
              <w:keepNext w:val="0"/>
              <w:jc w:val="center"/>
              <w:rPr>
                <w:szCs w:val="20"/>
                <w:lang w:val="en-US"/>
              </w:rPr>
            </w:pPr>
            <w:r w:rsidRPr="00F81A33">
              <w:rPr>
                <w:szCs w:val="20"/>
              </w:rPr>
              <w:t>Absence of any draining fistulas at 2 consecutive visits</w:t>
            </w:r>
          </w:p>
        </w:tc>
      </w:tr>
      <w:tr w:rsidR="00F37EC5" w:rsidRPr="00F81A33" w14:paraId="0EDEF901" w14:textId="77777777" w:rsidTr="00712094">
        <w:trPr>
          <w:cantSplit/>
        </w:trPr>
        <w:tc>
          <w:tcPr>
            <w:tcW w:w="613" w:type="pct"/>
            <w:shd w:val="clear" w:color="auto" w:fill="C6D9F1" w:themeFill="text2" w:themeFillTint="33"/>
            <w:vAlign w:val="center"/>
          </w:tcPr>
          <w:p w14:paraId="6BD799DA" w14:textId="77777777" w:rsidR="00F37EC5" w:rsidRPr="00F81A33" w:rsidRDefault="00F37EC5" w:rsidP="00712094">
            <w:pPr>
              <w:pStyle w:val="TableText0"/>
              <w:keepNext w:val="0"/>
              <w:rPr>
                <w:szCs w:val="20"/>
                <w:lang w:val="en-US"/>
              </w:rPr>
            </w:pPr>
            <w:r w:rsidRPr="00F81A33">
              <w:rPr>
                <w:szCs w:val="20"/>
                <w:lang w:val="en-US"/>
              </w:rPr>
              <w:t>ACCENT II</w:t>
            </w:r>
          </w:p>
          <w:p w14:paraId="49362307" w14:textId="77777777" w:rsidR="00F37EC5" w:rsidRPr="00F81A33" w:rsidRDefault="00F37EC5" w:rsidP="00712094">
            <w:pPr>
              <w:pStyle w:val="TableText0"/>
              <w:keepNext w:val="0"/>
              <w:rPr>
                <w:szCs w:val="20"/>
                <w:lang w:val="en-US"/>
              </w:rPr>
            </w:pPr>
            <w:r w:rsidRPr="00F81A33">
              <w:rPr>
                <w:szCs w:val="20"/>
                <w:lang w:val="en-US"/>
              </w:rPr>
              <w:t>[maintenance]</w:t>
            </w:r>
          </w:p>
        </w:tc>
        <w:tc>
          <w:tcPr>
            <w:tcW w:w="847" w:type="pct"/>
            <w:shd w:val="clear" w:color="auto" w:fill="C6D9F1" w:themeFill="text2" w:themeFillTint="33"/>
            <w:vAlign w:val="center"/>
          </w:tcPr>
          <w:p w14:paraId="3CEA8D7F" w14:textId="77777777" w:rsidR="00F37EC5" w:rsidRPr="00F81A33" w:rsidRDefault="00F37EC5" w:rsidP="00712094">
            <w:pPr>
              <w:pStyle w:val="TableText0"/>
              <w:keepNext w:val="0"/>
              <w:jc w:val="center"/>
              <w:rPr>
                <w:szCs w:val="20"/>
                <w:lang w:val="en-US"/>
              </w:rPr>
            </w:pPr>
            <w:r w:rsidRPr="00F81A33">
              <w:rPr>
                <w:szCs w:val="20"/>
                <w:lang w:val="en-US"/>
              </w:rPr>
              <w:t xml:space="preserve">fCD (MP) </w:t>
            </w:r>
            <w:r w:rsidRPr="00F81A33">
              <w:rPr>
                <w:szCs w:val="20"/>
                <w:vertAlign w:val="superscript"/>
                <w:lang w:val="en-US"/>
              </w:rPr>
              <w:t>6</w:t>
            </w:r>
            <w:r w:rsidRPr="00F81A33">
              <w:rPr>
                <w:szCs w:val="20"/>
                <w:lang w:val="en-US"/>
              </w:rPr>
              <w:t>: 282</w:t>
            </w:r>
          </w:p>
          <w:p w14:paraId="0D4325B2" w14:textId="77777777" w:rsidR="00F37EC5" w:rsidRPr="00F81A33" w:rsidRDefault="00F37EC5" w:rsidP="00712094">
            <w:pPr>
              <w:pStyle w:val="TableText0"/>
              <w:keepNext w:val="0"/>
              <w:jc w:val="center"/>
              <w:rPr>
                <w:szCs w:val="20"/>
                <w:lang w:val="en-US"/>
              </w:rPr>
            </w:pPr>
            <w:r w:rsidRPr="00F81A33">
              <w:rPr>
                <w:szCs w:val="20"/>
                <w:lang w:val="en-US"/>
              </w:rPr>
              <w:t xml:space="preserve">fCD outcome </w:t>
            </w:r>
            <w:r w:rsidRPr="00F81A33">
              <w:rPr>
                <w:szCs w:val="20"/>
                <w:vertAlign w:val="superscript"/>
                <w:lang w:val="en-US"/>
              </w:rPr>
              <w:t>7</w:t>
            </w:r>
            <w:r w:rsidRPr="00F81A33">
              <w:rPr>
                <w:szCs w:val="20"/>
                <w:lang w:val="en-US"/>
              </w:rPr>
              <w:t>: 276</w:t>
            </w:r>
          </w:p>
        </w:tc>
        <w:tc>
          <w:tcPr>
            <w:tcW w:w="932" w:type="pct"/>
            <w:shd w:val="clear" w:color="auto" w:fill="C6D9F1" w:themeFill="text2" w:themeFillTint="33"/>
            <w:vAlign w:val="center"/>
          </w:tcPr>
          <w:p w14:paraId="6409C7FF" w14:textId="77777777" w:rsidR="00F37EC5" w:rsidRPr="00F81A33" w:rsidRDefault="00F37EC5" w:rsidP="00712094">
            <w:pPr>
              <w:pStyle w:val="TableText0"/>
              <w:keepNext w:val="0"/>
              <w:jc w:val="center"/>
              <w:rPr>
                <w:szCs w:val="20"/>
                <w:lang w:val="en-US"/>
              </w:rPr>
            </w:pPr>
            <w:r w:rsidRPr="00F81A33">
              <w:rPr>
                <w:szCs w:val="20"/>
                <w:lang w:val="en-US"/>
              </w:rPr>
              <w:t xml:space="preserve">MC, OL IP (14wk) / </w:t>
            </w:r>
          </w:p>
          <w:p w14:paraId="664A7387" w14:textId="77777777" w:rsidR="00F37EC5" w:rsidRPr="00F81A33" w:rsidRDefault="00F37EC5" w:rsidP="00712094">
            <w:pPr>
              <w:pStyle w:val="TableText0"/>
              <w:keepNext w:val="0"/>
              <w:jc w:val="center"/>
              <w:rPr>
                <w:szCs w:val="20"/>
                <w:lang w:val="en-US"/>
              </w:rPr>
            </w:pPr>
            <w:r w:rsidRPr="00F81A33">
              <w:rPr>
                <w:szCs w:val="20"/>
                <w:lang w:val="en-US"/>
              </w:rPr>
              <w:t xml:space="preserve">R DB MP (+40wk), </w:t>
            </w:r>
          </w:p>
          <w:p w14:paraId="513EDF7A" w14:textId="77777777" w:rsidR="00F37EC5" w:rsidRPr="00F81A33" w:rsidRDefault="00F37EC5" w:rsidP="00712094">
            <w:pPr>
              <w:pStyle w:val="TableText0"/>
              <w:keepNext w:val="0"/>
              <w:jc w:val="center"/>
              <w:rPr>
                <w:szCs w:val="20"/>
                <w:lang w:val="en-US"/>
              </w:rPr>
            </w:pPr>
            <w:r w:rsidRPr="00F81A33">
              <w:rPr>
                <w:szCs w:val="20"/>
                <w:lang w:val="en-US"/>
              </w:rPr>
              <w:t>RWD (IP responders &amp; non-responders)</w:t>
            </w:r>
          </w:p>
        </w:tc>
        <w:tc>
          <w:tcPr>
            <w:tcW w:w="672" w:type="pct"/>
            <w:shd w:val="clear" w:color="auto" w:fill="C6D9F1" w:themeFill="text2" w:themeFillTint="33"/>
            <w:vAlign w:val="center"/>
          </w:tcPr>
          <w:p w14:paraId="74103890" w14:textId="77777777" w:rsidR="00F37EC5" w:rsidRPr="00F81A33" w:rsidRDefault="00F37EC5" w:rsidP="00712094">
            <w:pPr>
              <w:pStyle w:val="TableText0"/>
              <w:keepNext w:val="0"/>
              <w:jc w:val="center"/>
              <w:rPr>
                <w:szCs w:val="20"/>
                <w:lang w:val="en-US"/>
              </w:rPr>
            </w:pPr>
            <w:r w:rsidRPr="00F81A33">
              <w:rPr>
                <w:szCs w:val="20"/>
                <w:lang w:val="en-US"/>
              </w:rPr>
              <w:t>Low</w:t>
            </w:r>
          </w:p>
        </w:tc>
        <w:tc>
          <w:tcPr>
            <w:tcW w:w="785" w:type="pct"/>
            <w:shd w:val="clear" w:color="auto" w:fill="C6D9F1" w:themeFill="text2" w:themeFillTint="33"/>
            <w:vAlign w:val="center"/>
          </w:tcPr>
          <w:p w14:paraId="2D56E613" w14:textId="77777777" w:rsidR="00F37EC5" w:rsidRPr="00F81A33" w:rsidRDefault="00F37EC5" w:rsidP="00712094">
            <w:pPr>
              <w:pStyle w:val="TableText0"/>
              <w:keepNext w:val="0"/>
              <w:jc w:val="center"/>
              <w:rPr>
                <w:szCs w:val="20"/>
                <w:lang w:val="en-US"/>
              </w:rPr>
            </w:pPr>
            <w:r w:rsidRPr="00F81A33">
              <w:rPr>
                <w:szCs w:val="20"/>
                <w:lang w:val="en-US"/>
              </w:rPr>
              <w:t xml:space="preserve">Pts with draining fistulas ≥ 3 mths; fistula response at W10 &amp; W14; </w:t>
            </w:r>
          </w:p>
          <w:p w14:paraId="79C520D2" w14:textId="77777777" w:rsidR="00F37EC5" w:rsidRPr="00F81A33" w:rsidRDefault="00F37EC5" w:rsidP="00712094">
            <w:pPr>
              <w:pStyle w:val="TableText0"/>
              <w:keepNext w:val="0"/>
              <w:jc w:val="center"/>
              <w:rPr>
                <w:szCs w:val="20"/>
                <w:lang w:val="en-US"/>
              </w:rPr>
            </w:pPr>
            <w:r w:rsidRPr="00F81A33">
              <w:rPr>
                <w:szCs w:val="20"/>
              </w:rPr>
              <w:t>TNF naive</w:t>
            </w:r>
          </w:p>
        </w:tc>
        <w:tc>
          <w:tcPr>
            <w:tcW w:w="1151" w:type="pct"/>
            <w:shd w:val="clear" w:color="auto" w:fill="C6D9F1" w:themeFill="text2" w:themeFillTint="33"/>
            <w:vAlign w:val="center"/>
          </w:tcPr>
          <w:p w14:paraId="1A8901CA" w14:textId="77777777" w:rsidR="00F37EC5" w:rsidRPr="00F81A33" w:rsidRDefault="00F37EC5" w:rsidP="00712094">
            <w:pPr>
              <w:tabs>
                <w:tab w:val="left" w:pos="180"/>
              </w:tabs>
              <w:snapToGrid w:val="0"/>
              <w:ind w:left="38"/>
              <w:jc w:val="center"/>
              <w:rPr>
                <w:rFonts w:ascii="Arial Narrow" w:hAnsi="Arial Narrow"/>
                <w:sz w:val="20"/>
                <w:szCs w:val="20"/>
                <w:u w:val="single"/>
              </w:rPr>
            </w:pPr>
            <w:r w:rsidRPr="00F81A33">
              <w:rPr>
                <w:rFonts w:ascii="Arial Narrow" w:hAnsi="Arial Narrow"/>
                <w:sz w:val="20"/>
                <w:szCs w:val="20"/>
                <w:u w:val="single"/>
              </w:rPr>
              <w:t>Fistula response</w:t>
            </w:r>
          </w:p>
          <w:p w14:paraId="151672A2" w14:textId="77777777" w:rsidR="00F37EC5" w:rsidRPr="00F81A33" w:rsidRDefault="00F37EC5" w:rsidP="00712094">
            <w:pPr>
              <w:tabs>
                <w:tab w:val="left" w:pos="180"/>
              </w:tabs>
              <w:snapToGrid w:val="0"/>
              <w:jc w:val="center"/>
              <w:rPr>
                <w:rFonts w:ascii="Arial Narrow" w:hAnsi="Arial Narrow"/>
                <w:sz w:val="20"/>
                <w:szCs w:val="20"/>
              </w:rPr>
            </w:pPr>
            <w:r w:rsidRPr="00F81A33">
              <w:rPr>
                <w:rFonts w:ascii="Arial Narrow" w:hAnsi="Arial Narrow"/>
                <w:sz w:val="20"/>
                <w:szCs w:val="20"/>
              </w:rPr>
              <w:t>Time to loss of response*</w:t>
            </w:r>
          </w:p>
          <w:p w14:paraId="193878EF" w14:textId="77777777" w:rsidR="00F37EC5" w:rsidRPr="00F81A33" w:rsidRDefault="00F37EC5" w:rsidP="00712094">
            <w:pPr>
              <w:tabs>
                <w:tab w:val="left" w:pos="180"/>
              </w:tabs>
              <w:snapToGrid w:val="0"/>
              <w:jc w:val="center"/>
              <w:rPr>
                <w:rFonts w:ascii="Arial Narrow" w:hAnsi="Arial Narrow"/>
                <w:sz w:val="20"/>
                <w:szCs w:val="20"/>
              </w:rPr>
            </w:pPr>
            <w:r w:rsidRPr="00F81A33">
              <w:rPr>
                <w:rFonts w:ascii="Arial Narrow" w:hAnsi="Arial Narrow"/>
                <w:sz w:val="20"/>
                <w:szCs w:val="20"/>
              </w:rPr>
              <w:t>≥50% reduction in number of draining fistulas at consecutive visits ≥4 weeks apart</w:t>
            </w:r>
          </w:p>
          <w:p w14:paraId="268438A0" w14:textId="77777777" w:rsidR="00F37EC5" w:rsidRPr="00F81A33" w:rsidRDefault="00F37EC5" w:rsidP="00712094">
            <w:pPr>
              <w:tabs>
                <w:tab w:val="left" w:pos="180"/>
              </w:tabs>
              <w:snapToGrid w:val="0"/>
              <w:jc w:val="center"/>
              <w:rPr>
                <w:rFonts w:ascii="Arial Narrow" w:hAnsi="Arial Narrow"/>
                <w:sz w:val="20"/>
                <w:szCs w:val="20"/>
                <w:u w:val="single"/>
              </w:rPr>
            </w:pPr>
            <w:r w:rsidRPr="00F81A33">
              <w:rPr>
                <w:rFonts w:ascii="Arial Narrow" w:hAnsi="Arial Narrow"/>
                <w:sz w:val="20"/>
                <w:szCs w:val="20"/>
                <w:u w:val="single"/>
              </w:rPr>
              <w:t>Fistula remission</w:t>
            </w:r>
          </w:p>
          <w:p w14:paraId="397D16C3" w14:textId="77777777" w:rsidR="00F37EC5" w:rsidRPr="00F81A33" w:rsidRDefault="00F37EC5" w:rsidP="00712094">
            <w:pPr>
              <w:pStyle w:val="TableText0"/>
              <w:keepNext w:val="0"/>
              <w:jc w:val="center"/>
              <w:rPr>
                <w:szCs w:val="20"/>
                <w:lang w:val="en-US"/>
              </w:rPr>
            </w:pPr>
            <w:r w:rsidRPr="00F81A33">
              <w:rPr>
                <w:szCs w:val="20"/>
              </w:rPr>
              <w:t>Absence of draining fistulas</w:t>
            </w:r>
          </w:p>
        </w:tc>
      </w:tr>
    </w:tbl>
    <w:p w14:paraId="1B035DC1" w14:textId="4AD6E90A" w:rsidR="00F37EC5" w:rsidRPr="001F5F4A" w:rsidRDefault="00F37EC5" w:rsidP="00F37EC5">
      <w:pPr>
        <w:pStyle w:val="TableFigureFooter"/>
        <w:spacing w:after="0"/>
        <w:rPr>
          <w:b/>
          <w:szCs w:val="18"/>
        </w:rPr>
      </w:pPr>
      <w:r w:rsidRPr="001F5F4A">
        <w:rPr>
          <w:rStyle w:val="CommentReference"/>
          <w:b w:val="0"/>
          <w:sz w:val="18"/>
          <w:szCs w:val="18"/>
          <w:shd w:val="clear" w:color="auto" w:fill="B8CCE4" w:themeFill="accent1" w:themeFillTint="66"/>
        </w:rPr>
        <w:t xml:space="preserve">Blue </w:t>
      </w:r>
      <w:r w:rsidRPr="001F5F4A">
        <w:rPr>
          <w:rStyle w:val="CommentReference"/>
          <w:b w:val="0"/>
          <w:sz w:val="18"/>
          <w:szCs w:val="18"/>
        </w:rPr>
        <w:t xml:space="preserve">shading indicates data previously seen by the PBAC. </w:t>
      </w:r>
    </w:p>
    <w:p w14:paraId="6B30660A" w14:textId="77777777" w:rsidR="00F37EC5" w:rsidRPr="00F81A33" w:rsidRDefault="00F37EC5" w:rsidP="00F37EC5">
      <w:pPr>
        <w:pStyle w:val="FooterTableFigure"/>
        <w:rPr>
          <w:szCs w:val="18"/>
        </w:rPr>
      </w:pPr>
      <w:r w:rsidRPr="00F81A33">
        <w:rPr>
          <w:szCs w:val="18"/>
        </w:rPr>
        <w:t>Source: compiled during the evaluation based on study reports and publications.</w:t>
      </w:r>
    </w:p>
    <w:p w14:paraId="3AC77EED" w14:textId="77777777" w:rsidR="00F37EC5" w:rsidRPr="001F5F4A" w:rsidRDefault="00F37EC5" w:rsidP="00F37EC5">
      <w:pPr>
        <w:pStyle w:val="FooterTableFigure"/>
        <w:rPr>
          <w:szCs w:val="18"/>
        </w:rPr>
      </w:pPr>
      <w:r w:rsidRPr="001F5F4A">
        <w:rPr>
          <w:szCs w:val="18"/>
        </w:rPr>
        <w:t>DB = double blind; MC = multi-centre; OL = open label; R = randomised; IP = induction phase; MP = maintenance phase; TTD = treat through design; RWD = randomised withdrawal design; ADA = adalimumab; IFX = infliximab; UST = ustekinumab; CD = Crohn’s disease; fCD = fistulising Crohn’s disease; CR-70=clinical response as defined by attaining CDAI ≥ 70 point reduction from baseline; CR-100= clinical response as defined by attaining CDAI ≥ 100 point reduction from baseline.</w:t>
      </w:r>
    </w:p>
    <w:p w14:paraId="125D1627" w14:textId="3B9F6F30" w:rsidR="00F37EC5" w:rsidRPr="001F5F4A" w:rsidRDefault="00F37EC5" w:rsidP="001F5F4A">
      <w:pPr>
        <w:pStyle w:val="FooterTableFigure"/>
        <w:rPr>
          <w:szCs w:val="18"/>
        </w:rPr>
      </w:pPr>
      <w:r w:rsidRPr="001F5F4A">
        <w:rPr>
          <w:szCs w:val="18"/>
        </w:rPr>
        <w:t>*</w:t>
      </w:r>
      <w:r w:rsidRPr="001F5F4A">
        <w:rPr>
          <w:szCs w:val="18"/>
        </w:rPr>
        <w:tab/>
      </w:r>
      <w:r w:rsidR="001F5F4A">
        <w:rPr>
          <w:szCs w:val="18"/>
        </w:rPr>
        <w:t>D</w:t>
      </w:r>
      <w:r w:rsidR="001F5F4A" w:rsidRPr="001F5F4A">
        <w:rPr>
          <w:szCs w:val="18"/>
        </w:rPr>
        <w:t xml:space="preserve">enotes </w:t>
      </w:r>
      <w:r w:rsidRPr="001F5F4A">
        <w:rPr>
          <w:szCs w:val="18"/>
        </w:rPr>
        <w:t>the primary trial outcome</w:t>
      </w:r>
      <w:r w:rsidRPr="001F5F4A">
        <w:rPr>
          <w:i/>
          <w:iCs/>
          <w:szCs w:val="18"/>
        </w:rPr>
        <w:t xml:space="preserve"> </w:t>
      </w:r>
    </w:p>
    <w:p w14:paraId="182797A8" w14:textId="5D0E2004" w:rsidR="00F37EC5" w:rsidRPr="001F5F4A" w:rsidRDefault="00F37EC5" w:rsidP="001F5F4A">
      <w:pPr>
        <w:pStyle w:val="FooterTableFigure"/>
        <w:rPr>
          <w:szCs w:val="18"/>
        </w:rPr>
      </w:pPr>
      <w:r w:rsidRPr="001F5F4A">
        <w:rPr>
          <w:szCs w:val="18"/>
          <w:vertAlign w:val="superscript"/>
          <w:lang w:eastAsia="en-US"/>
        </w:rPr>
        <w:t>1</w:t>
      </w:r>
      <w:r w:rsidRPr="001F5F4A">
        <w:rPr>
          <w:szCs w:val="18"/>
          <w:vertAlign w:val="superscript"/>
          <w:lang w:eastAsia="en-US"/>
        </w:rPr>
        <w:tab/>
      </w:r>
      <w:r w:rsidRPr="001F5F4A">
        <w:rPr>
          <w:iCs/>
          <w:szCs w:val="18"/>
          <w:lang w:eastAsia="en-US"/>
        </w:rPr>
        <w:t>Patients</w:t>
      </w:r>
      <w:r w:rsidRPr="001F5F4A">
        <w:rPr>
          <w:szCs w:val="18"/>
        </w:rPr>
        <w:t xml:space="preserve"> with fistula at baseline.</w:t>
      </w:r>
    </w:p>
    <w:p w14:paraId="41F1D86E" w14:textId="4A36C95A" w:rsidR="00F37EC5" w:rsidRPr="001F5F4A" w:rsidRDefault="00F37EC5" w:rsidP="001F5F4A">
      <w:pPr>
        <w:pStyle w:val="FooterTableFigure"/>
        <w:rPr>
          <w:szCs w:val="18"/>
        </w:rPr>
      </w:pPr>
      <w:r w:rsidRPr="001F5F4A">
        <w:rPr>
          <w:szCs w:val="18"/>
          <w:vertAlign w:val="superscript"/>
          <w:lang w:eastAsia="en-US"/>
        </w:rPr>
        <w:t>2</w:t>
      </w:r>
      <w:r w:rsidRPr="001F5F4A">
        <w:rPr>
          <w:szCs w:val="18"/>
          <w:vertAlign w:val="superscript"/>
          <w:lang w:eastAsia="en-US"/>
        </w:rPr>
        <w:tab/>
      </w:r>
      <w:r w:rsidRPr="001F5F4A">
        <w:rPr>
          <w:szCs w:val="18"/>
          <w:lang w:eastAsia="en-US"/>
        </w:rPr>
        <w:t xml:space="preserve">Evaluable </w:t>
      </w:r>
      <w:r w:rsidRPr="001F5F4A">
        <w:rPr>
          <w:szCs w:val="18"/>
        </w:rPr>
        <w:t>patients with an open and draining fistula at baseline (SEAVUE CSR).</w:t>
      </w:r>
    </w:p>
    <w:p w14:paraId="7608C9FA" w14:textId="4C1A320A" w:rsidR="00F37EC5" w:rsidRPr="001F5F4A" w:rsidRDefault="00F37EC5" w:rsidP="001F5F4A">
      <w:pPr>
        <w:pStyle w:val="FooterTableFigure"/>
        <w:ind w:left="170" w:hanging="170"/>
        <w:rPr>
          <w:szCs w:val="18"/>
        </w:rPr>
      </w:pPr>
      <w:r w:rsidRPr="001F5F4A">
        <w:rPr>
          <w:szCs w:val="18"/>
          <w:vertAlign w:val="superscript"/>
          <w:lang w:eastAsia="en-US"/>
        </w:rPr>
        <w:t>3</w:t>
      </w:r>
      <w:r w:rsidRPr="001F5F4A">
        <w:rPr>
          <w:szCs w:val="18"/>
          <w:vertAlign w:val="superscript"/>
          <w:lang w:eastAsia="en-US"/>
        </w:rPr>
        <w:tab/>
      </w:r>
      <w:r w:rsidRPr="001F5F4A">
        <w:rPr>
          <w:szCs w:val="18"/>
          <w:lang w:eastAsia="en-US"/>
        </w:rPr>
        <w:t xml:space="preserve">STARDUST </w:t>
      </w:r>
      <w:r w:rsidRPr="001F5F4A">
        <w:rPr>
          <w:szCs w:val="18"/>
        </w:rPr>
        <w:t>patients achieving CDAI response at Week 16 and randomized. 498 patients were enrolled in the STARDUST trial to enter the OL induction phase.</w:t>
      </w:r>
    </w:p>
    <w:p w14:paraId="4A3969BD" w14:textId="23FE7A7C" w:rsidR="00F37EC5" w:rsidRPr="001F5F4A" w:rsidRDefault="00F37EC5" w:rsidP="001F5F4A">
      <w:pPr>
        <w:pStyle w:val="FooterTableFigure"/>
        <w:rPr>
          <w:szCs w:val="18"/>
        </w:rPr>
      </w:pPr>
      <w:r w:rsidRPr="001F5F4A">
        <w:rPr>
          <w:szCs w:val="18"/>
          <w:vertAlign w:val="superscript"/>
          <w:lang w:eastAsia="en-US"/>
        </w:rPr>
        <w:t>4</w:t>
      </w:r>
      <w:r w:rsidRPr="001F5F4A">
        <w:rPr>
          <w:szCs w:val="18"/>
          <w:vertAlign w:val="superscript"/>
          <w:lang w:eastAsia="en-US"/>
        </w:rPr>
        <w:tab/>
      </w:r>
      <w:r w:rsidRPr="001F5F4A">
        <w:rPr>
          <w:szCs w:val="18"/>
          <w:lang w:eastAsia="en-US"/>
        </w:rPr>
        <w:t>Excluding</w:t>
      </w:r>
      <w:r w:rsidRPr="001F5F4A">
        <w:rPr>
          <w:szCs w:val="18"/>
        </w:rPr>
        <w:t xml:space="preserve"> irrelevant treatment arms.</w:t>
      </w:r>
    </w:p>
    <w:p w14:paraId="179A637C" w14:textId="59655979" w:rsidR="00F37EC5" w:rsidRDefault="00F37EC5" w:rsidP="001F5F4A">
      <w:pPr>
        <w:pStyle w:val="FooterTableFigure"/>
      </w:pPr>
      <w:r>
        <w:rPr>
          <w:szCs w:val="20"/>
          <w:vertAlign w:val="superscript"/>
          <w:lang w:eastAsia="en-US"/>
        </w:rPr>
        <w:t>5</w:t>
      </w:r>
      <w:r w:rsidRPr="003E709E">
        <w:rPr>
          <w:szCs w:val="20"/>
          <w:vertAlign w:val="superscript"/>
          <w:lang w:eastAsia="en-US"/>
        </w:rPr>
        <w:tab/>
      </w:r>
      <w:r>
        <w:rPr>
          <w:szCs w:val="20"/>
          <w:lang w:eastAsia="en-US"/>
        </w:rPr>
        <w:t xml:space="preserve">CHARM: 130 </w:t>
      </w:r>
      <w:r>
        <w:t>patients had fistula at baseline (enterocutaneous or perianal fistula).</w:t>
      </w:r>
    </w:p>
    <w:p w14:paraId="18E74E23" w14:textId="20265B70" w:rsidR="00F37EC5" w:rsidRDefault="00F37EC5" w:rsidP="001F5F4A">
      <w:pPr>
        <w:pStyle w:val="FooterTableFigure"/>
        <w:ind w:left="170" w:hanging="170"/>
      </w:pPr>
      <w:r>
        <w:rPr>
          <w:szCs w:val="20"/>
          <w:vertAlign w:val="superscript"/>
          <w:lang w:eastAsia="en-US"/>
        </w:rPr>
        <w:t>6</w:t>
      </w:r>
      <w:r w:rsidRPr="003E709E">
        <w:rPr>
          <w:szCs w:val="20"/>
          <w:vertAlign w:val="superscript"/>
          <w:lang w:eastAsia="en-US"/>
        </w:rPr>
        <w:tab/>
      </w:r>
      <w:r>
        <w:rPr>
          <w:szCs w:val="20"/>
          <w:lang w:eastAsia="en-US"/>
        </w:rPr>
        <w:t xml:space="preserve">ACCENT II: </w:t>
      </w:r>
      <w:r>
        <w:t xml:space="preserve">306 patients received IFX in an OL induction phase; </w:t>
      </w:r>
      <w:r>
        <w:rPr>
          <w:szCs w:val="20"/>
          <w:lang w:eastAsia="en-US"/>
        </w:rPr>
        <w:t xml:space="preserve">282 </w:t>
      </w:r>
      <w:r>
        <w:t>patients (non-responders and responders) were randomised to IFX and PBO at Week 14.</w:t>
      </w:r>
    </w:p>
    <w:p w14:paraId="7CAD5021" w14:textId="7A8EA16A" w:rsidR="00F37EC5" w:rsidRDefault="00F37EC5" w:rsidP="001F5F4A">
      <w:pPr>
        <w:pStyle w:val="FooterTableFigure"/>
        <w:ind w:left="170" w:hanging="170"/>
      </w:pPr>
      <w:r>
        <w:rPr>
          <w:szCs w:val="20"/>
          <w:vertAlign w:val="superscript"/>
          <w:lang w:eastAsia="en-US"/>
        </w:rPr>
        <w:t>7</w:t>
      </w:r>
      <w:r w:rsidRPr="003E709E">
        <w:rPr>
          <w:szCs w:val="20"/>
          <w:vertAlign w:val="superscript"/>
          <w:lang w:eastAsia="en-US"/>
        </w:rPr>
        <w:tab/>
      </w:r>
      <w:r>
        <w:rPr>
          <w:szCs w:val="20"/>
          <w:lang w:eastAsia="en-US"/>
        </w:rPr>
        <w:t>ACCENT II:</w:t>
      </w:r>
      <w:r>
        <w:t xml:space="preserve"> This comprised 189 responders and 87 non-responders assigned IFX or PBO at Week 14. 189 responders were evaluated for maintenance response although 195 patients with a response at Week 14 were assigned IFX or PBO during the maintenance phase. </w:t>
      </w:r>
      <w:r w:rsidRPr="00AB739A">
        <w:t xml:space="preserve">87 </w:t>
      </w:r>
      <w:r>
        <w:t xml:space="preserve">patients assessed for response had no response and were assigned IFX or PBO at Week 14, then all 87 patients were evaluated for maintenance response. </w:t>
      </w:r>
    </w:p>
    <w:p w14:paraId="1FE803C4" w14:textId="4CD35585" w:rsidR="00F37EC5" w:rsidRPr="00B1011F" w:rsidRDefault="00F37EC5" w:rsidP="001F5F4A">
      <w:pPr>
        <w:pStyle w:val="FooterTableFigure"/>
        <w:rPr>
          <w:sz w:val="20"/>
        </w:rPr>
      </w:pPr>
      <w:r>
        <w:rPr>
          <w:szCs w:val="20"/>
          <w:vertAlign w:val="superscript"/>
          <w:lang w:eastAsia="en-US"/>
        </w:rPr>
        <w:t>8</w:t>
      </w:r>
      <w:r w:rsidRPr="003E709E">
        <w:rPr>
          <w:szCs w:val="20"/>
          <w:vertAlign w:val="superscript"/>
          <w:lang w:eastAsia="en-US"/>
        </w:rPr>
        <w:tab/>
      </w:r>
      <w:r>
        <w:t>In patients with perianal/perirectal fistulas at baseline.</w:t>
      </w:r>
    </w:p>
    <w:p w14:paraId="3F140149" w14:textId="5EA71223" w:rsidR="006045F7" w:rsidRPr="006045F7" w:rsidRDefault="00BB2540" w:rsidP="00F82391">
      <w:pPr>
        <w:pStyle w:val="3-BodyText"/>
      </w:pPr>
      <w:r>
        <w:t>SEAVUE, STARDUST and a</w:t>
      </w:r>
      <w:r w:rsidR="004845E2" w:rsidRPr="004845E2">
        <w:t xml:space="preserve">ll of the placebo-controlled </w:t>
      </w:r>
      <w:r>
        <w:t xml:space="preserve">trial for </w:t>
      </w:r>
      <w:r w:rsidR="004845E2" w:rsidRPr="004845E2">
        <w:t xml:space="preserve">UST </w:t>
      </w:r>
      <w:r>
        <w:t xml:space="preserve">(UNITI-1, UNITI-2, IM-UNITI) </w:t>
      </w:r>
      <w:r w:rsidR="004845E2" w:rsidRPr="004845E2">
        <w:t xml:space="preserve">and ADA </w:t>
      </w:r>
      <w:r>
        <w:t>(CLASSIC I, GAIN, CHARM)</w:t>
      </w:r>
      <w:r w:rsidR="004845E2" w:rsidRPr="004845E2">
        <w:t xml:space="preserve"> enrolled patients with moderate to severe CD</w:t>
      </w:r>
      <w:r>
        <w:t xml:space="preserve"> </w:t>
      </w:r>
      <w:r w:rsidR="00D34583">
        <w:t xml:space="preserve">(defined </w:t>
      </w:r>
      <w:r w:rsidR="00D34583" w:rsidRPr="00A10577">
        <w:rPr>
          <w:szCs w:val="22"/>
        </w:rPr>
        <w:t xml:space="preserve">as a CDAI score of 220-450 points with or without </w:t>
      </w:r>
      <w:r w:rsidR="00D34583">
        <w:rPr>
          <w:szCs w:val="22"/>
        </w:rPr>
        <w:t>other criteria)</w:t>
      </w:r>
      <w:r w:rsidR="00D34583">
        <w:t xml:space="preserve"> </w:t>
      </w:r>
      <w:r>
        <w:t>including some patients with fistulising disease</w:t>
      </w:r>
      <w:r w:rsidR="004845E2" w:rsidRPr="004845E2">
        <w:t xml:space="preserve">. </w:t>
      </w:r>
      <w:r>
        <w:t>In these trials, the patient</w:t>
      </w:r>
      <w:r w:rsidR="005E461A">
        <w:t>-</w:t>
      </w:r>
      <w:r>
        <w:t xml:space="preserve">relevant outcomes of </w:t>
      </w:r>
      <w:r w:rsidRPr="000D029E">
        <w:t>fistula response and fistula remission were pre-specified</w:t>
      </w:r>
      <w:r>
        <w:t xml:space="preserve"> </w:t>
      </w:r>
      <w:r w:rsidRPr="000D029E">
        <w:lastRenderedPageBreak/>
        <w:t>exploratory</w:t>
      </w:r>
      <w:r>
        <w:t>/secondary</w:t>
      </w:r>
      <w:r w:rsidRPr="000D029E">
        <w:t xml:space="preserve"> or post-hoc outcomes reported for the subgroup of patients with fistulising disease at baseline.</w:t>
      </w:r>
      <w:r>
        <w:t xml:space="preserve"> </w:t>
      </w:r>
      <w:r w:rsidR="00D4063C">
        <w:t xml:space="preserve">In contrast, the IFX trials (T20, ACCENT II) only enrolled patients with </w:t>
      </w:r>
      <w:r w:rsidR="004845E2" w:rsidRPr="004845E2">
        <w:t xml:space="preserve">fistulising CD (abdominal and perianal fistulas) irrespective of </w:t>
      </w:r>
      <w:r w:rsidR="00712094">
        <w:t xml:space="preserve">CDAI score / </w:t>
      </w:r>
      <w:r w:rsidR="004845E2" w:rsidRPr="004845E2">
        <w:t>disease severity.</w:t>
      </w:r>
      <w:r w:rsidR="00712094" w:rsidRPr="00712094">
        <w:rPr>
          <w:i/>
        </w:rPr>
        <w:t xml:space="preserve"> </w:t>
      </w:r>
      <w:r w:rsidR="007E01A6" w:rsidRPr="00A10577">
        <w:rPr>
          <w:rFonts w:eastAsiaTheme="minorEastAsia"/>
          <w:szCs w:val="22"/>
          <w:lang w:eastAsia="en-US"/>
        </w:rPr>
        <w:t xml:space="preserve">The </w:t>
      </w:r>
      <w:r w:rsidR="00F82391">
        <w:rPr>
          <w:rFonts w:eastAsiaTheme="minorEastAsia"/>
          <w:szCs w:val="22"/>
          <w:lang w:eastAsia="en-US"/>
        </w:rPr>
        <w:t xml:space="preserve">selection criteria </w:t>
      </w:r>
      <w:r w:rsidR="007E01A6">
        <w:rPr>
          <w:rFonts w:eastAsiaTheme="minorEastAsia"/>
          <w:szCs w:val="22"/>
          <w:lang w:eastAsia="en-US"/>
        </w:rPr>
        <w:t xml:space="preserve">also </w:t>
      </w:r>
      <w:r w:rsidR="007E01A6" w:rsidRPr="00A10577">
        <w:rPr>
          <w:rFonts w:eastAsiaTheme="minorEastAsia"/>
          <w:szCs w:val="22"/>
          <w:lang w:eastAsia="en-US"/>
        </w:rPr>
        <w:t xml:space="preserve">differed with respect to prior use of </w:t>
      </w:r>
      <w:r w:rsidR="00AF6246">
        <w:rPr>
          <w:rFonts w:eastAsiaTheme="minorEastAsia"/>
          <w:szCs w:val="22"/>
          <w:lang w:eastAsia="en-US"/>
        </w:rPr>
        <w:t xml:space="preserve">biologic </w:t>
      </w:r>
      <w:r w:rsidR="007E01A6" w:rsidRPr="00A10577">
        <w:rPr>
          <w:rFonts w:eastAsiaTheme="minorEastAsia"/>
          <w:szCs w:val="22"/>
          <w:lang w:eastAsia="en-US"/>
        </w:rPr>
        <w:t>treatments</w:t>
      </w:r>
      <w:r w:rsidR="007E01A6">
        <w:rPr>
          <w:rFonts w:eastAsiaTheme="minorEastAsia"/>
          <w:szCs w:val="22"/>
          <w:lang w:eastAsia="en-US"/>
        </w:rPr>
        <w:t xml:space="preserve"> (and the type of failure with prior use)</w:t>
      </w:r>
      <w:r w:rsidR="007E01A6" w:rsidRPr="00A10577">
        <w:rPr>
          <w:rFonts w:eastAsiaTheme="minorEastAsia"/>
          <w:szCs w:val="22"/>
          <w:lang w:eastAsia="en-US"/>
        </w:rPr>
        <w:t>. Four trials excluded patients with any prior use (SEAVUE, CLASSIC I, T20, ACCENT II), two trials excluded patients without any prior use (UNITI-1, GAIN) and four trials included patients with and without prior use (STARDUST, UNITI-2, IM-UNITI and CHARM).</w:t>
      </w:r>
    </w:p>
    <w:p w14:paraId="0D55D91B" w14:textId="2C35E412" w:rsidR="0072543A" w:rsidRPr="00A10577" w:rsidRDefault="0072543A" w:rsidP="00C1653C">
      <w:pPr>
        <w:pStyle w:val="3-BodyText"/>
      </w:pPr>
      <w:r w:rsidRPr="00A10577">
        <w:t>The placebo-controlled induction trials (UNITI-1, UNITI-2, CLASSIC I, GAIN, T20) randomised eligible patients to active treatment or control at Week 0 and assessed response to treatment at Week 4 to 16 depending on the trial. The placebo-controlled maintenance trials (IM-UNITI, CHARM, ACCENT II) all used a randomised withdrawal design (i.e.</w:t>
      </w:r>
      <w:r w:rsidR="00EC0B06">
        <w:t>,</w:t>
      </w:r>
      <w:r w:rsidRPr="00A10577">
        <w:t xml:space="preserve"> patients were randomised to active or control following induction treatment), but the exact design differed across the trials. IM-UNITI randomised patients with CR-100</w:t>
      </w:r>
      <w:r w:rsidR="00311BD8">
        <w:t xml:space="preserve"> </w:t>
      </w:r>
      <w:r w:rsidRPr="00A10577">
        <w:t>response</w:t>
      </w:r>
      <w:r w:rsidR="00311BD8">
        <w:t xml:space="preserve"> (i.e. </w:t>
      </w:r>
      <w:r w:rsidR="00311BD8" w:rsidRPr="00311BD8">
        <w:t xml:space="preserve">≥ </w:t>
      </w:r>
      <w:r w:rsidR="00311BD8">
        <w:t>100 point decrease in CDAI score from baseline)</w:t>
      </w:r>
      <w:r w:rsidRPr="00A10577">
        <w:t xml:space="preserve"> to UST induction at Week 8 in the UNITI-1/2 and assessed response at Week 52. CHARM randomised all patients treated with ADA induction at Week 4 stratified by CR-70 </w:t>
      </w:r>
      <w:r w:rsidR="00240923" w:rsidRPr="00A10577">
        <w:t>response and</w:t>
      </w:r>
      <w:r w:rsidRPr="00A10577">
        <w:t xml:space="preserve"> assessed response at Week 56. ACCENT II randomised all patients treated with IFX induction at Week 14 stratified by fistula </w:t>
      </w:r>
      <w:r w:rsidR="00240923" w:rsidRPr="00A10577">
        <w:t>response and</w:t>
      </w:r>
      <w:r w:rsidRPr="00A10577">
        <w:t xml:space="preserve"> assessed response at Week 54. </w:t>
      </w:r>
      <w:r w:rsidRPr="001447E7">
        <w:t>Although CHARM randomised patients to maintenance treatment stratified by ADA induction response, the fistula response and fistula remission outcomes presented in the submission were aggregated across induction non-responders and induction responders (i.e.</w:t>
      </w:r>
      <w:r w:rsidR="00EC0B06" w:rsidRPr="001447E7">
        <w:t>,</w:t>
      </w:r>
      <w:r w:rsidRPr="001447E7">
        <w:t xml:space="preserve"> unconditional on induction response, similar to results from a ‘treat-through’ trial design).</w:t>
      </w:r>
    </w:p>
    <w:p w14:paraId="1D110D3A" w14:textId="59F0DDA0" w:rsidR="0072543A" w:rsidRPr="001447E7" w:rsidRDefault="00A52EB8" w:rsidP="00A03EDF">
      <w:pPr>
        <w:pStyle w:val="3-BodyText"/>
      </w:pPr>
      <w:r w:rsidRPr="001447E7">
        <w:t xml:space="preserve">The </w:t>
      </w:r>
      <w:r w:rsidR="0072543A" w:rsidRPr="001447E7">
        <w:t xml:space="preserve">SEAVUE trial </w:t>
      </w:r>
      <w:r w:rsidRPr="001447E7">
        <w:t>randomised patients to UST or ADA and assessed response through to Week 52 using a trea</w:t>
      </w:r>
      <w:r w:rsidR="00A03EDF" w:rsidRPr="001447E7">
        <w:t>t-</w:t>
      </w:r>
      <w:r w:rsidRPr="001447E7">
        <w:t>through design</w:t>
      </w:r>
      <w:r w:rsidR="00A03EDF" w:rsidRPr="001447E7">
        <w:t>,</w:t>
      </w:r>
      <w:r w:rsidRPr="001447E7">
        <w:t xml:space="preserve"> with results reported for induction and maintenance time points. In contrast, STARDUST used a randomised responder design, and randomised </w:t>
      </w:r>
      <w:r w:rsidR="0072543A" w:rsidRPr="001447E7">
        <w:t xml:space="preserve">patients with </w:t>
      </w:r>
      <w:r w:rsidR="00A03EDF" w:rsidRPr="001447E7">
        <w:t>CR-</w:t>
      </w:r>
      <w:r w:rsidR="00742B13" w:rsidRPr="001447E7">
        <w:t>70</w:t>
      </w:r>
      <w:r w:rsidR="00A03EDF" w:rsidRPr="001447E7">
        <w:t xml:space="preserve"> </w:t>
      </w:r>
      <w:r w:rsidR="0072543A" w:rsidRPr="001447E7">
        <w:t xml:space="preserve">response </w:t>
      </w:r>
      <w:r w:rsidRPr="001447E7">
        <w:t xml:space="preserve">to UST induction treatment </w:t>
      </w:r>
      <w:r w:rsidR="0072543A" w:rsidRPr="001447E7">
        <w:t xml:space="preserve">at Week 16 to either UST ‘routine care’ or UST ‘treat-to-target’ for maintenance </w:t>
      </w:r>
      <w:r w:rsidR="00240923" w:rsidRPr="001447E7">
        <w:t>treatment and</w:t>
      </w:r>
      <w:r w:rsidR="0072543A" w:rsidRPr="001447E7">
        <w:t xml:space="preserve"> assessed response at Week 48.</w:t>
      </w:r>
    </w:p>
    <w:p w14:paraId="7A39E98A" w14:textId="1124A77B" w:rsidR="006045F7" w:rsidRPr="001447E7" w:rsidRDefault="006045F7" w:rsidP="00803D30">
      <w:pPr>
        <w:pStyle w:val="3-BodyText"/>
      </w:pPr>
      <w:r w:rsidRPr="001447E7">
        <w:t>Most included trials were considered to have a low overall risk of bias for the ITT analysis, but there was a high risk of bias in the UST and ADA trials for the subgroup of patients with fistulising CD at baseline. In a number of trials (SEAVUE, UNITI-1, UNITI-2, IM-UNITI), there was a difference between the number of patients with fistulising CD at baseline and the number of patients with ‘evaluable’ disease included in the results. These trials stated that fistula outcomes were evaluated in patients with one or more open/draining fistulas (restricted to perianal or perirectal in SEAVUE) at baseline but presumably excluded patients with missing data (i.e.</w:t>
      </w:r>
      <w:r w:rsidR="00EC0B06" w:rsidRPr="001447E7">
        <w:t>,</w:t>
      </w:r>
      <w:r w:rsidRPr="001447E7">
        <w:t xml:space="preserve"> no missing data rules were applied). Missing data rules for the fistula response and fistula remission outcomes were generally not reported across the trials.</w:t>
      </w:r>
    </w:p>
    <w:p w14:paraId="2CDA75C1" w14:textId="4762907C" w:rsidR="008D3689" w:rsidRPr="001447E7" w:rsidRDefault="00F82391" w:rsidP="00EC4E43">
      <w:pPr>
        <w:pStyle w:val="3-BodyText"/>
      </w:pPr>
      <w:r w:rsidRPr="001447E7">
        <w:rPr>
          <w:rFonts w:eastAsiaTheme="minorEastAsia"/>
          <w:szCs w:val="22"/>
          <w:lang w:eastAsia="en-US"/>
        </w:rPr>
        <w:t>B</w:t>
      </w:r>
      <w:r w:rsidR="008D447A" w:rsidRPr="001447E7">
        <w:rPr>
          <w:rFonts w:eastAsiaTheme="minorEastAsia"/>
          <w:szCs w:val="22"/>
          <w:lang w:eastAsia="en-US"/>
        </w:rPr>
        <w:t>aseline data was not reported for patients with fistulising CD enrolled in the UST and ADA trials</w:t>
      </w:r>
      <w:r w:rsidRPr="001447E7">
        <w:rPr>
          <w:rFonts w:eastAsiaTheme="minorEastAsia"/>
          <w:szCs w:val="22"/>
          <w:lang w:eastAsia="en-US"/>
        </w:rPr>
        <w:t>, with the exception of the CHARM trial</w:t>
      </w:r>
      <w:r w:rsidR="008D447A" w:rsidRPr="001447E7">
        <w:rPr>
          <w:rFonts w:eastAsiaTheme="minorEastAsia"/>
          <w:szCs w:val="22"/>
          <w:lang w:eastAsia="en-US"/>
        </w:rPr>
        <w:t xml:space="preserve">. Therefore, the submission assessed </w:t>
      </w:r>
      <w:r w:rsidR="008D447A" w:rsidRPr="001447E7">
        <w:rPr>
          <w:rFonts w:eastAsiaTheme="minorEastAsia"/>
          <w:szCs w:val="22"/>
          <w:lang w:eastAsia="en-US"/>
        </w:rPr>
        <w:lastRenderedPageBreak/>
        <w:t xml:space="preserve">the exchangeability of the trials based mainly on the ITT populations. Despite </w:t>
      </w:r>
      <w:r w:rsidR="008D3689" w:rsidRPr="001447E7">
        <w:rPr>
          <w:rFonts w:eastAsiaTheme="minorEastAsia"/>
          <w:szCs w:val="22"/>
          <w:lang w:eastAsia="en-US"/>
        </w:rPr>
        <w:t>limited available/comparable baseline data, there were some notable differences in baseline characteristics across the placebo-controlled trials included in the indirect treatment comparisons:</w:t>
      </w:r>
    </w:p>
    <w:p w14:paraId="361DBD1D" w14:textId="77777777" w:rsidR="00B33B48" w:rsidRPr="001447E7" w:rsidRDefault="008D3689" w:rsidP="00F81A33">
      <w:pPr>
        <w:pStyle w:val="ListParagraph"/>
        <w:numPr>
          <w:ilvl w:val="0"/>
          <w:numId w:val="12"/>
        </w:numPr>
        <w:ind w:left="993" w:hanging="284"/>
        <w:rPr>
          <w:rFonts w:eastAsiaTheme="minorEastAsia"/>
          <w:lang w:eastAsia="en-US"/>
        </w:rPr>
      </w:pPr>
      <w:r w:rsidRPr="001447E7">
        <w:rPr>
          <w:rFonts w:eastAsiaTheme="minorEastAsia"/>
          <w:lang w:eastAsia="en-US"/>
        </w:rPr>
        <w:t>A very small proportion of patients enrolled in the UST and ADA trials had a fistula at baseline (8-22%), whereas all patients enrolled in the IFX trials had fistulising CD based on the selection criteria. For the indirect treatment comparisons, the submission restricted the analysis to patients with fistulising CD at baseline.</w:t>
      </w:r>
    </w:p>
    <w:p w14:paraId="6A1B5781" w14:textId="4E32F5E6" w:rsidR="00B33B48" w:rsidRPr="001447E7" w:rsidRDefault="008D3689" w:rsidP="00F81A33">
      <w:pPr>
        <w:pStyle w:val="ListParagraph"/>
        <w:numPr>
          <w:ilvl w:val="0"/>
          <w:numId w:val="12"/>
        </w:numPr>
        <w:ind w:left="993" w:hanging="284"/>
        <w:rPr>
          <w:rFonts w:eastAsiaTheme="minorEastAsia"/>
          <w:lang w:eastAsia="en-US"/>
        </w:rPr>
      </w:pPr>
      <w:r w:rsidRPr="001447E7">
        <w:rPr>
          <w:rFonts w:eastAsiaTheme="minorEastAsia"/>
          <w:lang w:eastAsia="en-US"/>
        </w:rPr>
        <w:t>The average CDAI score was much higher in the UST and ADA trials (</w:t>
      </w:r>
      <w:r w:rsidR="00B34C81" w:rsidRPr="001447E7">
        <w:rPr>
          <w:rFonts w:eastAsiaTheme="minorEastAsia"/>
          <w:lang w:eastAsia="en-US"/>
        </w:rPr>
        <w:t>approximately</w:t>
      </w:r>
      <w:r w:rsidRPr="001447E7">
        <w:rPr>
          <w:rFonts w:eastAsiaTheme="minorEastAsia"/>
          <w:lang w:eastAsia="en-US"/>
        </w:rPr>
        <w:t xml:space="preserve"> 300) compared to the IFX trials (approx</w:t>
      </w:r>
      <w:r w:rsidR="00B34C81" w:rsidRPr="001447E7">
        <w:rPr>
          <w:rFonts w:eastAsiaTheme="minorEastAsia"/>
          <w:lang w:eastAsia="en-US"/>
        </w:rPr>
        <w:t>imately</w:t>
      </w:r>
      <w:r w:rsidRPr="001447E7">
        <w:rPr>
          <w:rFonts w:eastAsiaTheme="minorEastAsia"/>
          <w:lang w:eastAsia="en-US"/>
        </w:rPr>
        <w:t xml:space="preserve"> 190 in T20, 41%/67% &lt;150/220 in ACCENT II). The UST and ADA trials required patients to have moderate to severe CD whereas the IFX trials enrolled patients with fistulising CD irrespective of CDAI score. Hence, the subgroup of patients with fistulising CD in the UST and ADA trials also had moderate to severe CD, whereas patients in the IFX also included patients with mild CD defined by CDAI score.</w:t>
      </w:r>
    </w:p>
    <w:p w14:paraId="08399B63" w14:textId="7EE5EDC4" w:rsidR="00893E2A" w:rsidRPr="001447E7" w:rsidRDefault="008D3689" w:rsidP="00F81A33">
      <w:pPr>
        <w:pStyle w:val="ListParagraph"/>
        <w:numPr>
          <w:ilvl w:val="0"/>
          <w:numId w:val="12"/>
        </w:numPr>
        <w:ind w:left="993" w:hanging="284"/>
        <w:rPr>
          <w:rFonts w:eastAsiaTheme="minorEastAsia"/>
          <w:szCs w:val="22"/>
          <w:lang w:eastAsia="en-US"/>
        </w:rPr>
      </w:pPr>
      <w:r w:rsidRPr="001447E7">
        <w:t xml:space="preserve">The average duration of disease was not reported in the ADA </w:t>
      </w:r>
      <w:r w:rsidR="00240923" w:rsidRPr="001447E7">
        <w:t>trials but</w:t>
      </w:r>
      <w:r w:rsidRPr="001447E7">
        <w:t xml:space="preserve"> appeared slightly longer in the IFX maintenance trial (average 10.5 to 12.3 years in ACCENT II) compared to the UST maintenance trial (average 9.5 to 10.6 years in IM-UNITI). The average duration of disease was much shorter in the </w:t>
      </w:r>
      <w:r w:rsidR="00240923" w:rsidRPr="001447E7">
        <w:t>head-to-head</w:t>
      </w:r>
      <w:r w:rsidRPr="001447E7">
        <w:t xml:space="preserve"> trial comparing UST to ADA (SEAVUE) with an average duration of disease approx</w:t>
      </w:r>
      <w:r w:rsidR="00211229" w:rsidRPr="001447E7">
        <w:t>imately</w:t>
      </w:r>
      <w:r w:rsidRPr="001447E7">
        <w:t xml:space="preserve"> 5.5 years.</w:t>
      </w:r>
    </w:p>
    <w:p w14:paraId="2CD87AB6" w14:textId="77777777" w:rsidR="00893E2A" w:rsidRPr="001447E7" w:rsidRDefault="008D3689" w:rsidP="00F81A33">
      <w:pPr>
        <w:pStyle w:val="ListParagraph"/>
        <w:numPr>
          <w:ilvl w:val="0"/>
          <w:numId w:val="12"/>
        </w:numPr>
        <w:ind w:left="993" w:hanging="284"/>
        <w:rPr>
          <w:rFonts w:eastAsiaTheme="minorEastAsia"/>
          <w:szCs w:val="22"/>
          <w:lang w:eastAsia="en-US"/>
        </w:rPr>
      </w:pPr>
      <w:r w:rsidRPr="001447E7">
        <w:rPr>
          <w:rFonts w:eastAsiaTheme="minorEastAsia"/>
          <w:lang w:eastAsia="en-US"/>
        </w:rPr>
        <w:t>Based on data for patients with fistulising CD, a higher proportion of patients had more than one fistula in the IFX maintenance trial (59% in ACCENT II) compared to the ADA trial (38% in CHARM subgroup). As noted, none of the other ADA or UST trials reported baseline data for the subgroup of patients with fistulising CD to inform any other comparisons.</w:t>
      </w:r>
    </w:p>
    <w:p w14:paraId="7D579559" w14:textId="367910CB" w:rsidR="008D3689" w:rsidRPr="001447E7" w:rsidRDefault="008D3689" w:rsidP="00F81A33">
      <w:pPr>
        <w:pStyle w:val="ListParagraph"/>
        <w:numPr>
          <w:ilvl w:val="0"/>
          <w:numId w:val="12"/>
        </w:numPr>
        <w:ind w:left="993" w:hanging="284"/>
        <w:rPr>
          <w:rFonts w:eastAsiaTheme="minorEastAsia"/>
          <w:szCs w:val="22"/>
          <w:lang w:eastAsia="en-US"/>
        </w:rPr>
      </w:pPr>
      <w:r w:rsidRPr="001447E7">
        <w:rPr>
          <w:rFonts w:eastAsiaTheme="minorEastAsia"/>
          <w:lang w:eastAsia="en-US"/>
        </w:rPr>
        <w:t xml:space="preserve">Across the induction trials, a higher proportion of patients in the ITT population had used prior </w:t>
      </w:r>
      <w:r w:rsidR="001F5F4A" w:rsidRPr="001447E7">
        <w:rPr>
          <w:rFonts w:eastAsiaTheme="minorEastAsia"/>
          <w:lang w:eastAsia="en-US"/>
        </w:rPr>
        <w:t xml:space="preserve">biologic </w:t>
      </w:r>
      <w:r w:rsidRPr="001447E7">
        <w:rPr>
          <w:rFonts w:eastAsiaTheme="minorEastAsia"/>
          <w:lang w:eastAsia="en-US"/>
        </w:rPr>
        <w:t xml:space="preserve">therapy in the ADA trials (68% pooled across CLASSIC I, GAIN) compared to UST trials (54% pooled across UNITI-1, UNITI-2) and the IFX trial (0% in T20). Across the maintenance trials, a similar proportion of patients had used prior </w:t>
      </w:r>
      <w:r w:rsidR="001F5F4A" w:rsidRPr="001447E7">
        <w:rPr>
          <w:rFonts w:eastAsiaTheme="minorEastAsia"/>
          <w:lang w:eastAsia="en-US"/>
        </w:rPr>
        <w:t>biologic</w:t>
      </w:r>
      <w:r w:rsidRPr="001447E7">
        <w:rPr>
          <w:rFonts w:eastAsiaTheme="minorEastAsia"/>
          <w:lang w:eastAsia="en-US"/>
        </w:rPr>
        <w:t xml:space="preserve"> therapy in the ITT population of the UST trial (60% in IM-UNITI) and the fistulising CD subgroup in the ADA trial (63% in CHARM subgroup), which were both higher than prior use in the IFX trial (0% in ACCENT II). </w:t>
      </w:r>
      <w:r w:rsidRPr="001447E7">
        <w:rPr>
          <w:rFonts w:eastAsiaTheme="minorEastAsia"/>
          <w:szCs w:val="22"/>
          <w:lang w:eastAsia="en-US"/>
        </w:rPr>
        <w:t xml:space="preserve">The submission argued that the patients in UST trials were more refractory (harder to treat) compared to the other trials which biased the indirect comparisons against UST, </w:t>
      </w:r>
      <w:r w:rsidR="007E01A6" w:rsidRPr="001447E7">
        <w:rPr>
          <w:rFonts w:eastAsiaTheme="minorEastAsia"/>
          <w:szCs w:val="22"/>
          <w:lang w:eastAsia="en-US"/>
        </w:rPr>
        <w:t>particularly versus IFX.</w:t>
      </w:r>
    </w:p>
    <w:p w14:paraId="4EA51FC3" w14:textId="77777777" w:rsidR="00AF2213" w:rsidRPr="001447E7" w:rsidRDefault="00AF2213" w:rsidP="00AF2213">
      <w:pPr>
        <w:pStyle w:val="3-BodyText"/>
      </w:pPr>
      <w:r w:rsidRPr="001447E7">
        <w:t xml:space="preserve">The fistula response and fistula remission outcomes reported in the UST trials are not directly comparable to those reported in the ADA and IFX trials. Across the placebo-controlled induction trials: the fistula response and fistula remission outcomes were more stringent for the ADA and IFX trials; the fistula response and fistula remission </w:t>
      </w:r>
      <w:r w:rsidRPr="001447E7">
        <w:lastRenderedPageBreak/>
        <w:t>were reported at different time points across the trials (Week 8 in the UST trials, Week 4 in the ADA trials and Week 18 in the IFX trial); and the (post-hoc) fistula remission outcome in the UST trials (UNITI-1, UNITI-2) was only reported for patients with perianal fistula at baseline, whereas the (pre-specified) fistula remission outcomes in the ADA and IFX trials included patients with any open/draining fistula. Across the maintenance trials, fistula response and fistula remission reported at the end of the maintenance trials were conditional on clinical response to induction treatment in the UST trial (IM-UNITI) and IFX trial (ACCENT II), but unconditional on induction response in the ADA trial (CHARM); and the (post-hoc) fistula remission outcome in the UST trial (IM-UNITI) was only reported for patients with perianal fistula at baseline, whereas the (pre-specified) fistula remission outcomes in the ADA and IFX trials included patients with any open/draining fistula.</w:t>
      </w:r>
    </w:p>
    <w:p w14:paraId="4A4FE085" w14:textId="1C5613CC" w:rsidR="00B60939" w:rsidRPr="00C9624D" w:rsidRDefault="00B60939" w:rsidP="00EC5836">
      <w:pPr>
        <w:pStyle w:val="4-SubsectionHeading"/>
      </w:pPr>
      <w:bookmarkStart w:id="22" w:name="_Toc22897641"/>
      <w:bookmarkStart w:id="23" w:name="_Toc134692572"/>
      <w:r w:rsidRPr="00C9624D">
        <w:t>Comparative effectiveness</w:t>
      </w:r>
      <w:bookmarkEnd w:id="22"/>
      <w:bookmarkEnd w:id="23"/>
    </w:p>
    <w:p w14:paraId="5198A73A" w14:textId="754B36F0" w:rsidR="00C073D5" w:rsidRPr="001447E7" w:rsidRDefault="0029098D" w:rsidP="00AF2213">
      <w:pPr>
        <w:pStyle w:val="3-BodyText"/>
      </w:pPr>
      <w:r w:rsidRPr="001447E7">
        <w:t xml:space="preserve">Aside from overall remission and response criteria based </w:t>
      </w:r>
      <w:r w:rsidR="00742B13" w:rsidRPr="001447E7">
        <w:t xml:space="preserve">on </w:t>
      </w:r>
      <w:r w:rsidRPr="001447E7">
        <w:t>CDAI score</w:t>
      </w:r>
      <w:r w:rsidR="0025644B" w:rsidRPr="001447E7">
        <w:t>, the clinically relevant outcomes for patients with fistulising CD include fistula remission (i.e.</w:t>
      </w:r>
      <w:r w:rsidR="00EC0B06" w:rsidRPr="001447E7">
        <w:t>,</w:t>
      </w:r>
      <w:r w:rsidR="0025644B" w:rsidRPr="001447E7">
        <w:t xml:space="preserve"> closure of all open/draining fistulae) and fistula response (i.e.</w:t>
      </w:r>
      <w:r w:rsidR="00EC0B06" w:rsidRPr="001447E7">
        <w:t>,</w:t>
      </w:r>
      <w:r w:rsidR="0025644B" w:rsidRPr="001447E7">
        <w:t xml:space="preserve"> ≥50% reduction in number of open/draining fistulae).</w:t>
      </w:r>
      <w:r w:rsidRPr="001447E7">
        <w:t xml:space="preserve"> The current/proposed PBS criteria defines an adequate response to treatment f</w:t>
      </w:r>
      <w:r w:rsidR="0025644B" w:rsidRPr="001447E7">
        <w:t>or patients with fistulising CD (irrespective of CDAI score) as: (a) a decrease from baseline in the number of open</w:t>
      </w:r>
      <w:r w:rsidR="00DB3639" w:rsidRPr="001447E7">
        <w:t>/</w:t>
      </w:r>
      <w:r w:rsidR="0025644B" w:rsidRPr="001447E7">
        <w:t>draining fistulae of greater than or equal to 50%; and/or (b) a marked reduction in drainage of all fistula(e) from baseline, together with less pain and induration as reported by the patient.</w:t>
      </w:r>
      <w:r w:rsidR="005B1221" w:rsidRPr="001447E7">
        <w:t xml:space="preserve"> T</w:t>
      </w:r>
      <w:r w:rsidR="0025644B" w:rsidRPr="001447E7">
        <w:t>he PBS criteria is similar to the fistula response outcome reported in the clinical trials, the submission noted that the PBAC ha</w:t>
      </w:r>
      <w:r w:rsidR="00A10772" w:rsidRPr="001447E7">
        <w:t>d</w:t>
      </w:r>
      <w:r w:rsidR="0025644B" w:rsidRPr="001447E7">
        <w:t xml:space="preserve"> also relied on the fistula remission outcome in previous </w:t>
      </w:r>
      <w:r w:rsidR="00541582" w:rsidRPr="001447E7">
        <w:t xml:space="preserve">considerations </w:t>
      </w:r>
      <w:r w:rsidR="0025644B" w:rsidRPr="001447E7">
        <w:t>(paragraph 6.19, UST PSD, March 2017 PBAC meeting).</w:t>
      </w:r>
    </w:p>
    <w:p w14:paraId="6DDAB719" w14:textId="5B9BACF5" w:rsidR="001D5F49" w:rsidRPr="005B7AD6" w:rsidRDefault="00A10577" w:rsidP="005B7AD6">
      <w:pPr>
        <w:pStyle w:val="3-BodyText"/>
        <w:rPr>
          <w:i/>
          <w:iCs/>
        </w:rPr>
      </w:pPr>
      <w:r>
        <w:fldChar w:fldCharType="begin"/>
      </w:r>
      <w:r>
        <w:instrText xml:space="preserve"> REF _Ref132579971 \h </w:instrText>
      </w:r>
      <w:r>
        <w:fldChar w:fldCharType="separate"/>
      </w:r>
      <w:r w:rsidR="00522D5A">
        <w:t xml:space="preserve">Table </w:t>
      </w:r>
      <w:r w:rsidR="00522D5A">
        <w:rPr>
          <w:noProof/>
        </w:rPr>
        <w:t>4</w:t>
      </w:r>
      <w:r>
        <w:fldChar w:fldCharType="end"/>
      </w:r>
      <w:r>
        <w:t xml:space="preserve"> </w:t>
      </w:r>
      <w:r w:rsidR="00364B09">
        <w:t xml:space="preserve">summarises fistula response and fistula remission outcomes for </w:t>
      </w:r>
      <w:r w:rsidR="00AD3ADC">
        <w:t xml:space="preserve">patients with </w:t>
      </w:r>
      <w:r w:rsidR="00364B09">
        <w:t>fistulising CD enrolled in the induction trials</w:t>
      </w:r>
      <w:r w:rsidR="00AD3ADC">
        <w:t xml:space="preserve">, and the </w:t>
      </w:r>
      <w:r w:rsidR="00601152">
        <w:t xml:space="preserve">anchored </w:t>
      </w:r>
      <w:r w:rsidR="00AD3ADC">
        <w:t>indirect treatment comparisons between UST versus ADA and IFX for induction treatment</w:t>
      </w:r>
      <w:r w:rsidR="00364B09">
        <w:t>.</w:t>
      </w:r>
    </w:p>
    <w:p w14:paraId="36A2AE19" w14:textId="7A988EB3" w:rsidR="00762040" w:rsidRPr="006C5BC6" w:rsidRDefault="00A10577" w:rsidP="001A7282">
      <w:pPr>
        <w:pStyle w:val="TableFigureHeading"/>
        <w:keepLines/>
        <w:pageBreakBefore/>
      </w:pPr>
      <w:bookmarkStart w:id="24" w:name="_Ref132579971"/>
      <w:r>
        <w:lastRenderedPageBreak/>
        <w:t xml:space="preserve">Table </w:t>
      </w:r>
      <w:fldSimple w:instr=" SEQ Table \* ARABIC ">
        <w:r w:rsidR="00522D5A">
          <w:rPr>
            <w:noProof/>
          </w:rPr>
          <w:t>4</w:t>
        </w:r>
      </w:fldSimple>
      <w:bookmarkEnd w:id="24"/>
      <w:r w:rsidR="00762040" w:rsidRPr="00D27811">
        <w:t xml:space="preserve">: </w:t>
      </w:r>
      <w:r w:rsidR="00762040">
        <w:t xml:space="preserve">Induction trial results and </w:t>
      </w:r>
      <w:r w:rsidR="00601152">
        <w:t xml:space="preserve">anchored </w:t>
      </w:r>
      <w:r w:rsidR="00762040">
        <w:t>indirect comparisons for f</w:t>
      </w:r>
      <w:r w:rsidR="00762040" w:rsidRPr="00D27811">
        <w:t xml:space="preserve">istula </w:t>
      </w:r>
      <w:r w:rsidR="00762040">
        <w:t>response and fistula remission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87"/>
        <w:gridCol w:w="1145"/>
        <w:gridCol w:w="1145"/>
        <w:gridCol w:w="1576"/>
        <w:gridCol w:w="1430"/>
        <w:gridCol w:w="1434"/>
      </w:tblGrid>
      <w:tr w:rsidR="00762040" w:rsidRPr="00F81A33" w14:paraId="2930ABBB" w14:textId="77777777" w:rsidTr="002671F6">
        <w:trPr>
          <w:tblHeader/>
        </w:trPr>
        <w:tc>
          <w:tcPr>
            <w:tcW w:w="1268" w:type="pct"/>
            <w:tcBorders>
              <w:bottom w:val="single" w:sz="4" w:space="0" w:color="auto"/>
            </w:tcBorders>
            <w:vAlign w:val="center"/>
          </w:tcPr>
          <w:p w14:paraId="19FDB765" w14:textId="77777777" w:rsidR="00762040" w:rsidRPr="00F81A33" w:rsidRDefault="00762040" w:rsidP="005B7AD6">
            <w:pPr>
              <w:keepNext/>
              <w:keepLines/>
              <w:jc w:val="left"/>
              <w:rPr>
                <w:rFonts w:ascii="Arial Narrow" w:hAnsi="Arial Narrow"/>
                <w:sz w:val="20"/>
                <w:szCs w:val="20"/>
              </w:rPr>
            </w:pPr>
            <w:r w:rsidRPr="00F81A33">
              <w:rPr>
                <w:rFonts w:ascii="Arial Narrow" w:hAnsi="Arial Narrow"/>
                <w:b/>
                <w:sz w:val="20"/>
                <w:szCs w:val="20"/>
              </w:rPr>
              <w:t>Trial ID</w:t>
            </w:r>
          </w:p>
        </w:tc>
        <w:tc>
          <w:tcPr>
            <w:tcW w:w="635" w:type="pct"/>
            <w:tcBorders>
              <w:bottom w:val="single" w:sz="4" w:space="0" w:color="auto"/>
            </w:tcBorders>
            <w:vAlign w:val="center"/>
          </w:tcPr>
          <w:p w14:paraId="35716E04"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Drug</w:t>
            </w:r>
          </w:p>
          <w:p w14:paraId="5B965E80"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b/>
                <w:sz w:val="20"/>
                <w:szCs w:val="20"/>
              </w:rPr>
              <w:t xml:space="preserve">n/N (%) </w:t>
            </w:r>
          </w:p>
        </w:tc>
        <w:tc>
          <w:tcPr>
            <w:tcW w:w="635" w:type="pct"/>
            <w:tcBorders>
              <w:bottom w:val="single" w:sz="4" w:space="0" w:color="auto"/>
            </w:tcBorders>
            <w:vAlign w:val="center"/>
          </w:tcPr>
          <w:p w14:paraId="32B4468B"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Control</w:t>
            </w:r>
          </w:p>
          <w:p w14:paraId="49030781" w14:textId="77777777" w:rsidR="00762040" w:rsidRPr="00F81A33" w:rsidRDefault="00762040" w:rsidP="005B7AD6">
            <w:pPr>
              <w:keepNext/>
              <w:keepLines/>
              <w:jc w:val="center"/>
              <w:rPr>
                <w:rFonts w:ascii="Arial Narrow" w:hAnsi="Arial Narrow"/>
                <w:sz w:val="20"/>
                <w:szCs w:val="20"/>
                <w:highlight w:val="yellow"/>
              </w:rPr>
            </w:pPr>
            <w:r w:rsidRPr="00F81A33">
              <w:rPr>
                <w:rFonts w:ascii="Arial Narrow" w:hAnsi="Arial Narrow"/>
                <w:b/>
                <w:sz w:val="20"/>
                <w:szCs w:val="20"/>
              </w:rPr>
              <w:t>n/N (%)</w:t>
            </w:r>
          </w:p>
        </w:tc>
        <w:tc>
          <w:tcPr>
            <w:tcW w:w="874" w:type="pct"/>
            <w:tcBorders>
              <w:bottom w:val="single" w:sz="4" w:space="0" w:color="auto"/>
            </w:tcBorders>
            <w:vAlign w:val="center"/>
          </w:tcPr>
          <w:p w14:paraId="1443C4DF"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RD</w:t>
            </w:r>
          </w:p>
          <w:p w14:paraId="06E44CCC"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(95% CI)</w:t>
            </w:r>
          </w:p>
        </w:tc>
        <w:tc>
          <w:tcPr>
            <w:tcW w:w="793" w:type="pct"/>
            <w:tcBorders>
              <w:bottom w:val="single" w:sz="4" w:space="0" w:color="auto"/>
            </w:tcBorders>
            <w:vAlign w:val="center"/>
          </w:tcPr>
          <w:p w14:paraId="7F62E0E8"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 xml:space="preserve">RR </w:t>
            </w:r>
          </w:p>
          <w:p w14:paraId="0F5B2A55"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(95% CI)</w:t>
            </w:r>
          </w:p>
        </w:tc>
        <w:tc>
          <w:tcPr>
            <w:tcW w:w="795" w:type="pct"/>
            <w:tcBorders>
              <w:bottom w:val="single" w:sz="4" w:space="0" w:color="auto"/>
            </w:tcBorders>
            <w:vAlign w:val="center"/>
          </w:tcPr>
          <w:p w14:paraId="3773B0B5"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 xml:space="preserve">OR </w:t>
            </w:r>
          </w:p>
          <w:p w14:paraId="6C4EE193"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(95% CI)</w:t>
            </w:r>
          </w:p>
        </w:tc>
      </w:tr>
      <w:tr w:rsidR="00762040" w:rsidRPr="00F81A33" w14:paraId="619BE5BE" w14:textId="77777777" w:rsidTr="002671F6">
        <w:tc>
          <w:tcPr>
            <w:tcW w:w="5000" w:type="pct"/>
            <w:gridSpan w:val="6"/>
            <w:tcBorders>
              <w:bottom w:val="nil"/>
            </w:tcBorders>
            <w:vAlign w:val="center"/>
          </w:tcPr>
          <w:p w14:paraId="4B38EAFE" w14:textId="77777777" w:rsidR="00762040" w:rsidRPr="00F81A33" w:rsidRDefault="00762040" w:rsidP="005B7AD6">
            <w:pPr>
              <w:keepNext/>
              <w:keepLines/>
              <w:jc w:val="left"/>
              <w:rPr>
                <w:rFonts w:ascii="Arial Narrow" w:hAnsi="Arial Narrow"/>
                <w:bCs/>
                <w:sz w:val="20"/>
                <w:szCs w:val="20"/>
              </w:rPr>
            </w:pPr>
            <w:r w:rsidRPr="00F81A33">
              <w:rPr>
                <w:rFonts w:ascii="Arial Narrow" w:hAnsi="Arial Narrow"/>
                <w:b/>
                <w:sz w:val="20"/>
                <w:szCs w:val="20"/>
              </w:rPr>
              <w:t>OUTCOME: FISTULA RESPONSE</w:t>
            </w:r>
          </w:p>
        </w:tc>
      </w:tr>
      <w:tr w:rsidR="00762040" w:rsidRPr="00F81A33" w14:paraId="1D6FE81B" w14:textId="77777777" w:rsidTr="002671F6">
        <w:tc>
          <w:tcPr>
            <w:tcW w:w="1268" w:type="pct"/>
            <w:tcBorders>
              <w:bottom w:val="nil"/>
            </w:tcBorders>
            <w:vAlign w:val="center"/>
          </w:tcPr>
          <w:p w14:paraId="34C99133" w14:textId="77777777" w:rsidR="00762040" w:rsidRPr="00F81A33" w:rsidRDefault="00762040" w:rsidP="005B7AD6">
            <w:pPr>
              <w:keepNext/>
              <w:keepLines/>
              <w:jc w:val="left"/>
              <w:rPr>
                <w:rFonts w:ascii="Arial Narrow" w:hAnsi="Arial Narrow"/>
                <w:b/>
                <w:sz w:val="20"/>
                <w:szCs w:val="20"/>
              </w:rPr>
            </w:pPr>
            <w:r w:rsidRPr="00F81A33">
              <w:rPr>
                <w:rFonts w:ascii="Arial Narrow" w:hAnsi="Arial Narrow"/>
                <w:b/>
                <w:sz w:val="20"/>
                <w:szCs w:val="20"/>
              </w:rPr>
              <w:t>UST v ADA</w:t>
            </w:r>
          </w:p>
        </w:tc>
        <w:tc>
          <w:tcPr>
            <w:tcW w:w="635" w:type="pct"/>
            <w:tcBorders>
              <w:bottom w:val="nil"/>
            </w:tcBorders>
            <w:vAlign w:val="center"/>
          </w:tcPr>
          <w:p w14:paraId="33D42FF0" w14:textId="77777777" w:rsidR="00762040" w:rsidRPr="00F81A33" w:rsidRDefault="00762040" w:rsidP="005B7AD6">
            <w:pPr>
              <w:keepNext/>
              <w:keepLines/>
              <w:jc w:val="center"/>
              <w:rPr>
                <w:rFonts w:ascii="Arial Narrow" w:hAnsi="Arial Narrow"/>
                <w:bCs/>
                <w:sz w:val="20"/>
                <w:szCs w:val="20"/>
              </w:rPr>
            </w:pPr>
          </w:p>
        </w:tc>
        <w:tc>
          <w:tcPr>
            <w:tcW w:w="635" w:type="pct"/>
            <w:tcBorders>
              <w:bottom w:val="nil"/>
            </w:tcBorders>
            <w:vAlign w:val="center"/>
          </w:tcPr>
          <w:p w14:paraId="6E3FDEEE" w14:textId="77777777" w:rsidR="00762040" w:rsidRPr="00F81A33" w:rsidRDefault="00762040" w:rsidP="005B7AD6">
            <w:pPr>
              <w:keepNext/>
              <w:keepLines/>
              <w:jc w:val="center"/>
              <w:rPr>
                <w:rFonts w:ascii="Arial Narrow" w:hAnsi="Arial Narrow"/>
                <w:bCs/>
                <w:sz w:val="20"/>
                <w:szCs w:val="20"/>
              </w:rPr>
            </w:pPr>
          </w:p>
        </w:tc>
        <w:tc>
          <w:tcPr>
            <w:tcW w:w="874" w:type="pct"/>
            <w:tcBorders>
              <w:bottom w:val="nil"/>
            </w:tcBorders>
            <w:vAlign w:val="center"/>
          </w:tcPr>
          <w:p w14:paraId="23583B03" w14:textId="77777777" w:rsidR="00762040" w:rsidRPr="00F81A33" w:rsidRDefault="00762040" w:rsidP="005B7AD6">
            <w:pPr>
              <w:keepNext/>
              <w:keepLines/>
              <w:jc w:val="center"/>
              <w:rPr>
                <w:rFonts w:ascii="Arial Narrow" w:hAnsi="Arial Narrow"/>
                <w:bCs/>
                <w:sz w:val="20"/>
                <w:szCs w:val="20"/>
                <w:highlight w:val="yellow"/>
              </w:rPr>
            </w:pPr>
          </w:p>
        </w:tc>
        <w:tc>
          <w:tcPr>
            <w:tcW w:w="793" w:type="pct"/>
            <w:tcBorders>
              <w:bottom w:val="nil"/>
            </w:tcBorders>
            <w:vAlign w:val="center"/>
          </w:tcPr>
          <w:p w14:paraId="0ADCA0F5" w14:textId="77777777" w:rsidR="00762040" w:rsidRPr="00F81A33" w:rsidRDefault="00762040" w:rsidP="005B7AD6">
            <w:pPr>
              <w:keepNext/>
              <w:keepLines/>
              <w:jc w:val="center"/>
              <w:rPr>
                <w:rFonts w:ascii="Arial Narrow" w:hAnsi="Arial Narrow"/>
                <w:bCs/>
                <w:sz w:val="20"/>
                <w:szCs w:val="20"/>
                <w:highlight w:val="yellow"/>
              </w:rPr>
            </w:pPr>
          </w:p>
        </w:tc>
        <w:tc>
          <w:tcPr>
            <w:tcW w:w="795" w:type="pct"/>
            <w:tcBorders>
              <w:bottom w:val="nil"/>
            </w:tcBorders>
            <w:vAlign w:val="center"/>
          </w:tcPr>
          <w:p w14:paraId="4D1799B1" w14:textId="77777777" w:rsidR="00762040" w:rsidRPr="00F81A33" w:rsidRDefault="00762040" w:rsidP="005B7AD6">
            <w:pPr>
              <w:keepNext/>
              <w:keepLines/>
              <w:jc w:val="center"/>
              <w:rPr>
                <w:rFonts w:ascii="Arial Narrow" w:hAnsi="Arial Narrow"/>
                <w:bCs/>
                <w:sz w:val="20"/>
                <w:szCs w:val="20"/>
                <w:highlight w:val="yellow"/>
              </w:rPr>
            </w:pPr>
          </w:p>
        </w:tc>
      </w:tr>
      <w:tr w:rsidR="00762040" w:rsidRPr="00F81A33" w14:paraId="221DDCBE" w14:textId="77777777" w:rsidTr="002671F6">
        <w:tc>
          <w:tcPr>
            <w:tcW w:w="1268" w:type="pct"/>
            <w:tcBorders>
              <w:top w:val="nil"/>
              <w:bottom w:val="nil"/>
            </w:tcBorders>
            <w:vAlign w:val="center"/>
          </w:tcPr>
          <w:p w14:paraId="69280E40" w14:textId="77777777" w:rsidR="00762040" w:rsidRPr="00F81A33" w:rsidRDefault="00762040" w:rsidP="005B7AD6">
            <w:pPr>
              <w:keepNext/>
              <w:keepLines/>
              <w:jc w:val="left"/>
              <w:rPr>
                <w:rFonts w:ascii="Arial Narrow" w:hAnsi="Arial Narrow"/>
                <w:bCs/>
                <w:sz w:val="20"/>
                <w:szCs w:val="20"/>
              </w:rPr>
            </w:pPr>
            <w:r w:rsidRPr="00F81A33">
              <w:rPr>
                <w:rFonts w:ascii="Arial Narrow" w:hAnsi="Arial Narrow"/>
                <w:bCs/>
                <w:sz w:val="20"/>
                <w:szCs w:val="20"/>
              </w:rPr>
              <w:t>[1] SEAVUE (Wk8)</w:t>
            </w:r>
          </w:p>
        </w:tc>
        <w:tc>
          <w:tcPr>
            <w:tcW w:w="635" w:type="pct"/>
            <w:tcBorders>
              <w:top w:val="nil"/>
              <w:bottom w:val="nil"/>
            </w:tcBorders>
            <w:vAlign w:val="center"/>
          </w:tcPr>
          <w:p w14:paraId="40B7A12A"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1/13 (7.7)</w:t>
            </w:r>
          </w:p>
        </w:tc>
        <w:tc>
          <w:tcPr>
            <w:tcW w:w="635" w:type="pct"/>
            <w:tcBorders>
              <w:top w:val="nil"/>
              <w:bottom w:val="nil"/>
            </w:tcBorders>
            <w:vAlign w:val="center"/>
          </w:tcPr>
          <w:p w14:paraId="5FAEA205"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3/16 (18.8)</w:t>
            </w:r>
          </w:p>
        </w:tc>
        <w:tc>
          <w:tcPr>
            <w:tcW w:w="874" w:type="pct"/>
            <w:tcBorders>
              <w:top w:val="nil"/>
              <w:bottom w:val="nil"/>
            </w:tcBorders>
            <w:vAlign w:val="center"/>
          </w:tcPr>
          <w:p w14:paraId="498A8AE2"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-0.11 (-0.35,0.13)</w:t>
            </w:r>
          </w:p>
        </w:tc>
        <w:tc>
          <w:tcPr>
            <w:tcW w:w="793" w:type="pct"/>
            <w:tcBorders>
              <w:top w:val="nil"/>
              <w:bottom w:val="nil"/>
            </w:tcBorders>
            <w:vAlign w:val="center"/>
          </w:tcPr>
          <w:p w14:paraId="62FEDD9C"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0.41 (0.05,3.49)</w:t>
            </w:r>
          </w:p>
        </w:tc>
        <w:tc>
          <w:tcPr>
            <w:tcW w:w="795" w:type="pct"/>
            <w:tcBorders>
              <w:top w:val="nil"/>
              <w:bottom w:val="nil"/>
            </w:tcBorders>
            <w:vAlign w:val="center"/>
          </w:tcPr>
          <w:p w14:paraId="66889DE2"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0.36 (0.03,3.96)</w:t>
            </w:r>
          </w:p>
        </w:tc>
      </w:tr>
      <w:tr w:rsidR="00762040" w:rsidRPr="00F81A33" w14:paraId="2E22FAA6" w14:textId="77777777" w:rsidTr="002671F6">
        <w:tc>
          <w:tcPr>
            <w:tcW w:w="1268" w:type="pct"/>
            <w:tcBorders>
              <w:top w:val="nil"/>
              <w:bottom w:val="nil"/>
            </w:tcBorders>
            <w:vAlign w:val="center"/>
          </w:tcPr>
          <w:p w14:paraId="6EAA1F3D" w14:textId="77777777" w:rsidR="00762040" w:rsidRPr="00F81A33" w:rsidRDefault="00762040" w:rsidP="005B7AD6">
            <w:pPr>
              <w:keepNext/>
              <w:keepLines/>
              <w:jc w:val="left"/>
              <w:rPr>
                <w:rFonts w:ascii="Arial Narrow" w:hAnsi="Arial Narrow"/>
                <w:bCs/>
                <w:sz w:val="20"/>
                <w:szCs w:val="20"/>
              </w:rPr>
            </w:pPr>
            <w:r w:rsidRPr="00F81A33">
              <w:rPr>
                <w:rFonts w:ascii="Arial Narrow" w:hAnsi="Arial Narrow"/>
                <w:bCs/>
                <w:sz w:val="20"/>
                <w:szCs w:val="20"/>
              </w:rPr>
              <w:t>[2] SEAVUE (Wk16)</w:t>
            </w:r>
          </w:p>
        </w:tc>
        <w:tc>
          <w:tcPr>
            <w:tcW w:w="635" w:type="pct"/>
            <w:tcBorders>
              <w:top w:val="nil"/>
              <w:bottom w:val="nil"/>
            </w:tcBorders>
            <w:vAlign w:val="center"/>
          </w:tcPr>
          <w:p w14:paraId="0F7D6C89"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2/13 (15.4)</w:t>
            </w:r>
          </w:p>
        </w:tc>
        <w:tc>
          <w:tcPr>
            <w:tcW w:w="635" w:type="pct"/>
            <w:tcBorders>
              <w:top w:val="nil"/>
              <w:bottom w:val="nil"/>
            </w:tcBorders>
            <w:vAlign w:val="center"/>
          </w:tcPr>
          <w:p w14:paraId="59B98388"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9/16 (56.3)</w:t>
            </w:r>
          </w:p>
        </w:tc>
        <w:tc>
          <w:tcPr>
            <w:tcW w:w="874" w:type="pct"/>
            <w:tcBorders>
              <w:top w:val="nil"/>
              <w:bottom w:val="nil"/>
            </w:tcBorders>
            <w:vAlign w:val="center"/>
          </w:tcPr>
          <w:p w14:paraId="3CF7E85A" w14:textId="000E5FAE"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-0.41 (-0.</w:t>
            </w:r>
            <w:r w:rsidR="00240923" w:rsidRPr="00F81A33">
              <w:rPr>
                <w:rFonts w:ascii="Arial Narrow" w:hAnsi="Arial Narrow"/>
                <w:b/>
                <w:sz w:val="20"/>
                <w:szCs w:val="20"/>
              </w:rPr>
              <w:t>72, -</w:t>
            </w:r>
            <w:r w:rsidRPr="00F81A33">
              <w:rPr>
                <w:rFonts w:ascii="Arial Narrow" w:hAnsi="Arial Narrow"/>
                <w:b/>
                <w:sz w:val="20"/>
                <w:szCs w:val="20"/>
              </w:rPr>
              <w:t>0.10)</w:t>
            </w:r>
          </w:p>
        </w:tc>
        <w:tc>
          <w:tcPr>
            <w:tcW w:w="793" w:type="pct"/>
            <w:tcBorders>
              <w:top w:val="nil"/>
              <w:bottom w:val="nil"/>
            </w:tcBorders>
            <w:vAlign w:val="center"/>
          </w:tcPr>
          <w:p w14:paraId="0D998669"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0.27 (0.07,1.05)</w:t>
            </w:r>
          </w:p>
        </w:tc>
        <w:tc>
          <w:tcPr>
            <w:tcW w:w="795" w:type="pct"/>
            <w:tcBorders>
              <w:top w:val="nil"/>
              <w:bottom w:val="nil"/>
            </w:tcBorders>
            <w:vAlign w:val="center"/>
          </w:tcPr>
          <w:p w14:paraId="55C62915"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0.14 (0.02,0.86)</w:t>
            </w:r>
          </w:p>
        </w:tc>
      </w:tr>
      <w:tr w:rsidR="00762040" w:rsidRPr="00F81A33" w14:paraId="256DE47D" w14:textId="77777777" w:rsidTr="002671F6">
        <w:tc>
          <w:tcPr>
            <w:tcW w:w="1268" w:type="pct"/>
            <w:tcBorders>
              <w:top w:val="nil"/>
              <w:bottom w:val="single" w:sz="4" w:space="0" w:color="auto"/>
            </w:tcBorders>
            <w:vAlign w:val="center"/>
          </w:tcPr>
          <w:p w14:paraId="0EF67AFD" w14:textId="77777777" w:rsidR="00762040" w:rsidRPr="00F81A33" w:rsidRDefault="00762040" w:rsidP="005B7AD6">
            <w:pPr>
              <w:keepNext/>
              <w:keepLines/>
              <w:jc w:val="left"/>
              <w:rPr>
                <w:rFonts w:ascii="Arial Narrow" w:hAnsi="Arial Narrow"/>
                <w:bCs/>
                <w:sz w:val="20"/>
                <w:szCs w:val="20"/>
              </w:rPr>
            </w:pPr>
            <w:r w:rsidRPr="00F81A33">
              <w:rPr>
                <w:rFonts w:ascii="Arial Narrow" w:hAnsi="Arial Narrow"/>
                <w:bCs/>
                <w:sz w:val="20"/>
                <w:szCs w:val="20"/>
              </w:rPr>
              <w:t>[3] SEAVUE (Wk24)</w:t>
            </w:r>
          </w:p>
        </w:tc>
        <w:tc>
          <w:tcPr>
            <w:tcW w:w="635" w:type="pct"/>
            <w:tcBorders>
              <w:top w:val="nil"/>
              <w:bottom w:val="single" w:sz="4" w:space="0" w:color="auto"/>
            </w:tcBorders>
            <w:vAlign w:val="center"/>
          </w:tcPr>
          <w:p w14:paraId="20D8F6BB"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5/13 (38.5)</w:t>
            </w:r>
          </w:p>
        </w:tc>
        <w:tc>
          <w:tcPr>
            <w:tcW w:w="635" w:type="pct"/>
            <w:tcBorders>
              <w:top w:val="nil"/>
              <w:bottom w:val="single" w:sz="4" w:space="0" w:color="auto"/>
            </w:tcBorders>
            <w:vAlign w:val="center"/>
          </w:tcPr>
          <w:p w14:paraId="3E7E2DF7"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9/16 (56.3)</w:t>
            </w:r>
          </w:p>
        </w:tc>
        <w:tc>
          <w:tcPr>
            <w:tcW w:w="874" w:type="pct"/>
            <w:tcBorders>
              <w:top w:val="nil"/>
              <w:bottom w:val="single" w:sz="4" w:space="0" w:color="auto"/>
            </w:tcBorders>
            <w:vAlign w:val="center"/>
          </w:tcPr>
          <w:p w14:paraId="09B621E5"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Cs/>
                <w:sz w:val="20"/>
                <w:szCs w:val="20"/>
              </w:rPr>
              <w:t>-0.18 (-0.54, 0.18</w:t>
            </w:r>
            <w:r w:rsidRPr="00F81A33">
              <w:rPr>
                <w:rFonts w:ascii="Arial Narrow" w:hAnsi="Arial Narrow"/>
                <w:b/>
                <w:sz w:val="20"/>
                <w:szCs w:val="20"/>
              </w:rPr>
              <w:t>)</w:t>
            </w:r>
          </w:p>
        </w:tc>
        <w:tc>
          <w:tcPr>
            <w:tcW w:w="793" w:type="pct"/>
            <w:tcBorders>
              <w:top w:val="nil"/>
              <w:bottom w:val="single" w:sz="4" w:space="0" w:color="auto"/>
            </w:tcBorders>
            <w:vAlign w:val="center"/>
          </w:tcPr>
          <w:p w14:paraId="2B3EF468"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0.68 (0.30, 1.54)</w:t>
            </w:r>
          </w:p>
        </w:tc>
        <w:tc>
          <w:tcPr>
            <w:tcW w:w="795" w:type="pct"/>
            <w:tcBorders>
              <w:top w:val="nil"/>
              <w:bottom w:val="single" w:sz="4" w:space="0" w:color="auto"/>
            </w:tcBorders>
            <w:vAlign w:val="center"/>
          </w:tcPr>
          <w:p w14:paraId="293305AF"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0.49 (0.11, 2.16)</w:t>
            </w:r>
          </w:p>
        </w:tc>
      </w:tr>
      <w:tr w:rsidR="00762040" w:rsidRPr="00F81A33" w14:paraId="4F804D06" w14:textId="77777777" w:rsidTr="002671F6">
        <w:tc>
          <w:tcPr>
            <w:tcW w:w="1268" w:type="pct"/>
            <w:tcBorders>
              <w:top w:val="single" w:sz="4" w:space="0" w:color="auto"/>
              <w:bottom w:val="nil"/>
            </w:tcBorders>
            <w:shd w:val="clear" w:color="auto" w:fill="auto"/>
            <w:vAlign w:val="center"/>
          </w:tcPr>
          <w:p w14:paraId="03E3680E" w14:textId="77777777" w:rsidR="00762040" w:rsidRPr="00F81A33" w:rsidRDefault="00762040" w:rsidP="005B7AD6">
            <w:pPr>
              <w:keepNext/>
              <w:keepLines/>
              <w:jc w:val="left"/>
              <w:rPr>
                <w:rFonts w:ascii="Arial Narrow" w:hAnsi="Arial Narrow"/>
                <w:b/>
                <w:sz w:val="20"/>
                <w:szCs w:val="20"/>
              </w:rPr>
            </w:pPr>
            <w:r w:rsidRPr="00F81A33">
              <w:rPr>
                <w:rFonts w:ascii="Arial Narrow" w:hAnsi="Arial Narrow"/>
                <w:b/>
                <w:sz w:val="20"/>
                <w:szCs w:val="20"/>
              </w:rPr>
              <w:t>UST v PBO</w:t>
            </w:r>
          </w:p>
        </w:tc>
        <w:tc>
          <w:tcPr>
            <w:tcW w:w="635" w:type="pct"/>
            <w:tcBorders>
              <w:top w:val="single" w:sz="4" w:space="0" w:color="auto"/>
              <w:bottom w:val="nil"/>
            </w:tcBorders>
            <w:shd w:val="clear" w:color="auto" w:fill="auto"/>
            <w:vAlign w:val="center"/>
          </w:tcPr>
          <w:p w14:paraId="461B8FFE" w14:textId="77777777" w:rsidR="00762040" w:rsidRPr="00F81A33" w:rsidRDefault="00762040" w:rsidP="005B7AD6">
            <w:pPr>
              <w:keepNext/>
              <w:keepLines/>
              <w:jc w:val="center"/>
              <w:rPr>
                <w:rFonts w:ascii="Arial Narrow" w:hAnsi="Arial Narrow"/>
                <w:bCs/>
                <w:sz w:val="20"/>
                <w:szCs w:val="20"/>
              </w:rPr>
            </w:pPr>
          </w:p>
        </w:tc>
        <w:tc>
          <w:tcPr>
            <w:tcW w:w="635" w:type="pct"/>
            <w:tcBorders>
              <w:top w:val="single" w:sz="4" w:space="0" w:color="auto"/>
              <w:bottom w:val="nil"/>
            </w:tcBorders>
            <w:shd w:val="clear" w:color="auto" w:fill="auto"/>
            <w:vAlign w:val="center"/>
          </w:tcPr>
          <w:p w14:paraId="2A6FD1E0" w14:textId="77777777" w:rsidR="00762040" w:rsidRPr="00F81A33" w:rsidRDefault="00762040" w:rsidP="005B7AD6">
            <w:pPr>
              <w:keepNext/>
              <w:keepLines/>
              <w:jc w:val="center"/>
              <w:rPr>
                <w:rFonts w:ascii="Arial Narrow" w:hAnsi="Arial Narrow"/>
                <w:bCs/>
                <w:sz w:val="20"/>
                <w:szCs w:val="20"/>
              </w:rPr>
            </w:pPr>
          </w:p>
        </w:tc>
        <w:tc>
          <w:tcPr>
            <w:tcW w:w="874" w:type="pct"/>
            <w:tcBorders>
              <w:top w:val="single" w:sz="4" w:space="0" w:color="auto"/>
              <w:bottom w:val="nil"/>
            </w:tcBorders>
            <w:shd w:val="clear" w:color="auto" w:fill="auto"/>
            <w:vAlign w:val="center"/>
          </w:tcPr>
          <w:p w14:paraId="1ED3469C" w14:textId="77777777" w:rsidR="00762040" w:rsidRPr="00F81A33" w:rsidRDefault="00762040" w:rsidP="005B7AD6">
            <w:pPr>
              <w:keepNext/>
              <w:keepLines/>
              <w:jc w:val="center"/>
              <w:rPr>
                <w:rFonts w:ascii="Arial Narrow" w:hAnsi="Arial Narrow"/>
                <w:bCs/>
                <w:sz w:val="20"/>
                <w:szCs w:val="20"/>
              </w:rPr>
            </w:pPr>
          </w:p>
        </w:tc>
        <w:tc>
          <w:tcPr>
            <w:tcW w:w="793" w:type="pct"/>
            <w:tcBorders>
              <w:top w:val="single" w:sz="4" w:space="0" w:color="auto"/>
              <w:bottom w:val="nil"/>
            </w:tcBorders>
            <w:shd w:val="clear" w:color="auto" w:fill="auto"/>
            <w:vAlign w:val="center"/>
          </w:tcPr>
          <w:p w14:paraId="2A48860C" w14:textId="77777777" w:rsidR="00762040" w:rsidRPr="00F81A33" w:rsidRDefault="00762040" w:rsidP="005B7AD6">
            <w:pPr>
              <w:keepNext/>
              <w:keepLines/>
              <w:jc w:val="center"/>
              <w:rPr>
                <w:rFonts w:ascii="Arial Narrow" w:hAnsi="Arial Narrow"/>
                <w:bCs/>
                <w:sz w:val="20"/>
                <w:szCs w:val="20"/>
              </w:rPr>
            </w:pPr>
          </w:p>
        </w:tc>
        <w:tc>
          <w:tcPr>
            <w:tcW w:w="795" w:type="pct"/>
            <w:tcBorders>
              <w:top w:val="single" w:sz="4" w:space="0" w:color="auto"/>
              <w:bottom w:val="nil"/>
            </w:tcBorders>
            <w:shd w:val="clear" w:color="auto" w:fill="auto"/>
            <w:vAlign w:val="center"/>
          </w:tcPr>
          <w:p w14:paraId="3B4B36C1" w14:textId="77777777" w:rsidR="00762040" w:rsidRPr="00F81A33" w:rsidRDefault="00762040" w:rsidP="005B7AD6">
            <w:pPr>
              <w:keepNext/>
              <w:keepLines/>
              <w:jc w:val="center"/>
              <w:rPr>
                <w:rFonts w:ascii="Arial Narrow" w:hAnsi="Arial Narrow"/>
                <w:bCs/>
                <w:sz w:val="20"/>
                <w:szCs w:val="20"/>
              </w:rPr>
            </w:pPr>
          </w:p>
        </w:tc>
      </w:tr>
      <w:tr w:rsidR="00762040" w:rsidRPr="00F81A33" w14:paraId="5393F9F3" w14:textId="77777777" w:rsidTr="002671F6">
        <w:tc>
          <w:tcPr>
            <w:tcW w:w="1268" w:type="pct"/>
            <w:tcBorders>
              <w:top w:val="nil"/>
              <w:bottom w:val="nil"/>
            </w:tcBorders>
            <w:shd w:val="clear" w:color="auto" w:fill="DBE5F1" w:themeFill="accent1" w:themeFillTint="33"/>
            <w:vAlign w:val="center"/>
          </w:tcPr>
          <w:p w14:paraId="0817C0E4" w14:textId="77777777" w:rsidR="00762040" w:rsidRPr="00F81A33" w:rsidRDefault="00762040" w:rsidP="005B7AD6">
            <w:pPr>
              <w:keepNext/>
              <w:keepLines/>
              <w:jc w:val="left"/>
              <w:rPr>
                <w:rFonts w:ascii="Arial Narrow" w:hAnsi="Arial Narrow"/>
                <w:sz w:val="20"/>
                <w:szCs w:val="20"/>
                <w:vertAlign w:val="subscript"/>
              </w:rPr>
            </w:pPr>
            <w:r w:rsidRPr="00F81A33">
              <w:rPr>
                <w:rFonts w:ascii="Arial Narrow" w:hAnsi="Arial Narrow"/>
                <w:sz w:val="20"/>
                <w:szCs w:val="20"/>
              </w:rPr>
              <w:t>[4] UNITI-1 (Wk8)</w:t>
            </w:r>
          </w:p>
        </w:tc>
        <w:tc>
          <w:tcPr>
            <w:tcW w:w="635" w:type="pct"/>
            <w:tcBorders>
              <w:top w:val="nil"/>
              <w:bottom w:val="nil"/>
            </w:tcBorders>
            <w:shd w:val="clear" w:color="auto" w:fill="DBE5F1" w:themeFill="accent1" w:themeFillTint="33"/>
            <w:vAlign w:val="center"/>
          </w:tcPr>
          <w:p w14:paraId="124F98EA"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4/29 (13.8)</w:t>
            </w:r>
          </w:p>
        </w:tc>
        <w:tc>
          <w:tcPr>
            <w:tcW w:w="635" w:type="pct"/>
            <w:tcBorders>
              <w:top w:val="nil"/>
              <w:bottom w:val="nil"/>
            </w:tcBorders>
            <w:shd w:val="clear" w:color="auto" w:fill="DBE5F1" w:themeFill="accent1" w:themeFillTint="33"/>
            <w:vAlign w:val="center"/>
          </w:tcPr>
          <w:p w14:paraId="12A9F153"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4/34 (11.8)</w:t>
            </w:r>
          </w:p>
        </w:tc>
        <w:tc>
          <w:tcPr>
            <w:tcW w:w="874" w:type="pct"/>
            <w:tcBorders>
              <w:top w:val="nil"/>
              <w:bottom w:val="nil"/>
            </w:tcBorders>
            <w:shd w:val="clear" w:color="auto" w:fill="DBE5F1" w:themeFill="accent1" w:themeFillTint="33"/>
            <w:vAlign w:val="center"/>
          </w:tcPr>
          <w:p w14:paraId="1C9BA5FE"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0.02 (-0.15,0.19)</w:t>
            </w:r>
          </w:p>
        </w:tc>
        <w:tc>
          <w:tcPr>
            <w:tcW w:w="793" w:type="pct"/>
            <w:tcBorders>
              <w:top w:val="nil"/>
              <w:bottom w:val="nil"/>
            </w:tcBorders>
            <w:shd w:val="clear" w:color="auto" w:fill="DBE5F1" w:themeFill="accent1" w:themeFillTint="33"/>
            <w:vAlign w:val="center"/>
          </w:tcPr>
          <w:p w14:paraId="1A3BB487"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1.17 (0.32,4.28)</w:t>
            </w:r>
          </w:p>
        </w:tc>
        <w:tc>
          <w:tcPr>
            <w:tcW w:w="795" w:type="pct"/>
            <w:tcBorders>
              <w:top w:val="nil"/>
              <w:bottom w:val="nil"/>
            </w:tcBorders>
            <w:shd w:val="clear" w:color="auto" w:fill="DBE5F1" w:themeFill="accent1" w:themeFillTint="33"/>
          </w:tcPr>
          <w:p w14:paraId="7F895BCE"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1.20 (0.27,5.29)</w:t>
            </w:r>
          </w:p>
        </w:tc>
      </w:tr>
      <w:tr w:rsidR="00762040" w:rsidRPr="00F81A33" w14:paraId="1FFBB040" w14:textId="77777777" w:rsidTr="002671F6">
        <w:trPr>
          <w:trHeight w:val="72"/>
        </w:trPr>
        <w:tc>
          <w:tcPr>
            <w:tcW w:w="1268" w:type="pct"/>
            <w:tcBorders>
              <w:top w:val="nil"/>
              <w:bottom w:val="nil"/>
            </w:tcBorders>
            <w:shd w:val="clear" w:color="auto" w:fill="DBE5F1" w:themeFill="accent1" w:themeFillTint="33"/>
            <w:vAlign w:val="center"/>
          </w:tcPr>
          <w:p w14:paraId="6EE8D2E4" w14:textId="77777777" w:rsidR="00762040" w:rsidRPr="00F81A33" w:rsidRDefault="00762040" w:rsidP="005B7AD6">
            <w:pPr>
              <w:keepNext/>
              <w:keepLines/>
              <w:jc w:val="left"/>
              <w:rPr>
                <w:rFonts w:ascii="Arial Narrow" w:hAnsi="Arial Narrow"/>
                <w:sz w:val="20"/>
                <w:szCs w:val="20"/>
              </w:rPr>
            </w:pPr>
            <w:r w:rsidRPr="00F81A33">
              <w:rPr>
                <w:rFonts w:ascii="Arial Narrow" w:hAnsi="Arial Narrow"/>
                <w:sz w:val="20"/>
                <w:szCs w:val="20"/>
              </w:rPr>
              <w:t>[5] UNITI-2 (Wk8)</w:t>
            </w:r>
          </w:p>
        </w:tc>
        <w:tc>
          <w:tcPr>
            <w:tcW w:w="635" w:type="pct"/>
            <w:tcBorders>
              <w:top w:val="nil"/>
              <w:bottom w:val="nil"/>
            </w:tcBorders>
            <w:shd w:val="clear" w:color="auto" w:fill="DBE5F1" w:themeFill="accent1" w:themeFillTint="33"/>
            <w:vAlign w:val="center"/>
          </w:tcPr>
          <w:p w14:paraId="74EF5914"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6/19 (31.6)</w:t>
            </w:r>
          </w:p>
        </w:tc>
        <w:tc>
          <w:tcPr>
            <w:tcW w:w="635" w:type="pct"/>
            <w:tcBorders>
              <w:top w:val="nil"/>
              <w:bottom w:val="nil"/>
            </w:tcBorders>
            <w:shd w:val="clear" w:color="auto" w:fill="DBE5F1" w:themeFill="accent1" w:themeFillTint="33"/>
            <w:vAlign w:val="center"/>
          </w:tcPr>
          <w:p w14:paraId="1D3955F8"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4/23 (17.4)</w:t>
            </w:r>
          </w:p>
        </w:tc>
        <w:tc>
          <w:tcPr>
            <w:tcW w:w="874" w:type="pct"/>
            <w:tcBorders>
              <w:top w:val="nil"/>
              <w:bottom w:val="nil"/>
            </w:tcBorders>
            <w:shd w:val="clear" w:color="auto" w:fill="DBE5F1" w:themeFill="accent1" w:themeFillTint="33"/>
            <w:vAlign w:val="center"/>
          </w:tcPr>
          <w:p w14:paraId="3BA3CEC1"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0.14 (-0.12,0.40)</w:t>
            </w:r>
          </w:p>
        </w:tc>
        <w:tc>
          <w:tcPr>
            <w:tcW w:w="793" w:type="pct"/>
            <w:tcBorders>
              <w:top w:val="nil"/>
              <w:bottom w:val="nil"/>
            </w:tcBorders>
            <w:shd w:val="clear" w:color="auto" w:fill="DBE5F1" w:themeFill="accent1" w:themeFillTint="33"/>
            <w:vAlign w:val="center"/>
          </w:tcPr>
          <w:p w14:paraId="163F9CC8"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1.82 (0.60,5.51)</w:t>
            </w:r>
          </w:p>
        </w:tc>
        <w:tc>
          <w:tcPr>
            <w:tcW w:w="795" w:type="pct"/>
            <w:tcBorders>
              <w:top w:val="nil"/>
              <w:bottom w:val="nil"/>
            </w:tcBorders>
            <w:shd w:val="clear" w:color="auto" w:fill="DBE5F1" w:themeFill="accent1" w:themeFillTint="33"/>
          </w:tcPr>
          <w:p w14:paraId="216E4FE4"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2.19 (0.51,9.33)</w:t>
            </w:r>
          </w:p>
        </w:tc>
      </w:tr>
      <w:tr w:rsidR="00762040" w:rsidRPr="00F81A33" w14:paraId="58B4240B" w14:textId="77777777" w:rsidTr="002671F6">
        <w:tc>
          <w:tcPr>
            <w:tcW w:w="1268" w:type="pct"/>
            <w:tcBorders>
              <w:top w:val="nil"/>
              <w:bottom w:val="single" w:sz="4" w:space="0" w:color="auto"/>
            </w:tcBorders>
            <w:shd w:val="clear" w:color="auto" w:fill="auto"/>
            <w:vAlign w:val="center"/>
          </w:tcPr>
          <w:p w14:paraId="15A55999" w14:textId="77777777" w:rsidR="00762040" w:rsidRPr="00F81A33" w:rsidRDefault="00762040" w:rsidP="005B7AD6">
            <w:pPr>
              <w:keepNext/>
              <w:keepLines/>
              <w:ind w:right="90"/>
              <w:jc w:val="left"/>
              <w:rPr>
                <w:rFonts w:ascii="Arial Narrow" w:hAnsi="Arial Narrow"/>
                <w:sz w:val="20"/>
                <w:szCs w:val="20"/>
              </w:rPr>
            </w:pPr>
            <w:r w:rsidRPr="00F81A33">
              <w:rPr>
                <w:rFonts w:ascii="Arial Narrow" w:hAnsi="Arial Narrow"/>
                <w:sz w:val="20"/>
                <w:szCs w:val="20"/>
              </w:rPr>
              <w:t>[6] Meta-analysis</w:t>
            </w:r>
          </w:p>
        </w:tc>
        <w:tc>
          <w:tcPr>
            <w:tcW w:w="635" w:type="pct"/>
            <w:tcBorders>
              <w:top w:val="nil"/>
              <w:bottom w:val="single" w:sz="4" w:space="0" w:color="auto"/>
            </w:tcBorders>
            <w:shd w:val="clear" w:color="auto" w:fill="auto"/>
            <w:vAlign w:val="center"/>
          </w:tcPr>
          <w:p w14:paraId="036B0DF7"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10/48 (20.8)</w:t>
            </w:r>
          </w:p>
        </w:tc>
        <w:tc>
          <w:tcPr>
            <w:tcW w:w="635" w:type="pct"/>
            <w:tcBorders>
              <w:top w:val="nil"/>
              <w:bottom w:val="single" w:sz="4" w:space="0" w:color="auto"/>
            </w:tcBorders>
            <w:shd w:val="clear" w:color="auto" w:fill="auto"/>
            <w:vAlign w:val="center"/>
          </w:tcPr>
          <w:p w14:paraId="3D0365DE"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8/57 (14.0)</w:t>
            </w:r>
          </w:p>
        </w:tc>
        <w:tc>
          <w:tcPr>
            <w:tcW w:w="874" w:type="pct"/>
            <w:tcBorders>
              <w:top w:val="nil"/>
              <w:bottom w:val="single" w:sz="4" w:space="0" w:color="auto"/>
            </w:tcBorders>
            <w:shd w:val="clear" w:color="auto" w:fill="auto"/>
            <w:vAlign w:val="center"/>
          </w:tcPr>
          <w:p w14:paraId="4667C4C6"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0.06 (-0.08,0.20)</w:t>
            </w:r>
          </w:p>
        </w:tc>
        <w:tc>
          <w:tcPr>
            <w:tcW w:w="793" w:type="pct"/>
            <w:tcBorders>
              <w:top w:val="nil"/>
              <w:bottom w:val="single" w:sz="4" w:space="0" w:color="auto"/>
            </w:tcBorders>
            <w:shd w:val="clear" w:color="auto" w:fill="auto"/>
            <w:vAlign w:val="center"/>
          </w:tcPr>
          <w:p w14:paraId="15F4B294"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1.51 (0.65,3.50)</w:t>
            </w:r>
          </w:p>
        </w:tc>
        <w:tc>
          <w:tcPr>
            <w:tcW w:w="795" w:type="pct"/>
            <w:tcBorders>
              <w:top w:val="nil"/>
              <w:bottom w:val="single" w:sz="4" w:space="0" w:color="auto"/>
            </w:tcBorders>
            <w:shd w:val="clear" w:color="auto" w:fill="auto"/>
          </w:tcPr>
          <w:p w14:paraId="677398A7"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1.63 (0.58,4.61)</w:t>
            </w:r>
          </w:p>
        </w:tc>
      </w:tr>
      <w:tr w:rsidR="00762040" w:rsidRPr="00F81A33" w14:paraId="6EB4544D" w14:textId="77777777" w:rsidTr="002671F6">
        <w:tc>
          <w:tcPr>
            <w:tcW w:w="1268" w:type="pct"/>
            <w:tcBorders>
              <w:bottom w:val="nil"/>
            </w:tcBorders>
            <w:shd w:val="clear" w:color="auto" w:fill="auto"/>
            <w:vAlign w:val="center"/>
          </w:tcPr>
          <w:p w14:paraId="11D7B0FC"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b/>
                <w:sz w:val="20"/>
                <w:szCs w:val="20"/>
              </w:rPr>
              <w:t>ADA v PBO</w:t>
            </w:r>
          </w:p>
        </w:tc>
        <w:tc>
          <w:tcPr>
            <w:tcW w:w="635" w:type="pct"/>
            <w:tcBorders>
              <w:bottom w:val="nil"/>
            </w:tcBorders>
            <w:shd w:val="clear" w:color="auto" w:fill="auto"/>
            <w:vAlign w:val="center"/>
          </w:tcPr>
          <w:p w14:paraId="1AAD781C" w14:textId="77777777" w:rsidR="00762040" w:rsidRPr="00F81A33" w:rsidRDefault="00762040" w:rsidP="005B7AD6">
            <w:pPr>
              <w:keepNext/>
              <w:keepLines/>
              <w:jc w:val="center"/>
              <w:rPr>
                <w:rFonts w:ascii="Arial Narrow" w:hAnsi="Arial Narrow"/>
                <w:sz w:val="20"/>
                <w:szCs w:val="20"/>
              </w:rPr>
            </w:pPr>
          </w:p>
        </w:tc>
        <w:tc>
          <w:tcPr>
            <w:tcW w:w="635" w:type="pct"/>
            <w:tcBorders>
              <w:bottom w:val="nil"/>
            </w:tcBorders>
            <w:shd w:val="clear" w:color="auto" w:fill="auto"/>
            <w:vAlign w:val="center"/>
          </w:tcPr>
          <w:p w14:paraId="0BE5855E" w14:textId="77777777" w:rsidR="00762040" w:rsidRPr="00F81A33" w:rsidRDefault="00762040" w:rsidP="005B7AD6">
            <w:pPr>
              <w:keepNext/>
              <w:keepLines/>
              <w:jc w:val="center"/>
              <w:rPr>
                <w:rFonts w:ascii="Arial Narrow" w:hAnsi="Arial Narrow"/>
                <w:sz w:val="20"/>
                <w:szCs w:val="20"/>
              </w:rPr>
            </w:pPr>
          </w:p>
        </w:tc>
        <w:tc>
          <w:tcPr>
            <w:tcW w:w="874" w:type="pct"/>
            <w:tcBorders>
              <w:bottom w:val="nil"/>
            </w:tcBorders>
            <w:shd w:val="clear" w:color="auto" w:fill="auto"/>
            <w:vAlign w:val="center"/>
          </w:tcPr>
          <w:p w14:paraId="7F3A2DA7" w14:textId="77777777" w:rsidR="00762040" w:rsidRPr="00F81A33" w:rsidRDefault="00762040" w:rsidP="005B7AD6">
            <w:pPr>
              <w:keepNext/>
              <w:keepLines/>
              <w:jc w:val="center"/>
              <w:rPr>
                <w:rFonts w:ascii="Arial Narrow" w:hAnsi="Arial Narrow"/>
                <w:sz w:val="20"/>
                <w:szCs w:val="20"/>
              </w:rPr>
            </w:pPr>
          </w:p>
        </w:tc>
        <w:tc>
          <w:tcPr>
            <w:tcW w:w="793" w:type="pct"/>
            <w:tcBorders>
              <w:bottom w:val="nil"/>
            </w:tcBorders>
            <w:shd w:val="clear" w:color="auto" w:fill="auto"/>
            <w:vAlign w:val="center"/>
          </w:tcPr>
          <w:p w14:paraId="75F65CF2" w14:textId="77777777" w:rsidR="00762040" w:rsidRPr="00F81A33" w:rsidRDefault="00762040" w:rsidP="005B7AD6">
            <w:pPr>
              <w:keepNext/>
              <w:keepLines/>
              <w:jc w:val="center"/>
              <w:rPr>
                <w:rFonts w:ascii="Arial Narrow" w:hAnsi="Arial Narrow"/>
                <w:sz w:val="20"/>
                <w:szCs w:val="20"/>
              </w:rPr>
            </w:pPr>
          </w:p>
        </w:tc>
        <w:tc>
          <w:tcPr>
            <w:tcW w:w="795" w:type="pct"/>
            <w:tcBorders>
              <w:bottom w:val="nil"/>
            </w:tcBorders>
            <w:shd w:val="clear" w:color="auto" w:fill="auto"/>
            <w:vAlign w:val="center"/>
          </w:tcPr>
          <w:p w14:paraId="0758A4BB" w14:textId="77777777" w:rsidR="00762040" w:rsidRPr="00F81A33" w:rsidRDefault="00762040" w:rsidP="005B7AD6">
            <w:pPr>
              <w:keepNext/>
              <w:keepLines/>
              <w:jc w:val="center"/>
              <w:rPr>
                <w:rFonts w:ascii="Arial Narrow" w:hAnsi="Arial Narrow"/>
                <w:sz w:val="20"/>
                <w:szCs w:val="20"/>
              </w:rPr>
            </w:pPr>
          </w:p>
        </w:tc>
      </w:tr>
      <w:tr w:rsidR="00762040" w:rsidRPr="00F81A33" w14:paraId="228C98C2" w14:textId="77777777" w:rsidTr="002671F6">
        <w:tc>
          <w:tcPr>
            <w:tcW w:w="1268" w:type="pct"/>
            <w:tcBorders>
              <w:top w:val="nil"/>
              <w:bottom w:val="nil"/>
            </w:tcBorders>
            <w:shd w:val="clear" w:color="auto" w:fill="DBE5F1" w:themeFill="accent1" w:themeFillTint="33"/>
            <w:vAlign w:val="center"/>
          </w:tcPr>
          <w:p w14:paraId="1712FAEC" w14:textId="77777777" w:rsidR="00762040" w:rsidRPr="00F81A33" w:rsidRDefault="00762040" w:rsidP="005B7AD6">
            <w:pPr>
              <w:keepNext/>
              <w:keepLines/>
              <w:jc w:val="left"/>
              <w:rPr>
                <w:rFonts w:ascii="Arial Narrow" w:hAnsi="Arial Narrow"/>
                <w:sz w:val="20"/>
                <w:szCs w:val="20"/>
              </w:rPr>
            </w:pPr>
            <w:r w:rsidRPr="00F81A33">
              <w:rPr>
                <w:rFonts w:ascii="Arial Narrow" w:hAnsi="Arial Narrow"/>
                <w:sz w:val="20"/>
                <w:szCs w:val="20"/>
              </w:rPr>
              <w:t>[7] CLASSIC I (Wk4)</w:t>
            </w:r>
          </w:p>
        </w:tc>
        <w:tc>
          <w:tcPr>
            <w:tcW w:w="635" w:type="pct"/>
            <w:tcBorders>
              <w:top w:val="nil"/>
              <w:bottom w:val="nil"/>
            </w:tcBorders>
            <w:shd w:val="clear" w:color="auto" w:fill="DBE5F1" w:themeFill="accent1" w:themeFillTint="33"/>
            <w:vAlign w:val="center"/>
          </w:tcPr>
          <w:p w14:paraId="4E30E768"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1/12 (8)</w:t>
            </w:r>
          </w:p>
        </w:tc>
        <w:tc>
          <w:tcPr>
            <w:tcW w:w="635" w:type="pct"/>
            <w:tcBorders>
              <w:top w:val="nil"/>
              <w:bottom w:val="nil"/>
            </w:tcBorders>
            <w:shd w:val="clear" w:color="auto" w:fill="DBE5F1" w:themeFill="accent1" w:themeFillTint="33"/>
            <w:vAlign w:val="center"/>
          </w:tcPr>
          <w:p w14:paraId="452A590C"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2/6 (33)</w:t>
            </w:r>
          </w:p>
        </w:tc>
        <w:tc>
          <w:tcPr>
            <w:tcW w:w="874" w:type="pct"/>
            <w:tcBorders>
              <w:top w:val="nil"/>
              <w:bottom w:val="nil"/>
            </w:tcBorders>
            <w:shd w:val="clear" w:color="auto" w:fill="DBE5F1" w:themeFill="accent1" w:themeFillTint="33"/>
            <w:vAlign w:val="center"/>
          </w:tcPr>
          <w:p w14:paraId="04A6FA27"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-0.25 (-0.66,0.16)</w:t>
            </w:r>
          </w:p>
        </w:tc>
        <w:tc>
          <w:tcPr>
            <w:tcW w:w="793" w:type="pct"/>
            <w:tcBorders>
              <w:top w:val="nil"/>
              <w:bottom w:val="nil"/>
            </w:tcBorders>
            <w:shd w:val="clear" w:color="auto" w:fill="DBE5F1" w:themeFill="accent1" w:themeFillTint="33"/>
            <w:vAlign w:val="center"/>
          </w:tcPr>
          <w:p w14:paraId="14D76703"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0.25 (0.03,2.24)</w:t>
            </w:r>
          </w:p>
        </w:tc>
        <w:tc>
          <w:tcPr>
            <w:tcW w:w="795" w:type="pct"/>
            <w:tcBorders>
              <w:top w:val="nil"/>
              <w:bottom w:val="nil"/>
            </w:tcBorders>
            <w:shd w:val="clear" w:color="auto" w:fill="DBE5F1" w:themeFill="accent1" w:themeFillTint="33"/>
          </w:tcPr>
          <w:p w14:paraId="2697A473"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0.18 (0.01,2.60)</w:t>
            </w:r>
          </w:p>
        </w:tc>
      </w:tr>
      <w:tr w:rsidR="00762040" w:rsidRPr="00F81A33" w14:paraId="3C0DBD9D" w14:textId="77777777" w:rsidTr="002671F6">
        <w:tc>
          <w:tcPr>
            <w:tcW w:w="1268" w:type="pct"/>
            <w:tcBorders>
              <w:top w:val="nil"/>
              <w:bottom w:val="nil"/>
            </w:tcBorders>
            <w:shd w:val="clear" w:color="auto" w:fill="DBE5F1" w:themeFill="accent1" w:themeFillTint="33"/>
            <w:vAlign w:val="center"/>
          </w:tcPr>
          <w:p w14:paraId="06CD212C" w14:textId="77777777" w:rsidR="00762040" w:rsidRPr="00F81A33" w:rsidRDefault="00762040" w:rsidP="005B7AD6">
            <w:pPr>
              <w:keepNext/>
              <w:keepLines/>
              <w:jc w:val="left"/>
              <w:rPr>
                <w:rFonts w:ascii="Arial Narrow" w:hAnsi="Arial Narrow"/>
                <w:sz w:val="20"/>
                <w:szCs w:val="20"/>
              </w:rPr>
            </w:pPr>
            <w:r w:rsidRPr="00F81A33">
              <w:rPr>
                <w:rFonts w:ascii="Arial Narrow" w:hAnsi="Arial Narrow"/>
                <w:sz w:val="20"/>
                <w:szCs w:val="20"/>
                <w:lang w:val="fr-FR"/>
              </w:rPr>
              <w:t>[8] GAIN (Wk4)</w:t>
            </w:r>
          </w:p>
        </w:tc>
        <w:tc>
          <w:tcPr>
            <w:tcW w:w="635" w:type="pct"/>
            <w:tcBorders>
              <w:top w:val="nil"/>
              <w:bottom w:val="nil"/>
            </w:tcBorders>
            <w:shd w:val="clear" w:color="auto" w:fill="DBE5F1" w:themeFill="accent1" w:themeFillTint="33"/>
            <w:vAlign w:val="center"/>
          </w:tcPr>
          <w:p w14:paraId="067E4E88"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lang w:val="fr-FR"/>
              </w:rPr>
              <w:t>3/20 (15)</w:t>
            </w:r>
          </w:p>
        </w:tc>
        <w:tc>
          <w:tcPr>
            <w:tcW w:w="635" w:type="pct"/>
            <w:tcBorders>
              <w:top w:val="nil"/>
              <w:bottom w:val="nil"/>
            </w:tcBorders>
            <w:shd w:val="clear" w:color="auto" w:fill="DBE5F1" w:themeFill="accent1" w:themeFillTint="33"/>
            <w:vAlign w:val="center"/>
          </w:tcPr>
          <w:p w14:paraId="36977E11"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lang w:val="fr-FR"/>
              </w:rPr>
              <w:t>5/25 (20)</w:t>
            </w:r>
          </w:p>
        </w:tc>
        <w:tc>
          <w:tcPr>
            <w:tcW w:w="874" w:type="pct"/>
            <w:tcBorders>
              <w:top w:val="nil"/>
              <w:bottom w:val="nil"/>
            </w:tcBorders>
            <w:shd w:val="clear" w:color="auto" w:fill="DBE5F1" w:themeFill="accent1" w:themeFillTint="33"/>
            <w:vAlign w:val="center"/>
          </w:tcPr>
          <w:p w14:paraId="6CCC10AA"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-0.05 (-0.27,0.17)</w:t>
            </w:r>
          </w:p>
        </w:tc>
        <w:tc>
          <w:tcPr>
            <w:tcW w:w="793" w:type="pct"/>
            <w:tcBorders>
              <w:top w:val="nil"/>
              <w:bottom w:val="nil"/>
            </w:tcBorders>
            <w:shd w:val="clear" w:color="auto" w:fill="DBE5F1" w:themeFill="accent1" w:themeFillTint="33"/>
            <w:vAlign w:val="center"/>
          </w:tcPr>
          <w:p w14:paraId="6BA83654"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0.75 (0.20,2.77)</w:t>
            </w:r>
          </w:p>
        </w:tc>
        <w:tc>
          <w:tcPr>
            <w:tcW w:w="795" w:type="pct"/>
            <w:tcBorders>
              <w:top w:val="nil"/>
              <w:bottom w:val="nil"/>
            </w:tcBorders>
            <w:shd w:val="clear" w:color="auto" w:fill="DBE5F1" w:themeFill="accent1" w:themeFillTint="33"/>
          </w:tcPr>
          <w:p w14:paraId="2F391600"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0.71 (0.15,3.40)</w:t>
            </w:r>
          </w:p>
        </w:tc>
      </w:tr>
      <w:tr w:rsidR="00762040" w:rsidRPr="00F81A33" w14:paraId="4E60A753" w14:textId="77777777" w:rsidTr="002671F6">
        <w:tc>
          <w:tcPr>
            <w:tcW w:w="1268" w:type="pct"/>
            <w:tcBorders>
              <w:top w:val="nil"/>
              <w:bottom w:val="single" w:sz="4" w:space="0" w:color="auto"/>
            </w:tcBorders>
            <w:shd w:val="clear" w:color="auto" w:fill="auto"/>
            <w:vAlign w:val="center"/>
          </w:tcPr>
          <w:p w14:paraId="7630120A" w14:textId="77777777" w:rsidR="00762040" w:rsidRPr="00F81A33" w:rsidRDefault="00762040" w:rsidP="005B7AD6">
            <w:pPr>
              <w:keepNext/>
              <w:keepLines/>
              <w:jc w:val="left"/>
              <w:rPr>
                <w:rFonts w:ascii="Arial Narrow" w:hAnsi="Arial Narrow"/>
                <w:sz w:val="20"/>
                <w:szCs w:val="20"/>
              </w:rPr>
            </w:pPr>
            <w:r w:rsidRPr="00F81A33">
              <w:rPr>
                <w:rFonts w:ascii="Arial Narrow" w:hAnsi="Arial Narrow"/>
                <w:sz w:val="20"/>
                <w:szCs w:val="20"/>
              </w:rPr>
              <w:t>[9] Meta-analysis</w:t>
            </w:r>
          </w:p>
        </w:tc>
        <w:tc>
          <w:tcPr>
            <w:tcW w:w="635" w:type="pct"/>
            <w:tcBorders>
              <w:top w:val="nil"/>
              <w:bottom w:val="single" w:sz="4" w:space="0" w:color="auto"/>
            </w:tcBorders>
            <w:shd w:val="clear" w:color="auto" w:fill="auto"/>
            <w:vAlign w:val="center"/>
          </w:tcPr>
          <w:p w14:paraId="2D30F9F4" w14:textId="77777777" w:rsidR="00762040" w:rsidRPr="00F81A33" w:rsidRDefault="00762040" w:rsidP="005B7AD6">
            <w:pPr>
              <w:keepNext/>
              <w:keepLines/>
              <w:jc w:val="center"/>
              <w:rPr>
                <w:rFonts w:ascii="Arial Narrow" w:hAnsi="Arial Narrow"/>
                <w:sz w:val="20"/>
                <w:szCs w:val="20"/>
                <w:lang w:val="fr-FR"/>
              </w:rPr>
            </w:pPr>
            <w:r w:rsidRPr="00F81A33">
              <w:rPr>
                <w:rFonts w:ascii="Arial Narrow" w:hAnsi="Arial Narrow"/>
                <w:sz w:val="20"/>
                <w:szCs w:val="20"/>
                <w:lang w:val="fr-FR"/>
              </w:rPr>
              <w:t>4/32 (12.5)</w:t>
            </w:r>
          </w:p>
        </w:tc>
        <w:tc>
          <w:tcPr>
            <w:tcW w:w="635" w:type="pct"/>
            <w:tcBorders>
              <w:top w:val="nil"/>
              <w:bottom w:val="single" w:sz="4" w:space="0" w:color="auto"/>
            </w:tcBorders>
            <w:shd w:val="clear" w:color="auto" w:fill="auto"/>
            <w:vAlign w:val="center"/>
          </w:tcPr>
          <w:p w14:paraId="4AF1C3E8" w14:textId="77777777" w:rsidR="00762040" w:rsidRPr="00F81A33" w:rsidRDefault="00762040" w:rsidP="005B7AD6">
            <w:pPr>
              <w:keepNext/>
              <w:keepLines/>
              <w:jc w:val="center"/>
              <w:rPr>
                <w:rFonts w:ascii="Arial Narrow" w:hAnsi="Arial Narrow"/>
                <w:sz w:val="20"/>
                <w:szCs w:val="20"/>
                <w:lang w:val="fr-FR"/>
              </w:rPr>
            </w:pPr>
            <w:r w:rsidRPr="00F81A33">
              <w:rPr>
                <w:rFonts w:ascii="Arial Narrow" w:hAnsi="Arial Narrow"/>
                <w:sz w:val="20"/>
                <w:szCs w:val="20"/>
                <w:lang w:val="fr-FR"/>
              </w:rPr>
              <w:t>7/31 (22.6)</w:t>
            </w:r>
          </w:p>
        </w:tc>
        <w:tc>
          <w:tcPr>
            <w:tcW w:w="874" w:type="pct"/>
            <w:tcBorders>
              <w:top w:val="nil"/>
              <w:bottom w:val="single" w:sz="4" w:space="0" w:color="auto"/>
            </w:tcBorders>
            <w:shd w:val="clear" w:color="auto" w:fill="auto"/>
            <w:vAlign w:val="center"/>
          </w:tcPr>
          <w:p w14:paraId="37F572F3" w14:textId="77777777" w:rsidR="00762040" w:rsidRPr="00F81A33" w:rsidRDefault="00762040" w:rsidP="005B7AD6">
            <w:pPr>
              <w:keepNext/>
              <w:keepLines/>
              <w:jc w:val="center"/>
              <w:rPr>
                <w:rFonts w:ascii="Arial Narrow" w:hAnsi="Arial Narrow"/>
                <w:bCs/>
                <w:sz w:val="20"/>
                <w:szCs w:val="20"/>
                <w:lang w:val="fr-FR"/>
              </w:rPr>
            </w:pPr>
            <w:r w:rsidRPr="00F81A33">
              <w:rPr>
                <w:rFonts w:ascii="Arial Narrow" w:hAnsi="Arial Narrow"/>
                <w:bCs/>
                <w:sz w:val="20"/>
                <w:szCs w:val="20"/>
                <w:lang w:val="fr-FR"/>
              </w:rPr>
              <w:t>-0.10 (-0.29,0.10)</w:t>
            </w:r>
          </w:p>
        </w:tc>
        <w:tc>
          <w:tcPr>
            <w:tcW w:w="793" w:type="pct"/>
            <w:tcBorders>
              <w:top w:val="nil"/>
              <w:bottom w:val="single" w:sz="4" w:space="0" w:color="auto"/>
            </w:tcBorders>
            <w:shd w:val="clear" w:color="auto" w:fill="auto"/>
            <w:vAlign w:val="center"/>
          </w:tcPr>
          <w:p w14:paraId="5E479BAF"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0.56 (0.18,1.73)</w:t>
            </w:r>
          </w:p>
        </w:tc>
        <w:tc>
          <w:tcPr>
            <w:tcW w:w="795" w:type="pct"/>
            <w:tcBorders>
              <w:top w:val="nil"/>
              <w:bottom w:val="single" w:sz="4" w:space="0" w:color="auto"/>
            </w:tcBorders>
            <w:shd w:val="clear" w:color="auto" w:fill="auto"/>
          </w:tcPr>
          <w:p w14:paraId="7C2C6662"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0.50 (0.13,1.92)</w:t>
            </w:r>
          </w:p>
        </w:tc>
      </w:tr>
      <w:tr w:rsidR="00762040" w:rsidRPr="00F81A33" w14:paraId="196A1B45" w14:textId="77777777" w:rsidTr="002671F6">
        <w:tc>
          <w:tcPr>
            <w:tcW w:w="1268" w:type="pct"/>
            <w:tcBorders>
              <w:bottom w:val="nil"/>
            </w:tcBorders>
            <w:shd w:val="clear" w:color="auto" w:fill="auto"/>
            <w:vAlign w:val="center"/>
          </w:tcPr>
          <w:p w14:paraId="6D000061" w14:textId="77777777" w:rsidR="00762040" w:rsidRPr="00F81A33" w:rsidRDefault="00762040" w:rsidP="005B7AD6">
            <w:pPr>
              <w:keepNext/>
              <w:keepLines/>
              <w:jc w:val="left"/>
              <w:rPr>
                <w:rFonts w:ascii="Arial Narrow" w:hAnsi="Arial Narrow"/>
                <w:bCs/>
                <w:sz w:val="20"/>
                <w:szCs w:val="20"/>
              </w:rPr>
            </w:pPr>
            <w:r w:rsidRPr="00F81A33">
              <w:rPr>
                <w:rFonts w:ascii="Arial Narrow" w:hAnsi="Arial Narrow"/>
                <w:b/>
                <w:sz w:val="20"/>
                <w:szCs w:val="20"/>
              </w:rPr>
              <w:t>IFX v PBO</w:t>
            </w:r>
          </w:p>
        </w:tc>
        <w:tc>
          <w:tcPr>
            <w:tcW w:w="635" w:type="pct"/>
            <w:tcBorders>
              <w:bottom w:val="nil"/>
            </w:tcBorders>
            <w:shd w:val="clear" w:color="auto" w:fill="auto"/>
            <w:vAlign w:val="center"/>
          </w:tcPr>
          <w:p w14:paraId="341B724A" w14:textId="77777777" w:rsidR="00762040" w:rsidRPr="00F81A33" w:rsidRDefault="00762040" w:rsidP="005B7AD6">
            <w:pPr>
              <w:keepNext/>
              <w:keepLines/>
              <w:jc w:val="center"/>
              <w:rPr>
                <w:rFonts w:ascii="Arial Narrow" w:hAnsi="Arial Narrow"/>
                <w:bCs/>
                <w:sz w:val="20"/>
                <w:szCs w:val="20"/>
              </w:rPr>
            </w:pPr>
          </w:p>
        </w:tc>
        <w:tc>
          <w:tcPr>
            <w:tcW w:w="635" w:type="pct"/>
            <w:tcBorders>
              <w:bottom w:val="nil"/>
            </w:tcBorders>
            <w:shd w:val="clear" w:color="auto" w:fill="auto"/>
            <w:vAlign w:val="center"/>
          </w:tcPr>
          <w:p w14:paraId="1BFC4DD6" w14:textId="77777777" w:rsidR="00762040" w:rsidRPr="00F81A33" w:rsidRDefault="00762040" w:rsidP="005B7AD6">
            <w:pPr>
              <w:keepNext/>
              <w:keepLines/>
              <w:jc w:val="center"/>
              <w:rPr>
                <w:rFonts w:ascii="Arial Narrow" w:hAnsi="Arial Narrow"/>
                <w:bCs/>
                <w:sz w:val="20"/>
                <w:szCs w:val="20"/>
              </w:rPr>
            </w:pPr>
          </w:p>
        </w:tc>
        <w:tc>
          <w:tcPr>
            <w:tcW w:w="874" w:type="pct"/>
            <w:tcBorders>
              <w:bottom w:val="nil"/>
            </w:tcBorders>
            <w:shd w:val="clear" w:color="auto" w:fill="auto"/>
            <w:vAlign w:val="center"/>
          </w:tcPr>
          <w:p w14:paraId="3942D320" w14:textId="77777777" w:rsidR="00762040" w:rsidRPr="00F81A33" w:rsidRDefault="00762040" w:rsidP="005B7AD6">
            <w:pPr>
              <w:keepNext/>
              <w:keepLines/>
              <w:jc w:val="center"/>
              <w:rPr>
                <w:rFonts w:ascii="Arial Narrow" w:hAnsi="Arial Narrow"/>
                <w:bCs/>
                <w:sz w:val="20"/>
                <w:szCs w:val="20"/>
              </w:rPr>
            </w:pPr>
          </w:p>
        </w:tc>
        <w:tc>
          <w:tcPr>
            <w:tcW w:w="793" w:type="pct"/>
            <w:tcBorders>
              <w:bottom w:val="nil"/>
            </w:tcBorders>
            <w:shd w:val="clear" w:color="auto" w:fill="auto"/>
            <w:vAlign w:val="center"/>
          </w:tcPr>
          <w:p w14:paraId="53AA37EF" w14:textId="77777777" w:rsidR="00762040" w:rsidRPr="00F81A33" w:rsidRDefault="00762040" w:rsidP="005B7AD6">
            <w:pPr>
              <w:keepNext/>
              <w:keepLines/>
              <w:jc w:val="center"/>
              <w:rPr>
                <w:rFonts w:ascii="Arial Narrow" w:hAnsi="Arial Narrow"/>
                <w:bCs/>
                <w:sz w:val="20"/>
                <w:szCs w:val="20"/>
              </w:rPr>
            </w:pPr>
          </w:p>
        </w:tc>
        <w:tc>
          <w:tcPr>
            <w:tcW w:w="795" w:type="pct"/>
            <w:tcBorders>
              <w:bottom w:val="nil"/>
            </w:tcBorders>
            <w:shd w:val="clear" w:color="auto" w:fill="auto"/>
            <w:vAlign w:val="center"/>
          </w:tcPr>
          <w:p w14:paraId="4430A656" w14:textId="77777777" w:rsidR="00762040" w:rsidRPr="00F81A33" w:rsidRDefault="00762040" w:rsidP="005B7AD6">
            <w:pPr>
              <w:keepNext/>
              <w:keepLines/>
              <w:jc w:val="center"/>
              <w:rPr>
                <w:rFonts w:ascii="Arial Narrow" w:hAnsi="Arial Narrow"/>
                <w:bCs/>
                <w:sz w:val="20"/>
                <w:szCs w:val="20"/>
              </w:rPr>
            </w:pPr>
          </w:p>
        </w:tc>
      </w:tr>
      <w:tr w:rsidR="00762040" w:rsidRPr="00F81A33" w14:paraId="65C87884" w14:textId="77777777" w:rsidTr="002671F6">
        <w:tc>
          <w:tcPr>
            <w:tcW w:w="1268" w:type="pct"/>
            <w:tcBorders>
              <w:top w:val="nil"/>
              <w:bottom w:val="single" w:sz="4" w:space="0" w:color="auto"/>
            </w:tcBorders>
            <w:shd w:val="clear" w:color="auto" w:fill="DBE5F1" w:themeFill="accent1" w:themeFillTint="33"/>
            <w:vAlign w:val="center"/>
          </w:tcPr>
          <w:p w14:paraId="16A4DA5F" w14:textId="77777777" w:rsidR="00762040" w:rsidRPr="00F81A33" w:rsidRDefault="00762040" w:rsidP="005B7AD6">
            <w:pPr>
              <w:keepNext/>
              <w:keepLines/>
              <w:jc w:val="left"/>
              <w:rPr>
                <w:rFonts w:ascii="Arial Narrow" w:hAnsi="Arial Narrow"/>
                <w:sz w:val="20"/>
                <w:szCs w:val="20"/>
                <w:lang w:val="fr-FR"/>
              </w:rPr>
            </w:pPr>
            <w:r w:rsidRPr="00F81A33">
              <w:rPr>
                <w:rFonts w:ascii="Arial Narrow" w:hAnsi="Arial Narrow"/>
                <w:sz w:val="20"/>
                <w:szCs w:val="20"/>
                <w:lang w:val="fr-FR"/>
              </w:rPr>
              <w:t>[10] T20 (Wk18)</w:t>
            </w:r>
          </w:p>
        </w:tc>
        <w:tc>
          <w:tcPr>
            <w:tcW w:w="635" w:type="pct"/>
            <w:tcBorders>
              <w:top w:val="nil"/>
              <w:bottom w:val="single" w:sz="4" w:space="0" w:color="auto"/>
            </w:tcBorders>
            <w:shd w:val="clear" w:color="auto" w:fill="DBE5F1" w:themeFill="accent1" w:themeFillTint="33"/>
            <w:vAlign w:val="center"/>
          </w:tcPr>
          <w:p w14:paraId="4D5A19BF"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21/31 (68)</w:t>
            </w:r>
          </w:p>
        </w:tc>
        <w:tc>
          <w:tcPr>
            <w:tcW w:w="635" w:type="pct"/>
            <w:tcBorders>
              <w:top w:val="nil"/>
              <w:bottom w:val="single" w:sz="4" w:space="0" w:color="auto"/>
            </w:tcBorders>
            <w:shd w:val="clear" w:color="auto" w:fill="DBE5F1" w:themeFill="accent1" w:themeFillTint="33"/>
            <w:vAlign w:val="center"/>
          </w:tcPr>
          <w:p w14:paraId="149A86D0"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8/31 (26)</w:t>
            </w:r>
          </w:p>
        </w:tc>
        <w:tc>
          <w:tcPr>
            <w:tcW w:w="874" w:type="pct"/>
            <w:tcBorders>
              <w:top w:val="nil"/>
              <w:bottom w:val="single" w:sz="4" w:space="0" w:color="auto"/>
            </w:tcBorders>
            <w:shd w:val="clear" w:color="auto" w:fill="DBE5F1" w:themeFill="accent1" w:themeFillTint="33"/>
            <w:vAlign w:val="center"/>
          </w:tcPr>
          <w:p w14:paraId="0732858D"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0.42 (0.19,0.64)</w:t>
            </w:r>
          </w:p>
        </w:tc>
        <w:tc>
          <w:tcPr>
            <w:tcW w:w="793" w:type="pct"/>
            <w:tcBorders>
              <w:top w:val="nil"/>
              <w:bottom w:val="single" w:sz="4" w:space="0" w:color="auto"/>
            </w:tcBorders>
            <w:shd w:val="clear" w:color="auto" w:fill="DBE5F1" w:themeFill="accent1" w:themeFillTint="33"/>
            <w:vAlign w:val="center"/>
          </w:tcPr>
          <w:p w14:paraId="383A173D" w14:textId="77777777" w:rsidR="00762040" w:rsidRPr="00F81A33" w:rsidRDefault="00762040" w:rsidP="005B7AD6">
            <w:pPr>
              <w:keepNext/>
              <w:keepLines/>
              <w:jc w:val="center"/>
              <w:rPr>
                <w:rFonts w:ascii="Arial Narrow" w:hAnsi="Arial Narrow"/>
                <w:b/>
                <w:sz w:val="20"/>
                <w:szCs w:val="20"/>
              </w:rPr>
            </w:pPr>
            <w:r w:rsidRPr="00F81A33">
              <w:rPr>
                <w:rFonts w:ascii="Arial Narrow" w:hAnsi="Arial Narrow"/>
                <w:b/>
                <w:sz w:val="20"/>
                <w:szCs w:val="20"/>
              </w:rPr>
              <w:t>2.63 (1.38,5.00)</w:t>
            </w:r>
          </w:p>
        </w:tc>
        <w:tc>
          <w:tcPr>
            <w:tcW w:w="795" w:type="pct"/>
            <w:tcBorders>
              <w:top w:val="nil"/>
              <w:bottom w:val="single" w:sz="4" w:space="0" w:color="auto"/>
            </w:tcBorders>
            <w:shd w:val="clear" w:color="auto" w:fill="DBE5F1" w:themeFill="accent1" w:themeFillTint="33"/>
            <w:vAlign w:val="center"/>
          </w:tcPr>
          <w:p w14:paraId="279A4EA9" w14:textId="77777777" w:rsidR="00762040" w:rsidRPr="00F81A33" w:rsidRDefault="00762040" w:rsidP="005B7AD6">
            <w:pPr>
              <w:keepNext/>
              <w:keepLines/>
              <w:jc w:val="center"/>
              <w:rPr>
                <w:rFonts w:ascii="Arial Narrow" w:hAnsi="Arial Narrow"/>
                <w:b/>
                <w:sz w:val="20"/>
                <w:szCs w:val="20"/>
                <w:lang w:val="fr-FR"/>
              </w:rPr>
            </w:pPr>
            <w:r w:rsidRPr="00F81A33">
              <w:rPr>
                <w:rFonts w:ascii="Arial Narrow" w:hAnsi="Arial Narrow"/>
                <w:b/>
                <w:sz w:val="20"/>
                <w:szCs w:val="20"/>
                <w:lang w:val="fr-FR"/>
              </w:rPr>
              <w:t>6.04 (2.01,18.17)</w:t>
            </w:r>
          </w:p>
        </w:tc>
      </w:tr>
      <w:tr w:rsidR="00762040" w:rsidRPr="00F81A33" w14:paraId="4595BC9E" w14:textId="77777777" w:rsidTr="002671F6">
        <w:tc>
          <w:tcPr>
            <w:tcW w:w="5000" w:type="pct"/>
            <w:gridSpan w:val="6"/>
            <w:tcBorders>
              <w:bottom w:val="single" w:sz="4" w:space="0" w:color="auto"/>
            </w:tcBorders>
            <w:shd w:val="clear" w:color="auto" w:fill="auto"/>
            <w:vAlign w:val="center"/>
          </w:tcPr>
          <w:p w14:paraId="56C458F6" w14:textId="77777777" w:rsidR="00762040" w:rsidRPr="00F81A33" w:rsidRDefault="00762040" w:rsidP="005B7AD6">
            <w:pPr>
              <w:keepNext/>
              <w:keepLines/>
              <w:jc w:val="left"/>
              <w:rPr>
                <w:rFonts w:ascii="Arial Narrow" w:hAnsi="Arial Narrow"/>
                <w:b/>
                <w:bCs/>
                <w:sz w:val="20"/>
                <w:szCs w:val="20"/>
                <w:lang w:val="fr-FR"/>
              </w:rPr>
            </w:pPr>
            <w:r w:rsidRPr="00F81A33">
              <w:rPr>
                <w:rFonts w:ascii="Arial Narrow" w:hAnsi="Arial Narrow"/>
                <w:b/>
                <w:bCs/>
                <w:sz w:val="20"/>
                <w:szCs w:val="20"/>
                <w:lang w:val="fr-FR"/>
              </w:rPr>
              <w:t>OUTCOME: FISTULA REMISSION</w:t>
            </w:r>
          </w:p>
        </w:tc>
      </w:tr>
      <w:tr w:rsidR="00762040" w:rsidRPr="00F81A33" w14:paraId="53BED0FD" w14:textId="77777777" w:rsidTr="002671F6">
        <w:tc>
          <w:tcPr>
            <w:tcW w:w="1268" w:type="pct"/>
            <w:tcBorders>
              <w:bottom w:val="nil"/>
            </w:tcBorders>
            <w:shd w:val="clear" w:color="auto" w:fill="auto"/>
            <w:vAlign w:val="center"/>
          </w:tcPr>
          <w:p w14:paraId="1C71DEC7"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b/>
                <w:sz w:val="20"/>
                <w:szCs w:val="20"/>
              </w:rPr>
              <w:t>UST v ADA</w:t>
            </w:r>
          </w:p>
        </w:tc>
        <w:tc>
          <w:tcPr>
            <w:tcW w:w="635" w:type="pct"/>
            <w:tcBorders>
              <w:bottom w:val="nil"/>
            </w:tcBorders>
            <w:shd w:val="clear" w:color="auto" w:fill="auto"/>
            <w:vAlign w:val="center"/>
          </w:tcPr>
          <w:p w14:paraId="577C48EA" w14:textId="77777777" w:rsidR="00762040" w:rsidRPr="00F81A33" w:rsidRDefault="00762040" w:rsidP="005B7AD6">
            <w:pPr>
              <w:keepNext/>
              <w:keepLines/>
              <w:jc w:val="center"/>
              <w:rPr>
                <w:rFonts w:ascii="Arial Narrow" w:hAnsi="Arial Narrow"/>
                <w:sz w:val="20"/>
                <w:szCs w:val="20"/>
              </w:rPr>
            </w:pPr>
          </w:p>
        </w:tc>
        <w:tc>
          <w:tcPr>
            <w:tcW w:w="635" w:type="pct"/>
            <w:tcBorders>
              <w:bottom w:val="nil"/>
            </w:tcBorders>
            <w:shd w:val="clear" w:color="auto" w:fill="auto"/>
            <w:vAlign w:val="center"/>
          </w:tcPr>
          <w:p w14:paraId="560623EE" w14:textId="77777777" w:rsidR="00762040" w:rsidRPr="00F81A33" w:rsidRDefault="00762040" w:rsidP="005B7AD6">
            <w:pPr>
              <w:keepNext/>
              <w:keepLines/>
              <w:jc w:val="center"/>
              <w:rPr>
                <w:rFonts w:ascii="Arial Narrow" w:hAnsi="Arial Narrow"/>
                <w:sz w:val="20"/>
                <w:szCs w:val="20"/>
              </w:rPr>
            </w:pPr>
          </w:p>
        </w:tc>
        <w:tc>
          <w:tcPr>
            <w:tcW w:w="874" w:type="pct"/>
            <w:tcBorders>
              <w:bottom w:val="nil"/>
            </w:tcBorders>
            <w:shd w:val="clear" w:color="auto" w:fill="auto"/>
            <w:vAlign w:val="center"/>
          </w:tcPr>
          <w:p w14:paraId="449D4305" w14:textId="77777777" w:rsidR="00762040" w:rsidRPr="00F81A33" w:rsidRDefault="00762040" w:rsidP="005B7AD6">
            <w:pPr>
              <w:keepNext/>
              <w:keepLines/>
              <w:jc w:val="center"/>
              <w:rPr>
                <w:rFonts w:ascii="Arial Narrow" w:hAnsi="Arial Narrow"/>
                <w:sz w:val="20"/>
                <w:szCs w:val="20"/>
              </w:rPr>
            </w:pPr>
          </w:p>
        </w:tc>
        <w:tc>
          <w:tcPr>
            <w:tcW w:w="793" w:type="pct"/>
            <w:tcBorders>
              <w:bottom w:val="nil"/>
            </w:tcBorders>
            <w:shd w:val="clear" w:color="auto" w:fill="auto"/>
            <w:vAlign w:val="center"/>
          </w:tcPr>
          <w:p w14:paraId="6020DD53" w14:textId="77777777" w:rsidR="00762040" w:rsidRPr="00F81A33" w:rsidRDefault="00762040" w:rsidP="005B7AD6">
            <w:pPr>
              <w:keepNext/>
              <w:keepLines/>
              <w:jc w:val="center"/>
              <w:rPr>
                <w:rFonts w:ascii="Arial Narrow" w:hAnsi="Arial Narrow"/>
                <w:sz w:val="20"/>
                <w:szCs w:val="20"/>
              </w:rPr>
            </w:pPr>
          </w:p>
        </w:tc>
        <w:tc>
          <w:tcPr>
            <w:tcW w:w="795" w:type="pct"/>
            <w:tcBorders>
              <w:bottom w:val="nil"/>
            </w:tcBorders>
            <w:shd w:val="clear" w:color="auto" w:fill="auto"/>
          </w:tcPr>
          <w:p w14:paraId="67D79011" w14:textId="77777777" w:rsidR="00762040" w:rsidRPr="00F81A33" w:rsidRDefault="00762040" w:rsidP="005B7AD6">
            <w:pPr>
              <w:keepNext/>
              <w:keepLines/>
              <w:jc w:val="center"/>
              <w:rPr>
                <w:rFonts w:ascii="Arial Narrow" w:hAnsi="Arial Narrow"/>
                <w:sz w:val="20"/>
                <w:szCs w:val="20"/>
                <w:lang w:val="fr-FR"/>
              </w:rPr>
            </w:pPr>
          </w:p>
        </w:tc>
      </w:tr>
      <w:tr w:rsidR="00762040" w:rsidRPr="00F81A33" w14:paraId="46CB8420" w14:textId="77777777" w:rsidTr="002671F6">
        <w:tc>
          <w:tcPr>
            <w:tcW w:w="1268" w:type="pct"/>
            <w:tcBorders>
              <w:top w:val="nil"/>
              <w:bottom w:val="nil"/>
            </w:tcBorders>
            <w:shd w:val="clear" w:color="auto" w:fill="auto"/>
            <w:vAlign w:val="center"/>
          </w:tcPr>
          <w:p w14:paraId="5A645A91"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bCs/>
                <w:sz w:val="20"/>
                <w:szCs w:val="20"/>
              </w:rPr>
              <w:t>[11] SEAVUE (Wk8)</w:t>
            </w:r>
          </w:p>
        </w:tc>
        <w:tc>
          <w:tcPr>
            <w:tcW w:w="635" w:type="pct"/>
            <w:tcBorders>
              <w:top w:val="nil"/>
              <w:bottom w:val="nil"/>
            </w:tcBorders>
            <w:shd w:val="clear" w:color="auto" w:fill="auto"/>
            <w:vAlign w:val="center"/>
          </w:tcPr>
          <w:p w14:paraId="56F352A7"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1/13 (7.7)</w:t>
            </w:r>
          </w:p>
        </w:tc>
        <w:tc>
          <w:tcPr>
            <w:tcW w:w="635" w:type="pct"/>
            <w:tcBorders>
              <w:top w:val="nil"/>
              <w:bottom w:val="nil"/>
            </w:tcBorders>
            <w:shd w:val="clear" w:color="auto" w:fill="auto"/>
            <w:vAlign w:val="center"/>
          </w:tcPr>
          <w:p w14:paraId="4FB6B2AC"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3/16 (18.8)</w:t>
            </w:r>
          </w:p>
        </w:tc>
        <w:tc>
          <w:tcPr>
            <w:tcW w:w="874" w:type="pct"/>
            <w:tcBorders>
              <w:top w:val="nil"/>
              <w:bottom w:val="nil"/>
            </w:tcBorders>
            <w:shd w:val="clear" w:color="auto" w:fill="auto"/>
            <w:vAlign w:val="center"/>
          </w:tcPr>
          <w:p w14:paraId="2EF160CE"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-0.11 (-0.35,0.13)</w:t>
            </w:r>
          </w:p>
        </w:tc>
        <w:tc>
          <w:tcPr>
            <w:tcW w:w="793" w:type="pct"/>
            <w:tcBorders>
              <w:top w:val="nil"/>
              <w:bottom w:val="nil"/>
            </w:tcBorders>
            <w:shd w:val="clear" w:color="auto" w:fill="auto"/>
            <w:vAlign w:val="center"/>
          </w:tcPr>
          <w:p w14:paraId="7D1B7D06"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0.41 (0.05,3.49)</w:t>
            </w:r>
          </w:p>
        </w:tc>
        <w:tc>
          <w:tcPr>
            <w:tcW w:w="795" w:type="pct"/>
            <w:tcBorders>
              <w:top w:val="nil"/>
              <w:bottom w:val="nil"/>
            </w:tcBorders>
            <w:shd w:val="clear" w:color="auto" w:fill="auto"/>
          </w:tcPr>
          <w:p w14:paraId="2298463E" w14:textId="77777777" w:rsidR="00762040" w:rsidRPr="00F81A33" w:rsidRDefault="00762040" w:rsidP="005B7AD6">
            <w:pPr>
              <w:keepNext/>
              <w:keepLines/>
              <w:jc w:val="center"/>
              <w:rPr>
                <w:rFonts w:ascii="Arial Narrow" w:hAnsi="Arial Narrow"/>
                <w:sz w:val="20"/>
                <w:szCs w:val="20"/>
                <w:lang w:val="fr-FR"/>
              </w:rPr>
            </w:pPr>
            <w:r w:rsidRPr="00F81A33">
              <w:rPr>
                <w:rFonts w:ascii="Arial Narrow" w:hAnsi="Arial Narrow"/>
                <w:sz w:val="20"/>
                <w:szCs w:val="20"/>
                <w:lang w:val="fr-FR"/>
              </w:rPr>
              <w:t>0.36 (0.03,3.96)</w:t>
            </w:r>
          </w:p>
        </w:tc>
      </w:tr>
      <w:tr w:rsidR="00762040" w:rsidRPr="00F81A33" w14:paraId="58AB8AA5" w14:textId="77777777" w:rsidTr="002671F6">
        <w:tc>
          <w:tcPr>
            <w:tcW w:w="1268" w:type="pct"/>
            <w:tcBorders>
              <w:top w:val="nil"/>
              <w:bottom w:val="nil"/>
            </w:tcBorders>
            <w:shd w:val="clear" w:color="auto" w:fill="auto"/>
            <w:vAlign w:val="center"/>
          </w:tcPr>
          <w:p w14:paraId="0898A408"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bCs/>
                <w:sz w:val="20"/>
                <w:szCs w:val="20"/>
              </w:rPr>
              <w:t>[12] SEAVUE (Wk16)</w:t>
            </w:r>
          </w:p>
        </w:tc>
        <w:tc>
          <w:tcPr>
            <w:tcW w:w="635" w:type="pct"/>
            <w:tcBorders>
              <w:top w:val="nil"/>
              <w:bottom w:val="nil"/>
            </w:tcBorders>
            <w:shd w:val="clear" w:color="auto" w:fill="auto"/>
            <w:vAlign w:val="center"/>
          </w:tcPr>
          <w:p w14:paraId="62D989AA"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1/13 (7.7)</w:t>
            </w:r>
          </w:p>
        </w:tc>
        <w:tc>
          <w:tcPr>
            <w:tcW w:w="635" w:type="pct"/>
            <w:tcBorders>
              <w:top w:val="nil"/>
              <w:bottom w:val="nil"/>
            </w:tcBorders>
            <w:shd w:val="clear" w:color="auto" w:fill="auto"/>
            <w:vAlign w:val="center"/>
          </w:tcPr>
          <w:p w14:paraId="4E8338E4"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7/16 (43.8)</w:t>
            </w:r>
          </w:p>
        </w:tc>
        <w:tc>
          <w:tcPr>
            <w:tcW w:w="874" w:type="pct"/>
            <w:tcBorders>
              <w:top w:val="nil"/>
              <w:bottom w:val="nil"/>
            </w:tcBorders>
            <w:shd w:val="clear" w:color="auto" w:fill="auto"/>
            <w:vAlign w:val="center"/>
          </w:tcPr>
          <w:p w14:paraId="1B2A5F84" w14:textId="7D42DA1F" w:rsidR="00762040" w:rsidRPr="00F81A33" w:rsidRDefault="00762040" w:rsidP="005B7AD6">
            <w:pPr>
              <w:keepNext/>
              <w:keepLines/>
              <w:jc w:val="center"/>
              <w:rPr>
                <w:rFonts w:ascii="Arial Narrow" w:hAnsi="Arial Narrow"/>
                <w:b/>
                <w:bCs/>
                <w:sz w:val="20"/>
                <w:szCs w:val="20"/>
              </w:rPr>
            </w:pPr>
            <w:r w:rsidRPr="00F81A33">
              <w:rPr>
                <w:rFonts w:ascii="Arial Narrow" w:hAnsi="Arial Narrow"/>
                <w:b/>
                <w:bCs/>
                <w:sz w:val="20"/>
                <w:szCs w:val="20"/>
              </w:rPr>
              <w:t>-0.36 (-0.</w:t>
            </w:r>
            <w:r w:rsidR="00240923" w:rsidRPr="00F81A33">
              <w:rPr>
                <w:rFonts w:ascii="Arial Narrow" w:hAnsi="Arial Narrow"/>
                <w:b/>
                <w:bCs/>
                <w:sz w:val="20"/>
                <w:szCs w:val="20"/>
              </w:rPr>
              <w:t>64, -</w:t>
            </w:r>
            <w:r w:rsidRPr="00F81A33">
              <w:rPr>
                <w:rFonts w:ascii="Arial Narrow" w:hAnsi="Arial Narrow"/>
                <w:b/>
                <w:bCs/>
                <w:sz w:val="20"/>
                <w:szCs w:val="20"/>
              </w:rPr>
              <w:t>0.08)</w:t>
            </w:r>
          </w:p>
        </w:tc>
        <w:tc>
          <w:tcPr>
            <w:tcW w:w="793" w:type="pct"/>
            <w:tcBorders>
              <w:top w:val="nil"/>
              <w:bottom w:val="nil"/>
            </w:tcBorders>
            <w:shd w:val="clear" w:color="auto" w:fill="auto"/>
            <w:vAlign w:val="center"/>
          </w:tcPr>
          <w:p w14:paraId="439F18E1"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0.18 (0.02,1.25)</w:t>
            </w:r>
          </w:p>
        </w:tc>
        <w:tc>
          <w:tcPr>
            <w:tcW w:w="795" w:type="pct"/>
            <w:tcBorders>
              <w:top w:val="nil"/>
              <w:bottom w:val="nil"/>
            </w:tcBorders>
            <w:shd w:val="clear" w:color="auto" w:fill="auto"/>
          </w:tcPr>
          <w:p w14:paraId="498A45FB" w14:textId="77777777" w:rsidR="00762040" w:rsidRPr="00F81A33" w:rsidRDefault="00762040" w:rsidP="005B7AD6">
            <w:pPr>
              <w:keepNext/>
              <w:keepLines/>
              <w:jc w:val="center"/>
              <w:rPr>
                <w:rFonts w:ascii="Arial Narrow" w:hAnsi="Arial Narrow"/>
                <w:sz w:val="20"/>
                <w:szCs w:val="20"/>
                <w:lang w:val="fr-FR"/>
              </w:rPr>
            </w:pPr>
            <w:r w:rsidRPr="00F81A33">
              <w:rPr>
                <w:rFonts w:ascii="Arial Narrow" w:hAnsi="Arial Narrow"/>
                <w:sz w:val="20"/>
                <w:szCs w:val="20"/>
                <w:lang w:val="fr-FR"/>
              </w:rPr>
              <w:t>0.11 (0.01,1.03)</w:t>
            </w:r>
          </w:p>
        </w:tc>
      </w:tr>
      <w:tr w:rsidR="00762040" w:rsidRPr="00F81A33" w14:paraId="27ADA7FD" w14:textId="77777777" w:rsidTr="002671F6">
        <w:tc>
          <w:tcPr>
            <w:tcW w:w="1268" w:type="pct"/>
            <w:tcBorders>
              <w:top w:val="nil"/>
              <w:bottom w:val="single" w:sz="4" w:space="0" w:color="auto"/>
            </w:tcBorders>
            <w:shd w:val="clear" w:color="auto" w:fill="auto"/>
            <w:vAlign w:val="center"/>
          </w:tcPr>
          <w:p w14:paraId="47F2BB53" w14:textId="77777777" w:rsidR="00762040" w:rsidRPr="00F81A33" w:rsidRDefault="00762040" w:rsidP="005B7AD6">
            <w:pPr>
              <w:keepNext/>
              <w:keepLines/>
              <w:jc w:val="left"/>
              <w:rPr>
                <w:rFonts w:ascii="Arial Narrow" w:hAnsi="Arial Narrow"/>
                <w:bCs/>
                <w:sz w:val="20"/>
                <w:szCs w:val="20"/>
              </w:rPr>
            </w:pPr>
            <w:r w:rsidRPr="00F81A33">
              <w:rPr>
                <w:rFonts w:ascii="Arial Narrow" w:hAnsi="Arial Narrow"/>
                <w:bCs/>
                <w:sz w:val="20"/>
                <w:szCs w:val="20"/>
              </w:rPr>
              <w:t>[13] SEAVUE (Wk24)</w:t>
            </w:r>
          </w:p>
        </w:tc>
        <w:tc>
          <w:tcPr>
            <w:tcW w:w="635" w:type="pct"/>
            <w:tcBorders>
              <w:top w:val="nil"/>
              <w:bottom w:val="single" w:sz="4" w:space="0" w:color="auto"/>
            </w:tcBorders>
            <w:shd w:val="clear" w:color="auto" w:fill="auto"/>
            <w:vAlign w:val="center"/>
          </w:tcPr>
          <w:p w14:paraId="460941C2"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4/13 (30.8)</w:t>
            </w:r>
          </w:p>
        </w:tc>
        <w:tc>
          <w:tcPr>
            <w:tcW w:w="635" w:type="pct"/>
            <w:tcBorders>
              <w:top w:val="nil"/>
              <w:bottom w:val="single" w:sz="4" w:space="0" w:color="auto"/>
            </w:tcBorders>
            <w:shd w:val="clear" w:color="auto" w:fill="auto"/>
            <w:vAlign w:val="center"/>
          </w:tcPr>
          <w:p w14:paraId="6C2C8AD0" w14:textId="77777777" w:rsidR="00762040" w:rsidRPr="00F81A33" w:rsidRDefault="00762040" w:rsidP="005B7AD6">
            <w:pPr>
              <w:keepNext/>
              <w:keepLines/>
              <w:jc w:val="center"/>
              <w:rPr>
                <w:rFonts w:ascii="Arial Narrow" w:hAnsi="Arial Narrow"/>
                <w:bCs/>
                <w:sz w:val="20"/>
                <w:szCs w:val="20"/>
              </w:rPr>
            </w:pPr>
            <w:r w:rsidRPr="00F81A33">
              <w:rPr>
                <w:rFonts w:ascii="Arial Narrow" w:hAnsi="Arial Narrow"/>
                <w:bCs/>
                <w:sz w:val="20"/>
                <w:szCs w:val="20"/>
              </w:rPr>
              <w:t>8/16 (50.0)</w:t>
            </w:r>
          </w:p>
        </w:tc>
        <w:tc>
          <w:tcPr>
            <w:tcW w:w="874" w:type="pct"/>
            <w:tcBorders>
              <w:top w:val="nil"/>
              <w:bottom w:val="single" w:sz="4" w:space="0" w:color="auto"/>
            </w:tcBorders>
            <w:shd w:val="clear" w:color="auto" w:fill="auto"/>
            <w:vAlign w:val="center"/>
          </w:tcPr>
          <w:p w14:paraId="03D63784"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-0.19 (-0.54, 0.16)</w:t>
            </w:r>
          </w:p>
        </w:tc>
        <w:tc>
          <w:tcPr>
            <w:tcW w:w="793" w:type="pct"/>
            <w:tcBorders>
              <w:top w:val="nil"/>
              <w:bottom w:val="single" w:sz="4" w:space="0" w:color="auto"/>
            </w:tcBorders>
            <w:shd w:val="clear" w:color="auto" w:fill="auto"/>
            <w:vAlign w:val="center"/>
          </w:tcPr>
          <w:p w14:paraId="4C1C706F"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0.62 (0.24, 1.59)</w:t>
            </w:r>
          </w:p>
        </w:tc>
        <w:tc>
          <w:tcPr>
            <w:tcW w:w="795" w:type="pct"/>
            <w:tcBorders>
              <w:top w:val="nil"/>
              <w:bottom w:val="single" w:sz="4" w:space="0" w:color="auto"/>
            </w:tcBorders>
            <w:shd w:val="clear" w:color="auto" w:fill="auto"/>
          </w:tcPr>
          <w:p w14:paraId="7A1235FA" w14:textId="77777777" w:rsidR="00762040" w:rsidRPr="00F81A33" w:rsidRDefault="00762040" w:rsidP="005B7AD6">
            <w:pPr>
              <w:keepNext/>
              <w:keepLines/>
              <w:jc w:val="center"/>
              <w:rPr>
                <w:rFonts w:ascii="Arial Narrow" w:hAnsi="Arial Narrow"/>
                <w:sz w:val="20"/>
                <w:szCs w:val="20"/>
                <w:lang w:val="fr-FR"/>
              </w:rPr>
            </w:pPr>
            <w:r w:rsidRPr="00F81A33">
              <w:rPr>
                <w:rFonts w:ascii="Arial Narrow" w:hAnsi="Arial Narrow"/>
                <w:sz w:val="20"/>
                <w:szCs w:val="20"/>
                <w:lang w:val="fr-FR"/>
              </w:rPr>
              <w:t>0.44 (0.10, 2.06)</w:t>
            </w:r>
          </w:p>
        </w:tc>
      </w:tr>
      <w:tr w:rsidR="00762040" w:rsidRPr="00F81A33" w14:paraId="5D89EC79" w14:textId="77777777" w:rsidTr="002671F6">
        <w:tc>
          <w:tcPr>
            <w:tcW w:w="1268" w:type="pct"/>
            <w:tcBorders>
              <w:bottom w:val="nil"/>
            </w:tcBorders>
            <w:shd w:val="clear" w:color="auto" w:fill="auto"/>
            <w:vAlign w:val="center"/>
          </w:tcPr>
          <w:p w14:paraId="4C126B9A"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b/>
                <w:sz w:val="20"/>
                <w:szCs w:val="20"/>
              </w:rPr>
              <w:t>UST v PBO</w:t>
            </w:r>
          </w:p>
        </w:tc>
        <w:tc>
          <w:tcPr>
            <w:tcW w:w="635" w:type="pct"/>
            <w:tcBorders>
              <w:bottom w:val="nil"/>
            </w:tcBorders>
            <w:shd w:val="clear" w:color="auto" w:fill="auto"/>
            <w:vAlign w:val="center"/>
          </w:tcPr>
          <w:p w14:paraId="79B6D2DA" w14:textId="77777777" w:rsidR="00762040" w:rsidRPr="00F81A33" w:rsidRDefault="00762040" w:rsidP="005B7AD6">
            <w:pPr>
              <w:keepNext/>
              <w:keepLines/>
              <w:jc w:val="center"/>
              <w:rPr>
                <w:rFonts w:ascii="Arial Narrow" w:hAnsi="Arial Narrow"/>
                <w:sz w:val="20"/>
                <w:szCs w:val="20"/>
              </w:rPr>
            </w:pPr>
          </w:p>
        </w:tc>
        <w:tc>
          <w:tcPr>
            <w:tcW w:w="635" w:type="pct"/>
            <w:tcBorders>
              <w:bottom w:val="nil"/>
            </w:tcBorders>
            <w:shd w:val="clear" w:color="auto" w:fill="auto"/>
            <w:vAlign w:val="center"/>
          </w:tcPr>
          <w:p w14:paraId="75C3E237" w14:textId="77777777" w:rsidR="00762040" w:rsidRPr="00F81A33" w:rsidRDefault="00762040" w:rsidP="005B7AD6">
            <w:pPr>
              <w:keepNext/>
              <w:keepLines/>
              <w:jc w:val="center"/>
              <w:rPr>
                <w:rFonts w:ascii="Arial Narrow" w:hAnsi="Arial Narrow"/>
                <w:sz w:val="20"/>
                <w:szCs w:val="20"/>
              </w:rPr>
            </w:pPr>
          </w:p>
        </w:tc>
        <w:tc>
          <w:tcPr>
            <w:tcW w:w="874" w:type="pct"/>
            <w:tcBorders>
              <w:bottom w:val="nil"/>
            </w:tcBorders>
            <w:shd w:val="clear" w:color="auto" w:fill="auto"/>
            <w:vAlign w:val="center"/>
          </w:tcPr>
          <w:p w14:paraId="76CA3CE8" w14:textId="77777777" w:rsidR="00762040" w:rsidRPr="00F81A33" w:rsidRDefault="00762040" w:rsidP="005B7AD6">
            <w:pPr>
              <w:keepNext/>
              <w:keepLines/>
              <w:jc w:val="center"/>
              <w:rPr>
                <w:rFonts w:ascii="Arial Narrow" w:hAnsi="Arial Narrow"/>
                <w:sz w:val="20"/>
                <w:szCs w:val="20"/>
              </w:rPr>
            </w:pPr>
          </w:p>
        </w:tc>
        <w:tc>
          <w:tcPr>
            <w:tcW w:w="793" w:type="pct"/>
            <w:tcBorders>
              <w:bottom w:val="nil"/>
            </w:tcBorders>
            <w:shd w:val="clear" w:color="auto" w:fill="auto"/>
            <w:vAlign w:val="center"/>
          </w:tcPr>
          <w:p w14:paraId="478F83E5" w14:textId="77777777" w:rsidR="00762040" w:rsidRPr="00F81A33" w:rsidRDefault="00762040" w:rsidP="005B7AD6">
            <w:pPr>
              <w:keepNext/>
              <w:keepLines/>
              <w:jc w:val="center"/>
              <w:rPr>
                <w:rFonts w:ascii="Arial Narrow" w:hAnsi="Arial Narrow"/>
                <w:sz w:val="20"/>
                <w:szCs w:val="20"/>
              </w:rPr>
            </w:pPr>
          </w:p>
        </w:tc>
        <w:tc>
          <w:tcPr>
            <w:tcW w:w="795" w:type="pct"/>
            <w:tcBorders>
              <w:bottom w:val="nil"/>
            </w:tcBorders>
            <w:shd w:val="clear" w:color="auto" w:fill="auto"/>
            <w:vAlign w:val="center"/>
          </w:tcPr>
          <w:p w14:paraId="67C3CC85" w14:textId="77777777" w:rsidR="00762040" w:rsidRPr="00F81A33" w:rsidRDefault="00762040" w:rsidP="005B7AD6">
            <w:pPr>
              <w:keepNext/>
              <w:keepLines/>
              <w:jc w:val="center"/>
              <w:rPr>
                <w:rFonts w:ascii="Arial Narrow" w:hAnsi="Arial Narrow"/>
                <w:sz w:val="20"/>
                <w:szCs w:val="20"/>
                <w:lang w:val="fr-FR"/>
              </w:rPr>
            </w:pPr>
          </w:p>
        </w:tc>
      </w:tr>
      <w:tr w:rsidR="00762040" w:rsidRPr="00F81A33" w14:paraId="1B743727" w14:textId="77777777" w:rsidTr="002671F6">
        <w:tc>
          <w:tcPr>
            <w:tcW w:w="1268" w:type="pct"/>
            <w:tcBorders>
              <w:top w:val="nil"/>
              <w:bottom w:val="single" w:sz="4" w:space="0" w:color="auto"/>
            </w:tcBorders>
            <w:shd w:val="clear" w:color="auto" w:fill="auto"/>
            <w:vAlign w:val="center"/>
          </w:tcPr>
          <w:p w14:paraId="0F41B5DA"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sz w:val="20"/>
                <w:szCs w:val="20"/>
              </w:rPr>
              <w:t>[14] UNITI-1/2 pooled (Wk8)</w:t>
            </w:r>
          </w:p>
        </w:tc>
        <w:tc>
          <w:tcPr>
            <w:tcW w:w="635" w:type="pct"/>
            <w:tcBorders>
              <w:top w:val="nil"/>
              <w:bottom w:val="single" w:sz="4" w:space="0" w:color="auto"/>
            </w:tcBorders>
            <w:shd w:val="clear" w:color="auto" w:fill="auto"/>
            <w:vAlign w:val="center"/>
          </w:tcPr>
          <w:p w14:paraId="66EA2224"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rPr>
              <w:t>9/38 (23.7)</w:t>
            </w:r>
          </w:p>
        </w:tc>
        <w:tc>
          <w:tcPr>
            <w:tcW w:w="635" w:type="pct"/>
            <w:tcBorders>
              <w:top w:val="nil"/>
              <w:bottom w:val="single" w:sz="4" w:space="0" w:color="auto"/>
            </w:tcBorders>
            <w:shd w:val="clear" w:color="auto" w:fill="auto"/>
            <w:vAlign w:val="center"/>
          </w:tcPr>
          <w:p w14:paraId="3F2CB6E4"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rPr>
              <w:t>4/43 (9.3)</w:t>
            </w:r>
          </w:p>
        </w:tc>
        <w:tc>
          <w:tcPr>
            <w:tcW w:w="874" w:type="pct"/>
            <w:tcBorders>
              <w:top w:val="nil"/>
              <w:bottom w:val="single" w:sz="4" w:space="0" w:color="auto"/>
            </w:tcBorders>
            <w:shd w:val="clear" w:color="auto" w:fill="auto"/>
            <w:vAlign w:val="center"/>
          </w:tcPr>
          <w:p w14:paraId="31710D50"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0.14 (-0.02, 0.30)</w:t>
            </w:r>
          </w:p>
        </w:tc>
        <w:tc>
          <w:tcPr>
            <w:tcW w:w="793" w:type="pct"/>
            <w:tcBorders>
              <w:top w:val="nil"/>
              <w:bottom w:val="single" w:sz="4" w:space="0" w:color="auto"/>
            </w:tcBorders>
            <w:shd w:val="clear" w:color="auto" w:fill="auto"/>
            <w:vAlign w:val="center"/>
          </w:tcPr>
          <w:p w14:paraId="591890A6"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2.55 (0.85, 7.60)</w:t>
            </w:r>
          </w:p>
        </w:tc>
        <w:tc>
          <w:tcPr>
            <w:tcW w:w="795" w:type="pct"/>
            <w:tcBorders>
              <w:top w:val="nil"/>
              <w:bottom w:val="single" w:sz="4" w:space="0" w:color="auto"/>
            </w:tcBorders>
            <w:shd w:val="clear" w:color="auto" w:fill="auto"/>
          </w:tcPr>
          <w:p w14:paraId="1E72214D" w14:textId="77777777" w:rsidR="00762040" w:rsidRPr="00F81A33" w:rsidRDefault="00762040" w:rsidP="005B7AD6">
            <w:pPr>
              <w:keepNext/>
              <w:keepLines/>
              <w:jc w:val="center"/>
              <w:rPr>
                <w:rFonts w:ascii="Arial Narrow" w:hAnsi="Arial Narrow"/>
                <w:b/>
                <w:bCs/>
                <w:sz w:val="20"/>
                <w:szCs w:val="20"/>
                <w:lang w:val="fr-FR"/>
              </w:rPr>
            </w:pPr>
            <w:r w:rsidRPr="00F81A33">
              <w:rPr>
                <w:rFonts w:ascii="Arial Narrow" w:hAnsi="Arial Narrow"/>
                <w:bCs/>
                <w:sz w:val="20"/>
                <w:szCs w:val="20"/>
              </w:rPr>
              <w:t>3.03 (0.85, 10.80)</w:t>
            </w:r>
          </w:p>
        </w:tc>
      </w:tr>
      <w:tr w:rsidR="00762040" w:rsidRPr="00F81A33" w14:paraId="36567CF7" w14:textId="77777777" w:rsidTr="002671F6">
        <w:tc>
          <w:tcPr>
            <w:tcW w:w="1268" w:type="pct"/>
            <w:tcBorders>
              <w:bottom w:val="nil"/>
            </w:tcBorders>
            <w:shd w:val="clear" w:color="auto" w:fill="auto"/>
            <w:vAlign w:val="center"/>
          </w:tcPr>
          <w:p w14:paraId="5474A523"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b/>
                <w:sz w:val="20"/>
                <w:szCs w:val="20"/>
              </w:rPr>
              <w:t>ADA v PBO</w:t>
            </w:r>
          </w:p>
        </w:tc>
        <w:tc>
          <w:tcPr>
            <w:tcW w:w="635" w:type="pct"/>
            <w:tcBorders>
              <w:bottom w:val="nil"/>
            </w:tcBorders>
            <w:shd w:val="clear" w:color="auto" w:fill="auto"/>
            <w:vAlign w:val="center"/>
          </w:tcPr>
          <w:p w14:paraId="19F024FB" w14:textId="77777777" w:rsidR="00762040" w:rsidRPr="00F81A33" w:rsidRDefault="00762040" w:rsidP="005B7AD6">
            <w:pPr>
              <w:keepNext/>
              <w:keepLines/>
              <w:jc w:val="center"/>
              <w:rPr>
                <w:rFonts w:ascii="Arial Narrow" w:hAnsi="Arial Narrow"/>
                <w:sz w:val="20"/>
                <w:szCs w:val="20"/>
              </w:rPr>
            </w:pPr>
          </w:p>
        </w:tc>
        <w:tc>
          <w:tcPr>
            <w:tcW w:w="635" w:type="pct"/>
            <w:tcBorders>
              <w:bottom w:val="nil"/>
            </w:tcBorders>
            <w:shd w:val="clear" w:color="auto" w:fill="auto"/>
            <w:vAlign w:val="center"/>
          </w:tcPr>
          <w:p w14:paraId="2CC76EED" w14:textId="77777777" w:rsidR="00762040" w:rsidRPr="00F81A33" w:rsidRDefault="00762040" w:rsidP="005B7AD6">
            <w:pPr>
              <w:keepNext/>
              <w:keepLines/>
              <w:jc w:val="center"/>
              <w:rPr>
                <w:rFonts w:ascii="Arial Narrow" w:hAnsi="Arial Narrow"/>
                <w:sz w:val="20"/>
                <w:szCs w:val="20"/>
              </w:rPr>
            </w:pPr>
          </w:p>
        </w:tc>
        <w:tc>
          <w:tcPr>
            <w:tcW w:w="874" w:type="pct"/>
            <w:tcBorders>
              <w:bottom w:val="nil"/>
            </w:tcBorders>
            <w:shd w:val="clear" w:color="auto" w:fill="auto"/>
            <w:vAlign w:val="center"/>
          </w:tcPr>
          <w:p w14:paraId="79F74758" w14:textId="77777777" w:rsidR="00762040" w:rsidRPr="00F81A33" w:rsidRDefault="00762040" w:rsidP="005B7AD6">
            <w:pPr>
              <w:keepNext/>
              <w:keepLines/>
              <w:jc w:val="center"/>
              <w:rPr>
                <w:rFonts w:ascii="Arial Narrow" w:hAnsi="Arial Narrow"/>
                <w:sz w:val="20"/>
                <w:szCs w:val="20"/>
              </w:rPr>
            </w:pPr>
          </w:p>
        </w:tc>
        <w:tc>
          <w:tcPr>
            <w:tcW w:w="793" w:type="pct"/>
            <w:tcBorders>
              <w:bottom w:val="nil"/>
            </w:tcBorders>
            <w:shd w:val="clear" w:color="auto" w:fill="auto"/>
            <w:vAlign w:val="center"/>
          </w:tcPr>
          <w:p w14:paraId="1E790597" w14:textId="77777777" w:rsidR="00762040" w:rsidRPr="00F81A33" w:rsidRDefault="00762040" w:rsidP="005B7AD6">
            <w:pPr>
              <w:keepNext/>
              <w:keepLines/>
              <w:jc w:val="center"/>
              <w:rPr>
                <w:rFonts w:ascii="Arial Narrow" w:hAnsi="Arial Narrow"/>
                <w:sz w:val="20"/>
                <w:szCs w:val="20"/>
              </w:rPr>
            </w:pPr>
          </w:p>
        </w:tc>
        <w:tc>
          <w:tcPr>
            <w:tcW w:w="795" w:type="pct"/>
            <w:tcBorders>
              <w:bottom w:val="nil"/>
            </w:tcBorders>
            <w:shd w:val="clear" w:color="auto" w:fill="auto"/>
          </w:tcPr>
          <w:p w14:paraId="23D826D5" w14:textId="77777777" w:rsidR="00762040" w:rsidRPr="00F81A33" w:rsidRDefault="00762040" w:rsidP="005B7AD6">
            <w:pPr>
              <w:keepNext/>
              <w:keepLines/>
              <w:jc w:val="center"/>
              <w:rPr>
                <w:rFonts w:ascii="Arial Narrow" w:hAnsi="Arial Narrow"/>
                <w:sz w:val="20"/>
                <w:szCs w:val="20"/>
                <w:lang w:val="fr-FR"/>
              </w:rPr>
            </w:pPr>
          </w:p>
        </w:tc>
      </w:tr>
      <w:tr w:rsidR="00762040" w:rsidRPr="00F81A33" w14:paraId="0548EAD8" w14:textId="77777777" w:rsidTr="002671F6">
        <w:tc>
          <w:tcPr>
            <w:tcW w:w="1268" w:type="pct"/>
            <w:tcBorders>
              <w:top w:val="nil"/>
              <w:bottom w:val="nil"/>
            </w:tcBorders>
            <w:shd w:val="clear" w:color="auto" w:fill="auto"/>
            <w:vAlign w:val="center"/>
          </w:tcPr>
          <w:p w14:paraId="2F04E36D"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sz w:val="20"/>
                <w:szCs w:val="20"/>
              </w:rPr>
              <w:t>[15] CLASSIC I (Wk4)</w:t>
            </w:r>
          </w:p>
        </w:tc>
        <w:tc>
          <w:tcPr>
            <w:tcW w:w="635" w:type="pct"/>
            <w:tcBorders>
              <w:top w:val="nil"/>
              <w:bottom w:val="nil"/>
            </w:tcBorders>
            <w:shd w:val="clear" w:color="auto" w:fill="auto"/>
            <w:vAlign w:val="center"/>
          </w:tcPr>
          <w:p w14:paraId="6995A250"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rPr>
              <w:t>0/12 (0.0)</w:t>
            </w:r>
          </w:p>
        </w:tc>
        <w:tc>
          <w:tcPr>
            <w:tcW w:w="635" w:type="pct"/>
            <w:tcBorders>
              <w:top w:val="nil"/>
              <w:bottom w:val="nil"/>
            </w:tcBorders>
            <w:shd w:val="clear" w:color="auto" w:fill="auto"/>
            <w:vAlign w:val="center"/>
          </w:tcPr>
          <w:p w14:paraId="2C80CF79"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rPr>
              <w:t>1/6 (16.7)</w:t>
            </w:r>
          </w:p>
        </w:tc>
        <w:tc>
          <w:tcPr>
            <w:tcW w:w="874" w:type="pct"/>
            <w:tcBorders>
              <w:top w:val="nil"/>
              <w:bottom w:val="nil"/>
            </w:tcBorders>
            <w:shd w:val="clear" w:color="auto" w:fill="auto"/>
            <w:vAlign w:val="center"/>
          </w:tcPr>
          <w:p w14:paraId="64A42AD3"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-0.17 (-0.49, 0.15)</w:t>
            </w:r>
          </w:p>
        </w:tc>
        <w:tc>
          <w:tcPr>
            <w:tcW w:w="793" w:type="pct"/>
            <w:tcBorders>
              <w:top w:val="nil"/>
              <w:bottom w:val="nil"/>
            </w:tcBorders>
            <w:shd w:val="clear" w:color="auto" w:fill="auto"/>
            <w:vAlign w:val="center"/>
          </w:tcPr>
          <w:p w14:paraId="090BC0A4"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0.18 (0.01, 3.85)</w:t>
            </w:r>
          </w:p>
        </w:tc>
        <w:tc>
          <w:tcPr>
            <w:tcW w:w="795" w:type="pct"/>
            <w:tcBorders>
              <w:top w:val="nil"/>
              <w:bottom w:val="nil"/>
            </w:tcBorders>
            <w:shd w:val="clear" w:color="auto" w:fill="auto"/>
          </w:tcPr>
          <w:p w14:paraId="22E9FAD8" w14:textId="77777777" w:rsidR="00762040" w:rsidRPr="00F81A33" w:rsidRDefault="00762040" w:rsidP="005B7AD6">
            <w:pPr>
              <w:keepNext/>
              <w:keepLines/>
              <w:jc w:val="center"/>
              <w:rPr>
                <w:rFonts w:ascii="Arial Narrow" w:hAnsi="Arial Narrow"/>
                <w:b/>
                <w:bCs/>
                <w:sz w:val="20"/>
                <w:szCs w:val="20"/>
                <w:lang w:val="fr-FR"/>
              </w:rPr>
            </w:pPr>
            <w:r w:rsidRPr="00F81A33">
              <w:rPr>
                <w:rFonts w:ascii="Arial Narrow" w:hAnsi="Arial Narrow"/>
                <w:bCs/>
                <w:sz w:val="20"/>
                <w:szCs w:val="20"/>
              </w:rPr>
              <w:t>0.15 (0.01, 4.20)</w:t>
            </w:r>
          </w:p>
        </w:tc>
      </w:tr>
      <w:tr w:rsidR="00762040" w:rsidRPr="00F81A33" w14:paraId="7BE4B32E" w14:textId="77777777" w:rsidTr="002671F6">
        <w:tc>
          <w:tcPr>
            <w:tcW w:w="1268" w:type="pct"/>
            <w:tcBorders>
              <w:top w:val="nil"/>
              <w:bottom w:val="nil"/>
            </w:tcBorders>
            <w:shd w:val="clear" w:color="auto" w:fill="auto"/>
            <w:vAlign w:val="center"/>
          </w:tcPr>
          <w:p w14:paraId="596600B0"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sz w:val="20"/>
                <w:szCs w:val="20"/>
                <w:lang w:val="fr-FR"/>
              </w:rPr>
              <w:t>[16] GAIN (Wk4)</w:t>
            </w:r>
          </w:p>
        </w:tc>
        <w:tc>
          <w:tcPr>
            <w:tcW w:w="635" w:type="pct"/>
            <w:tcBorders>
              <w:top w:val="nil"/>
              <w:bottom w:val="nil"/>
            </w:tcBorders>
            <w:shd w:val="clear" w:color="auto" w:fill="auto"/>
            <w:vAlign w:val="center"/>
          </w:tcPr>
          <w:p w14:paraId="39353DD3"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rPr>
              <w:t>1/20 (5.0)</w:t>
            </w:r>
          </w:p>
        </w:tc>
        <w:tc>
          <w:tcPr>
            <w:tcW w:w="635" w:type="pct"/>
            <w:tcBorders>
              <w:top w:val="nil"/>
              <w:bottom w:val="nil"/>
            </w:tcBorders>
            <w:shd w:val="clear" w:color="auto" w:fill="auto"/>
            <w:vAlign w:val="center"/>
          </w:tcPr>
          <w:p w14:paraId="4A9191FB"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rPr>
              <w:t>2/25 (8.0)</w:t>
            </w:r>
          </w:p>
        </w:tc>
        <w:tc>
          <w:tcPr>
            <w:tcW w:w="874" w:type="pct"/>
            <w:tcBorders>
              <w:top w:val="nil"/>
              <w:bottom w:val="nil"/>
            </w:tcBorders>
            <w:shd w:val="clear" w:color="auto" w:fill="auto"/>
            <w:vAlign w:val="center"/>
          </w:tcPr>
          <w:p w14:paraId="4D9A2B37"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-0.03 (-0.17, 0.11)</w:t>
            </w:r>
          </w:p>
        </w:tc>
        <w:tc>
          <w:tcPr>
            <w:tcW w:w="793" w:type="pct"/>
            <w:tcBorders>
              <w:top w:val="nil"/>
              <w:bottom w:val="nil"/>
            </w:tcBorders>
            <w:shd w:val="clear" w:color="auto" w:fill="auto"/>
            <w:vAlign w:val="center"/>
          </w:tcPr>
          <w:p w14:paraId="2E78BF70"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0.63 (0.06, 6.41)</w:t>
            </w:r>
          </w:p>
        </w:tc>
        <w:tc>
          <w:tcPr>
            <w:tcW w:w="795" w:type="pct"/>
            <w:tcBorders>
              <w:top w:val="nil"/>
              <w:bottom w:val="nil"/>
            </w:tcBorders>
            <w:shd w:val="clear" w:color="auto" w:fill="auto"/>
          </w:tcPr>
          <w:p w14:paraId="6954F916" w14:textId="77777777" w:rsidR="00762040" w:rsidRPr="00F81A33" w:rsidRDefault="00762040" w:rsidP="005B7AD6">
            <w:pPr>
              <w:keepNext/>
              <w:keepLines/>
              <w:jc w:val="center"/>
              <w:rPr>
                <w:rFonts w:ascii="Arial Narrow" w:hAnsi="Arial Narrow"/>
                <w:b/>
                <w:bCs/>
                <w:sz w:val="20"/>
                <w:szCs w:val="20"/>
                <w:lang w:val="fr-FR"/>
              </w:rPr>
            </w:pPr>
            <w:r w:rsidRPr="00F81A33">
              <w:rPr>
                <w:rFonts w:ascii="Arial Narrow" w:hAnsi="Arial Narrow"/>
                <w:bCs/>
                <w:sz w:val="20"/>
                <w:szCs w:val="20"/>
              </w:rPr>
              <w:t>0.61 (0.05, 7.20)</w:t>
            </w:r>
          </w:p>
        </w:tc>
      </w:tr>
      <w:tr w:rsidR="00762040" w:rsidRPr="00F81A33" w14:paraId="2A4566CC" w14:textId="77777777" w:rsidTr="002671F6">
        <w:tc>
          <w:tcPr>
            <w:tcW w:w="1268" w:type="pct"/>
            <w:tcBorders>
              <w:top w:val="nil"/>
              <w:bottom w:val="single" w:sz="4" w:space="0" w:color="auto"/>
            </w:tcBorders>
            <w:shd w:val="clear" w:color="auto" w:fill="auto"/>
            <w:vAlign w:val="center"/>
          </w:tcPr>
          <w:p w14:paraId="0FBAE506"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sz w:val="20"/>
                <w:szCs w:val="20"/>
              </w:rPr>
              <w:t>[17] Meta-analysis</w:t>
            </w:r>
          </w:p>
        </w:tc>
        <w:tc>
          <w:tcPr>
            <w:tcW w:w="635" w:type="pct"/>
            <w:tcBorders>
              <w:top w:val="nil"/>
              <w:bottom w:val="single" w:sz="4" w:space="0" w:color="auto"/>
            </w:tcBorders>
            <w:shd w:val="clear" w:color="auto" w:fill="auto"/>
            <w:vAlign w:val="center"/>
          </w:tcPr>
          <w:p w14:paraId="0FF0CDA8"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lang w:val="fr-FR"/>
              </w:rPr>
              <w:t>1/32 (3.1)</w:t>
            </w:r>
          </w:p>
        </w:tc>
        <w:tc>
          <w:tcPr>
            <w:tcW w:w="635" w:type="pct"/>
            <w:tcBorders>
              <w:top w:val="nil"/>
              <w:bottom w:val="single" w:sz="4" w:space="0" w:color="auto"/>
            </w:tcBorders>
            <w:shd w:val="clear" w:color="auto" w:fill="auto"/>
            <w:vAlign w:val="center"/>
          </w:tcPr>
          <w:p w14:paraId="240E5B88"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lang w:val="fr-FR"/>
              </w:rPr>
              <w:t>3/31 (9.7)</w:t>
            </w:r>
          </w:p>
        </w:tc>
        <w:tc>
          <w:tcPr>
            <w:tcW w:w="874" w:type="pct"/>
            <w:tcBorders>
              <w:top w:val="nil"/>
              <w:bottom w:val="single" w:sz="4" w:space="0" w:color="auto"/>
            </w:tcBorders>
            <w:shd w:val="clear" w:color="auto" w:fill="auto"/>
            <w:vAlign w:val="center"/>
          </w:tcPr>
          <w:p w14:paraId="55DA3E68"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lang w:val="fr-FR"/>
              </w:rPr>
              <w:t>-0.05 (-0.18, 0.08)</w:t>
            </w:r>
          </w:p>
        </w:tc>
        <w:tc>
          <w:tcPr>
            <w:tcW w:w="793" w:type="pct"/>
            <w:tcBorders>
              <w:top w:val="nil"/>
              <w:bottom w:val="single" w:sz="4" w:space="0" w:color="auto"/>
            </w:tcBorders>
            <w:shd w:val="clear" w:color="auto" w:fill="auto"/>
            <w:vAlign w:val="center"/>
          </w:tcPr>
          <w:p w14:paraId="3098F8FE"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Cs/>
                <w:sz w:val="20"/>
                <w:szCs w:val="20"/>
              </w:rPr>
              <w:t>0.40 (0.06, 2.53)</w:t>
            </w:r>
          </w:p>
        </w:tc>
        <w:tc>
          <w:tcPr>
            <w:tcW w:w="795" w:type="pct"/>
            <w:tcBorders>
              <w:top w:val="nil"/>
              <w:bottom w:val="single" w:sz="4" w:space="0" w:color="auto"/>
            </w:tcBorders>
            <w:shd w:val="clear" w:color="auto" w:fill="auto"/>
          </w:tcPr>
          <w:p w14:paraId="7795009C" w14:textId="77777777" w:rsidR="00762040" w:rsidRPr="00F81A33" w:rsidRDefault="00762040" w:rsidP="005B7AD6">
            <w:pPr>
              <w:keepNext/>
              <w:keepLines/>
              <w:jc w:val="center"/>
              <w:rPr>
                <w:rFonts w:ascii="Arial Narrow" w:hAnsi="Arial Narrow"/>
                <w:b/>
                <w:bCs/>
                <w:sz w:val="20"/>
                <w:szCs w:val="20"/>
                <w:lang w:val="fr-FR"/>
              </w:rPr>
            </w:pPr>
            <w:r w:rsidRPr="00F81A33">
              <w:rPr>
                <w:rFonts w:ascii="Arial Narrow" w:hAnsi="Arial Narrow"/>
                <w:bCs/>
                <w:sz w:val="20"/>
                <w:szCs w:val="20"/>
              </w:rPr>
              <w:t>0.37 (0.05, 2.69)</w:t>
            </w:r>
          </w:p>
        </w:tc>
      </w:tr>
      <w:tr w:rsidR="00762040" w:rsidRPr="00F81A33" w14:paraId="2DD26D38" w14:textId="77777777" w:rsidTr="002671F6">
        <w:tc>
          <w:tcPr>
            <w:tcW w:w="1268" w:type="pct"/>
            <w:tcBorders>
              <w:top w:val="single" w:sz="4" w:space="0" w:color="auto"/>
              <w:bottom w:val="nil"/>
            </w:tcBorders>
            <w:shd w:val="clear" w:color="auto" w:fill="auto"/>
            <w:vAlign w:val="center"/>
          </w:tcPr>
          <w:p w14:paraId="438558FB"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b/>
                <w:sz w:val="20"/>
                <w:szCs w:val="20"/>
              </w:rPr>
              <w:t>IFX v PBO</w:t>
            </w:r>
          </w:p>
        </w:tc>
        <w:tc>
          <w:tcPr>
            <w:tcW w:w="635" w:type="pct"/>
            <w:tcBorders>
              <w:top w:val="single" w:sz="4" w:space="0" w:color="auto"/>
              <w:bottom w:val="nil"/>
            </w:tcBorders>
            <w:shd w:val="clear" w:color="auto" w:fill="auto"/>
            <w:vAlign w:val="center"/>
          </w:tcPr>
          <w:p w14:paraId="6DB369DA" w14:textId="77777777" w:rsidR="00762040" w:rsidRPr="00F81A33" w:rsidRDefault="00762040" w:rsidP="005B7AD6">
            <w:pPr>
              <w:keepNext/>
              <w:keepLines/>
              <w:jc w:val="center"/>
              <w:rPr>
                <w:rFonts w:ascii="Arial Narrow" w:hAnsi="Arial Narrow"/>
                <w:sz w:val="20"/>
                <w:szCs w:val="20"/>
              </w:rPr>
            </w:pPr>
          </w:p>
        </w:tc>
        <w:tc>
          <w:tcPr>
            <w:tcW w:w="635" w:type="pct"/>
            <w:tcBorders>
              <w:top w:val="single" w:sz="4" w:space="0" w:color="auto"/>
              <w:bottom w:val="nil"/>
            </w:tcBorders>
            <w:shd w:val="clear" w:color="auto" w:fill="auto"/>
            <w:vAlign w:val="center"/>
          </w:tcPr>
          <w:p w14:paraId="16F0B3C7" w14:textId="77777777" w:rsidR="00762040" w:rsidRPr="00F81A33" w:rsidRDefault="00762040" w:rsidP="005B7AD6">
            <w:pPr>
              <w:keepNext/>
              <w:keepLines/>
              <w:jc w:val="center"/>
              <w:rPr>
                <w:rFonts w:ascii="Arial Narrow" w:hAnsi="Arial Narrow"/>
                <w:sz w:val="20"/>
                <w:szCs w:val="20"/>
              </w:rPr>
            </w:pPr>
          </w:p>
        </w:tc>
        <w:tc>
          <w:tcPr>
            <w:tcW w:w="874" w:type="pct"/>
            <w:tcBorders>
              <w:top w:val="single" w:sz="4" w:space="0" w:color="auto"/>
              <w:bottom w:val="nil"/>
            </w:tcBorders>
            <w:shd w:val="clear" w:color="auto" w:fill="auto"/>
            <w:vAlign w:val="center"/>
          </w:tcPr>
          <w:p w14:paraId="2B2D9C35" w14:textId="77777777" w:rsidR="00762040" w:rsidRPr="00F81A33" w:rsidRDefault="00762040" w:rsidP="005B7AD6">
            <w:pPr>
              <w:keepNext/>
              <w:keepLines/>
              <w:jc w:val="center"/>
              <w:rPr>
                <w:rFonts w:ascii="Arial Narrow" w:hAnsi="Arial Narrow"/>
                <w:sz w:val="20"/>
                <w:szCs w:val="20"/>
              </w:rPr>
            </w:pPr>
          </w:p>
        </w:tc>
        <w:tc>
          <w:tcPr>
            <w:tcW w:w="793" w:type="pct"/>
            <w:tcBorders>
              <w:top w:val="single" w:sz="4" w:space="0" w:color="auto"/>
              <w:bottom w:val="nil"/>
            </w:tcBorders>
            <w:shd w:val="clear" w:color="auto" w:fill="auto"/>
            <w:vAlign w:val="center"/>
          </w:tcPr>
          <w:p w14:paraId="0FCE589A" w14:textId="77777777" w:rsidR="00762040" w:rsidRPr="00F81A33" w:rsidRDefault="00762040" w:rsidP="005B7AD6">
            <w:pPr>
              <w:keepNext/>
              <w:keepLines/>
              <w:jc w:val="center"/>
              <w:rPr>
                <w:rFonts w:ascii="Arial Narrow" w:hAnsi="Arial Narrow"/>
                <w:sz w:val="20"/>
                <w:szCs w:val="20"/>
              </w:rPr>
            </w:pPr>
          </w:p>
        </w:tc>
        <w:tc>
          <w:tcPr>
            <w:tcW w:w="795" w:type="pct"/>
            <w:tcBorders>
              <w:top w:val="single" w:sz="4" w:space="0" w:color="auto"/>
              <w:bottom w:val="nil"/>
            </w:tcBorders>
            <w:shd w:val="clear" w:color="auto" w:fill="auto"/>
          </w:tcPr>
          <w:p w14:paraId="7A29BA06" w14:textId="77777777" w:rsidR="00762040" w:rsidRPr="00F81A33" w:rsidRDefault="00762040" w:rsidP="005B7AD6">
            <w:pPr>
              <w:keepNext/>
              <w:keepLines/>
              <w:jc w:val="center"/>
              <w:rPr>
                <w:rFonts w:ascii="Arial Narrow" w:hAnsi="Arial Narrow"/>
                <w:sz w:val="20"/>
                <w:szCs w:val="20"/>
                <w:lang w:val="fr-FR"/>
              </w:rPr>
            </w:pPr>
          </w:p>
        </w:tc>
      </w:tr>
      <w:tr w:rsidR="00762040" w:rsidRPr="00F81A33" w14:paraId="2232A8BC" w14:textId="77777777" w:rsidTr="002671F6">
        <w:tc>
          <w:tcPr>
            <w:tcW w:w="1268" w:type="pct"/>
            <w:tcBorders>
              <w:top w:val="nil"/>
              <w:bottom w:val="single" w:sz="4" w:space="0" w:color="auto"/>
            </w:tcBorders>
            <w:shd w:val="clear" w:color="auto" w:fill="auto"/>
            <w:vAlign w:val="center"/>
          </w:tcPr>
          <w:p w14:paraId="7CB4CCB0" w14:textId="77777777" w:rsidR="00762040" w:rsidRPr="00F81A33" w:rsidRDefault="00762040" w:rsidP="005B7AD6">
            <w:pPr>
              <w:keepNext/>
              <w:keepLines/>
              <w:jc w:val="left"/>
              <w:rPr>
                <w:rFonts w:ascii="Arial Narrow" w:hAnsi="Arial Narrow"/>
                <w:b/>
                <w:bCs/>
                <w:sz w:val="20"/>
                <w:szCs w:val="20"/>
              </w:rPr>
            </w:pPr>
            <w:r w:rsidRPr="00F81A33">
              <w:rPr>
                <w:rFonts w:ascii="Arial Narrow" w:hAnsi="Arial Narrow"/>
                <w:sz w:val="20"/>
                <w:szCs w:val="20"/>
                <w:lang w:val="fr-FR"/>
              </w:rPr>
              <w:t>[18] T20 (Wk18)</w:t>
            </w:r>
          </w:p>
        </w:tc>
        <w:tc>
          <w:tcPr>
            <w:tcW w:w="635" w:type="pct"/>
            <w:tcBorders>
              <w:top w:val="nil"/>
              <w:bottom w:val="single" w:sz="4" w:space="0" w:color="auto"/>
            </w:tcBorders>
            <w:shd w:val="clear" w:color="auto" w:fill="auto"/>
            <w:vAlign w:val="center"/>
          </w:tcPr>
          <w:p w14:paraId="3F1D89DA"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rPr>
              <w:t>17/31 (55)</w:t>
            </w:r>
          </w:p>
        </w:tc>
        <w:tc>
          <w:tcPr>
            <w:tcW w:w="635" w:type="pct"/>
            <w:tcBorders>
              <w:top w:val="nil"/>
              <w:bottom w:val="single" w:sz="4" w:space="0" w:color="auto"/>
            </w:tcBorders>
            <w:shd w:val="clear" w:color="auto" w:fill="auto"/>
            <w:vAlign w:val="center"/>
          </w:tcPr>
          <w:p w14:paraId="6B3E4B3B"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rPr>
              <w:t>4/31 (13)</w:t>
            </w:r>
          </w:p>
        </w:tc>
        <w:tc>
          <w:tcPr>
            <w:tcW w:w="874" w:type="pct"/>
            <w:tcBorders>
              <w:top w:val="nil"/>
              <w:bottom w:val="single" w:sz="4" w:space="0" w:color="auto"/>
            </w:tcBorders>
            <w:shd w:val="clear" w:color="auto" w:fill="auto"/>
            <w:vAlign w:val="center"/>
          </w:tcPr>
          <w:p w14:paraId="4FD90ADF"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
                <w:bCs/>
                <w:sz w:val="20"/>
                <w:szCs w:val="20"/>
              </w:rPr>
              <w:t>0.42 (0.21, 0.63)</w:t>
            </w:r>
          </w:p>
        </w:tc>
        <w:tc>
          <w:tcPr>
            <w:tcW w:w="793" w:type="pct"/>
            <w:tcBorders>
              <w:top w:val="nil"/>
              <w:bottom w:val="single" w:sz="4" w:space="0" w:color="auto"/>
            </w:tcBorders>
            <w:shd w:val="clear" w:color="auto" w:fill="auto"/>
            <w:vAlign w:val="center"/>
          </w:tcPr>
          <w:p w14:paraId="5482F157"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
                <w:bCs/>
                <w:sz w:val="20"/>
                <w:szCs w:val="20"/>
              </w:rPr>
              <w:t>4.25 (1.61, 11.20)</w:t>
            </w:r>
          </w:p>
        </w:tc>
        <w:tc>
          <w:tcPr>
            <w:tcW w:w="795" w:type="pct"/>
            <w:tcBorders>
              <w:top w:val="nil"/>
              <w:bottom w:val="single" w:sz="4" w:space="0" w:color="auto"/>
            </w:tcBorders>
            <w:shd w:val="clear" w:color="auto" w:fill="auto"/>
          </w:tcPr>
          <w:p w14:paraId="3E7178C3" w14:textId="77777777" w:rsidR="00762040" w:rsidRPr="00F81A33" w:rsidRDefault="00762040" w:rsidP="005B7AD6">
            <w:pPr>
              <w:keepNext/>
              <w:keepLines/>
              <w:jc w:val="center"/>
              <w:rPr>
                <w:rFonts w:ascii="Arial Narrow" w:hAnsi="Arial Narrow"/>
                <w:b/>
                <w:bCs/>
                <w:sz w:val="20"/>
                <w:szCs w:val="20"/>
                <w:lang w:val="fr-FR"/>
              </w:rPr>
            </w:pPr>
            <w:r w:rsidRPr="00F81A33">
              <w:rPr>
                <w:rFonts w:ascii="Arial Narrow" w:hAnsi="Arial Narrow"/>
                <w:b/>
                <w:bCs/>
                <w:sz w:val="20"/>
                <w:szCs w:val="20"/>
                <w:lang w:val="fr-FR"/>
              </w:rPr>
              <w:t>8.20 (2.31, 29.07)</w:t>
            </w:r>
          </w:p>
        </w:tc>
      </w:tr>
      <w:tr w:rsidR="00762040" w:rsidRPr="00F81A33" w14:paraId="224A4456" w14:textId="77777777" w:rsidTr="002671F6">
        <w:tc>
          <w:tcPr>
            <w:tcW w:w="5000" w:type="pct"/>
            <w:gridSpan w:val="6"/>
            <w:tcBorders>
              <w:bottom w:val="single" w:sz="4" w:space="0" w:color="auto"/>
            </w:tcBorders>
            <w:shd w:val="clear" w:color="auto" w:fill="auto"/>
            <w:vAlign w:val="center"/>
          </w:tcPr>
          <w:p w14:paraId="0C7FEA40" w14:textId="424D60F5" w:rsidR="00762040" w:rsidRPr="00F81A33" w:rsidRDefault="00601152" w:rsidP="005B7AD6">
            <w:pPr>
              <w:keepNext/>
              <w:keepLines/>
              <w:jc w:val="left"/>
              <w:rPr>
                <w:rFonts w:ascii="Arial Narrow" w:hAnsi="Arial Narrow"/>
                <w:b/>
                <w:bCs/>
                <w:sz w:val="20"/>
                <w:szCs w:val="20"/>
                <w:lang w:val="fr-FR"/>
              </w:rPr>
            </w:pPr>
            <w:r w:rsidRPr="00F81A33">
              <w:rPr>
                <w:rFonts w:ascii="Arial Narrow" w:hAnsi="Arial Narrow"/>
                <w:b/>
                <w:bCs/>
                <w:sz w:val="20"/>
                <w:szCs w:val="20"/>
              </w:rPr>
              <w:t xml:space="preserve">ANCHORED </w:t>
            </w:r>
            <w:r w:rsidR="00762040" w:rsidRPr="00F81A33">
              <w:rPr>
                <w:rFonts w:ascii="Arial Narrow" w:hAnsi="Arial Narrow"/>
                <w:b/>
                <w:bCs/>
                <w:sz w:val="20"/>
                <w:szCs w:val="20"/>
              </w:rPr>
              <w:t>INDIRECT COMPARISONS</w:t>
            </w:r>
          </w:p>
        </w:tc>
      </w:tr>
      <w:tr w:rsidR="00762040" w:rsidRPr="00F81A33" w14:paraId="602C4FAD" w14:textId="77777777" w:rsidTr="002671F6">
        <w:tc>
          <w:tcPr>
            <w:tcW w:w="2538" w:type="pct"/>
            <w:gridSpan w:val="3"/>
            <w:tcBorders>
              <w:top w:val="single" w:sz="4" w:space="0" w:color="auto"/>
              <w:bottom w:val="nil"/>
            </w:tcBorders>
            <w:shd w:val="clear" w:color="auto" w:fill="auto"/>
            <w:vAlign w:val="center"/>
          </w:tcPr>
          <w:p w14:paraId="162C5BBB" w14:textId="77777777" w:rsidR="00762040" w:rsidRPr="00F81A33" w:rsidRDefault="00762040" w:rsidP="005B7AD6">
            <w:pPr>
              <w:keepNext/>
              <w:keepLines/>
              <w:jc w:val="right"/>
              <w:rPr>
                <w:rFonts w:ascii="Arial Narrow" w:hAnsi="Arial Narrow"/>
                <w:b/>
                <w:bCs/>
                <w:sz w:val="20"/>
                <w:szCs w:val="20"/>
              </w:rPr>
            </w:pPr>
            <w:r w:rsidRPr="00F81A33">
              <w:rPr>
                <w:rFonts w:ascii="Arial Narrow" w:hAnsi="Arial Narrow"/>
                <w:b/>
                <w:bCs/>
                <w:sz w:val="20"/>
                <w:szCs w:val="20"/>
              </w:rPr>
              <w:t>FISTULA RESPONSE</w:t>
            </w:r>
          </w:p>
        </w:tc>
        <w:tc>
          <w:tcPr>
            <w:tcW w:w="874" w:type="pct"/>
            <w:tcBorders>
              <w:top w:val="single" w:sz="4" w:space="0" w:color="auto"/>
              <w:bottom w:val="nil"/>
            </w:tcBorders>
            <w:shd w:val="clear" w:color="auto" w:fill="auto"/>
            <w:vAlign w:val="center"/>
          </w:tcPr>
          <w:p w14:paraId="3EC7C929" w14:textId="77777777" w:rsidR="00762040" w:rsidRPr="00F81A33" w:rsidRDefault="00762040" w:rsidP="005B7AD6">
            <w:pPr>
              <w:keepNext/>
              <w:keepLines/>
              <w:jc w:val="center"/>
              <w:rPr>
                <w:rFonts w:ascii="Arial Narrow" w:hAnsi="Arial Narrow"/>
                <w:sz w:val="20"/>
                <w:szCs w:val="20"/>
              </w:rPr>
            </w:pPr>
          </w:p>
        </w:tc>
        <w:tc>
          <w:tcPr>
            <w:tcW w:w="793" w:type="pct"/>
            <w:tcBorders>
              <w:top w:val="single" w:sz="4" w:space="0" w:color="auto"/>
              <w:bottom w:val="nil"/>
            </w:tcBorders>
            <w:shd w:val="clear" w:color="auto" w:fill="auto"/>
            <w:vAlign w:val="center"/>
          </w:tcPr>
          <w:p w14:paraId="117CF487" w14:textId="77777777" w:rsidR="00762040" w:rsidRPr="00F81A33" w:rsidRDefault="00762040" w:rsidP="005B7AD6">
            <w:pPr>
              <w:keepNext/>
              <w:keepLines/>
              <w:jc w:val="center"/>
              <w:rPr>
                <w:rFonts w:ascii="Arial Narrow" w:hAnsi="Arial Narrow"/>
                <w:sz w:val="20"/>
                <w:szCs w:val="20"/>
              </w:rPr>
            </w:pPr>
          </w:p>
        </w:tc>
        <w:tc>
          <w:tcPr>
            <w:tcW w:w="795" w:type="pct"/>
            <w:tcBorders>
              <w:top w:val="single" w:sz="4" w:space="0" w:color="auto"/>
              <w:bottom w:val="nil"/>
            </w:tcBorders>
            <w:shd w:val="clear" w:color="auto" w:fill="auto"/>
          </w:tcPr>
          <w:p w14:paraId="01BD8F3A" w14:textId="77777777" w:rsidR="00762040" w:rsidRPr="00F81A33" w:rsidRDefault="00762040" w:rsidP="005B7AD6">
            <w:pPr>
              <w:keepNext/>
              <w:keepLines/>
              <w:jc w:val="center"/>
              <w:rPr>
                <w:rFonts w:ascii="Arial Narrow" w:hAnsi="Arial Narrow"/>
                <w:sz w:val="20"/>
                <w:szCs w:val="20"/>
                <w:lang w:val="fr-FR"/>
              </w:rPr>
            </w:pPr>
          </w:p>
        </w:tc>
      </w:tr>
      <w:tr w:rsidR="00762040" w:rsidRPr="00F81A33" w14:paraId="466E8EB0" w14:textId="77777777" w:rsidTr="002671F6">
        <w:tc>
          <w:tcPr>
            <w:tcW w:w="2538" w:type="pct"/>
            <w:gridSpan w:val="3"/>
            <w:tcBorders>
              <w:top w:val="nil"/>
              <w:bottom w:val="nil"/>
            </w:tcBorders>
            <w:shd w:val="clear" w:color="auto" w:fill="auto"/>
            <w:vAlign w:val="center"/>
          </w:tcPr>
          <w:p w14:paraId="1EF9951D" w14:textId="77777777" w:rsidR="00762040" w:rsidRPr="00F81A33" w:rsidRDefault="00762040" w:rsidP="005B7AD6">
            <w:pPr>
              <w:keepNext/>
              <w:keepLines/>
              <w:ind w:left="112"/>
              <w:jc w:val="right"/>
              <w:rPr>
                <w:rFonts w:ascii="Arial Narrow" w:hAnsi="Arial Narrow"/>
                <w:sz w:val="20"/>
                <w:szCs w:val="20"/>
                <w:lang w:val="de-DE"/>
              </w:rPr>
            </w:pPr>
            <w:r w:rsidRPr="00F81A33">
              <w:rPr>
                <w:rFonts w:ascii="Arial Narrow" w:hAnsi="Arial Narrow"/>
                <w:sz w:val="20"/>
                <w:szCs w:val="20"/>
                <w:lang w:val="de-DE"/>
              </w:rPr>
              <w:t>UST Wk8 [6] v ADA Wk4 [9]</w:t>
            </w:r>
          </w:p>
        </w:tc>
        <w:tc>
          <w:tcPr>
            <w:tcW w:w="874" w:type="pct"/>
            <w:tcBorders>
              <w:top w:val="nil"/>
              <w:bottom w:val="nil"/>
            </w:tcBorders>
            <w:shd w:val="clear" w:color="auto" w:fill="auto"/>
            <w:vAlign w:val="center"/>
          </w:tcPr>
          <w:p w14:paraId="67DA4E47"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0.16 (-0.08, 0.40)</w:t>
            </w:r>
          </w:p>
        </w:tc>
        <w:tc>
          <w:tcPr>
            <w:tcW w:w="793" w:type="pct"/>
            <w:tcBorders>
              <w:top w:val="nil"/>
              <w:bottom w:val="nil"/>
            </w:tcBorders>
            <w:shd w:val="clear" w:color="auto" w:fill="auto"/>
            <w:vAlign w:val="center"/>
          </w:tcPr>
          <w:p w14:paraId="3CF9E457"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2.70 (0.66, 11.05)</w:t>
            </w:r>
          </w:p>
        </w:tc>
        <w:tc>
          <w:tcPr>
            <w:tcW w:w="795" w:type="pct"/>
            <w:tcBorders>
              <w:top w:val="nil"/>
              <w:bottom w:val="nil"/>
            </w:tcBorders>
            <w:shd w:val="clear" w:color="auto" w:fill="auto"/>
          </w:tcPr>
          <w:p w14:paraId="59B9C2AF" w14:textId="77777777" w:rsidR="00762040" w:rsidRPr="00F81A33" w:rsidRDefault="00762040" w:rsidP="005B7AD6">
            <w:pPr>
              <w:keepNext/>
              <w:keepLines/>
              <w:jc w:val="center"/>
              <w:rPr>
                <w:rFonts w:ascii="Arial Narrow" w:hAnsi="Arial Narrow"/>
                <w:sz w:val="20"/>
                <w:szCs w:val="20"/>
                <w:lang w:val="fr-FR"/>
              </w:rPr>
            </w:pPr>
            <w:r w:rsidRPr="00F81A33">
              <w:rPr>
                <w:rFonts w:ascii="Arial Narrow" w:hAnsi="Arial Narrow"/>
                <w:sz w:val="20"/>
                <w:szCs w:val="20"/>
                <w:lang w:val="fr-FR"/>
              </w:rPr>
              <w:t>3.26 (0.60, 17.83)</w:t>
            </w:r>
          </w:p>
        </w:tc>
      </w:tr>
      <w:tr w:rsidR="00762040" w:rsidRPr="00F81A33" w14:paraId="1865298D" w14:textId="77777777" w:rsidTr="002671F6">
        <w:tc>
          <w:tcPr>
            <w:tcW w:w="2538" w:type="pct"/>
            <w:gridSpan w:val="3"/>
            <w:tcBorders>
              <w:top w:val="nil"/>
              <w:bottom w:val="single" w:sz="4" w:space="0" w:color="auto"/>
            </w:tcBorders>
            <w:shd w:val="clear" w:color="auto" w:fill="auto"/>
            <w:vAlign w:val="center"/>
          </w:tcPr>
          <w:p w14:paraId="1A64CAFC" w14:textId="77777777" w:rsidR="00762040" w:rsidRPr="00F81A33" w:rsidRDefault="00762040" w:rsidP="005B7AD6">
            <w:pPr>
              <w:keepNext/>
              <w:keepLines/>
              <w:ind w:left="112"/>
              <w:jc w:val="right"/>
              <w:rPr>
                <w:rFonts w:ascii="Arial Narrow" w:hAnsi="Arial Narrow"/>
                <w:sz w:val="20"/>
                <w:szCs w:val="20"/>
              </w:rPr>
            </w:pPr>
            <w:r w:rsidRPr="00F81A33">
              <w:rPr>
                <w:rFonts w:ascii="Arial Narrow" w:hAnsi="Arial Narrow"/>
                <w:sz w:val="20"/>
                <w:szCs w:val="20"/>
              </w:rPr>
              <w:t>UST Wk8 [6] v IFX Wk16 [10]</w:t>
            </w:r>
          </w:p>
        </w:tc>
        <w:tc>
          <w:tcPr>
            <w:tcW w:w="874" w:type="pct"/>
            <w:tcBorders>
              <w:top w:val="nil"/>
              <w:bottom w:val="single" w:sz="4" w:space="0" w:color="auto"/>
            </w:tcBorders>
            <w:shd w:val="clear" w:color="auto" w:fill="auto"/>
            <w:vAlign w:val="center"/>
          </w:tcPr>
          <w:p w14:paraId="27CBDF3E"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
                <w:bCs/>
                <w:sz w:val="20"/>
                <w:szCs w:val="20"/>
              </w:rPr>
              <w:t>-0.36 (-0.63, -0.10)</w:t>
            </w:r>
          </w:p>
        </w:tc>
        <w:tc>
          <w:tcPr>
            <w:tcW w:w="793" w:type="pct"/>
            <w:tcBorders>
              <w:top w:val="nil"/>
              <w:bottom w:val="single" w:sz="4" w:space="0" w:color="auto"/>
            </w:tcBorders>
            <w:shd w:val="clear" w:color="auto" w:fill="auto"/>
            <w:vAlign w:val="center"/>
          </w:tcPr>
          <w:p w14:paraId="5340221E"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0.57 (0.20, 1.66)</w:t>
            </w:r>
          </w:p>
        </w:tc>
        <w:tc>
          <w:tcPr>
            <w:tcW w:w="795" w:type="pct"/>
            <w:tcBorders>
              <w:top w:val="nil"/>
              <w:bottom w:val="single" w:sz="4" w:space="0" w:color="auto"/>
            </w:tcBorders>
            <w:shd w:val="clear" w:color="auto" w:fill="auto"/>
          </w:tcPr>
          <w:p w14:paraId="5E69B582" w14:textId="77777777" w:rsidR="00762040" w:rsidRPr="00F81A33" w:rsidRDefault="00762040" w:rsidP="005B7AD6">
            <w:pPr>
              <w:keepNext/>
              <w:keepLines/>
              <w:jc w:val="center"/>
              <w:rPr>
                <w:rFonts w:ascii="Arial Narrow" w:hAnsi="Arial Narrow"/>
                <w:sz w:val="20"/>
                <w:szCs w:val="20"/>
                <w:lang w:val="fr-FR"/>
              </w:rPr>
            </w:pPr>
            <w:r w:rsidRPr="00F81A33">
              <w:rPr>
                <w:rFonts w:ascii="Arial Narrow" w:hAnsi="Arial Narrow"/>
                <w:sz w:val="20"/>
                <w:szCs w:val="20"/>
                <w:lang w:val="fr-FR"/>
              </w:rPr>
              <w:t>0.27 (0.06, 1.22)</w:t>
            </w:r>
          </w:p>
        </w:tc>
      </w:tr>
      <w:tr w:rsidR="00762040" w:rsidRPr="00F81A33" w14:paraId="75D63C4E" w14:textId="77777777" w:rsidTr="002671F6">
        <w:tc>
          <w:tcPr>
            <w:tcW w:w="2538" w:type="pct"/>
            <w:gridSpan w:val="3"/>
            <w:tcBorders>
              <w:top w:val="single" w:sz="4" w:space="0" w:color="auto"/>
              <w:bottom w:val="nil"/>
            </w:tcBorders>
            <w:shd w:val="clear" w:color="auto" w:fill="auto"/>
            <w:vAlign w:val="center"/>
          </w:tcPr>
          <w:p w14:paraId="7BF7BA38" w14:textId="77777777" w:rsidR="00762040" w:rsidRPr="00F81A33" w:rsidRDefault="00762040" w:rsidP="005B7AD6">
            <w:pPr>
              <w:keepNext/>
              <w:keepLines/>
              <w:ind w:left="112"/>
              <w:jc w:val="right"/>
              <w:rPr>
                <w:rFonts w:ascii="Arial Narrow" w:hAnsi="Arial Narrow"/>
                <w:sz w:val="20"/>
                <w:szCs w:val="20"/>
              </w:rPr>
            </w:pPr>
            <w:r w:rsidRPr="00F81A33">
              <w:rPr>
                <w:rFonts w:ascii="Arial Narrow" w:hAnsi="Arial Narrow"/>
                <w:b/>
                <w:bCs/>
                <w:sz w:val="20"/>
                <w:szCs w:val="20"/>
              </w:rPr>
              <w:t>FISTULA REMISSION</w:t>
            </w:r>
          </w:p>
        </w:tc>
        <w:tc>
          <w:tcPr>
            <w:tcW w:w="874" w:type="pct"/>
            <w:tcBorders>
              <w:top w:val="single" w:sz="4" w:space="0" w:color="auto"/>
              <w:bottom w:val="nil"/>
            </w:tcBorders>
            <w:shd w:val="clear" w:color="auto" w:fill="auto"/>
            <w:vAlign w:val="center"/>
          </w:tcPr>
          <w:p w14:paraId="69AFF8CB" w14:textId="77777777" w:rsidR="00762040" w:rsidRPr="00F81A33" w:rsidRDefault="00762040" w:rsidP="005B7AD6">
            <w:pPr>
              <w:keepNext/>
              <w:keepLines/>
              <w:jc w:val="center"/>
              <w:rPr>
                <w:rFonts w:ascii="Arial Narrow" w:hAnsi="Arial Narrow"/>
                <w:b/>
                <w:bCs/>
                <w:sz w:val="20"/>
                <w:szCs w:val="20"/>
              </w:rPr>
            </w:pPr>
          </w:p>
        </w:tc>
        <w:tc>
          <w:tcPr>
            <w:tcW w:w="793" w:type="pct"/>
            <w:tcBorders>
              <w:top w:val="single" w:sz="4" w:space="0" w:color="auto"/>
              <w:bottom w:val="nil"/>
            </w:tcBorders>
            <w:shd w:val="clear" w:color="auto" w:fill="auto"/>
            <w:vAlign w:val="center"/>
          </w:tcPr>
          <w:p w14:paraId="1EE866BB" w14:textId="77777777" w:rsidR="00762040" w:rsidRPr="00F81A33" w:rsidRDefault="00762040" w:rsidP="005B7AD6">
            <w:pPr>
              <w:keepNext/>
              <w:keepLines/>
              <w:jc w:val="center"/>
              <w:rPr>
                <w:rFonts w:ascii="Arial Narrow" w:hAnsi="Arial Narrow"/>
                <w:sz w:val="20"/>
                <w:szCs w:val="20"/>
              </w:rPr>
            </w:pPr>
          </w:p>
        </w:tc>
        <w:tc>
          <w:tcPr>
            <w:tcW w:w="795" w:type="pct"/>
            <w:tcBorders>
              <w:top w:val="single" w:sz="4" w:space="0" w:color="auto"/>
              <w:bottom w:val="nil"/>
            </w:tcBorders>
            <w:shd w:val="clear" w:color="auto" w:fill="auto"/>
          </w:tcPr>
          <w:p w14:paraId="54B9C563" w14:textId="77777777" w:rsidR="00762040" w:rsidRPr="00F81A33" w:rsidRDefault="00762040" w:rsidP="005B7AD6">
            <w:pPr>
              <w:keepNext/>
              <w:keepLines/>
              <w:jc w:val="center"/>
              <w:rPr>
                <w:rFonts w:ascii="Arial Narrow" w:hAnsi="Arial Narrow"/>
                <w:sz w:val="20"/>
                <w:szCs w:val="20"/>
                <w:lang w:val="fr-FR"/>
              </w:rPr>
            </w:pPr>
          </w:p>
        </w:tc>
      </w:tr>
      <w:tr w:rsidR="00762040" w:rsidRPr="00F81A33" w14:paraId="34F22DBC" w14:textId="77777777" w:rsidTr="002671F6">
        <w:tc>
          <w:tcPr>
            <w:tcW w:w="2538" w:type="pct"/>
            <w:gridSpan w:val="3"/>
            <w:tcBorders>
              <w:top w:val="nil"/>
              <w:bottom w:val="nil"/>
            </w:tcBorders>
            <w:shd w:val="clear" w:color="auto" w:fill="auto"/>
            <w:vAlign w:val="center"/>
          </w:tcPr>
          <w:p w14:paraId="36D47845" w14:textId="77777777" w:rsidR="00762040" w:rsidRPr="00F81A33" w:rsidRDefault="00762040" w:rsidP="005B7AD6">
            <w:pPr>
              <w:keepNext/>
              <w:keepLines/>
              <w:ind w:left="112"/>
              <w:jc w:val="right"/>
              <w:rPr>
                <w:rFonts w:ascii="Arial Narrow" w:hAnsi="Arial Narrow"/>
                <w:sz w:val="20"/>
                <w:szCs w:val="20"/>
              </w:rPr>
            </w:pPr>
            <w:r w:rsidRPr="00F81A33">
              <w:rPr>
                <w:rFonts w:ascii="Arial Narrow" w:hAnsi="Arial Narrow"/>
                <w:sz w:val="20"/>
                <w:szCs w:val="20"/>
              </w:rPr>
              <w:t>UST [14] v ADA [17]</w:t>
            </w:r>
          </w:p>
        </w:tc>
        <w:tc>
          <w:tcPr>
            <w:tcW w:w="874" w:type="pct"/>
            <w:tcBorders>
              <w:top w:val="nil"/>
              <w:bottom w:val="nil"/>
            </w:tcBorders>
            <w:shd w:val="clear" w:color="auto" w:fill="auto"/>
            <w:vAlign w:val="center"/>
          </w:tcPr>
          <w:p w14:paraId="1016B354"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sz w:val="20"/>
                <w:szCs w:val="20"/>
              </w:rPr>
              <w:t>0.19 (-0.02, 0.40)</w:t>
            </w:r>
          </w:p>
        </w:tc>
        <w:tc>
          <w:tcPr>
            <w:tcW w:w="793" w:type="pct"/>
            <w:tcBorders>
              <w:top w:val="nil"/>
              <w:bottom w:val="nil"/>
            </w:tcBorders>
            <w:shd w:val="clear" w:color="auto" w:fill="auto"/>
            <w:vAlign w:val="center"/>
          </w:tcPr>
          <w:p w14:paraId="51EA6333"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6.38 (0.73, 55.72)</w:t>
            </w:r>
          </w:p>
        </w:tc>
        <w:tc>
          <w:tcPr>
            <w:tcW w:w="795" w:type="pct"/>
            <w:tcBorders>
              <w:top w:val="nil"/>
              <w:bottom w:val="nil"/>
            </w:tcBorders>
            <w:shd w:val="clear" w:color="auto" w:fill="auto"/>
          </w:tcPr>
          <w:p w14:paraId="27EC7285" w14:textId="77777777" w:rsidR="00762040" w:rsidRPr="00F81A33" w:rsidRDefault="00762040" w:rsidP="005B7AD6">
            <w:pPr>
              <w:keepNext/>
              <w:keepLines/>
              <w:jc w:val="center"/>
              <w:rPr>
                <w:rFonts w:ascii="Arial Narrow" w:hAnsi="Arial Narrow"/>
                <w:sz w:val="20"/>
                <w:szCs w:val="20"/>
                <w:lang w:val="fr-FR"/>
              </w:rPr>
            </w:pPr>
            <w:r w:rsidRPr="00F81A33">
              <w:rPr>
                <w:rFonts w:ascii="Arial Narrow" w:hAnsi="Arial Narrow"/>
                <w:sz w:val="20"/>
                <w:szCs w:val="20"/>
                <w:lang w:val="fr-FR"/>
              </w:rPr>
              <w:t>8.19 (0.77, 87.04)</w:t>
            </w:r>
          </w:p>
        </w:tc>
      </w:tr>
      <w:tr w:rsidR="00762040" w:rsidRPr="00F81A33" w14:paraId="4E08640F" w14:textId="77777777" w:rsidTr="002671F6">
        <w:tc>
          <w:tcPr>
            <w:tcW w:w="2538" w:type="pct"/>
            <w:gridSpan w:val="3"/>
            <w:tcBorders>
              <w:top w:val="nil"/>
              <w:bottom w:val="single" w:sz="4" w:space="0" w:color="auto"/>
            </w:tcBorders>
            <w:shd w:val="clear" w:color="auto" w:fill="auto"/>
            <w:vAlign w:val="center"/>
          </w:tcPr>
          <w:p w14:paraId="49D161D5" w14:textId="77777777" w:rsidR="00762040" w:rsidRPr="00F81A33" w:rsidRDefault="00762040" w:rsidP="005B7AD6">
            <w:pPr>
              <w:keepNext/>
              <w:keepLines/>
              <w:ind w:left="112"/>
              <w:jc w:val="right"/>
              <w:rPr>
                <w:rFonts w:ascii="Arial Narrow" w:hAnsi="Arial Narrow"/>
                <w:sz w:val="20"/>
                <w:szCs w:val="20"/>
              </w:rPr>
            </w:pPr>
            <w:r w:rsidRPr="00F81A33">
              <w:rPr>
                <w:rFonts w:ascii="Arial Narrow" w:hAnsi="Arial Narrow"/>
                <w:sz w:val="20"/>
                <w:szCs w:val="20"/>
              </w:rPr>
              <w:t>UST [14] v IFX [18]</w:t>
            </w:r>
          </w:p>
        </w:tc>
        <w:tc>
          <w:tcPr>
            <w:tcW w:w="874" w:type="pct"/>
            <w:tcBorders>
              <w:top w:val="nil"/>
              <w:bottom w:val="single" w:sz="4" w:space="0" w:color="auto"/>
            </w:tcBorders>
            <w:shd w:val="clear" w:color="auto" w:fill="auto"/>
            <w:vAlign w:val="center"/>
          </w:tcPr>
          <w:p w14:paraId="00A30EBC" w14:textId="77777777" w:rsidR="00762040" w:rsidRPr="00F81A33" w:rsidRDefault="00762040" w:rsidP="005B7AD6">
            <w:pPr>
              <w:keepNext/>
              <w:keepLines/>
              <w:jc w:val="center"/>
              <w:rPr>
                <w:rFonts w:ascii="Arial Narrow" w:hAnsi="Arial Narrow"/>
                <w:b/>
                <w:bCs/>
                <w:sz w:val="20"/>
                <w:szCs w:val="20"/>
              </w:rPr>
            </w:pPr>
            <w:r w:rsidRPr="00F81A33">
              <w:rPr>
                <w:rFonts w:ascii="Arial Narrow" w:hAnsi="Arial Narrow"/>
                <w:b/>
                <w:bCs/>
                <w:sz w:val="20"/>
                <w:szCs w:val="20"/>
              </w:rPr>
              <w:t>-0.28 (-0.54, -0.02)</w:t>
            </w:r>
          </w:p>
        </w:tc>
        <w:tc>
          <w:tcPr>
            <w:tcW w:w="793" w:type="pct"/>
            <w:tcBorders>
              <w:top w:val="nil"/>
              <w:bottom w:val="single" w:sz="4" w:space="0" w:color="auto"/>
            </w:tcBorders>
            <w:shd w:val="clear" w:color="auto" w:fill="auto"/>
            <w:vAlign w:val="center"/>
          </w:tcPr>
          <w:p w14:paraId="0A78FA6C" w14:textId="77777777" w:rsidR="00762040" w:rsidRPr="00F81A33" w:rsidRDefault="00762040" w:rsidP="005B7AD6">
            <w:pPr>
              <w:keepNext/>
              <w:keepLines/>
              <w:jc w:val="center"/>
              <w:rPr>
                <w:rFonts w:ascii="Arial Narrow" w:hAnsi="Arial Narrow"/>
                <w:sz w:val="20"/>
                <w:szCs w:val="20"/>
              </w:rPr>
            </w:pPr>
            <w:r w:rsidRPr="00F81A33">
              <w:rPr>
                <w:rFonts w:ascii="Arial Narrow" w:hAnsi="Arial Narrow"/>
                <w:sz w:val="20"/>
                <w:szCs w:val="20"/>
              </w:rPr>
              <w:t>0.60 (0.14, 2.59)</w:t>
            </w:r>
          </w:p>
        </w:tc>
        <w:tc>
          <w:tcPr>
            <w:tcW w:w="795" w:type="pct"/>
            <w:tcBorders>
              <w:top w:val="nil"/>
              <w:bottom w:val="single" w:sz="4" w:space="0" w:color="auto"/>
            </w:tcBorders>
            <w:shd w:val="clear" w:color="auto" w:fill="auto"/>
          </w:tcPr>
          <w:p w14:paraId="5E2BB695" w14:textId="77777777" w:rsidR="00762040" w:rsidRPr="00F81A33" w:rsidRDefault="00762040" w:rsidP="005B7AD6">
            <w:pPr>
              <w:keepNext/>
              <w:keepLines/>
              <w:jc w:val="center"/>
              <w:rPr>
                <w:rFonts w:ascii="Arial Narrow" w:hAnsi="Arial Narrow"/>
                <w:sz w:val="20"/>
                <w:szCs w:val="20"/>
                <w:lang w:val="fr-FR"/>
              </w:rPr>
            </w:pPr>
            <w:r w:rsidRPr="00F81A33">
              <w:rPr>
                <w:rFonts w:ascii="Arial Narrow" w:hAnsi="Arial Narrow"/>
                <w:sz w:val="20"/>
                <w:szCs w:val="20"/>
                <w:lang w:val="fr-FR"/>
              </w:rPr>
              <w:t>0.37 (0.06, 2.22)</w:t>
            </w:r>
          </w:p>
        </w:tc>
      </w:tr>
    </w:tbl>
    <w:p w14:paraId="32F3613A" w14:textId="77777777" w:rsidR="00762040" w:rsidRPr="00427B2E" w:rsidRDefault="00762040" w:rsidP="005B7AD6">
      <w:pPr>
        <w:keepNext/>
        <w:keepLines/>
        <w:snapToGrid w:val="0"/>
        <w:rPr>
          <w:rStyle w:val="CommentReference"/>
          <w:b w:val="0"/>
          <w:sz w:val="18"/>
          <w:szCs w:val="18"/>
        </w:rPr>
      </w:pPr>
      <w:r w:rsidRPr="00427B2E">
        <w:rPr>
          <w:rStyle w:val="CommentReference"/>
          <w:b w:val="0"/>
          <w:sz w:val="18"/>
          <w:szCs w:val="18"/>
          <w:shd w:val="clear" w:color="auto" w:fill="B8CCE4" w:themeFill="accent1" w:themeFillTint="66"/>
        </w:rPr>
        <w:t>Blue</w:t>
      </w:r>
      <w:r w:rsidRPr="00427B2E">
        <w:rPr>
          <w:rStyle w:val="CommentReference"/>
          <w:b w:val="0"/>
          <w:sz w:val="18"/>
          <w:szCs w:val="18"/>
        </w:rPr>
        <w:t xml:space="preserve"> shading indicates data previously seen by the PBAC. </w:t>
      </w:r>
    </w:p>
    <w:p w14:paraId="30926594" w14:textId="77777777" w:rsidR="00762040" w:rsidRPr="00427B2E" w:rsidRDefault="00762040" w:rsidP="005B7AD6">
      <w:pPr>
        <w:keepNext/>
        <w:keepLines/>
        <w:snapToGrid w:val="0"/>
        <w:rPr>
          <w:rFonts w:ascii="Arial Narrow" w:hAnsi="Arial Narrow"/>
          <w:sz w:val="18"/>
          <w:szCs w:val="18"/>
        </w:rPr>
      </w:pPr>
      <w:r w:rsidRPr="00427B2E">
        <w:rPr>
          <w:rFonts w:ascii="Arial Narrow" w:hAnsi="Arial Narrow"/>
          <w:sz w:val="18"/>
          <w:szCs w:val="18"/>
        </w:rPr>
        <w:t>Source: Table 2.32 p106, Table 2.33 p108, Table 2.56 p153; Table 2.34 p110, Table 2.35 p111, Table 2.57 p154 of the submission.</w:t>
      </w:r>
    </w:p>
    <w:p w14:paraId="7B4FBD66" w14:textId="77777777" w:rsidR="00762040" w:rsidRPr="00427B2E" w:rsidRDefault="00762040" w:rsidP="006D51B6">
      <w:pPr>
        <w:snapToGrid w:val="0"/>
        <w:spacing w:after="120"/>
        <w:rPr>
          <w:rFonts w:ascii="Arial Narrow" w:hAnsi="Arial Narrow"/>
          <w:sz w:val="18"/>
          <w:szCs w:val="18"/>
        </w:rPr>
      </w:pPr>
      <w:r w:rsidRPr="00427B2E">
        <w:rPr>
          <w:rFonts w:ascii="Arial Narrow" w:hAnsi="Arial Narrow"/>
          <w:sz w:val="18"/>
          <w:szCs w:val="18"/>
        </w:rPr>
        <w:t>ADA = adalimumab; IFX = infliximab; PBO = placebo; UST = ustekinumab.</w:t>
      </w:r>
    </w:p>
    <w:p w14:paraId="6BBB1A5C" w14:textId="0973BB50" w:rsidR="00C843BE" w:rsidRDefault="00C843BE" w:rsidP="00C843BE">
      <w:pPr>
        <w:pStyle w:val="3-BodyText"/>
        <w:rPr>
          <w:i/>
          <w:iCs/>
        </w:rPr>
      </w:pPr>
      <w:r>
        <w:t>The results of the placebo-controlled induction trials showed no significant difference in the proportion of patients achieving fistula response or fistula remission with UST versus placebo or with ADA versus placebo. The submission argued these results were likely due to type II error given the corresponding trials were not powered for these outcomes. In contrast, the T20 trial demonstrated that patients treated with IFX induction treatment were more likely to achieve fistula response and fistula remission compared to placebo. In the SEAVUE trial, the results of the fistulising CD subgroup showed fewer patients achieved fistula response or fistula remission with UST compared to ADA between W</w:t>
      </w:r>
      <w:r w:rsidR="0054265F">
        <w:t>ee</w:t>
      </w:r>
      <w:r>
        <w:t>k</w:t>
      </w:r>
      <w:r w:rsidR="0054265F">
        <w:t xml:space="preserve"> </w:t>
      </w:r>
      <w:r>
        <w:t xml:space="preserve">2 to </w:t>
      </w:r>
      <w:r w:rsidR="0054265F">
        <w:t xml:space="preserve">Week </w:t>
      </w:r>
      <w:r>
        <w:t xml:space="preserve">24 (not statistically significantly different, with the exception of results at Week 16 favouring ADA). The submission </w:t>
      </w:r>
      <w:r>
        <w:lastRenderedPageBreak/>
        <w:t>acknowledged the small number of patients with fistulising CD in SEAVUE limited the conclusions that can be drawn.</w:t>
      </w:r>
      <w:r w:rsidR="004C63D6">
        <w:t xml:space="preserve"> </w:t>
      </w:r>
      <w:r>
        <w:t xml:space="preserve">The results of the anchored indirect treatment comparisons </w:t>
      </w:r>
      <w:r w:rsidR="0093704E">
        <w:t xml:space="preserve">for induction treatment </w:t>
      </w:r>
      <w:r>
        <w:t>found no statistically significant differences between UST versus ADA or IFX, with the exception of the risk difference statistic favouring IFX for both fistula response and fistula remission. The submission argued that the UST and ADA trials were likely exchangeable but differences between the UST and IFX trials meant the corresponding anchored indirect comparisons were likely biased against UST. The submission noted that the UST trials enrolled more (harder to treat) TNF experienced patients evidenced by the lower fistula response and fistula remission rates in the placebo control arms of the UST trials and the outcomes were assessed 10 weeks earlier in the UST trials (after one dose of UST compared to three doses of IFX).</w:t>
      </w:r>
    </w:p>
    <w:p w14:paraId="53B37748" w14:textId="565737AA" w:rsidR="00956EF0" w:rsidRPr="001447E7" w:rsidRDefault="00956EF0" w:rsidP="0071346F">
      <w:pPr>
        <w:pStyle w:val="3-BodyText"/>
      </w:pPr>
      <w:r w:rsidRPr="001447E7">
        <w:t>Based on the evidence presented in the Ma</w:t>
      </w:r>
      <w:r w:rsidR="00136955" w:rsidRPr="001447E7">
        <w:t>r</w:t>
      </w:r>
      <w:r w:rsidRPr="001447E7">
        <w:t>ch 2017 submission, the PBAC noted that UST was not significantly more effective in inducing fistula response compared with placebo in the induction trials (UNITI-1 and UNITI-2)</w:t>
      </w:r>
      <w:r w:rsidR="0071346F" w:rsidRPr="001447E7">
        <w:t xml:space="preserve">. </w:t>
      </w:r>
      <w:r w:rsidRPr="001447E7">
        <w:t>The PBAC noted that the clinical evidence of UST for the treatment of fistulising CD was poor, with very small patient numbers with fistulising disease and comparisons that lacked statistical power</w:t>
      </w:r>
      <w:r w:rsidR="0071346F" w:rsidRPr="001447E7">
        <w:t>.</w:t>
      </w:r>
      <w:r w:rsidRPr="001447E7">
        <w:t xml:space="preserve"> </w:t>
      </w:r>
      <w:r w:rsidR="0071346F" w:rsidRPr="001447E7">
        <w:t xml:space="preserve">Overall, there was insufficient clinical evidence to support non-inferiority with ADA or IFX </w:t>
      </w:r>
      <w:r w:rsidRPr="001447E7">
        <w:t>(paragraphs 6.19</w:t>
      </w:r>
      <w:r w:rsidR="00B23891" w:rsidRPr="001447E7">
        <w:t>,</w:t>
      </w:r>
      <w:r w:rsidRPr="001447E7">
        <w:t xml:space="preserve"> 6.26,</w:t>
      </w:r>
      <w:r w:rsidR="00B23891" w:rsidRPr="001447E7">
        <w:t xml:space="preserve"> and 7.1,</w:t>
      </w:r>
      <w:r w:rsidRPr="001447E7">
        <w:t xml:space="preserve"> UST PSD, March 2017 PBAC meeting).</w:t>
      </w:r>
    </w:p>
    <w:p w14:paraId="1C7EC6D4" w14:textId="5AC8F419" w:rsidR="00B565AC" w:rsidRDefault="00233BB2" w:rsidP="00CE5694">
      <w:pPr>
        <w:pStyle w:val="3-BodyText"/>
      </w:pPr>
      <w:bookmarkStart w:id="25" w:name="_Ref137475351"/>
      <w:r w:rsidRPr="001447E7">
        <w:t xml:space="preserve">Compared to the March 2017 submission, new data presented in the current submission does not change the overall interpretation of the evidence for induction treatment. The new post hoc analysis of the UNITI-1 and UNITI-2 trials showed UST was not significantly more effective in inducing fistula remission at Week 8 compared to placebo in the small subgroup of patients with perianal fistula at baseline (N=81). The direct head-to-head comparison in SEAVUE showed </w:t>
      </w:r>
      <w:r w:rsidR="00965883" w:rsidRPr="001447E7">
        <w:t xml:space="preserve">fewer patients achieved fistula response and fistula remission with </w:t>
      </w:r>
      <w:r w:rsidRPr="001447E7">
        <w:t xml:space="preserve">UST </w:t>
      </w:r>
      <w:r w:rsidR="00965883" w:rsidRPr="001447E7">
        <w:t xml:space="preserve">compared to ADA at Week 8 to 24 (statistically significant </w:t>
      </w:r>
      <w:r w:rsidR="00CE5694" w:rsidRPr="001447E7">
        <w:t xml:space="preserve">at </w:t>
      </w:r>
      <w:r w:rsidR="00965883" w:rsidRPr="001447E7">
        <w:t>Week 16 favouring ADA)</w:t>
      </w:r>
      <w:r w:rsidRPr="001447E7">
        <w:t xml:space="preserve">, but the subgroup analysis was based on very small patient numbers (N=29). </w:t>
      </w:r>
      <w:r w:rsidR="00677C6B" w:rsidRPr="001447E7">
        <w:t>T</w:t>
      </w:r>
      <w:r w:rsidRPr="001447E7">
        <w:t xml:space="preserve">he results of the </w:t>
      </w:r>
      <w:r w:rsidR="00152F46" w:rsidRPr="001447E7">
        <w:t xml:space="preserve">anchored </w:t>
      </w:r>
      <w:r w:rsidRPr="001447E7">
        <w:t xml:space="preserve">indirect treatment comparisons generally found no statistically significant differences between UST and ADA or IFX, </w:t>
      </w:r>
      <w:r w:rsidR="00677C6B" w:rsidRPr="001447E7">
        <w:t xml:space="preserve">but </w:t>
      </w:r>
      <w:r w:rsidRPr="001447E7">
        <w:t xml:space="preserve">the results </w:t>
      </w:r>
      <w:r w:rsidR="00A10772" w:rsidRPr="001447E7">
        <w:t>we</w:t>
      </w:r>
      <w:r w:rsidRPr="001447E7">
        <w:t xml:space="preserve">re highly uncertain and may not be meaningful given the many differences across the trials and lack of statistical power in the UST and ADA trials (neither showed a difference to placebo). </w:t>
      </w:r>
      <w:r w:rsidR="00084FAC" w:rsidRPr="001447E7">
        <w:t xml:space="preserve">The arguments presented in the submission that the </w:t>
      </w:r>
      <w:r w:rsidR="00152F46" w:rsidRPr="001447E7">
        <w:t xml:space="preserve">anchored </w:t>
      </w:r>
      <w:r w:rsidR="00084FAC" w:rsidRPr="001447E7">
        <w:t xml:space="preserve">indirect comparisons </w:t>
      </w:r>
      <w:r w:rsidR="00677C6B" w:rsidRPr="001447E7">
        <w:t xml:space="preserve">for induction treatment </w:t>
      </w:r>
      <w:r w:rsidR="00084FAC" w:rsidRPr="001447E7">
        <w:t>bias against UST were generally reasonable on face value (</w:t>
      </w:r>
      <w:r w:rsidRPr="001447E7">
        <w:t>i.e.</w:t>
      </w:r>
      <w:r w:rsidR="00A10772" w:rsidRPr="001447E7">
        <w:t>,</w:t>
      </w:r>
      <w:r w:rsidRPr="001447E7">
        <w:t xml:space="preserve"> ‘easier to treat’ TNF naïve patients, longer time for patients to respond), </w:t>
      </w:r>
      <w:r w:rsidR="00084FAC" w:rsidRPr="001447E7">
        <w:t xml:space="preserve">but </w:t>
      </w:r>
      <w:r w:rsidRPr="001447E7">
        <w:t xml:space="preserve">the results </w:t>
      </w:r>
      <w:r w:rsidR="00A10772" w:rsidRPr="001447E7">
        <w:t>we</w:t>
      </w:r>
      <w:r w:rsidRPr="001447E7">
        <w:t>re still difficult to interpret due to the low level of evidence</w:t>
      </w:r>
      <w:r w:rsidR="00956EF0" w:rsidRPr="001447E7">
        <w:t xml:space="preserve"> available</w:t>
      </w:r>
      <w:r w:rsidRPr="001447E7">
        <w:t>.</w:t>
      </w:r>
      <w:bookmarkEnd w:id="25"/>
      <w:r w:rsidR="007413BC">
        <w:t xml:space="preserve"> </w:t>
      </w:r>
    </w:p>
    <w:p w14:paraId="6A495532" w14:textId="32D75158" w:rsidR="007413BC" w:rsidRPr="00F81A33" w:rsidRDefault="007413BC" w:rsidP="00CE5694">
      <w:pPr>
        <w:pStyle w:val="3-BodyText"/>
      </w:pPr>
      <w:bookmarkStart w:id="26" w:name="_Ref137474863"/>
      <w:r w:rsidRPr="00F81A33">
        <w:t xml:space="preserve">The PSCR argued that as UST acts at an earlier point in the inflammatory cascade compared to the </w:t>
      </w:r>
      <w:r w:rsidR="00B563C5" w:rsidRPr="00F81A33">
        <w:t>tumour</w:t>
      </w:r>
      <w:r w:rsidRPr="00F81A33">
        <w:t xml:space="preserve"> necrosis factor alfa inhibitors (both ADA and IFX), it is expected that UST would generally take a longer time to onset of action than other bDMARDs/tsDMARDs. The ESC noted the arguments in the PSCR and considered that while it is plausible that UST may have a slower onset of effect than ADA or IFX because of where it exerts its effects in the inflammatory response cascade, also considered </w:t>
      </w:r>
      <w:r w:rsidRPr="00F81A33">
        <w:lastRenderedPageBreak/>
        <w:t xml:space="preserve">the substantial differences in SEAVUE in terms of proportions in fistula response and fistula remission up to week 24 (Table 4) and converging by week 32 (fistula response UST 53.8%/ADA 43.8%; fistula remission UST 46.2%/ADA 37.5%, </w:t>
      </w:r>
      <w:r w:rsidR="00B563C5" w:rsidRPr="00F81A33">
        <w:t>see Figure 1</w:t>
      </w:r>
      <w:r w:rsidRPr="00F81A33">
        <w:t xml:space="preserve">) was </w:t>
      </w:r>
      <w:r w:rsidR="00420B19">
        <w:t>relevant</w:t>
      </w:r>
      <w:r w:rsidRPr="00F81A33">
        <w:t>, as patients will likely continue to experience worse fistulae related symptoms over this initial period of treatment with UST. The ESC acknowledged, however, that similar to all analyses in the submission, small patient numbers in the</w:t>
      </w:r>
      <w:r w:rsidR="00B563C5" w:rsidRPr="00F81A33">
        <w:t xml:space="preserve"> fCD subgroups</w:t>
      </w:r>
      <w:r w:rsidRPr="00F81A33">
        <w:t xml:space="preserve"> made drawing </w:t>
      </w:r>
      <w:r w:rsidR="00A446FB" w:rsidRPr="00F81A33">
        <w:t>definitive</w:t>
      </w:r>
      <w:r w:rsidRPr="00F81A33">
        <w:t xml:space="preserve"> conclusions difficult.</w:t>
      </w:r>
      <w:bookmarkEnd w:id="26"/>
    </w:p>
    <w:p w14:paraId="450B199B" w14:textId="4551554F" w:rsidR="00B565AC" w:rsidRDefault="00A10577" w:rsidP="003B323A">
      <w:pPr>
        <w:pStyle w:val="3-BodyText"/>
      </w:pPr>
      <w:r>
        <w:fldChar w:fldCharType="begin"/>
      </w:r>
      <w:r>
        <w:instrText xml:space="preserve"> REF _Ref132580034 \h </w:instrText>
      </w:r>
      <w:r>
        <w:fldChar w:fldCharType="separate"/>
      </w:r>
      <w:r w:rsidR="00522D5A">
        <w:t xml:space="preserve">Table </w:t>
      </w:r>
      <w:r w:rsidR="00522D5A">
        <w:rPr>
          <w:noProof/>
        </w:rPr>
        <w:t>5</w:t>
      </w:r>
      <w:r>
        <w:fldChar w:fldCharType="end"/>
      </w:r>
      <w:r>
        <w:t xml:space="preserve"> </w:t>
      </w:r>
      <w:r w:rsidR="00B565AC">
        <w:t>summarises fistula response and fistula remission outcomes for</w:t>
      </w:r>
      <w:r w:rsidR="003B323A">
        <w:t xml:space="preserve"> patients with</w:t>
      </w:r>
      <w:r w:rsidR="00B565AC">
        <w:t xml:space="preserve"> f</w:t>
      </w:r>
      <w:r w:rsidR="00084FAC">
        <w:t xml:space="preserve">istulising </w:t>
      </w:r>
      <w:r w:rsidR="00B565AC">
        <w:t>CD patients enrolled in the maintenance trials</w:t>
      </w:r>
      <w:r w:rsidR="003B323A">
        <w:t xml:space="preserve">, and the </w:t>
      </w:r>
      <w:r w:rsidR="00152F46">
        <w:t xml:space="preserve">anchored </w:t>
      </w:r>
      <w:r w:rsidR="003B323A">
        <w:t>indirect treatment comparisons between UST versus ADA and IFX for maintenance treatment</w:t>
      </w:r>
      <w:r w:rsidR="00A10772">
        <w:t>.</w:t>
      </w:r>
    </w:p>
    <w:p w14:paraId="0B5E38F3" w14:textId="655E7AAC" w:rsidR="00B565AC" w:rsidRPr="00A10577" w:rsidRDefault="00A10577" w:rsidP="001A7282">
      <w:pPr>
        <w:pStyle w:val="Caption"/>
        <w:pageBreakBefore/>
      </w:pPr>
      <w:bookmarkStart w:id="27" w:name="_Ref132580034"/>
      <w:r>
        <w:lastRenderedPageBreak/>
        <w:t xml:space="preserve">Table </w:t>
      </w:r>
      <w:fldSimple w:instr=" SEQ Table \* ARABIC ">
        <w:r w:rsidR="00522D5A">
          <w:rPr>
            <w:noProof/>
          </w:rPr>
          <w:t>5</w:t>
        </w:r>
      </w:fldSimple>
      <w:bookmarkEnd w:id="27"/>
      <w:r w:rsidR="00B565AC" w:rsidRPr="00D27811">
        <w:rPr>
          <w:szCs w:val="16"/>
        </w:rPr>
        <w:t xml:space="preserve">: </w:t>
      </w:r>
      <w:r w:rsidR="00B565AC">
        <w:rPr>
          <w:szCs w:val="16"/>
        </w:rPr>
        <w:t xml:space="preserve">Maintenance trial results and </w:t>
      </w:r>
      <w:r w:rsidR="00152F46">
        <w:rPr>
          <w:szCs w:val="16"/>
        </w:rPr>
        <w:t xml:space="preserve">anchored </w:t>
      </w:r>
      <w:r w:rsidR="00B565AC">
        <w:rPr>
          <w:szCs w:val="16"/>
        </w:rPr>
        <w:t>indirect comparisons for fistula response and fistula remission</w:t>
      </w:r>
    </w:p>
    <w:tbl>
      <w:tblPr>
        <w:tblpPr w:leftFromText="180" w:rightFromText="180" w:vertAnchor="text" w:tblpY="1"/>
        <w:tblOverlap w:val="neve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7"/>
        <w:gridCol w:w="969"/>
        <w:gridCol w:w="974"/>
        <w:gridCol w:w="1389"/>
        <w:gridCol w:w="1413"/>
        <w:gridCol w:w="1416"/>
      </w:tblGrid>
      <w:tr w:rsidR="00B565AC" w:rsidRPr="00F81A33" w14:paraId="381BAF85" w14:textId="77777777" w:rsidTr="004A7F12">
        <w:tc>
          <w:tcPr>
            <w:tcW w:w="1655" w:type="pct"/>
            <w:tcBorders>
              <w:bottom w:val="single" w:sz="4" w:space="0" w:color="auto"/>
            </w:tcBorders>
            <w:shd w:val="clear" w:color="auto" w:fill="auto"/>
            <w:vAlign w:val="center"/>
          </w:tcPr>
          <w:p w14:paraId="38BB80EB"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b/>
                <w:sz w:val="20"/>
                <w:szCs w:val="20"/>
              </w:rPr>
              <w:t>Trial ID</w:t>
            </w:r>
          </w:p>
        </w:tc>
        <w:tc>
          <w:tcPr>
            <w:tcW w:w="526" w:type="pct"/>
            <w:tcBorders>
              <w:bottom w:val="single" w:sz="4" w:space="0" w:color="auto"/>
            </w:tcBorders>
            <w:shd w:val="clear" w:color="auto" w:fill="auto"/>
            <w:vAlign w:val="center"/>
          </w:tcPr>
          <w:p w14:paraId="0C4D8B85" w14:textId="77777777" w:rsidR="00B565AC" w:rsidRPr="00F81A33" w:rsidRDefault="00B565AC" w:rsidP="001A7282">
            <w:pPr>
              <w:keepNext/>
              <w:keepLines/>
              <w:jc w:val="center"/>
              <w:rPr>
                <w:rFonts w:ascii="Arial Narrow" w:hAnsi="Arial Narrow"/>
                <w:b/>
                <w:sz w:val="20"/>
                <w:szCs w:val="20"/>
              </w:rPr>
            </w:pPr>
            <w:r w:rsidRPr="00F81A33">
              <w:rPr>
                <w:rFonts w:ascii="Arial Narrow" w:hAnsi="Arial Narrow"/>
                <w:b/>
                <w:sz w:val="20"/>
                <w:szCs w:val="20"/>
              </w:rPr>
              <w:t>Drug</w:t>
            </w:r>
          </w:p>
          <w:p w14:paraId="15EE201F"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b/>
                <w:sz w:val="20"/>
                <w:szCs w:val="20"/>
              </w:rPr>
              <w:t>n/N (%)</w:t>
            </w:r>
          </w:p>
        </w:tc>
        <w:tc>
          <w:tcPr>
            <w:tcW w:w="529" w:type="pct"/>
            <w:tcBorders>
              <w:bottom w:val="single" w:sz="4" w:space="0" w:color="auto"/>
            </w:tcBorders>
            <w:shd w:val="clear" w:color="auto" w:fill="auto"/>
            <w:vAlign w:val="center"/>
          </w:tcPr>
          <w:p w14:paraId="6B52FE94" w14:textId="77777777" w:rsidR="00B565AC" w:rsidRPr="00F81A33" w:rsidRDefault="00B565AC" w:rsidP="001A7282">
            <w:pPr>
              <w:keepNext/>
              <w:keepLines/>
              <w:jc w:val="center"/>
              <w:rPr>
                <w:rFonts w:ascii="Arial Narrow" w:hAnsi="Arial Narrow"/>
                <w:b/>
                <w:sz w:val="20"/>
                <w:szCs w:val="20"/>
              </w:rPr>
            </w:pPr>
            <w:r w:rsidRPr="00F81A33">
              <w:rPr>
                <w:rFonts w:ascii="Arial Narrow" w:hAnsi="Arial Narrow"/>
                <w:b/>
                <w:sz w:val="20"/>
                <w:szCs w:val="20"/>
              </w:rPr>
              <w:t>Control</w:t>
            </w:r>
          </w:p>
          <w:p w14:paraId="69FD723E" w14:textId="77777777" w:rsidR="00B565AC" w:rsidRPr="00F81A33" w:rsidRDefault="00B565AC" w:rsidP="001A7282">
            <w:pPr>
              <w:keepNext/>
              <w:keepLines/>
              <w:jc w:val="center"/>
              <w:rPr>
                <w:rFonts w:ascii="Arial Narrow" w:hAnsi="Arial Narrow"/>
                <w:sz w:val="20"/>
                <w:szCs w:val="20"/>
                <w:highlight w:val="yellow"/>
              </w:rPr>
            </w:pPr>
            <w:r w:rsidRPr="00F81A33">
              <w:rPr>
                <w:rFonts w:ascii="Arial Narrow" w:hAnsi="Arial Narrow"/>
                <w:b/>
                <w:sz w:val="20"/>
                <w:szCs w:val="20"/>
              </w:rPr>
              <w:t>n/N (%)</w:t>
            </w:r>
          </w:p>
        </w:tc>
        <w:tc>
          <w:tcPr>
            <w:tcW w:w="754" w:type="pct"/>
            <w:tcBorders>
              <w:bottom w:val="single" w:sz="4" w:space="0" w:color="auto"/>
            </w:tcBorders>
            <w:shd w:val="clear" w:color="auto" w:fill="auto"/>
            <w:vAlign w:val="center"/>
          </w:tcPr>
          <w:p w14:paraId="3B14A5BE" w14:textId="77777777" w:rsidR="00B565AC" w:rsidRPr="00F81A33" w:rsidRDefault="00B565AC" w:rsidP="001A7282">
            <w:pPr>
              <w:keepNext/>
              <w:keepLines/>
              <w:jc w:val="center"/>
              <w:rPr>
                <w:rFonts w:ascii="Arial Narrow" w:hAnsi="Arial Narrow"/>
                <w:b/>
                <w:sz w:val="20"/>
                <w:szCs w:val="20"/>
              </w:rPr>
            </w:pPr>
            <w:r w:rsidRPr="00F81A33">
              <w:rPr>
                <w:rFonts w:ascii="Arial Narrow" w:hAnsi="Arial Narrow"/>
                <w:b/>
                <w:sz w:val="20"/>
                <w:szCs w:val="20"/>
              </w:rPr>
              <w:t>RD</w:t>
            </w:r>
          </w:p>
          <w:p w14:paraId="22272F1C" w14:textId="77777777" w:rsidR="00B565AC" w:rsidRPr="00F81A33" w:rsidRDefault="00B565AC" w:rsidP="001A7282">
            <w:pPr>
              <w:keepNext/>
              <w:keepLines/>
              <w:jc w:val="center"/>
              <w:rPr>
                <w:rFonts w:ascii="Arial Narrow" w:hAnsi="Arial Narrow"/>
                <w:b/>
                <w:sz w:val="20"/>
                <w:szCs w:val="20"/>
              </w:rPr>
            </w:pPr>
            <w:r w:rsidRPr="00F81A33">
              <w:rPr>
                <w:rFonts w:ascii="Arial Narrow" w:hAnsi="Arial Narrow"/>
                <w:b/>
                <w:sz w:val="20"/>
                <w:szCs w:val="20"/>
              </w:rPr>
              <w:t>(95% CI)</w:t>
            </w:r>
          </w:p>
        </w:tc>
        <w:tc>
          <w:tcPr>
            <w:tcW w:w="767" w:type="pct"/>
            <w:tcBorders>
              <w:bottom w:val="single" w:sz="4" w:space="0" w:color="auto"/>
            </w:tcBorders>
            <w:shd w:val="clear" w:color="auto" w:fill="auto"/>
            <w:vAlign w:val="center"/>
          </w:tcPr>
          <w:p w14:paraId="54470AC8" w14:textId="77777777" w:rsidR="00B565AC" w:rsidRPr="00F81A33" w:rsidRDefault="00B565AC" w:rsidP="001A7282">
            <w:pPr>
              <w:keepNext/>
              <w:keepLines/>
              <w:jc w:val="center"/>
              <w:rPr>
                <w:rFonts w:ascii="Arial Narrow" w:hAnsi="Arial Narrow"/>
                <w:b/>
                <w:sz w:val="20"/>
                <w:szCs w:val="20"/>
              </w:rPr>
            </w:pPr>
            <w:r w:rsidRPr="00F81A33">
              <w:rPr>
                <w:rFonts w:ascii="Arial Narrow" w:hAnsi="Arial Narrow"/>
                <w:b/>
                <w:sz w:val="20"/>
                <w:szCs w:val="20"/>
              </w:rPr>
              <w:t>RR</w:t>
            </w:r>
          </w:p>
          <w:p w14:paraId="44756AAE" w14:textId="77777777" w:rsidR="00B565AC" w:rsidRPr="00F81A33" w:rsidRDefault="00B565AC" w:rsidP="001A7282">
            <w:pPr>
              <w:keepNext/>
              <w:keepLines/>
              <w:jc w:val="center"/>
              <w:rPr>
                <w:rFonts w:ascii="Arial Narrow" w:hAnsi="Arial Narrow"/>
                <w:b/>
                <w:sz w:val="20"/>
                <w:szCs w:val="20"/>
              </w:rPr>
            </w:pPr>
            <w:r w:rsidRPr="00F81A33">
              <w:rPr>
                <w:rFonts w:ascii="Arial Narrow" w:hAnsi="Arial Narrow"/>
                <w:b/>
                <w:sz w:val="20"/>
                <w:szCs w:val="20"/>
              </w:rPr>
              <w:t>(95% CI)</w:t>
            </w:r>
          </w:p>
        </w:tc>
        <w:tc>
          <w:tcPr>
            <w:tcW w:w="769" w:type="pct"/>
            <w:tcBorders>
              <w:bottom w:val="single" w:sz="4" w:space="0" w:color="auto"/>
            </w:tcBorders>
            <w:shd w:val="clear" w:color="auto" w:fill="auto"/>
            <w:vAlign w:val="center"/>
          </w:tcPr>
          <w:p w14:paraId="678A6EC0" w14:textId="77777777" w:rsidR="00B565AC" w:rsidRPr="00F81A33" w:rsidRDefault="00B565AC" w:rsidP="001A7282">
            <w:pPr>
              <w:keepNext/>
              <w:keepLines/>
              <w:jc w:val="center"/>
              <w:rPr>
                <w:rFonts w:ascii="Arial Narrow" w:hAnsi="Arial Narrow"/>
                <w:b/>
                <w:sz w:val="20"/>
                <w:szCs w:val="20"/>
              </w:rPr>
            </w:pPr>
            <w:r w:rsidRPr="00F81A33">
              <w:rPr>
                <w:rFonts w:ascii="Arial Narrow" w:hAnsi="Arial Narrow"/>
                <w:b/>
                <w:sz w:val="20"/>
                <w:szCs w:val="20"/>
              </w:rPr>
              <w:t>OR</w:t>
            </w:r>
          </w:p>
          <w:p w14:paraId="44C797E9" w14:textId="77777777" w:rsidR="00B565AC" w:rsidRPr="00F81A33" w:rsidRDefault="00B565AC" w:rsidP="001A7282">
            <w:pPr>
              <w:keepNext/>
              <w:keepLines/>
              <w:jc w:val="center"/>
              <w:rPr>
                <w:rFonts w:ascii="Arial Narrow" w:hAnsi="Arial Narrow"/>
                <w:b/>
                <w:sz w:val="20"/>
                <w:szCs w:val="20"/>
              </w:rPr>
            </w:pPr>
            <w:r w:rsidRPr="00F81A33">
              <w:rPr>
                <w:rFonts w:ascii="Arial Narrow" w:hAnsi="Arial Narrow"/>
                <w:b/>
                <w:sz w:val="20"/>
                <w:szCs w:val="20"/>
              </w:rPr>
              <w:t>(95% CI)</w:t>
            </w:r>
          </w:p>
        </w:tc>
      </w:tr>
      <w:tr w:rsidR="00B565AC" w:rsidRPr="00F81A33" w14:paraId="60A3D5D5" w14:textId="77777777" w:rsidTr="004A7F12">
        <w:tc>
          <w:tcPr>
            <w:tcW w:w="5000" w:type="pct"/>
            <w:gridSpan w:val="6"/>
            <w:tcBorders>
              <w:bottom w:val="nil"/>
            </w:tcBorders>
            <w:shd w:val="clear" w:color="auto" w:fill="auto"/>
            <w:vAlign w:val="center"/>
          </w:tcPr>
          <w:p w14:paraId="19294E0C" w14:textId="77777777" w:rsidR="00B565AC" w:rsidRPr="00F81A33" w:rsidRDefault="00B565AC" w:rsidP="001A7282">
            <w:pPr>
              <w:keepNext/>
              <w:keepLines/>
              <w:jc w:val="left"/>
              <w:rPr>
                <w:rFonts w:ascii="Arial Narrow" w:hAnsi="Arial Narrow"/>
                <w:b/>
                <w:sz w:val="20"/>
                <w:szCs w:val="20"/>
              </w:rPr>
            </w:pPr>
            <w:r w:rsidRPr="00F81A33">
              <w:rPr>
                <w:rFonts w:ascii="Arial Narrow" w:hAnsi="Arial Narrow"/>
                <w:b/>
                <w:sz w:val="20"/>
                <w:szCs w:val="20"/>
              </w:rPr>
              <w:t>OUTCOME: FISTULA RESPONSE</w:t>
            </w:r>
          </w:p>
        </w:tc>
      </w:tr>
      <w:tr w:rsidR="00B565AC" w:rsidRPr="00F81A33" w14:paraId="75A42BD9" w14:textId="77777777" w:rsidTr="004A7F12">
        <w:tc>
          <w:tcPr>
            <w:tcW w:w="1655" w:type="pct"/>
            <w:tcBorders>
              <w:bottom w:val="nil"/>
            </w:tcBorders>
            <w:shd w:val="clear" w:color="auto" w:fill="auto"/>
            <w:vAlign w:val="center"/>
          </w:tcPr>
          <w:p w14:paraId="084F446B" w14:textId="77777777" w:rsidR="00B565AC" w:rsidRPr="00F81A33" w:rsidRDefault="00B565AC" w:rsidP="001A7282">
            <w:pPr>
              <w:keepNext/>
              <w:keepLines/>
              <w:jc w:val="left"/>
              <w:rPr>
                <w:rFonts w:ascii="Arial Narrow" w:hAnsi="Arial Narrow"/>
                <w:b/>
                <w:sz w:val="20"/>
                <w:szCs w:val="20"/>
              </w:rPr>
            </w:pPr>
            <w:r w:rsidRPr="00F81A33">
              <w:rPr>
                <w:rFonts w:ascii="Arial Narrow" w:hAnsi="Arial Narrow"/>
                <w:b/>
                <w:sz w:val="20"/>
                <w:szCs w:val="20"/>
              </w:rPr>
              <w:t>UST v ADA</w:t>
            </w:r>
          </w:p>
        </w:tc>
        <w:tc>
          <w:tcPr>
            <w:tcW w:w="526" w:type="pct"/>
            <w:tcBorders>
              <w:bottom w:val="nil"/>
            </w:tcBorders>
            <w:shd w:val="clear" w:color="auto" w:fill="auto"/>
            <w:vAlign w:val="center"/>
          </w:tcPr>
          <w:p w14:paraId="64006FE5" w14:textId="77777777" w:rsidR="00B565AC" w:rsidRPr="00F81A33" w:rsidRDefault="00B565AC" w:rsidP="001A7282">
            <w:pPr>
              <w:keepNext/>
              <w:keepLines/>
              <w:jc w:val="center"/>
              <w:rPr>
                <w:rFonts w:ascii="Arial Narrow" w:hAnsi="Arial Narrow"/>
                <w:bCs/>
                <w:sz w:val="20"/>
                <w:szCs w:val="20"/>
              </w:rPr>
            </w:pPr>
          </w:p>
        </w:tc>
        <w:tc>
          <w:tcPr>
            <w:tcW w:w="529" w:type="pct"/>
            <w:tcBorders>
              <w:bottom w:val="nil"/>
            </w:tcBorders>
            <w:shd w:val="clear" w:color="auto" w:fill="auto"/>
            <w:vAlign w:val="center"/>
          </w:tcPr>
          <w:p w14:paraId="7FD198C7" w14:textId="77777777" w:rsidR="00B565AC" w:rsidRPr="00F81A33" w:rsidRDefault="00B565AC" w:rsidP="001A7282">
            <w:pPr>
              <w:keepNext/>
              <w:keepLines/>
              <w:jc w:val="center"/>
              <w:rPr>
                <w:rFonts w:ascii="Arial Narrow" w:hAnsi="Arial Narrow"/>
                <w:bCs/>
                <w:sz w:val="20"/>
                <w:szCs w:val="20"/>
              </w:rPr>
            </w:pPr>
          </w:p>
        </w:tc>
        <w:tc>
          <w:tcPr>
            <w:tcW w:w="754" w:type="pct"/>
            <w:tcBorders>
              <w:bottom w:val="nil"/>
            </w:tcBorders>
            <w:shd w:val="clear" w:color="auto" w:fill="auto"/>
            <w:vAlign w:val="center"/>
          </w:tcPr>
          <w:p w14:paraId="26DEFC69" w14:textId="77777777" w:rsidR="00B565AC" w:rsidRPr="00F81A33" w:rsidRDefault="00B565AC" w:rsidP="001A7282">
            <w:pPr>
              <w:keepNext/>
              <w:keepLines/>
              <w:jc w:val="center"/>
              <w:rPr>
                <w:rFonts w:ascii="Arial Narrow" w:hAnsi="Arial Narrow"/>
                <w:bCs/>
                <w:sz w:val="20"/>
                <w:szCs w:val="20"/>
              </w:rPr>
            </w:pPr>
          </w:p>
        </w:tc>
        <w:tc>
          <w:tcPr>
            <w:tcW w:w="767" w:type="pct"/>
            <w:tcBorders>
              <w:bottom w:val="nil"/>
            </w:tcBorders>
            <w:shd w:val="clear" w:color="auto" w:fill="auto"/>
            <w:vAlign w:val="center"/>
          </w:tcPr>
          <w:p w14:paraId="53861432" w14:textId="77777777" w:rsidR="00B565AC" w:rsidRPr="00F81A33" w:rsidRDefault="00B565AC" w:rsidP="001A7282">
            <w:pPr>
              <w:keepNext/>
              <w:keepLines/>
              <w:jc w:val="center"/>
              <w:rPr>
                <w:rFonts w:ascii="Arial Narrow" w:hAnsi="Arial Narrow"/>
                <w:bCs/>
                <w:sz w:val="20"/>
                <w:szCs w:val="20"/>
              </w:rPr>
            </w:pPr>
          </w:p>
        </w:tc>
        <w:tc>
          <w:tcPr>
            <w:tcW w:w="769" w:type="pct"/>
            <w:tcBorders>
              <w:bottom w:val="nil"/>
            </w:tcBorders>
            <w:shd w:val="clear" w:color="auto" w:fill="auto"/>
            <w:vAlign w:val="center"/>
          </w:tcPr>
          <w:p w14:paraId="59C1AA03" w14:textId="77777777" w:rsidR="00B565AC" w:rsidRPr="00F81A33" w:rsidRDefault="00B565AC" w:rsidP="001A7282">
            <w:pPr>
              <w:keepNext/>
              <w:keepLines/>
              <w:jc w:val="center"/>
              <w:rPr>
                <w:rFonts w:ascii="Arial Narrow" w:hAnsi="Arial Narrow"/>
                <w:bCs/>
                <w:sz w:val="20"/>
                <w:szCs w:val="20"/>
              </w:rPr>
            </w:pPr>
          </w:p>
        </w:tc>
      </w:tr>
      <w:tr w:rsidR="00B565AC" w:rsidRPr="00F81A33" w14:paraId="63A39552" w14:textId="77777777" w:rsidTr="004A7F12">
        <w:tc>
          <w:tcPr>
            <w:tcW w:w="1655" w:type="pct"/>
            <w:tcBorders>
              <w:top w:val="nil"/>
              <w:bottom w:val="single" w:sz="4" w:space="0" w:color="auto"/>
            </w:tcBorders>
            <w:shd w:val="clear" w:color="auto" w:fill="auto"/>
            <w:vAlign w:val="center"/>
          </w:tcPr>
          <w:p w14:paraId="36332037" w14:textId="77777777" w:rsidR="00B565AC" w:rsidRPr="00F81A33" w:rsidRDefault="00B565AC" w:rsidP="001A7282">
            <w:pPr>
              <w:keepNext/>
              <w:keepLines/>
              <w:jc w:val="left"/>
              <w:rPr>
                <w:rFonts w:ascii="Arial Narrow" w:hAnsi="Arial Narrow"/>
                <w:bCs/>
                <w:sz w:val="20"/>
                <w:szCs w:val="20"/>
              </w:rPr>
            </w:pPr>
            <w:r w:rsidRPr="00F81A33">
              <w:rPr>
                <w:rFonts w:ascii="Arial Narrow" w:hAnsi="Arial Narrow"/>
                <w:bCs/>
                <w:sz w:val="20"/>
                <w:szCs w:val="20"/>
              </w:rPr>
              <w:t>[1] SEAVUE (Wk52)</w:t>
            </w:r>
          </w:p>
        </w:tc>
        <w:tc>
          <w:tcPr>
            <w:tcW w:w="526" w:type="pct"/>
            <w:tcBorders>
              <w:top w:val="nil"/>
              <w:bottom w:val="single" w:sz="4" w:space="0" w:color="auto"/>
            </w:tcBorders>
            <w:shd w:val="clear" w:color="auto" w:fill="auto"/>
            <w:vAlign w:val="center"/>
          </w:tcPr>
          <w:p w14:paraId="6267A589"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7/13 (53.8)</w:t>
            </w:r>
          </w:p>
        </w:tc>
        <w:tc>
          <w:tcPr>
            <w:tcW w:w="529" w:type="pct"/>
            <w:tcBorders>
              <w:top w:val="nil"/>
              <w:bottom w:val="single" w:sz="4" w:space="0" w:color="auto"/>
            </w:tcBorders>
            <w:shd w:val="clear" w:color="auto" w:fill="auto"/>
            <w:vAlign w:val="center"/>
          </w:tcPr>
          <w:p w14:paraId="3D466484"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7/16 (43.8)</w:t>
            </w:r>
          </w:p>
        </w:tc>
        <w:tc>
          <w:tcPr>
            <w:tcW w:w="754" w:type="pct"/>
            <w:tcBorders>
              <w:top w:val="nil"/>
              <w:bottom w:val="single" w:sz="4" w:space="0" w:color="auto"/>
            </w:tcBorders>
            <w:shd w:val="clear" w:color="auto" w:fill="auto"/>
            <w:vAlign w:val="center"/>
          </w:tcPr>
          <w:p w14:paraId="508AFD6F"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0.10 (-0.26,0.46)</w:t>
            </w:r>
          </w:p>
        </w:tc>
        <w:tc>
          <w:tcPr>
            <w:tcW w:w="767" w:type="pct"/>
            <w:tcBorders>
              <w:top w:val="nil"/>
              <w:bottom w:val="single" w:sz="4" w:space="0" w:color="auto"/>
            </w:tcBorders>
            <w:shd w:val="clear" w:color="auto" w:fill="auto"/>
            <w:vAlign w:val="center"/>
          </w:tcPr>
          <w:p w14:paraId="7F297139"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1.23 (0.58,2.60)</w:t>
            </w:r>
          </w:p>
        </w:tc>
        <w:tc>
          <w:tcPr>
            <w:tcW w:w="769" w:type="pct"/>
            <w:tcBorders>
              <w:top w:val="nil"/>
              <w:bottom w:val="single" w:sz="4" w:space="0" w:color="auto"/>
            </w:tcBorders>
            <w:shd w:val="clear" w:color="auto" w:fill="auto"/>
            <w:vAlign w:val="center"/>
          </w:tcPr>
          <w:p w14:paraId="73E9991B"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1.50 (0.34,6.53)</w:t>
            </w:r>
          </w:p>
        </w:tc>
      </w:tr>
      <w:tr w:rsidR="00B565AC" w:rsidRPr="00F81A33" w14:paraId="3F13AFCD" w14:textId="77777777" w:rsidTr="004A7F12">
        <w:tc>
          <w:tcPr>
            <w:tcW w:w="1655" w:type="pct"/>
            <w:tcBorders>
              <w:bottom w:val="nil"/>
            </w:tcBorders>
            <w:shd w:val="clear" w:color="auto" w:fill="auto"/>
            <w:vAlign w:val="center"/>
          </w:tcPr>
          <w:p w14:paraId="15A45604" w14:textId="77777777" w:rsidR="00B565AC" w:rsidRPr="00F81A33" w:rsidRDefault="00B565AC" w:rsidP="001A7282">
            <w:pPr>
              <w:keepNext/>
              <w:keepLines/>
              <w:jc w:val="left"/>
              <w:rPr>
                <w:rFonts w:ascii="Arial Narrow" w:hAnsi="Arial Narrow"/>
                <w:b/>
                <w:sz w:val="20"/>
                <w:szCs w:val="20"/>
              </w:rPr>
            </w:pPr>
            <w:r w:rsidRPr="00F81A33">
              <w:rPr>
                <w:rFonts w:ascii="Arial Narrow" w:hAnsi="Arial Narrow"/>
                <w:b/>
                <w:sz w:val="20"/>
                <w:szCs w:val="20"/>
              </w:rPr>
              <w:t>UST v UST ‘treat-to-target’</w:t>
            </w:r>
          </w:p>
        </w:tc>
        <w:tc>
          <w:tcPr>
            <w:tcW w:w="526" w:type="pct"/>
            <w:tcBorders>
              <w:bottom w:val="nil"/>
            </w:tcBorders>
            <w:shd w:val="clear" w:color="auto" w:fill="auto"/>
            <w:vAlign w:val="center"/>
          </w:tcPr>
          <w:p w14:paraId="5C848828" w14:textId="77777777" w:rsidR="00B565AC" w:rsidRPr="00F81A33" w:rsidRDefault="00B565AC" w:rsidP="001A7282">
            <w:pPr>
              <w:keepNext/>
              <w:keepLines/>
              <w:jc w:val="center"/>
              <w:rPr>
                <w:rFonts w:ascii="Arial Narrow" w:hAnsi="Arial Narrow"/>
                <w:bCs/>
                <w:sz w:val="20"/>
                <w:szCs w:val="20"/>
              </w:rPr>
            </w:pPr>
          </w:p>
        </w:tc>
        <w:tc>
          <w:tcPr>
            <w:tcW w:w="529" w:type="pct"/>
            <w:tcBorders>
              <w:bottom w:val="nil"/>
            </w:tcBorders>
            <w:shd w:val="clear" w:color="auto" w:fill="auto"/>
            <w:vAlign w:val="center"/>
          </w:tcPr>
          <w:p w14:paraId="636842EA" w14:textId="77777777" w:rsidR="00B565AC" w:rsidRPr="00F81A33" w:rsidRDefault="00B565AC" w:rsidP="001A7282">
            <w:pPr>
              <w:keepNext/>
              <w:keepLines/>
              <w:jc w:val="center"/>
              <w:rPr>
                <w:rFonts w:ascii="Arial Narrow" w:hAnsi="Arial Narrow"/>
                <w:bCs/>
                <w:sz w:val="20"/>
                <w:szCs w:val="20"/>
              </w:rPr>
            </w:pPr>
          </w:p>
        </w:tc>
        <w:tc>
          <w:tcPr>
            <w:tcW w:w="754" w:type="pct"/>
            <w:tcBorders>
              <w:bottom w:val="nil"/>
            </w:tcBorders>
            <w:shd w:val="clear" w:color="auto" w:fill="auto"/>
            <w:vAlign w:val="center"/>
          </w:tcPr>
          <w:p w14:paraId="31DC09CA" w14:textId="77777777" w:rsidR="00B565AC" w:rsidRPr="00F81A33" w:rsidRDefault="00B565AC" w:rsidP="001A7282">
            <w:pPr>
              <w:keepNext/>
              <w:keepLines/>
              <w:jc w:val="center"/>
              <w:rPr>
                <w:rFonts w:ascii="Arial Narrow" w:hAnsi="Arial Narrow"/>
                <w:bCs/>
                <w:sz w:val="20"/>
                <w:szCs w:val="20"/>
              </w:rPr>
            </w:pPr>
          </w:p>
        </w:tc>
        <w:tc>
          <w:tcPr>
            <w:tcW w:w="767" w:type="pct"/>
            <w:tcBorders>
              <w:bottom w:val="nil"/>
            </w:tcBorders>
            <w:shd w:val="clear" w:color="auto" w:fill="auto"/>
            <w:vAlign w:val="center"/>
          </w:tcPr>
          <w:p w14:paraId="61704ABF" w14:textId="77777777" w:rsidR="00B565AC" w:rsidRPr="00F81A33" w:rsidRDefault="00B565AC" w:rsidP="001A7282">
            <w:pPr>
              <w:keepNext/>
              <w:keepLines/>
              <w:jc w:val="center"/>
              <w:rPr>
                <w:rFonts w:ascii="Arial Narrow" w:hAnsi="Arial Narrow"/>
                <w:bCs/>
                <w:sz w:val="20"/>
                <w:szCs w:val="20"/>
              </w:rPr>
            </w:pPr>
          </w:p>
        </w:tc>
        <w:tc>
          <w:tcPr>
            <w:tcW w:w="769" w:type="pct"/>
            <w:tcBorders>
              <w:bottom w:val="nil"/>
            </w:tcBorders>
            <w:shd w:val="clear" w:color="auto" w:fill="auto"/>
            <w:vAlign w:val="center"/>
          </w:tcPr>
          <w:p w14:paraId="2BF05C5A" w14:textId="77777777" w:rsidR="00B565AC" w:rsidRPr="00F81A33" w:rsidRDefault="00B565AC" w:rsidP="001A7282">
            <w:pPr>
              <w:keepNext/>
              <w:keepLines/>
              <w:jc w:val="center"/>
              <w:rPr>
                <w:rFonts w:ascii="Arial Narrow" w:hAnsi="Arial Narrow"/>
                <w:bCs/>
                <w:sz w:val="20"/>
                <w:szCs w:val="20"/>
              </w:rPr>
            </w:pPr>
          </w:p>
        </w:tc>
      </w:tr>
      <w:tr w:rsidR="00B565AC" w:rsidRPr="00F81A33" w14:paraId="0E69623E" w14:textId="77777777" w:rsidTr="004A7F12">
        <w:tc>
          <w:tcPr>
            <w:tcW w:w="1655" w:type="pct"/>
            <w:tcBorders>
              <w:top w:val="nil"/>
              <w:bottom w:val="single" w:sz="4" w:space="0" w:color="auto"/>
            </w:tcBorders>
            <w:shd w:val="clear" w:color="auto" w:fill="auto"/>
            <w:vAlign w:val="center"/>
          </w:tcPr>
          <w:p w14:paraId="714C33C5" w14:textId="77777777" w:rsidR="00B565AC" w:rsidRPr="00F81A33" w:rsidRDefault="00B565AC" w:rsidP="001A7282">
            <w:pPr>
              <w:keepNext/>
              <w:keepLines/>
              <w:jc w:val="left"/>
              <w:rPr>
                <w:rFonts w:ascii="Arial Narrow" w:hAnsi="Arial Narrow"/>
                <w:bCs/>
                <w:sz w:val="20"/>
                <w:szCs w:val="20"/>
              </w:rPr>
            </w:pPr>
            <w:r w:rsidRPr="00F81A33">
              <w:rPr>
                <w:rFonts w:ascii="Arial Narrow" w:hAnsi="Arial Narrow"/>
                <w:bCs/>
                <w:sz w:val="20"/>
                <w:szCs w:val="20"/>
              </w:rPr>
              <w:t>[2] STARDUST (Wk48│CR-70 Wk16)</w:t>
            </w:r>
          </w:p>
        </w:tc>
        <w:tc>
          <w:tcPr>
            <w:tcW w:w="526" w:type="pct"/>
            <w:tcBorders>
              <w:top w:val="nil"/>
              <w:bottom w:val="single" w:sz="4" w:space="0" w:color="auto"/>
            </w:tcBorders>
            <w:shd w:val="clear" w:color="auto" w:fill="auto"/>
            <w:vAlign w:val="center"/>
          </w:tcPr>
          <w:p w14:paraId="136B06C7"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4/7 (57.1)</w:t>
            </w:r>
          </w:p>
        </w:tc>
        <w:tc>
          <w:tcPr>
            <w:tcW w:w="529" w:type="pct"/>
            <w:tcBorders>
              <w:top w:val="nil"/>
              <w:bottom w:val="single" w:sz="4" w:space="0" w:color="auto"/>
            </w:tcBorders>
            <w:shd w:val="clear" w:color="auto" w:fill="auto"/>
            <w:vAlign w:val="center"/>
          </w:tcPr>
          <w:p w14:paraId="0BEFBDAA"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6/12 (50.0)</w:t>
            </w:r>
          </w:p>
        </w:tc>
        <w:tc>
          <w:tcPr>
            <w:tcW w:w="754" w:type="pct"/>
            <w:tcBorders>
              <w:top w:val="nil"/>
              <w:bottom w:val="single" w:sz="4" w:space="0" w:color="auto"/>
            </w:tcBorders>
            <w:shd w:val="clear" w:color="auto" w:fill="auto"/>
            <w:vAlign w:val="center"/>
          </w:tcPr>
          <w:p w14:paraId="074BCD2C"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0.07 (-0.39, 0.53)</w:t>
            </w:r>
          </w:p>
        </w:tc>
        <w:tc>
          <w:tcPr>
            <w:tcW w:w="767" w:type="pct"/>
            <w:tcBorders>
              <w:top w:val="nil"/>
              <w:bottom w:val="single" w:sz="4" w:space="0" w:color="auto"/>
            </w:tcBorders>
            <w:shd w:val="clear" w:color="auto" w:fill="auto"/>
            <w:vAlign w:val="center"/>
          </w:tcPr>
          <w:p w14:paraId="020ABD1F"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1.14 (0.49, 2.69)</w:t>
            </w:r>
          </w:p>
        </w:tc>
        <w:tc>
          <w:tcPr>
            <w:tcW w:w="769" w:type="pct"/>
            <w:tcBorders>
              <w:top w:val="nil"/>
              <w:bottom w:val="single" w:sz="4" w:space="0" w:color="auto"/>
            </w:tcBorders>
            <w:shd w:val="clear" w:color="auto" w:fill="auto"/>
            <w:vAlign w:val="center"/>
          </w:tcPr>
          <w:p w14:paraId="71060136"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1.33 (0.20, 8.71)</w:t>
            </w:r>
          </w:p>
        </w:tc>
      </w:tr>
      <w:tr w:rsidR="00B565AC" w:rsidRPr="00F81A33" w14:paraId="04A2CB54" w14:textId="77777777" w:rsidTr="004A7F12">
        <w:tc>
          <w:tcPr>
            <w:tcW w:w="1655" w:type="pct"/>
            <w:tcBorders>
              <w:bottom w:val="nil"/>
            </w:tcBorders>
            <w:shd w:val="clear" w:color="auto" w:fill="auto"/>
            <w:vAlign w:val="center"/>
          </w:tcPr>
          <w:p w14:paraId="7BEAA509" w14:textId="77777777" w:rsidR="00B565AC" w:rsidRPr="00F81A33" w:rsidRDefault="00B565AC" w:rsidP="001A7282">
            <w:pPr>
              <w:keepNext/>
              <w:keepLines/>
              <w:jc w:val="left"/>
              <w:rPr>
                <w:rFonts w:ascii="Arial Narrow" w:hAnsi="Arial Narrow"/>
                <w:b/>
                <w:sz w:val="20"/>
                <w:szCs w:val="20"/>
              </w:rPr>
            </w:pPr>
            <w:r w:rsidRPr="00F81A33">
              <w:rPr>
                <w:rFonts w:ascii="Arial Narrow" w:hAnsi="Arial Narrow"/>
                <w:b/>
                <w:sz w:val="20"/>
                <w:szCs w:val="20"/>
              </w:rPr>
              <w:t>UST v PBO</w:t>
            </w:r>
          </w:p>
        </w:tc>
        <w:tc>
          <w:tcPr>
            <w:tcW w:w="526" w:type="pct"/>
            <w:tcBorders>
              <w:bottom w:val="nil"/>
            </w:tcBorders>
            <w:shd w:val="clear" w:color="auto" w:fill="auto"/>
            <w:vAlign w:val="center"/>
          </w:tcPr>
          <w:p w14:paraId="73CA332B" w14:textId="77777777" w:rsidR="00B565AC" w:rsidRPr="00F81A33" w:rsidRDefault="00B565AC" w:rsidP="001A7282">
            <w:pPr>
              <w:keepNext/>
              <w:keepLines/>
              <w:jc w:val="center"/>
              <w:rPr>
                <w:rFonts w:ascii="Arial Narrow" w:hAnsi="Arial Narrow"/>
                <w:bCs/>
                <w:sz w:val="20"/>
                <w:szCs w:val="20"/>
              </w:rPr>
            </w:pPr>
          </w:p>
        </w:tc>
        <w:tc>
          <w:tcPr>
            <w:tcW w:w="529" w:type="pct"/>
            <w:tcBorders>
              <w:bottom w:val="nil"/>
            </w:tcBorders>
            <w:shd w:val="clear" w:color="auto" w:fill="auto"/>
            <w:vAlign w:val="center"/>
          </w:tcPr>
          <w:p w14:paraId="2F19DDDA" w14:textId="77777777" w:rsidR="00B565AC" w:rsidRPr="00F81A33" w:rsidRDefault="00B565AC" w:rsidP="001A7282">
            <w:pPr>
              <w:keepNext/>
              <w:keepLines/>
              <w:jc w:val="center"/>
              <w:rPr>
                <w:rFonts w:ascii="Arial Narrow" w:hAnsi="Arial Narrow"/>
                <w:bCs/>
                <w:sz w:val="20"/>
                <w:szCs w:val="20"/>
              </w:rPr>
            </w:pPr>
          </w:p>
        </w:tc>
        <w:tc>
          <w:tcPr>
            <w:tcW w:w="754" w:type="pct"/>
            <w:tcBorders>
              <w:bottom w:val="nil"/>
            </w:tcBorders>
            <w:shd w:val="clear" w:color="auto" w:fill="auto"/>
            <w:vAlign w:val="center"/>
          </w:tcPr>
          <w:p w14:paraId="0E60B6F6" w14:textId="77777777" w:rsidR="00B565AC" w:rsidRPr="00F81A33" w:rsidRDefault="00B565AC" w:rsidP="001A7282">
            <w:pPr>
              <w:keepNext/>
              <w:keepLines/>
              <w:jc w:val="center"/>
              <w:rPr>
                <w:rFonts w:ascii="Arial Narrow" w:hAnsi="Arial Narrow"/>
                <w:bCs/>
                <w:sz w:val="20"/>
                <w:szCs w:val="20"/>
              </w:rPr>
            </w:pPr>
          </w:p>
        </w:tc>
        <w:tc>
          <w:tcPr>
            <w:tcW w:w="767" w:type="pct"/>
            <w:tcBorders>
              <w:bottom w:val="nil"/>
            </w:tcBorders>
            <w:shd w:val="clear" w:color="auto" w:fill="auto"/>
            <w:vAlign w:val="center"/>
          </w:tcPr>
          <w:p w14:paraId="2F57A8C6" w14:textId="77777777" w:rsidR="00B565AC" w:rsidRPr="00F81A33" w:rsidRDefault="00B565AC" w:rsidP="001A7282">
            <w:pPr>
              <w:keepNext/>
              <w:keepLines/>
              <w:jc w:val="center"/>
              <w:rPr>
                <w:rFonts w:ascii="Arial Narrow" w:hAnsi="Arial Narrow"/>
                <w:bCs/>
                <w:sz w:val="20"/>
                <w:szCs w:val="20"/>
              </w:rPr>
            </w:pPr>
          </w:p>
        </w:tc>
        <w:tc>
          <w:tcPr>
            <w:tcW w:w="769" w:type="pct"/>
            <w:tcBorders>
              <w:bottom w:val="nil"/>
            </w:tcBorders>
            <w:shd w:val="clear" w:color="auto" w:fill="auto"/>
            <w:vAlign w:val="center"/>
          </w:tcPr>
          <w:p w14:paraId="50F2909E" w14:textId="77777777" w:rsidR="00B565AC" w:rsidRPr="00F81A33" w:rsidRDefault="00B565AC" w:rsidP="001A7282">
            <w:pPr>
              <w:keepNext/>
              <w:keepLines/>
              <w:jc w:val="center"/>
              <w:rPr>
                <w:rFonts w:ascii="Arial Narrow" w:hAnsi="Arial Narrow"/>
                <w:bCs/>
                <w:sz w:val="20"/>
                <w:szCs w:val="20"/>
              </w:rPr>
            </w:pPr>
          </w:p>
        </w:tc>
      </w:tr>
      <w:tr w:rsidR="004A7F12" w:rsidRPr="00F81A33" w14:paraId="510940A7" w14:textId="77777777" w:rsidTr="004A7F12">
        <w:tc>
          <w:tcPr>
            <w:tcW w:w="1655" w:type="pct"/>
            <w:tcBorders>
              <w:top w:val="nil"/>
              <w:bottom w:val="nil"/>
            </w:tcBorders>
            <w:shd w:val="clear" w:color="auto" w:fill="DBE5F1" w:themeFill="accent1" w:themeFillTint="33"/>
            <w:vAlign w:val="center"/>
          </w:tcPr>
          <w:p w14:paraId="745F0564"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sz w:val="20"/>
                <w:szCs w:val="20"/>
              </w:rPr>
              <w:t>[3] IM-UNITI (Wk52</w:t>
            </w:r>
            <w:r w:rsidRPr="00F81A33">
              <w:rPr>
                <w:rFonts w:ascii="Arial Narrow" w:hAnsi="Arial Narrow"/>
                <w:bCs/>
                <w:sz w:val="20"/>
                <w:szCs w:val="20"/>
              </w:rPr>
              <w:t>│CR-100 Wk8</w:t>
            </w:r>
            <w:r w:rsidRPr="00F81A33">
              <w:rPr>
                <w:rFonts w:ascii="Arial Narrow" w:hAnsi="Arial Narrow"/>
                <w:sz w:val="20"/>
                <w:szCs w:val="20"/>
              </w:rPr>
              <w:t>), Q8W</w:t>
            </w:r>
          </w:p>
        </w:tc>
        <w:tc>
          <w:tcPr>
            <w:tcW w:w="526" w:type="pct"/>
            <w:tcBorders>
              <w:top w:val="nil"/>
              <w:bottom w:val="nil"/>
            </w:tcBorders>
            <w:shd w:val="clear" w:color="auto" w:fill="DBE5F1" w:themeFill="accent1" w:themeFillTint="33"/>
            <w:vAlign w:val="center"/>
          </w:tcPr>
          <w:p w14:paraId="7C5ED026"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7/8 (87.5)</w:t>
            </w:r>
          </w:p>
        </w:tc>
        <w:tc>
          <w:tcPr>
            <w:tcW w:w="529" w:type="pct"/>
            <w:tcBorders>
              <w:top w:val="nil"/>
              <w:bottom w:val="nil"/>
            </w:tcBorders>
            <w:shd w:val="clear" w:color="auto" w:fill="DBE5F1" w:themeFill="accent1" w:themeFillTint="33"/>
            <w:vAlign w:val="center"/>
          </w:tcPr>
          <w:p w14:paraId="5C6447B3"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5/11 (45.5)</w:t>
            </w:r>
          </w:p>
        </w:tc>
        <w:tc>
          <w:tcPr>
            <w:tcW w:w="754" w:type="pct"/>
            <w:tcBorders>
              <w:top w:val="nil"/>
              <w:bottom w:val="nil"/>
            </w:tcBorders>
            <w:shd w:val="clear" w:color="auto" w:fill="DBE5F1" w:themeFill="accent1" w:themeFillTint="33"/>
            <w:vAlign w:val="center"/>
          </w:tcPr>
          <w:p w14:paraId="0E1F8EA6" w14:textId="77777777" w:rsidR="00B565AC" w:rsidRPr="00F81A33" w:rsidRDefault="00B565AC" w:rsidP="001A7282">
            <w:pPr>
              <w:keepNext/>
              <w:keepLines/>
              <w:jc w:val="center"/>
              <w:rPr>
                <w:rFonts w:ascii="Arial Narrow" w:hAnsi="Arial Narrow"/>
                <w:b/>
                <w:sz w:val="20"/>
                <w:szCs w:val="20"/>
              </w:rPr>
            </w:pPr>
            <w:r w:rsidRPr="00F81A33">
              <w:rPr>
                <w:rFonts w:ascii="Arial Narrow" w:hAnsi="Arial Narrow"/>
                <w:b/>
                <w:sz w:val="20"/>
                <w:szCs w:val="20"/>
              </w:rPr>
              <w:t>0.42 (0.05,0.79)</w:t>
            </w:r>
          </w:p>
        </w:tc>
        <w:tc>
          <w:tcPr>
            <w:tcW w:w="767" w:type="pct"/>
            <w:tcBorders>
              <w:top w:val="nil"/>
              <w:bottom w:val="nil"/>
            </w:tcBorders>
            <w:shd w:val="clear" w:color="auto" w:fill="DBE5F1" w:themeFill="accent1" w:themeFillTint="33"/>
            <w:vAlign w:val="center"/>
          </w:tcPr>
          <w:p w14:paraId="6BB02A01"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1.93 (0.96,3.87)</w:t>
            </w:r>
          </w:p>
        </w:tc>
        <w:tc>
          <w:tcPr>
            <w:tcW w:w="769" w:type="pct"/>
            <w:tcBorders>
              <w:top w:val="nil"/>
              <w:bottom w:val="nil"/>
            </w:tcBorders>
            <w:shd w:val="clear" w:color="auto" w:fill="DBE5F1" w:themeFill="accent1" w:themeFillTint="33"/>
            <w:vAlign w:val="center"/>
          </w:tcPr>
          <w:p w14:paraId="60484EF0"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8.40 (0.76,93.34)</w:t>
            </w:r>
          </w:p>
        </w:tc>
      </w:tr>
      <w:tr w:rsidR="00B565AC" w:rsidRPr="00F81A33" w14:paraId="1F5A38D6" w14:textId="77777777" w:rsidTr="004A7F12">
        <w:tc>
          <w:tcPr>
            <w:tcW w:w="1655" w:type="pct"/>
            <w:tcBorders>
              <w:top w:val="nil"/>
              <w:bottom w:val="single" w:sz="4" w:space="0" w:color="auto"/>
            </w:tcBorders>
            <w:shd w:val="clear" w:color="auto" w:fill="auto"/>
            <w:vAlign w:val="center"/>
          </w:tcPr>
          <w:p w14:paraId="6B021CFC" w14:textId="77777777" w:rsidR="00B565AC" w:rsidRPr="00F81A33" w:rsidRDefault="00B565AC" w:rsidP="001A7282">
            <w:pPr>
              <w:keepNext/>
              <w:keepLines/>
              <w:jc w:val="left"/>
              <w:rPr>
                <w:rFonts w:ascii="Arial Narrow" w:hAnsi="Arial Narrow"/>
                <w:sz w:val="20"/>
                <w:szCs w:val="20"/>
                <w:vertAlign w:val="subscript"/>
              </w:rPr>
            </w:pPr>
            <w:r w:rsidRPr="00F81A33">
              <w:rPr>
                <w:rFonts w:ascii="Arial Narrow" w:hAnsi="Arial Narrow"/>
                <w:sz w:val="20"/>
                <w:szCs w:val="20"/>
              </w:rPr>
              <w:t>[4] IM-UNITI (Wk52</w:t>
            </w:r>
            <w:r w:rsidRPr="00F81A33">
              <w:rPr>
                <w:rFonts w:ascii="Arial Narrow" w:hAnsi="Arial Narrow"/>
                <w:bCs/>
                <w:sz w:val="20"/>
                <w:szCs w:val="20"/>
              </w:rPr>
              <w:t>│CR-100 Wk8</w:t>
            </w:r>
            <w:r w:rsidRPr="00F81A33">
              <w:rPr>
                <w:rFonts w:ascii="Arial Narrow" w:hAnsi="Arial Narrow"/>
                <w:sz w:val="20"/>
                <w:szCs w:val="20"/>
              </w:rPr>
              <w:t>), Q8/12W</w:t>
            </w:r>
          </w:p>
        </w:tc>
        <w:tc>
          <w:tcPr>
            <w:tcW w:w="526" w:type="pct"/>
            <w:tcBorders>
              <w:top w:val="nil"/>
              <w:bottom w:val="single" w:sz="4" w:space="0" w:color="auto"/>
            </w:tcBorders>
            <w:shd w:val="clear" w:color="auto" w:fill="auto"/>
            <w:vAlign w:val="center"/>
          </w:tcPr>
          <w:p w14:paraId="4B1ED2FA"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12/15 (80.0)</w:t>
            </w:r>
          </w:p>
        </w:tc>
        <w:tc>
          <w:tcPr>
            <w:tcW w:w="529" w:type="pct"/>
            <w:tcBorders>
              <w:top w:val="nil"/>
              <w:bottom w:val="single" w:sz="4" w:space="0" w:color="auto"/>
            </w:tcBorders>
            <w:shd w:val="clear" w:color="auto" w:fill="auto"/>
            <w:vAlign w:val="center"/>
          </w:tcPr>
          <w:p w14:paraId="78909C28"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5/11 (45.5)</w:t>
            </w:r>
          </w:p>
        </w:tc>
        <w:tc>
          <w:tcPr>
            <w:tcW w:w="754" w:type="pct"/>
            <w:tcBorders>
              <w:top w:val="nil"/>
              <w:bottom w:val="single" w:sz="4" w:space="0" w:color="auto"/>
            </w:tcBorders>
            <w:shd w:val="clear" w:color="auto" w:fill="auto"/>
            <w:vAlign w:val="center"/>
          </w:tcPr>
          <w:p w14:paraId="5EC3947A"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0.35 (-0.01,0.70)</w:t>
            </w:r>
          </w:p>
        </w:tc>
        <w:tc>
          <w:tcPr>
            <w:tcW w:w="767" w:type="pct"/>
            <w:tcBorders>
              <w:top w:val="nil"/>
              <w:bottom w:val="single" w:sz="4" w:space="0" w:color="auto"/>
            </w:tcBorders>
            <w:shd w:val="clear" w:color="auto" w:fill="auto"/>
            <w:vAlign w:val="center"/>
          </w:tcPr>
          <w:p w14:paraId="10240688"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1.76 (0.88,3.53)</w:t>
            </w:r>
          </w:p>
        </w:tc>
        <w:tc>
          <w:tcPr>
            <w:tcW w:w="769" w:type="pct"/>
            <w:tcBorders>
              <w:top w:val="nil"/>
              <w:bottom w:val="single" w:sz="4" w:space="0" w:color="auto"/>
            </w:tcBorders>
            <w:shd w:val="clear" w:color="auto" w:fill="auto"/>
            <w:vAlign w:val="center"/>
          </w:tcPr>
          <w:p w14:paraId="511B4CB2"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4.80 (0.85,27.20)</w:t>
            </w:r>
          </w:p>
        </w:tc>
      </w:tr>
      <w:tr w:rsidR="00B565AC" w:rsidRPr="00F81A33" w14:paraId="06BA1C14" w14:textId="77777777" w:rsidTr="004A7F12">
        <w:tc>
          <w:tcPr>
            <w:tcW w:w="1655" w:type="pct"/>
            <w:tcBorders>
              <w:bottom w:val="nil"/>
            </w:tcBorders>
            <w:shd w:val="clear" w:color="auto" w:fill="auto"/>
            <w:vAlign w:val="center"/>
          </w:tcPr>
          <w:p w14:paraId="634319FF" w14:textId="77777777" w:rsidR="00B565AC" w:rsidRPr="00F81A33" w:rsidRDefault="00B565AC" w:rsidP="001A7282">
            <w:pPr>
              <w:keepNext/>
              <w:keepLines/>
              <w:jc w:val="left"/>
              <w:rPr>
                <w:rFonts w:ascii="Arial Narrow" w:hAnsi="Arial Narrow"/>
                <w:bCs/>
                <w:sz w:val="20"/>
                <w:szCs w:val="20"/>
              </w:rPr>
            </w:pPr>
            <w:r w:rsidRPr="00F81A33">
              <w:rPr>
                <w:rFonts w:ascii="Arial Narrow" w:hAnsi="Arial Narrow"/>
                <w:b/>
                <w:sz w:val="20"/>
                <w:szCs w:val="20"/>
              </w:rPr>
              <w:t>IFX v PBO</w:t>
            </w:r>
          </w:p>
        </w:tc>
        <w:tc>
          <w:tcPr>
            <w:tcW w:w="526" w:type="pct"/>
            <w:tcBorders>
              <w:bottom w:val="nil"/>
            </w:tcBorders>
            <w:shd w:val="clear" w:color="auto" w:fill="auto"/>
            <w:vAlign w:val="center"/>
          </w:tcPr>
          <w:p w14:paraId="20492494" w14:textId="77777777" w:rsidR="00B565AC" w:rsidRPr="00F81A33" w:rsidRDefault="00B565AC" w:rsidP="001A7282">
            <w:pPr>
              <w:keepNext/>
              <w:keepLines/>
              <w:jc w:val="center"/>
              <w:rPr>
                <w:rFonts w:ascii="Arial Narrow" w:hAnsi="Arial Narrow"/>
                <w:bCs/>
                <w:sz w:val="20"/>
                <w:szCs w:val="20"/>
              </w:rPr>
            </w:pPr>
          </w:p>
        </w:tc>
        <w:tc>
          <w:tcPr>
            <w:tcW w:w="529" w:type="pct"/>
            <w:tcBorders>
              <w:bottom w:val="nil"/>
            </w:tcBorders>
            <w:shd w:val="clear" w:color="auto" w:fill="auto"/>
            <w:vAlign w:val="center"/>
          </w:tcPr>
          <w:p w14:paraId="310D0C8C" w14:textId="77777777" w:rsidR="00B565AC" w:rsidRPr="00F81A33" w:rsidRDefault="00B565AC" w:rsidP="001A7282">
            <w:pPr>
              <w:keepNext/>
              <w:keepLines/>
              <w:jc w:val="center"/>
              <w:rPr>
                <w:rFonts w:ascii="Arial Narrow" w:hAnsi="Arial Narrow"/>
                <w:bCs/>
                <w:sz w:val="20"/>
                <w:szCs w:val="20"/>
              </w:rPr>
            </w:pPr>
          </w:p>
        </w:tc>
        <w:tc>
          <w:tcPr>
            <w:tcW w:w="754" w:type="pct"/>
            <w:tcBorders>
              <w:bottom w:val="nil"/>
            </w:tcBorders>
            <w:shd w:val="clear" w:color="auto" w:fill="auto"/>
            <w:vAlign w:val="center"/>
          </w:tcPr>
          <w:p w14:paraId="5CA714F9" w14:textId="77777777" w:rsidR="00B565AC" w:rsidRPr="00F81A33" w:rsidRDefault="00B565AC" w:rsidP="001A7282">
            <w:pPr>
              <w:keepNext/>
              <w:keepLines/>
              <w:jc w:val="center"/>
              <w:rPr>
                <w:rFonts w:ascii="Arial Narrow" w:hAnsi="Arial Narrow"/>
                <w:bCs/>
                <w:sz w:val="20"/>
                <w:szCs w:val="20"/>
              </w:rPr>
            </w:pPr>
          </w:p>
        </w:tc>
        <w:tc>
          <w:tcPr>
            <w:tcW w:w="767" w:type="pct"/>
            <w:tcBorders>
              <w:bottom w:val="nil"/>
            </w:tcBorders>
            <w:shd w:val="clear" w:color="auto" w:fill="auto"/>
            <w:vAlign w:val="center"/>
          </w:tcPr>
          <w:p w14:paraId="10DC848E" w14:textId="77777777" w:rsidR="00B565AC" w:rsidRPr="00F81A33" w:rsidRDefault="00B565AC" w:rsidP="001A7282">
            <w:pPr>
              <w:keepNext/>
              <w:keepLines/>
              <w:jc w:val="center"/>
              <w:rPr>
                <w:rFonts w:ascii="Arial Narrow" w:hAnsi="Arial Narrow"/>
                <w:bCs/>
                <w:sz w:val="20"/>
                <w:szCs w:val="20"/>
              </w:rPr>
            </w:pPr>
          </w:p>
        </w:tc>
        <w:tc>
          <w:tcPr>
            <w:tcW w:w="769" w:type="pct"/>
            <w:tcBorders>
              <w:bottom w:val="nil"/>
            </w:tcBorders>
            <w:shd w:val="clear" w:color="auto" w:fill="auto"/>
            <w:vAlign w:val="center"/>
          </w:tcPr>
          <w:p w14:paraId="76D5E4DE" w14:textId="77777777" w:rsidR="00B565AC" w:rsidRPr="00F81A33" w:rsidRDefault="00B565AC" w:rsidP="001A7282">
            <w:pPr>
              <w:keepNext/>
              <w:keepLines/>
              <w:jc w:val="center"/>
              <w:rPr>
                <w:rFonts w:ascii="Arial Narrow" w:hAnsi="Arial Narrow"/>
                <w:bCs/>
                <w:sz w:val="20"/>
                <w:szCs w:val="20"/>
              </w:rPr>
            </w:pPr>
          </w:p>
        </w:tc>
      </w:tr>
      <w:tr w:rsidR="00B565AC" w:rsidRPr="00F81A33" w14:paraId="3DAB094B" w14:textId="77777777" w:rsidTr="004A7F12">
        <w:tc>
          <w:tcPr>
            <w:tcW w:w="1655" w:type="pct"/>
            <w:tcBorders>
              <w:top w:val="nil"/>
              <w:bottom w:val="nil"/>
            </w:tcBorders>
            <w:shd w:val="clear" w:color="auto" w:fill="auto"/>
            <w:vAlign w:val="center"/>
          </w:tcPr>
          <w:p w14:paraId="2CD3CF75"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sz w:val="20"/>
                <w:szCs w:val="20"/>
              </w:rPr>
              <w:t>[5] ACCENT II (Wk54)</w:t>
            </w:r>
          </w:p>
        </w:tc>
        <w:tc>
          <w:tcPr>
            <w:tcW w:w="526" w:type="pct"/>
            <w:tcBorders>
              <w:top w:val="nil"/>
              <w:bottom w:val="nil"/>
            </w:tcBorders>
            <w:shd w:val="clear" w:color="auto" w:fill="auto"/>
            <w:vAlign w:val="center"/>
          </w:tcPr>
          <w:p w14:paraId="54CA8B14"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51/134 (38.1)</w:t>
            </w:r>
          </w:p>
        </w:tc>
        <w:tc>
          <w:tcPr>
            <w:tcW w:w="529" w:type="pct"/>
            <w:tcBorders>
              <w:top w:val="nil"/>
              <w:bottom w:val="nil"/>
            </w:tcBorders>
            <w:shd w:val="clear" w:color="auto" w:fill="auto"/>
            <w:vAlign w:val="center"/>
          </w:tcPr>
          <w:p w14:paraId="7946545B"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30/142 (21.1)</w:t>
            </w:r>
          </w:p>
        </w:tc>
        <w:tc>
          <w:tcPr>
            <w:tcW w:w="754" w:type="pct"/>
            <w:tcBorders>
              <w:top w:val="nil"/>
              <w:bottom w:val="nil"/>
            </w:tcBorders>
            <w:shd w:val="clear" w:color="auto" w:fill="auto"/>
            <w:vAlign w:val="center"/>
          </w:tcPr>
          <w:p w14:paraId="1A1F1BF3" w14:textId="77777777" w:rsidR="00B565AC" w:rsidRPr="00F81A33" w:rsidRDefault="00B565AC" w:rsidP="001A7282">
            <w:pPr>
              <w:keepNext/>
              <w:keepLines/>
              <w:jc w:val="center"/>
              <w:rPr>
                <w:rFonts w:ascii="Arial Narrow" w:hAnsi="Arial Narrow"/>
                <w:b/>
                <w:bCs/>
                <w:sz w:val="20"/>
                <w:szCs w:val="20"/>
              </w:rPr>
            </w:pPr>
            <w:r w:rsidRPr="00F81A33">
              <w:rPr>
                <w:rFonts w:ascii="Arial Narrow" w:hAnsi="Arial Narrow"/>
                <w:b/>
                <w:bCs/>
                <w:sz w:val="20"/>
                <w:szCs w:val="20"/>
              </w:rPr>
              <w:t>0.17 (0.06,0.28)</w:t>
            </w:r>
          </w:p>
        </w:tc>
        <w:tc>
          <w:tcPr>
            <w:tcW w:w="767" w:type="pct"/>
            <w:tcBorders>
              <w:top w:val="nil"/>
              <w:bottom w:val="nil"/>
            </w:tcBorders>
            <w:shd w:val="clear" w:color="auto" w:fill="auto"/>
            <w:vAlign w:val="center"/>
          </w:tcPr>
          <w:p w14:paraId="367FFA8A" w14:textId="77777777" w:rsidR="00B565AC" w:rsidRPr="00F81A33" w:rsidRDefault="00B565AC" w:rsidP="001A7282">
            <w:pPr>
              <w:keepNext/>
              <w:keepLines/>
              <w:jc w:val="center"/>
              <w:rPr>
                <w:rFonts w:ascii="Arial Narrow" w:hAnsi="Arial Narrow"/>
                <w:b/>
                <w:bCs/>
                <w:sz w:val="20"/>
                <w:szCs w:val="20"/>
              </w:rPr>
            </w:pPr>
            <w:r w:rsidRPr="00F81A33">
              <w:rPr>
                <w:rFonts w:ascii="Arial Narrow" w:hAnsi="Arial Narrow"/>
                <w:b/>
                <w:bCs/>
                <w:sz w:val="20"/>
                <w:szCs w:val="20"/>
              </w:rPr>
              <w:t>1.80 (1.23,2.65)</w:t>
            </w:r>
          </w:p>
        </w:tc>
        <w:tc>
          <w:tcPr>
            <w:tcW w:w="769" w:type="pct"/>
            <w:tcBorders>
              <w:top w:val="nil"/>
              <w:bottom w:val="nil"/>
            </w:tcBorders>
            <w:shd w:val="clear" w:color="auto" w:fill="auto"/>
            <w:vAlign w:val="center"/>
          </w:tcPr>
          <w:p w14:paraId="66BB61FD" w14:textId="77777777" w:rsidR="00B565AC" w:rsidRPr="00F81A33" w:rsidRDefault="00B565AC" w:rsidP="001A7282">
            <w:pPr>
              <w:keepNext/>
              <w:keepLines/>
              <w:jc w:val="center"/>
              <w:rPr>
                <w:rFonts w:ascii="Arial Narrow" w:hAnsi="Arial Narrow"/>
                <w:b/>
                <w:bCs/>
                <w:sz w:val="20"/>
                <w:szCs w:val="20"/>
                <w:lang w:val="fr-FR"/>
              </w:rPr>
            </w:pPr>
            <w:r w:rsidRPr="00F81A33">
              <w:rPr>
                <w:rFonts w:ascii="Arial Narrow" w:hAnsi="Arial Narrow"/>
                <w:b/>
                <w:bCs/>
                <w:sz w:val="20"/>
                <w:szCs w:val="20"/>
                <w:lang w:val="fr-FR"/>
              </w:rPr>
              <w:t>2.29 (1.35,3.91)</w:t>
            </w:r>
          </w:p>
        </w:tc>
      </w:tr>
      <w:tr w:rsidR="004A7F12" w:rsidRPr="00F81A33" w14:paraId="41C61ECC" w14:textId="77777777" w:rsidTr="004A7F12">
        <w:tc>
          <w:tcPr>
            <w:tcW w:w="1655" w:type="pct"/>
            <w:tcBorders>
              <w:top w:val="nil"/>
              <w:bottom w:val="nil"/>
            </w:tcBorders>
            <w:shd w:val="clear" w:color="auto" w:fill="DBE5F1" w:themeFill="accent1" w:themeFillTint="33"/>
            <w:vAlign w:val="center"/>
          </w:tcPr>
          <w:p w14:paraId="659048AD"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sz w:val="20"/>
                <w:szCs w:val="20"/>
              </w:rPr>
              <w:t>[6] ACCENT II (Wk54│FR Wk10/14)</w:t>
            </w:r>
          </w:p>
        </w:tc>
        <w:tc>
          <w:tcPr>
            <w:tcW w:w="526" w:type="pct"/>
            <w:tcBorders>
              <w:top w:val="nil"/>
              <w:bottom w:val="nil"/>
            </w:tcBorders>
            <w:shd w:val="clear" w:color="auto" w:fill="DBE5F1" w:themeFill="accent1" w:themeFillTint="33"/>
            <w:vAlign w:val="center"/>
          </w:tcPr>
          <w:p w14:paraId="6B410B28"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42/91 (46.2)</w:t>
            </w:r>
          </w:p>
        </w:tc>
        <w:tc>
          <w:tcPr>
            <w:tcW w:w="529" w:type="pct"/>
            <w:tcBorders>
              <w:top w:val="nil"/>
              <w:bottom w:val="nil"/>
            </w:tcBorders>
            <w:shd w:val="clear" w:color="auto" w:fill="DBE5F1" w:themeFill="accent1" w:themeFillTint="33"/>
            <w:vAlign w:val="center"/>
          </w:tcPr>
          <w:p w14:paraId="3955F677"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23/98 (23.5)</w:t>
            </w:r>
          </w:p>
        </w:tc>
        <w:tc>
          <w:tcPr>
            <w:tcW w:w="754" w:type="pct"/>
            <w:tcBorders>
              <w:top w:val="nil"/>
              <w:bottom w:val="nil"/>
            </w:tcBorders>
            <w:shd w:val="clear" w:color="auto" w:fill="DBE5F1" w:themeFill="accent1" w:themeFillTint="33"/>
            <w:vAlign w:val="center"/>
          </w:tcPr>
          <w:p w14:paraId="31DD13AA" w14:textId="77777777" w:rsidR="00B565AC" w:rsidRPr="00F81A33" w:rsidRDefault="00B565AC" w:rsidP="001A7282">
            <w:pPr>
              <w:keepNext/>
              <w:keepLines/>
              <w:jc w:val="center"/>
              <w:rPr>
                <w:rFonts w:ascii="Arial Narrow" w:hAnsi="Arial Narrow"/>
                <w:b/>
                <w:bCs/>
                <w:sz w:val="20"/>
                <w:szCs w:val="20"/>
              </w:rPr>
            </w:pPr>
            <w:r w:rsidRPr="00F81A33">
              <w:rPr>
                <w:rFonts w:ascii="Arial Narrow" w:hAnsi="Arial Narrow"/>
                <w:b/>
                <w:bCs/>
                <w:sz w:val="20"/>
                <w:szCs w:val="20"/>
              </w:rPr>
              <w:t>0.23 (0.09,0.36)</w:t>
            </w:r>
          </w:p>
        </w:tc>
        <w:tc>
          <w:tcPr>
            <w:tcW w:w="767" w:type="pct"/>
            <w:tcBorders>
              <w:top w:val="nil"/>
              <w:bottom w:val="nil"/>
            </w:tcBorders>
            <w:shd w:val="clear" w:color="auto" w:fill="DBE5F1" w:themeFill="accent1" w:themeFillTint="33"/>
            <w:vAlign w:val="center"/>
          </w:tcPr>
          <w:p w14:paraId="094831D5" w14:textId="77777777" w:rsidR="00B565AC" w:rsidRPr="00F81A33" w:rsidRDefault="00B565AC" w:rsidP="001A7282">
            <w:pPr>
              <w:keepNext/>
              <w:keepLines/>
              <w:jc w:val="center"/>
              <w:rPr>
                <w:rFonts w:ascii="Arial Narrow" w:hAnsi="Arial Narrow"/>
                <w:b/>
                <w:bCs/>
                <w:sz w:val="20"/>
                <w:szCs w:val="20"/>
              </w:rPr>
            </w:pPr>
            <w:r w:rsidRPr="00F81A33">
              <w:rPr>
                <w:rFonts w:ascii="Arial Narrow" w:hAnsi="Arial Narrow"/>
                <w:b/>
                <w:bCs/>
                <w:sz w:val="20"/>
                <w:szCs w:val="20"/>
              </w:rPr>
              <w:t>1.97 (1.29,3.00)</w:t>
            </w:r>
          </w:p>
        </w:tc>
        <w:tc>
          <w:tcPr>
            <w:tcW w:w="769" w:type="pct"/>
            <w:tcBorders>
              <w:top w:val="nil"/>
              <w:bottom w:val="nil"/>
            </w:tcBorders>
            <w:shd w:val="clear" w:color="auto" w:fill="DBE5F1" w:themeFill="accent1" w:themeFillTint="33"/>
            <w:vAlign w:val="center"/>
          </w:tcPr>
          <w:p w14:paraId="31AC8063" w14:textId="77777777" w:rsidR="00B565AC" w:rsidRPr="00F81A33" w:rsidRDefault="00B565AC" w:rsidP="001A7282">
            <w:pPr>
              <w:keepNext/>
              <w:keepLines/>
              <w:jc w:val="center"/>
              <w:rPr>
                <w:rFonts w:ascii="Arial Narrow" w:hAnsi="Arial Narrow"/>
                <w:b/>
                <w:bCs/>
                <w:sz w:val="20"/>
                <w:szCs w:val="20"/>
                <w:lang w:val="fr-FR"/>
              </w:rPr>
            </w:pPr>
            <w:r w:rsidRPr="00F81A33">
              <w:rPr>
                <w:rFonts w:ascii="Arial Narrow" w:hAnsi="Arial Narrow"/>
                <w:b/>
                <w:bCs/>
                <w:sz w:val="20"/>
                <w:szCs w:val="20"/>
                <w:lang w:val="fr-FR"/>
              </w:rPr>
              <w:t>2.80 (1.50,5.21)</w:t>
            </w:r>
          </w:p>
        </w:tc>
      </w:tr>
      <w:tr w:rsidR="00B565AC" w:rsidRPr="00F81A33" w14:paraId="3E0C55C3" w14:textId="77777777" w:rsidTr="004A7F12">
        <w:tc>
          <w:tcPr>
            <w:tcW w:w="1655" w:type="pct"/>
            <w:tcBorders>
              <w:top w:val="nil"/>
            </w:tcBorders>
            <w:shd w:val="clear" w:color="auto" w:fill="auto"/>
            <w:vAlign w:val="center"/>
          </w:tcPr>
          <w:p w14:paraId="689840DD" w14:textId="77777777" w:rsidR="00B565AC" w:rsidRPr="00F81A33" w:rsidRDefault="00B565AC" w:rsidP="001A7282">
            <w:pPr>
              <w:keepNext/>
              <w:keepLines/>
              <w:jc w:val="left"/>
              <w:rPr>
                <w:rFonts w:ascii="Arial Narrow" w:hAnsi="Arial Narrow"/>
                <w:sz w:val="20"/>
                <w:szCs w:val="20"/>
                <w:lang w:val="it-IT"/>
              </w:rPr>
            </w:pPr>
            <w:r w:rsidRPr="00F81A33">
              <w:rPr>
                <w:rFonts w:ascii="Arial Narrow" w:hAnsi="Arial Narrow"/>
                <w:sz w:val="20"/>
                <w:szCs w:val="20"/>
                <w:lang w:val="it-IT"/>
              </w:rPr>
              <w:t>[7] ACCENT II (Wk54│no-FR Wk10/14)</w:t>
            </w:r>
          </w:p>
        </w:tc>
        <w:tc>
          <w:tcPr>
            <w:tcW w:w="526" w:type="pct"/>
            <w:tcBorders>
              <w:top w:val="nil"/>
            </w:tcBorders>
            <w:shd w:val="clear" w:color="auto" w:fill="auto"/>
            <w:vAlign w:val="center"/>
          </w:tcPr>
          <w:p w14:paraId="33FD4670"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9/43 (20.9)</w:t>
            </w:r>
          </w:p>
        </w:tc>
        <w:tc>
          <w:tcPr>
            <w:tcW w:w="529" w:type="pct"/>
            <w:tcBorders>
              <w:top w:val="nil"/>
            </w:tcBorders>
            <w:shd w:val="clear" w:color="auto" w:fill="auto"/>
            <w:vAlign w:val="center"/>
          </w:tcPr>
          <w:p w14:paraId="1683FC99"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7/44 (15.9)</w:t>
            </w:r>
          </w:p>
        </w:tc>
        <w:tc>
          <w:tcPr>
            <w:tcW w:w="754" w:type="pct"/>
            <w:tcBorders>
              <w:top w:val="nil"/>
            </w:tcBorders>
            <w:shd w:val="clear" w:color="auto" w:fill="auto"/>
            <w:vAlign w:val="center"/>
          </w:tcPr>
          <w:p w14:paraId="607E3F1D"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0.05 (-0.11,0.21)</w:t>
            </w:r>
          </w:p>
        </w:tc>
        <w:tc>
          <w:tcPr>
            <w:tcW w:w="767" w:type="pct"/>
            <w:tcBorders>
              <w:top w:val="nil"/>
            </w:tcBorders>
            <w:shd w:val="clear" w:color="auto" w:fill="auto"/>
            <w:vAlign w:val="center"/>
          </w:tcPr>
          <w:p w14:paraId="66482AF4"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1.32 (0.54,3.22)</w:t>
            </w:r>
          </w:p>
        </w:tc>
        <w:tc>
          <w:tcPr>
            <w:tcW w:w="769" w:type="pct"/>
            <w:tcBorders>
              <w:top w:val="nil"/>
            </w:tcBorders>
            <w:shd w:val="clear" w:color="auto" w:fill="auto"/>
            <w:vAlign w:val="center"/>
          </w:tcPr>
          <w:p w14:paraId="79A4B04C"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sz w:val="20"/>
                <w:szCs w:val="20"/>
                <w:lang w:val="fr-FR"/>
              </w:rPr>
              <w:t>1.40 (0.47,4.17)</w:t>
            </w:r>
          </w:p>
        </w:tc>
      </w:tr>
      <w:tr w:rsidR="00B565AC" w:rsidRPr="00F81A33" w14:paraId="72BC8C36" w14:textId="77777777" w:rsidTr="004A7F12">
        <w:tc>
          <w:tcPr>
            <w:tcW w:w="5000" w:type="pct"/>
            <w:gridSpan w:val="6"/>
            <w:tcBorders>
              <w:top w:val="nil"/>
              <w:bottom w:val="single" w:sz="4" w:space="0" w:color="auto"/>
            </w:tcBorders>
            <w:shd w:val="clear" w:color="auto" w:fill="auto"/>
            <w:vAlign w:val="center"/>
          </w:tcPr>
          <w:p w14:paraId="7A42E0F2" w14:textId="77777777" w:rsidR="00B565AC" w:rsidRPr="00F81A33" w:rsidRDefault="00B565AC" w:rsidP="001A7282">
            <w:pPr>
              <w:keepNext/>
              <w:keepLines/>
              <w:jc w:val="left"/>
              <w:rPr>
                <w:rFonts w:ascii="Arial Narrow" w:hAnsi="Arial Narrow"/>
                <w:b/>
                <w:bCs/>
                <w:sz w:val="20"/>
                <w:szCs w:val="20"/>
                <w:lang w:val="fr-FR"/>
              </w:rPr>
            </w:pPr>
            <w:r w:rsidRPr="00F81A33">
              <w:rPr>
                <w:rFonts w:ascii="Arial Narrow" w:hAnsi="Arial Narrow"/>
                <w:b/>
                <w:sz w:val="20"/>
                <w:szCs w:val="20"/>
              </w:rPr>
              <w:t>OUTCOME: FISTULA REMISSION</w:t>
            </w:r>
          </w:p>
        </w:tc>
      </w:tr>
      <w:tr w:rsidR="00B565AC" w:rsidRPr="00F81A33" w14:paraId="16ECAE4E" w14:textId="77777777" w:rsidTr="004A7F12">
        <w:tc>
          <w:tcPr>
            <w:tcW w:w="1655" w:type="pct"/>
            <w:tcBorders>
              <w:top w:val="single" w:sz="4" w:space="0" w:color="auto"/>
              <w:bottom w:val="nil"/>
            </w:tcBorders>
            <w:shd w:val="clear" w:color="auto" w:fill="auto"/>
            <w:vAlign w:val="center"/>
          </w:tcPr>
          <w:p w14:paraId="465BEDD3"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b/>
                <w:sz w:val="20"/>
                <w:szCs w:val="20"/>
              </w:rPr>
              <w:t>UST v ADA</w:t>
            </w:r>
          </w:p>
        </w:tc>
        <w:tc>
          <w:tcPr>
            <w:tcW w:w="526" w:type="pct"/>
            <w:tcBorders>
              <w:top w:val="single" w:sz="4" w:space="0" w:color="auto"/>
              <w:bottom w:val="nil"/>
            </w:tcBorders>
            <w:shd w:val="clear" w:color="auto" w:fill="auto"/>
            <w:vAlign w:val="center"/>
          </w:tcPr>
          <w:p w14:paraId="4FBF9B62" w14:textId="77777777" w:rsidR="00B565AC" w:rsidRPr="00F81A33" w:rsidRDefault="00B565AC" w:rsidP="001A7282">
            <w:pPr>
              <w:keepNext/>
              <w:keepLines/>
              <w:jc w:val="center"/>
              <w:rPr>
                <w:rFonts w:ascii="Arial Narrow" w:hAnsi="Arial Narrow"/>
                <w:sz w:val="20"/>
                <w:szCs w:val="20"/>
              </w:rPr>
            </w:pPr>
          </w:p>
        </w:tc>
        <w:tc>
          <w:tcPr>
            <w:tcW w:w="529" w:type="pct"/>
            <w:tcBorders>
              <w:top w:val="single" w:sz="4" w:space="0" w:color="auto"/>
              <w:bottom w:val="nil"/>
            </w:tcBorders>
            <w:shd w:val="clear" w:color="auto" w:fill="auto"/>
            <w:vAlign w:val="center"/>
          </w:tcPr>
          <w:p w14:paraId="04B8CF61" w14:textId="77777777" w:rsidR="00B565AC" w:rsidRPr="00F81A33" w:rsidRDefault="00B565AC" w:rsidP="001A7282">
            <w:pPr>
              <w:keepNext/>
              <w:keepLines/>
              <w:jc w:val="center"/>
              <w:rPr>
                <w:rFonts w:ascii="Arial Narrow" w:hAnsi="Arial Narrow"/>
                <w:sz w:val="20"/>
                <w:szCs w:val="20"/>
              </w:rPr>
            </w:pPr>
          </w:p>
        </w:tc>
        <w:tc>
          <w:tcPr>
            <w:tcW w:w="754" w:type="pct"/>
            <w:tcBorders>
              <w:top w:val="single" w:sz="4" w:space="0" w:color="auto"/>
              <w:bottom w:val="nil"/>
            </w:tcBorders>
            <w:shd w:val="clear" w:color="auto" w:fill="auto"/>
            <w:vAlign w:val="center"/>
          </w:tcPr>
          <w:p w14:paraId="40F8685F" w14:textId="77777777" w:rsidR="00B565AC" w:rsidRPr="00F81A33" w:rsidRDefault="00B565AC" w:rsidP="001A7282">
            <w:pPr>
              <w:keepNext/>
              <w:keepLines/>
              <w:jc w:val="center"/>
              <w:rPr>
                <w:rFonts w:ascii="Arial Narrow" w:hAnsi="Arial Narrow"/>
                <w:sz w:val="20"/>
                <w:szCs w:val="20"/>
              </w:rPr>
            </w:pPr>
          </w:p>
        </w:tc>
        <w:tc>
          <w:tcPr>
            <w:tcW w:w="767" w:type="pct"/>
            <w:tcBorders>
              <w:top w:val="single" w:sz="4" w:space="0" w:color="auto"/>
              <w:bottom w:val="nil"/>
            </w:tcBorders>
            <w:shd w:val="clear" w:color="auto" w:fill="auto"/>
            <w:vAlign w:val="center"/>
          </w:tcPr>
          <w:p w14:paraId="14C8DDD4" w14:textId="77777777" w:rsidR="00B565AC" w:rsidRPr="00F81A33" w:rsidRDefault="00B565AC" w:rsidP="001A7282">
            <w:pPr>
              <w:keepNext/>
              <w:keepLines/>
              <w:jc w:val="center"/>
              <w:rPr>
                <w:rFonts w:ascii="Arial Narrow" w:hAnsi="Arial Narrow"/>
                <w:sz w:val="20"/>
                <w:szCs w:val="20"/>
              </w:rPr>
            </w:pPr>
          </w:p>
        </w:tc>
        <w:tc>
          <w:tcPr>
            <w:tcW w:w="769" w:type="pct"/>
            <w:tcBorders>
              <w:top w:val="single" w:sz="4" w:space="0" w:color="auto"/>
              <w:bottom w:val="nil"/>
            </w:tcBorders>
            <w:shd w:val="clear" w:color="auto" w:fill="auto"/>
            <w:vAlign w:val="center"/>
          </w:tcPr>
          <w:p w14:paraId="78F2D545" w14:textId="77777777" w:rsidR="00B565AC" w:rsidRPr="00F81A33" w:rsidRDefault="00B565AC" w:rsidP="001A7282">
            <w:pPr>
              <w:keepNext/>
              <w:keepLines/>
              <w:jc w:val="center"/>
              <w:rPr>
                <w:rFonts w:ascii="Arial Narrow" w:hAnsi="Arial Narrow"/>
                <w:sz w:val="20"/>
                <w:szCs w:val="20"/>
                <w:lang w:val="fr-FR"/>
              </w:rPr>
            </w:pPr>
          </w:p>
        </w:tc>
      </w:tr>
      <w:tr w:rsidR="00B565AC" w:rsidRPr="00F81A33" w14:paraId="6EBD3F9A" w14:textId="77777777" w:rsidTr="004A7F12">
        <w:tc>
          <w:tcPr>
            <w:tcW w:w="1655" w:type="pct"/>
            <w:tcBorders>
              <w:top w:val="nil"/>
              <w:bottom w:val="single" w:sz="4" w:space="0" w:color="auto"/>
            </w:tcBorders>
            <w:shd w:val="clear" w:color="auto" w:fill="auto"/>
            <w:vAlign w:val="center"/>
          </w:tcPr>
          <w:p w14:paraId="10E7B217"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bCs/>
                <w:sz w:val="20"/>
                <w:szCs w:val="20"/>
              </w:rPr>
              <w:t>[8] SEAVUE (Wk52)</w:t>
            </w:r>
          </w:p>
        </w:tc>
        <w:tc>
          <w:tcPr>
            <w:tcW w:w="526" w:type="pct"/>
            <w:tcBorders>
              <w:top w:val="nil"/>
              <w:bottom w:val="single" w:sz="4" w:space="0" w:color="auto"/>
            </w:tcBorders>
            <w:shd w:val="clear" w:color="auto" w:fill="auto"/>
            <w:vAlign w:val="center"/>
          </w:tcPr>
          <w:p w14:paraId="23A7E856"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bCs/>
                <w:sz w:val="20"/>
                <w:szCs w:val="20"/>
              </w:rPr>
              <w:t>7/13 (53.8)</w:t>
            </w:r>
          </w:p>
        </w:tc>
        <w:tc>
          <w:tcPr>
            <w:tcW w:w="529" w:type="pct"/>
            <w:tcBorders>
              <w:top w:val="nil"/>
              <w:bottom w:val="single" w:sz="4" w:space="0" w:color="auto"/>
            </w:tcBorders>
            <w:shd w:val="clear" w:color="auto" w:fill="auto"/>
            <w:vAlign w:val="center"/>
          </w:tcPr>
          <w:p w14:paraId="7B88E5C2"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bCs/>
                <w:sz w:val="20"/>
                <w:szCs w:val="20"/>
              </w:rPr>
              <w:t>6/16 (37.5)</w:t>
            </w:r>
          </w:p>
        </w:tc>
        <w:tc>
          <w:tcPr>
            <w:tcW w:w="754" w:type="pct"/>
            <w:tcBorders>
              <w:top w:val="nil"/>
              <w:bottom w:val="single" w:sz="4" w:space="0" w:color="auto"/>
            </w:tcBorders>
            <w:shd w:val="clear" w:color="auto" w:fill="auto"/>
            <w:vAlign w:val="center"/>
          </w:tcPr>
          <w:p w14:paraId="4DE33E5C"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0.16 (-0.20,0.52)</w:t>
            </w:r>
          </w:p>
        </w:tc>
        <w:tc>
          <w:tcPr>
            <w:tcW w:w="767" w:type="pct"/>
            <w:tcBorders>
              <w:top w:val="nil"/>
              <w:bottom w:val="single" w:sz="4" w:space="0" w:color="auto"/>
            </w:tcBorders>
            <w:shd w:val="clear" w:color="auto" w:fill="auto"/>
            <w:vAlign w:val="center"/>
          </w:tcPr>
          <w:p w14:paraId="21DC2511"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1.44 (0.64,3.22)</w:t>
            </w:r>
          </w:p>
        </w:tc>
        <w:tc>
          <w:tcPr>
            <w:tcW w:w="769" w:type="pct"/>
            <w:tcBorders>
              <w:top w:val="nil"/>
              <w:bottom w:val="single" w:sz="4" w:space="0" w:color="auto"/>
            </w:tcBorders>
            <w:shd w:val="clear" w:color="auto" w:fill="auto"/>
            <w:vAlign w:val="center"/>
          </w:tcPr>
          <w:p w14:paraId="1586C842"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sz w:val="20"/>
                <w:szCs w:val="20"/>
                <w:lang w:val="fr-FR"/>
              </w:rPr>
              <w:t>1.94 (0.44,8.61)</w:t>
            </w:r>
          </w:p>
        </w:tc>
      </w:tr>
      <w:tr w:rsidR="00B565AC" w:rsidRPr="00F81A33" w14:paraId="4417AF6A" w14:textId="77777777" w:rsidTr="004A7F12">
        <w:tc>
          <w:tcPr>
            <w:tcW w:w="1655" w:type="pct"/>
            <w:tcBorders>
              <w:top w:val="single" w:sz="4" w:space="0" w:color="auto"/>
              <w:bottom w:val="nil"/>
            </w:tcBorders>
            <w:shd w:val="clear" w:color="auto" w:fill="auto"/>
            <w:vAlign w:val="center"/>
          </w:tcPr>
          <w:p w14:paraId="6D3DD68D"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b/>
                <w:sz w:val="20"/>
                <w:szCs w:val="20"/>
              </w:rPr>
              <w:t>UST v UST ‘treat-to-target’</w:t>
            </w:r>
          </w:p>
        </w:tc>
        <w:tc>
          <w:tcPr>
            <w:tcW w:w="526" w:type="pct"/>
            <w:tcBorders>
              <w:top w:val="single" w:sz="4" w:space="0" w:color="auto"/>
              <w:bottom w:val="nil"/>
              <w:right w:val="nil"/>
            </w:tcBorders>
            <w:shd w:val="clear" w:color="auto" w:fill="auto"/>
            <w:vAlign w:val="center"/>
          </w:tcPr>
          <w:p w14:paraId="785CD6BB" w14:textId="77777777" w:rsidR="00B565AC" w:rsidRPr="00F81A33" w:rsidRDefault="00B565AC" w:rsidP="001A7282">
            <w:pPr>
              <w:keepNext/>
              <w:keepLines/>
              <w:jc w:val="center"/>
              <w:rPr>
                <w:rFonts w:ascii="Arial Narrow" w:hAnsi="Arial Narrow"/>
                <w:sz w:val="20"/>
                <w:szCs w:val="20"/>
              </w:rPr>
            </w:pPr>
          </w:p>
        </w:tc>
        <w:tc>
          <w:tcPr>
            <w:tcW w:w="529" w:type="pct"/>
            <w:tcBorders>
              <w:top w:val="single" w:sz="4" w:space="0" w:color="auto"/>
              <w:left w:val="nil"/>
              <w:bottom w:val="nil"/>
            </w:tcBorders>
            <w:shd w:val="clear" w:color="auto" w:fill="auto"/>
            <w:vAlign w:val="center"/>
          </w:tcPr>
          <w:p w14:paraId="1CA6B959" w14:textId="77777777" w:rsidR="00B565AC" w:rsidRPr="00F81A33" w:rsidRDefault="00B565AC" w:rsidP="001A7282">
            <w:pPr>
              <w:keepNext/>
              <w:keepLines/>
              <w:jc w:val="center"/>
              <w:rPr>
                <w:rFonts w:ascii="Arial Narrow" w:hAnsi="Arial Narrow"/>
                <w:sz w:val="20"/>
                <w:szCs w:val="20"/>
              </w:rPr>
            </w:pPr>
          </w:p>
        </w:tc>
        <w:tc>
          <w:tcPr>
            <w:tcW w:w="754" w:type="pct"/>
            <w:tcBorders>
              <w:top w:val="single" w:sz="4" w:space="0" w:color="auto"/>
              <w:bottom w:val="nil"/>
            </w:tcBorders>
            <w:shd w:val="clear" w:color="auto" w:fill="auto"/>
            <w:vAlign w:val="center"/>
          </w:tcPr>
          <w:p w14:paraId="43215716" w14:textId="77777777" w:rsidR="00B565AC" w:rsidRPr="00F81A33" w:rsidRDefault="00B565AC" w:rsidP="001A7282">
            <w:pPr>
              <w:keepNext/>
              <w:keepLines/>
              <w:jc w:val="center"/>
              <w:rPr>
                <w:rFonts w:ascii="Arial Narrow" w:hAnsi="Arial Narrow"/>
                <w:sz w:val="20"/>
                <w:szCs w:val="20"/>
              </w:rPr>
            </w:pPr>
          </w:p>
        </w:tc>
        <w:tc>
          <w:tcPr>
            <w:tcW w:w="767" w:type="pct"/>
            <w:tcBorders>
              <w:top w:val="single" w:sz="4" w:space="0" w:color="auto"/>
              <w:bottom w:val="nil"/>
            </w:tcBorders>
            <w:shd w:val="clear" w:color="auto" w:fill="auto"/>
            <w:vAlign w:val="center"/>
          </w:tcPr>
          <w:p w14:paraId="7116B2F8" w14:textId="77777777" w:rsidR="00B565AC" w:rsidRPr="00F81A33" w:rsidRDefault="00B565AC" w:rsidP="001A7282">
            <w:pPr>
              <w:keepNext/>
              <w:keepLines/>
              <w:jc w:val="center"/>
              <w:rPr>
                <w:rFonts w:ascii="Arial Narrow" w:hAnsi="Arial Narrow"/>
                <w:sz w:val="20"/>
                <w:szCs w:val="20"/>
              </w:rPr>
            </w:pPr>
          </w:p>
        </w:tc>
        <w:tc>
          <w:tcPr>
            <w:tcW w:w="769" w:type="pct"/>
            <w:tcBorders>
              <w:top w:val="single" w:sz="4" w:space="0" w:color="auto"/>
              <w:bottom w:val="nil"/>
            </w:tcBorders>
            <w:shd w:val="clear" w:color="auto" w:fill="auto"/>
            <w:vAlign w:val="center"/>
          </w:tcPr>
          <w:p w14:paraId="0EDCB4FB" w14:textId="77777777" w:rsidR="00B565AC" w:rsidRPr="00F81A33" w:rsidRDefault="00B565AC" w:rsidP="001A7282">
            <w:pPr>
              <w:keepNext/>
              <w:keepLines/>
              <w:jc w:val="center"/>
              <w:rPr>
                <w:rFonts w:ascii="Arial Narrow" w:hAnsi="Arial Narrow"/>
                <w:sz w:val="20"/>
                <w:szCs w:val="20"/>
              </w:rPr>
            </w:pPr>
          </w:p>
        </w:tc>
      </w:tr>
      <w:tr w:rsidR="00B565AC" w:rsidRPr="00F81A33" w14:paraId="750D71EF" w14:textId="77777777" w:rsidTr="004A7F12">
        <w:tc>
          <w:tcPr>
            <w:tcW w:w="1655" w:type="pct"/>
            <w:tcBorders>
              <w:top w:val="nil"/>
              <w:bottom w:val="nil"/>
            </w:tcBorders>
            <w:shd w:val="clear" w:color="auto" w:fill="auto"/>
            <w:vAlign w:val="center"/>
          </w:tcPr>
          <w:p w14:paraId="5BB1521E"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bCs/>
                <w:sz w:val="20"/>
                <w:szCs w:val="20"/>
              </w:rPr>
              <w:t>[9] STARDUST (Wk48│CR-70 Wk16) [A]</w:t>
            </w:r>
          </w:p>
        </w:tc>
        <w:tc>
          <w:tcPr>
            <w:tcW w:w="1054" w:type="pct"/>
            <w:gridSpan w:val="2"/>
            <w:tcBorders>
              <w:top w:val="nil"/>
              <w:bottom w:val="nil"/>
            </w:tcBorders>
            <w:shd w:val="clear" w:color="auto" w:fill="auto"/>
            <w:vAlign w:val="center"/>
          </w:tcPr>
          <w:p w14:paraId="3CA83638"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bCs/>
                <w:sz w:val="20"/>
                <w:szCs w:val="20"/>
              </w:rPr>
              <w:t>UST pooled: 8/17 (47.1)</w:t>
            </w:r>
          </w:p>
        </w:tc>
        <w:tc>
          <w:tcPr>
            <w:tcW w:w="754" w:type="pct"/>
            <w:tcBorders>
              <w:top w:val="nil"/>
              <w:bottom w:val="nil"/>
            </w:tcBorders>
            <w:shd w:val="clear" w:color="auto" w:fill="auto"/>
            <w:vAlign w:val="center"/>
          </w:tcPr>
          <w:p w14:paraId="1C34DCB6"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w:t>
            </w:r>
          </w:p>
        </w:tc>
        <w:tc>
          <w:tcPr>
            <w:tcW w:w="767" w:type="pct"/>
            <w:tcBorders>
              <w:top w:val="nil"/>
              <w:bottom w:val="nil"/>
            </w:tcBorders>
            <w:shd w:val="clear" w:color="auto" w:fill="auto"/>
            <w:vAlign w:val="center"/>
          </w:tcPr>
          <w:p w14:paraId="3303E7D8"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w:t>
            </w:r>
          </w:p>
        </w:tc>
        <w:tc>
          <w:tcPr>
            <w:tcW w:w="769" w:type="pct"/>
            <w:tcBorders>
              <w:top w:val="nil"/>
              <w:bottom w:val="nil"/>
            </w:tcBorders>
            <w:shd w:val="clear" w:color="auto" w:fill="auto"/>
            <w:vAlign w:val="center"/>
          </w:tcPr>
          <w:p w14:paraId="37E20603"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sz w:val="20"/>
                <w:szCs w:val="20"/>
                <w:lang w:val="fr-FR"/>
              </w:rPr>
              <w:t>-</w:t>
            </w:r>
          </w:p>
        </w:tc>
      </w:tr>
      <w:tr w:rsidR="00B565AC" w:rsidRPr="00F81A33" w14:paraId="6F3305B1" w14:textId="77777777" w:rsidTr="004A7F12">
        <w:tc>
          <w:tcPr>
            <w:tcW w:w="1655" w:type="pct"/>
            <w:tcBorders>
              <w:top w:val="nil"/>
              <w:bottom w:val="single" w:sz="4" w:space="0" w:color="auto"/>
            </w:tcBorders>
            <w:shd w:val="clear" w:color="auto" w:fill="auto"/>
            <w:vAlign w:val="center"/>
          </w:tcPr>
          <w:p w14:paraId="1FD8DDA7" w14:textId="77777777" w:rsidR="00B565AC" w:rsidRPr="00F81A33" w:rsidRDefault="00B565AC" w:rsidP="001A7282">
            <w:pPr>
              <w:keepNext/>
              <w:keepLines/>
              <w:jc w:val="left"/>
              <w:rPr>
                <w:rFonts w:ascii="Arial Narrow" w:hAnsi="Arial Narrow"/>
                <w:bCs/>
                <w:sz w:val="20"/>
                <w:szCs w:val="20"/>
              </w:rPr>
            </w:pPr>
            <w:r w:rsidRPr="00F81A33">
              <w:rPr>
                <w:rFonts w:ascii="Arial Narrow" w:hAnsi="Arial Narrow"/>
                <w:bCs/>
                <w:sz w:val="20"/>
                <w:szCs w:val="20"/>
              </w:rPr>
              <w:t>[10] STARDUST (Wk48│CR-70 Wk16) [B]</w:t>
            </w:r>
          </w:p>
        </w:tc>
        <w:tc>
          <w:tcPr>
            <w:tcW w:w="1054" w:type="pct"/>
            <w:gridSpan w:val="2"/>
            <w:tcBorders>
              <w:top w:val="nil"/>
              <w:bottom w:val="single" w:sz="4" w:space="0" w:color="auto"/>
            </w:tcBorders>
            <w:shd w:val="clear" w:color="auto" w:fill="auto"/>
            <w:vAlign w:val="center"/>
          </w:tcPr>
          <w:p w14:paraId="5DBC2503" w14:textId="77777777" w:rsidR="00B565AC" w:rsidRPr="00F81A33" w:rsidRDefault="00B565AC" w:rsidP="001A7282">
            <w:pPr>
              <w:keepNext/>
              <w:keepLines/>
              <w:jc w:val="center"/>
              <w:rPr>
                <w:rFonts w:ascii="Arial Narrow" w:hAnsi="Arial Narrow"/>
                <w:bCs/>
                <w:sz w:val="20"/>
                <w:szCs w:val="20"/>
              </w:rPr>
            </w:pPr>
            <w:r w:rsidRPr="00F81A33">
              <w:rPr>
                <w:rFonts w:ascii="Arial Narrow" w:hAnsi="Arial Narrow"/>
                <w:bCs/>
                <w:sz w:val="20"/>
                <w:szCs w:val="20"/>
              </w:rPr>
              <w:t>UST pooled: 8/19 (42.1)</w:t>
            </w:r>
          </w:p>
        </w:tc>
        <w:tc>
          <w:tcPr>
            <w:tcW w:w="754" w:type="pct"/>
            <w:tcBorders>
              <w:top w:val="nil"/>
              <w:bottom w:val="single" w:sz="4" w:space="0" w:color="auto"/>
            </w:tcBorders>
            <w:shd w:val="clear" w:color="auto" w:fill="auto"/>
            <w:vAlign w:val="center"/>
          </w:tcPr>
          <w:p w14:paraId="15E4B9A9"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w:t>
            </w:r>
          </w:p>
        </w:tc>
        <w:tc>
          <w:tcPr>
            <w:tcW w:w="767" w:type="pct"/>
            <w:tcBorders>
              <w:top w:val="nil"/>
              <w:bottom w:val="single" w:sz="4" w:space="0" w:color="auto"/>
            </w:tcBorders>
            <w:shd w:val="clear" w:color="auto" w:fill="auto"/>
            <w:vAlign w:val="center"/>
          </w:tcPr>
          <w:p w14:paraId="02B34C82"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w:t>
            </w:r>
          </w:p>
        </w:tc>
        <w:tc>
          <w:tcPr>
            <w:tcW w:w="769" w:type="pct"/>
            <w:tcBorders>
              <w:top w:val="nil"/>
              <w:bottom w:val="single" w:sz="4" w:space="0" w:color="auto"/>
            </w:tcBorders>
            <w:shd w:val="clear" w:color="auto" w:fill="auto"/>
            <w:vAlign w:val="center"/>
          </w:tcPr>
          <w:p w14:paraId="338ACEF9"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sz w:val="20"/>
                <w:szCs w:val="20"/>
                <w:lang w:val="fr-FR"/>
              </w:rPr>
              <w:t>-</w:t>
            </w:r>
          </w:p>
        </w:tc>
      </w:tr>
      <w:tr w:rsidR="00B565AC" w:rsidRPr="00F81A33" w14:paraId="06EDBC2C" w14:textId="77777777" w:rsidTr="004A7F12">
        <w:tc>
          <w:tcPr>
            <w:tcW w:w="1655" w:type="pct"/>
            <w:tcBorders>
              <w:top w:val="single" w:sz="4" w:space="0" w:color="auto"/>
              <w:bottom w:val="nil"/>
            </w:tcBorders>
            <w:shd w:val="clear" w:color="auto" w:fill="auto"/>
            <w:vAlign w:val="center"/>
          </w:tcPr>
          <w:p w14:paraId="136E42FA"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b/>
                <w:sz w:val="20"/>
                <w:szCs w:val="20"/>
              </w:rPr>
              <w:t>UST v PBO</w:t>
            </w:r>
          </w:p>
        </w:tc>
        <w:tc>
          <w:tcPr>
            <w:tcW w:w="526" w:type="pct"/>
            <w:tcBorders>
              <w:top w:val="single" w:sz="4" w:space="0" w:color="auto"/>
              <w:bottom w:val="nil"/>
            </w:tcBorders>
            <w:shd w:val="clear" w:color="auto" w:fill="auto"/>
            <w:vAlign w:val="center"/>
          </w:tcPr>
          <w:p w14:paraId="080C250D" w14:textId="77777777" w:rsidR="00B565AC" w:rsidRPr="00F81A33" w:rsidRDefault="00B565AC" w:rsidP="001A7282">
            <w:pPr>
              <w:keepNext/>
              <w:keepLines/>
              <w:jc w:val="center"/>
              <w:rPr>
                <w:rFonts w:ascii="Arial Narrow" w:hAnsi="Arial Narrow"/>
                <w:sz w:val="20"/>
                <w:szCs w:val="20"/>
              </w:rPr>
            </w:pPr>
          </w:p>
        </w:tc>
        <w:tc>
          <w:tcPr>
            <w:tcW w:w="529" w:type="pct"/>
            <w:tcBorders>
              <w:top w:val="single" w:sz="4" w:space="0" w:color="auto"/>
              <w:bottom w:val="nil"/>
            </w:tcBorders>
            <w:shd w:val="clear" w:color="auto" w:fill="auto"/>
            <w:vAlign w:val="center"/>
          </w:tcPr>
          <w:p w14:paraId="54F607FD" w14:textId="77777777" w:rsidR="00B565AC" w:rsidRPr="00F81A33" w:rsidRDefault="00B565AC" w:rsidP="001A7282">
            <w:pPr>
              <w:keepNext/>
              <w:keepLines/>
              <w:jc w:val="center"/>
              <w:rPr>
                <w:rFonts w:ascii="Arial Narrow" w:hAnsi="Arial Narrow"/>
                <w:sz w:val="20"/>
                <w:szCs w:val="20"/>
              </w:rPr>
            </w:pPr>
          </w:p>
        </w:tc>
        <w:tc>
          <w:tcPr>
            <w:tcW w:w="754" w:type="pct"/>
            <w:tcBorders>
              <w:top w:val="single" w:sz="4" w:space="0" w:color="auto"/>
              <w:bottom w:val="nil"/>
            </w:tcBorders>
            <w:shd w:val="clear" w:color="auto" w:fill="auto"/>
            <w:vAlign w:val="center"/>
          </w:tcPr>
          <w:p w14:paraId="7D9D4B73" w14:textId="77777777" w:rsidR="00B565AC" w:rsidRPr="00F81A33" w:rsidRDefault="00B565AC" w:rsidP="001A7282">
            <w:pPr>
              <w:keepNext/>
              <w:keepLines/>
              <w:jc w:val="center"/>
              <w:rPr>
                <w:rFonts w:ascii="Arial Narrow" w:hAnsi="Arial Narrow"/>
                <w:sz w:val="20"/>
                <w:szCs w:val="20"/>
              </w:rPr>
            </w:pPr>
          </w:p>
        </w:tc>
        <w:tc>
          <w:tcPr>
            <w:tcW w:w="767" w:type="pct"/>
            <w:tcBorders>
              <w:top w:val="single" w:sz="4" w:space="0" w:color="auto"/>
              <w:bottom w:val="nil"/>
            </w:tcBorders>
            <w:shd w:val="clear" w:color="auto" w:fill="auto"/>
            <w:vAlign w:val="center"/>
          </w:tcPr>
          <w:p w14:paraId="1664731D" w14:textId="77777777" w:rsidR="00B565AC" w:rsidRPr="00F81A33" w:rsidRDefault="00B565AC" w:rsidP="001A7282">
            <w:pPr>
              <w:keepNext/>
              <w:keepLines/>
              <w:jc w:val="center"/>
              <w:rPr>
                <w:rFonts w:ascii="Arial Narrow" w:hAnsi="Arial Narrow"/>
                <w:sz w:val="20"/>
                <w:szCs w:val="20"/>
              </w:rPr>
            </w:pPr>
          </w:p>
        </w:tc>
        <w:tc>
          <w:tcPr>
            <w:tcW w:w="769" w:type="pct"/>
            <w:tcBorders>
              <w:top w:val="single" w:sz="4" w:space="0" w:color="auto"/>
              <w:bottom w:val="nil"/>
            </w:tcBorders>
            <w:shd w:val="clear" w:color="auto" w:fill="auto"/>
            <w:vAlign w:val="center"/>
          </w:tcPr>
          <w:p w14:paraId="26A0EE96" w14:textId="77777777" w:rsidR="00B565AC" w:rsidRPr="00F81A33" w:rsidRDefault="00B565AC" w:rsidP="001A7282">
            <w:pPr>
              <w:keepNext/>
              <w:keepLines/>
              <w:jc w:val="center"/>
              <w:rPr>
                <w:rFonts w:ascii="Arial Narrow" w:hAnsi="Arial Narrow"/>
                <w:sz w:val="20"/>
                <w:szCs w:val="20"/>
                <w:lang w:val="fr-FR"/>
              </w:rPr>
            </w:pPr>
          </w:p>
        </w:tc>
      </w:tr>
      <w:tr w:rsidR="00B565AC" w:rsidRPr="00F81A33" w14:paraId="29D236C9" w14:textId="77777777" w:rsidTr="004A7F12">
        <w:tc>
          <w:tcPr>
            <w:tcW w:w="1655" w:type="pct"/>
            <w:tcBorders>
              <w:top w:val="nil"/>
              <w:bottom w:val="single" w:sz="4" w:space="0" w:color="auto"/>
            </w:tcBorders>
            <w:shd w:val="clear" w:color="auto" w:fill="auto"/>
            <w:vAlign w:val="center"/>
          </w:tcPr>
          <w:p w14:paraId="6958A8FE"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sz w:val="20"/>
                <w:szCs w:val="20"/>
              </w:rPr>
              <w:t>[11] IM-UNITI (Wk52</w:t>
            </w:r>
            <w:r w:rsidRPr="00F81A33">
              <w:rPr>
                <w:rFonts w:ascii="Arial Narrow" w:hAnsi="Arial Narrow"/>
                <w:bCs/>
                <w:sz w:val="20"/>
                <w:szCs w:val="20"/>
              </w:rPr>
              <w:t>│CR-100 Wk8</w:t>
            </w:r>
            <w:r w:rsidRPr="00F81A33">
              <w:rPr>
                <w:rFonts w:ascii="Arial Narrow" w:hAnsi="Arial Narrow"/>
                <w:sz w:val="20"/>
                <w:szCs w:val="20"/>
              </w:rPr>
              <w:t>), Q8/12W</w:t>
            </w:r>
          </w:p>
        </w:tc>
        <w:tc>
          <w:tcPr>
            <w:tcW w:w="526" w:type="pct"/>
            <w:tcBorders>
              <w:top w:val="nil"/>
              <w:bottom w:val="single" w:sz="4" w:space="0" w:color="auto"/>
            </w:tcBorders>
            <w:shd w:val="clear" w:color="auto" w:fill="auto"/>
            <w:vAlign w:val="center"/>
          </w:tcPr>
          <w:p w14:paraId="0957FD48"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11/14 (78.6)</w:t>
            </w:r>
          </w:p>
        </w:tc>
        <w:tc>
          <w:tcPr>
            <w:tcW w:w="529" w:type="pct"/>
            <w:tcBorders>
              <w:top w:val="nil"/>
              <w:bottom w:val="single" w:sz="4" w:space="0" w:color="auto"/>
            </w:tcBorders>
            <w:shd w:val="clear" w:color="auto" w:fill="auto"/>
            <w:vAlign w:val="center"/>
          </w:tcPr>
          <w:p w14:paraId="0F9C60F1"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4/9 (44.4)</w:t>
            </w:r>
          </w:p>
        </w:tc>
        <w:tc>
          <w:tcPr>
            <w:tcW w:w="754" w:type="pct"/>
            <w:tcBorders>
              <w:top w:val="nil"/>
              <w:bottom w:val="single" w:sz="4" w:space="0" w:color="auto"/>
            </w:tcBorders>
            <w:shd w:val="clear" w:color="auto" w:fill="auto"/>
            <w:vAlign w:val="center"/>
          </w:tcPr>
          <w:p w14:paraId="7D3FB059"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0.34 (-0.05,0.73)</w:t>
            </w:r>
          </w:p>
        </w:tc>
        <w:tc>
          <w:tcPr>
            <w:tcW w:w="767" w:type="pct"/>
            <w:tcBorders>
              <w:top w:val="nil"/>
              <w:bottom w:val="single" w:sz="4" w:space="0" w:color="auto"/>
            </w:tcBorders>
            <w:shd w:val="clear" w:color="auto" w:fill="auto"/>
            <w:vAlign w:val="center"/>
          </w:tcPr>
          <w:p w14:paraId="0F5D4C62"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1.77 (0.81,3.86)</w:t>
            </w:r>
          </w:p>
        </w:tc>
        <w:tc>
          <w:tcPr>
            <w:tcW w:w="769" w:type="pct"/>
            <w:tcBorders>
              <w:top w:val="nil"/>
              <w:bottom w:val="single" w:sz="4" w:space="0" w:color="auto"/>
            </w:tcBorders>
            <w:shd w:val="clear" w:color="auto" w:fill="auto"/>
            <w:vAlign w:val="center"/>
          </w:tcPr>
          <w:p w14:paraId="0947FD6F"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sz w:val="20"/>
                <w:szCs w:val="20"/>
                <w:lang w:val="fr-FR"/>
              </w:rPr>
              <w:t>4.58 (0.73,28.65)</w:t>
            </w:r>
          </w:p>
        </w:tc>
      </w:tr>
      <w:tr w:rsidR="00B565AC" w:rsidRPr="00F81A33" w14:paraId="08A232B5" w14:textId="77777777" w:rsidTr="004A7F12">
        <w:tc>
          <w:tcPr>
            <w:tcW w:w="1655" w:type="pct"/>
            <w:tcBorders>
              <w:top w:val="single" w:sz="4" w:space="0" w:color="auto"/>
              <w:bottom w:val="nil"/>
            </w:tcBorders>
            <w:shd w:val="clear" w:color="auto" w:fill="auto"/>
            <w:vAlign w:val="center"/>
          </w:tcPr>
          <w:p w14:paraId="008C7DFD"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b/>
                <w:sz w:val="20"/>
                <w:szCs w:val="20"/>
              </w:rPr>
              <w:t>ADA v PBO</w:t>
            </w:r>
          </w:p>
        </w:tc>
        <w:tc>
          <w:tcPr>
            <w:tcW w:w="526" w:type="pct"/>
            <w:tcBorders>
              <w:top w:val="single" w:sz="4" w:space="0" w:color="auto"/>
              <w:bottom w:val="nil"/>
            </w:tcBorders>
            <w:shd w:val="clear" w:color="auto" w:fill="auto"/>
            <w:vAlign w:val="center"/>
          </w:tcPr>
          <w:p w14:paraId="28C9F288" w14:textId="77777777" w:rsidR="00B565AC" w:rsidRPr="00F81A33" w:rsidRDefault="00B565AC" w:rsidP="001A7282">
            <w:pPr>
              <w:keepNext/>
              <w:keepLines/>
              <w:jc w:val="center"/>
              <w:rPr>
                <w:rFonts w:ascii="Arial Narrow" w:hAnsi="Arial Narrow"/>
                <w:sz w:val="20"/>
                <w:szCs w:val="20"/>
              </w:rPr>
            </w:pPr>
          </w:p>
        </w:tc>
        <w:tc>
          <w:tcPr>
            <w:tcW w:w="529" w:type="pct"/>
            <w:tcBorders>
              <w:top w:val="single" w:sz="4" w:space="0" w:color="auto"/>
              <w:bottom w:val="nil"/>
            </w:tcBorders>
            <w:shd w:val="clear" w:color="auto" w:fill="auto"/>
            <w:vAlign w:val="center"/>
          </w:tcPr>
          <w:p w14:paraId="666A17E8" w14:textId="77777777" w:rsidR="00B565AC" w:rsidRPr="00F81A33" w:rsidRDefault="00B565AC" w:rsidP="001A7282">
            <w:pPr>
              <w:keepNext/>
              <w:keepLines/>
              <w:jc w:val="center"/>
              <w:rPr>
                <w:rFonts w:ascii="Arial Narrow" w:hAnsi="Arial Narrow"/>
                <w:sz w:val="20"/>
                <w:szCs w:val="20"/>
              </w:rPr>
            </w:pPr>
          </w:p>
        </w:tc>
        <w:tc>
          <w:tcPr>
            <w:tcW w:w="754" w:type="pct"/>
            <w:tcBorders>
              <w:top w:val="single" w:sz="4" w:space="0" w:color="auto"/>
              <w:bottom w:val="nil"/>
            </w:tcBorders>
            <w:shd w:val="clear" w:color="auto" w:fill="auto"/>
            <w:vAlign w:val="center"/>
          </w:tcPr>
          <w:p w14:paraId="0F241615" w14:textId="77777777" w:rsidR="00B565AC" w:rsidRPr="00F81A33" w:rsidRDefault="00B565AC" w:rsidP="001A7282">
            <w:pPr>
              <w:keepNext/>
              <w:keepLines/>
              <w:jc w:val="center"/>
              <w:rPr>
                <w:rFonts w:ascii="Arial Narrow" w:hAnsi="Arial Narrow"/>
                <w:sz w:val="20"/>
                <w:szCs w:val="20"/>
              </w:rPr>
            </w:pPr>
          </w:p>
        </w:tc>
        <w:tc>
          <w:tcPr>
            <w:tcW w:w="767" w:type="pct"/>
            <w:tcBorders>
              <w:top w:val="single" w:sz="4" w:space="0" w:color="auto"/>
              <w:bottom w:val="nil"/>
            </w:tcBorders>
            <w:shd w:val="clear" w:color="auto" w:fill="auto"/>
            <w:vAlign w:val="center"/>
          </w:tcPr>
          <w:p w14:paraId="766FE9E9" w14:textId="77777777" w:rsidR="00B565AC" w:rsidRPr="00F81A33" w:rsidRDefault="00B565AC" w:rsidP="001A7282">
            <w:pPr>
              <w:keepNext/>
              <w:keepLines/>
              <w:jc w:val="center"/>
              <w:rPr>
                <w:rFonts w:ascii="Arial Narrow" w:hAnsi="Arial Narrow"/>
                <w:sz w:val="20"/>
                <w:szCs w:val="20"/>
              </w:rPr>
            </w:pPr>
          </w:p>
        </w:tc>
        <w:tc>
          <w:tcPr>
            <w:tcW w:w="769" w:type="pct"/>
            <w:tcBorders>
              <w:top w:val="single" w:sz="4" w:space="0" w:color="auto"/>
              <w:bottom w:val="nil"/>
            </w:tcBorders>
            <w:shd w:val="clear" w:color="auto" w:fill="auto"/>
            <w:vAlign w:val="center"/>
          </w:tcPr>
          <w:p w14:paraId="3E6D7805" w14:textId="77777777" w:rsidR="00B565AC" w:rsidRPr="00F81A33" w:rsidRDefault="00B565AC" w:rsidP="001A7282">
            <w:pPr>
              <w:keepNext/>
              <w:keepLines/>
              <w:jc w:val="center"/>
              <w:rPr>
                <w:rFonts w:ascii="Arial Narrow" w:hAnsi="Arial Narrow"/>
                <w:sz w:val="20"/>
                <w:szCs w:val="20"/>
                <w:lang w:val="fr-FR"/>
              </w:rPr>
            </w:pPr>
          </w:p>
        </w:tc>
      </w:tr>
      <w:tr w:rsidR="004A7F12" w:rsidRPr="00F81A33" w14:paraId="736C8D1C" w14:textId="77777777" w:rsidTr="004A7F12">
        <w:tc>
          <w:tcPr>
            <w:tcW w:w="1655" w:type="pct"/>
            <w:tcBorders>
              <w:top w:val="nil"/>
              <w:bottom w:val="single" w:sz="4" w:space="0" w:color="auto"/>
            </w:tcBorders>
            <w:shd w:val="clear" w:color="auto" w:fill="DBE5F1" w:themeFill="accent1" w:themeFillTint="33"/>
            <w:vAlign w:val="center"/>
          </w:tcPr>
          <w:p w14:paraId="518009E4"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sz w:val="20"/>
                <w:szCs w:val="20"/>
              </w:rPr>
              <w:t>[12] CHARM (Wk56)</w:t>
            </w:r>
          </w:p>
        </w:tc>
        <w:tc>
          <w:tcPr>
            <w:tcW w:w="526" w:type="pct"/>
            <w:tcBorders>
              <w:top w:val="nil"/>
              <w:bottom w:val="single" w:sz="4" w:space="0" w:color="auto"/>
            </w:tcBorders>
            <w:shd w:val="clear" w:color="auto" w:fill="DBE5F1" w:themeFill="accent1" w:themeFillTint="33"/>
            <w:vAlign w:val="center"/>
          </w:tcPr>
          <w:p w14:paraId="38085C40"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11/30 (36.7)</w:t>
            </w:r>
          </w:p>
        </w:tc>
        <w:tc>
          <w:tcPr>
            <w:tcW w:w="529" w:type="pct"/>
            <w:tcBorders>
              <w:top w:val="nil"/>
              <w:bottom w:val="single" w:sz="4" w:space="0" w:color="auto"/>
            </w:tcBorders>
            <w:shd w:val="clear" w:color="auto" w:fill="DBE5F1" w:themeFill="accent1" w:themeFillTint="33"/>
            <w:vAlign w:val="center"/>
          </w:tcPr>
          <w:p w14:paraId="33C7D6B9"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6/47 (12.8)</w:t>
            </w:r>
          </w:p>
        </w:tc>
        <w:tc>
          <w:tcPr>
            <w:tcW w:w="754" w:type="pct"/>
            <w:tcBorders>
              <w:top w:val="nil"/>
              <w:bottom w:val="single" w:sz="4" w:space="0" w:color="auto"/>
            </w:tcBorders>
            <w:shd w:val="clear" w:color="auto" w:fill="DBE5F1" w:themeFill="accent1" w:themeFillTint="33"/>
            <w:vAlign w:val="center"/>
          </w:tcPr>
          <w:p w14:paraId="14853806"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b/>
                <w:sz w:val="20"/>
                <w:szCs w:val="20"/>
              </w:rPr>
              <w:t>0.24 (0.04, 0.44)</w:t>
            </w:r>
          </w:p>
        </w:tc>
        <w:tc>
          <w:tcPr>
            <w:tcW w:w="767" w:type="pct"/>
            <w:tcBorders>
              <w:top w:val="nil"/>
              <w:bottom w:val="single" w:sz="4" w:space="0" w:color="auto"/>
            </w:tcBorders>
            <w:shd w:val="clear" w:color="auto" w:fill="DBE5F1" w:themeFill="accent1" w:themeFillTint="33"/>
            <w:vAlign w:val="center"/>
          </w:tcPr>
          <w:p w14:paraId="55C2F63A"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b/>
                <w:sz w:val="20"/>
                <w:szCs w:val="20"/>
              </w:rPr>
              <w:t>2.87 (1.19, 6.95)</w:t>
            </w:r>
          </w:p>
        </w:tc>
        <w:tc>
          <w:tcPr>
            <w:tcW w:w="769" w:type="pct"/>
            <w:tcBorders>
              <w:top w:val="nil"/>
              <w:bottom w:val="single" w:sz="4" w:space="0" w:color="auto"/>
            </w:tcBorders>
            <w:shd w:val="clear" w:color="auto" w:fill="DBE5F1" w:themeFill="accent1" w:themeFillTint="33"/>
          </w:tcPr>
          <w:p w14:paraId="336CE3D1"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b/>
                <w:sz w:val="20"/>
                <w:szCs w:val="20"/>
              </w:rPr>
              <w:t>3.96 (1.27, 12.29)</w:t>
            </w:r>
          </w:p>
        </w:tc>
      </w:tr>
      <w:tr w:rsidR="00B565AC" w:rsidRPr="00F81A33" w14:paraId="29C80F9D" w14:textId="77777777" w:rsidTr="004A7F12">
        <w:tc>
          <w:tcPr>
            <w:tcW w:w="1655" w:type="pct"/>
            <w:tcBorders>
              <w:top w:val="single" w:sz="4" w:space="0" w:color="auto"/>
              <w:bottom w:val="nil"/>
            </w:tcBorders>
            <w:shd w:val="clear" w:color="auto" w:fill="auto"/>
            <w:vAlign w:val="center"/>
          </w:tcPr>
          <w:p w14:paraId="266E5041"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b/>
                <w:sz w:val="20"/>
                <w:szCs w:val="20"/>
              </w:rPr>
              <w:t>IFX v PBO</w:t>
            </w:r>
          </w:p>
        </w:tc>
        <w:tc>
          <w:tcPr>
            <w:tcW w:w="526" w:type="pct"/>
            <w:tcBorders>
              <w:top w:val="single" w:sz="4" w:space="0" w:color="auto"/>
              <w:bottom w:val="nil"/>
            </w:tcBorders>
            <w:shd w:val="clear" w:color="auto" w:fill="auto"/>
            <w:vAlign w:val="center"/>
          </w:tcPr>
          <w:p w14:paraId="7109826F" w14:textId="77777777" w:rsidR="00B565AC" w:rsidRPr="00F81A33" w:rsidRDefault="00B565AC" w:rsidP="001A7282">
            <w:pPr>
              <w:keepNext/>
              <w:keepLines/>
              <w:jc w:val="center"/>
              <w:rPr>
                <w:rFonts w:ascii="Arial Narrow" w:hAnsi="Arial Narrow"/>
                <w:sz w:val="20"/>
                <w:szCs w:val="20"/>
              </w:rPr>
            </w:pPr>
          </w:p>
        </w:tc>
        <w:tc>
          <w:tcPr>
            <w:tcW w:w="529" w:type="pct"/>
            <w:tcBorders>
              <w:top w:val="single" w:sz="4" w:space="0" w:color="auto"/>
              <w:bottom w:val="nil"/>
            </w:tcBorders>
            <w:shd w:val="clear" w:color="auto" w:fill="auto"/>
            <w:vAlign w:val="center"/>
          </w:tcPr>
          <w:p w14:paraId="14DDDEB4" w14:textId="77777777" w:rsidR="00B565AC" w:rsidRPr="00F81A33" w:rsidRDefault="00B565AC" w:rsidP="001A7282">
            <w:pPr>
              <w:keepNext/>
              <w:keepLines/>
              <w:jc w:val="center"/>
              <w:rPr>
                <w:rFonts w:ascii="Arial Narrow" w:hAnsi="Arial Narrow"/>
                <w:sz w:val="20"/>
                <w:szCs w:val="20"/>
              </w:rPr>
            </w:pPr>
          </w:p>
        </w:tc>
        <w:tc>
          <w:tcPr>
            <w:tcW w:w="754" w:type="pct"/>
            <w:tcBorders>
              <w:top w:val="single" w:sz="4" w:space="0" w:color="auto"/>
              <w:bottom w:val="nil"/>
            </w:tcBorders>
            <w:shd w:val="clear" w:color="auto" w:fill="auto"/>
            <w:vAlign w:val="center"/>
          </w:tcPr>
          <w:p w14:paraId="1EB554F7" w14:textId="77777777" w:rsidR="00B565AC" w:rsidRPr="00F81A33" w:rsidRDefault="00B565AC" w:rsidP="001A7282">
            <w:pPr>
              <w:keepNext/>
              <w:keepLines/>
              <w:jc w:val="center"/>
              <w:rPr>
                <w:rFonts w:ascii="Arial Narrow" w:hAnsi="Arial Narrow"/>
                <w:sz w:val="20"/>
                <w:szCs w:val="20"/>
              </w:rPr>
            </w:pPr>
          </w:p>
        </w:tc>
        <w:tc>
          <w:tcPr>
            <w:tcW w:w="767" w:type="pct"/>
            <w:tcBorders>
              <w:top w:val="single" w:sz="4" w:space="0" w:color="auto"/>
              <w:bottom w:val="nil"/>
            </w:tcBorders>
            <w:shd w:val="clear" w:color="auto" w:fill="auto"/>
            <w:vAlign w:val="center"/>
          </w:tcPr>
          <w:p w14:paraId="2D895CB3" w14:textId="77777777" w:rsidR="00B565AC" w:rsidRPr="00F81A33" w:rsidRDefault="00B565AC" w:rsidP="001A7282">
            <w:pPr>
              <w:keepNext/>
              <w:keepLines/>
              <w:jc w:val="center"/>
              <w:rPr>
                <w:rFonts w:ascii="Arial Narrow" w:hAnsi="Arial Narrow"/>
                <w:sz w:val="20"/>
                <w:szCs w:val="20"/>
              </w:rPr>
            </w:pPr>
          </w:p>
        </w:tc>
        <w:tc>
          <w:tcPr>
            <w:tcW w:w="769" w:type="pct"/>
            <w:tcBorders>
              <w:top w:val="single" w:sz="4" w:space="0" w:color="auto"/>
              <w:bottom w:val="nil"/>
            </w:tcBorders>
            <w:shd w:val="clear" w:color="auto" w:fill="auto"/>
            <w:vAlign w:val="center"/>
          </w:tcPr>
          <w:p w14:paraId="09B6181F" w14:textId="77777777" w:rsidR="00B565AC" w:rsidRPr="00F81A33" w:rsidRDefault="00B565AC" w:rsidP="001A7282">
            <w:pPr>
              <w:keepNext/>
              <w:keepLines/>
              <w:jc w:val="center"/>
              <w:rPr>
                <w:rFonts w:ascii="Arial Narrow" w:hAnsi="Arial Narrow"/>
                <w:sz w:val="20"/>
                <w:szCs w:val="20"/>
                <w:lang w:val="fr-FR"/>
              </w:rPr>
            </w:pPr>
          </w:p>
        </w:tc>
      </w:tr>
      <w:tr w:rsidR="004A7F12" w:rsidRPr="00F81A33" w14:paraId="4F5A6CCD" w14:textId="77777777" w:rsidTr="004A7F12">
        <w:tc>
          <w:tcPr>
            <w:tcW w:w="1655" w:type="pct"/>
            <w:tcBorders>
              <w:top w:val="nil"/>
            </w:tcBorders>
            <w:shd w:val="clear" w:color="auto" w:fill="DBE5F1" w:themeFill="accent1" w:themeFillTint="33"/>
            <w:vAlign w:val="center"/>
          </w:tcPr>
          <w:p w14:paraId="7B0BD645" w14:textId="77777777" w:rsidR="00B565AC" w:rsidRPr="00F81A33" w:rsidRDefault="00B565AC" w:rsidP="001A7282">
            <w:pPr>
              <w:keepNext/>
              <w:keepLines/>
              <w:jc w:val="left"/>
              <w:rPr>
                <w:rFonts w:ascii="Arial Narrow" w:hAnsi="Arial Narrow"/>
                <w:sz w:val="20"/>
                <w:szCs w:val="20"/>
              </w:rPr>
            </w:pPr>
            <w:r w:rsidRPr="00F81A33">
              <w:rPr>
                <w:rFonts w:ascii="Arial Narrow" w:hAnsi="Arial Narrow"/>
                <w:sz w:val="20"/>
                <w:szCs w:val="20"/>
              </w:rPr>
              <w:t>[13] ACCENT II (Wk54│FR Wk10/14)</w:t>
            </w:r>
          </w:p>
        </w:tc>
        <w:tc>
          <w:tcPr>
            <w:tcW w:w="526" w:type="pct"/>
            <w:tcBorders>
              <w:top w:val="nil"/>
            </w:tcBorders>
            <w:shd w:val="clear" w:color="auto" w:fill="DBE5F1" w:themeFill="accent1" w:themeFillTint="33"/>
            <w:vAlign w:val="center"/>
          </w:tcPr>
          <w:p w14:paraId="102805E9"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33/91 (36.3)</w:t>
            </w:r>
          </w:p>
        </w:tc>
        <w:tc>
          <w:tcPr>
            <w:tcW w:w="529" w:type="pct"/>
            <w:tcBorders>
              <w:top w:val="nil"/>
            </w:tcBorders>
            <w:shd w:val="clear" w:color="auto" w:fill="DBE5F1" w:themeFill="accent1" w:themeFillTint="33"/>
            <w:vAlign w:val="center"/>
          </w:tcPr>
          <w:p w14:paraId="6A778466"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19/98 (19.4)</w:t>
            </w:r>
          </w:p>
        </w:tc>
        <w:tc>
          <w:tcPr>
            <w:tcW w:w="754" w:type="pct"/>
            <w:tcBorders>
              <w:top w:val="nil"/>
            </w:tcBorders>
            <w:shd w:val="clear" w:color="auto" w:fill="DBE5F1" w:themeFill="accent1" w:themeFillTint="33"/>
            <w:vAlign w:val="center"/>
          </w:tcPr>
          <w:p w14:paraId="061F2535"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b/>
                <w:bCs/>
                <w:sz w:val="20"/>
                <w:szCs w:val="20"/>
              </w:rPr>
              <w:t>0.17 (0.04, 0.29)</w:t>
            </w:r>
          </w:p>
        </w:tc>
        <w:tc>
          <w:tcPr>
            <w:tcW w:w="767" w:type="pct"/>
            <w:tcBorders>
              <w:top w:val="nil"/>
            </w:tcBorders>
            <w:shd w:val="clear" w:color="auto" w:fill="DBE5F1" w:themeFill="accent1" w:themeFillTint="33"/>
            <w:vAlign w:val="center"/>
          </w:tcPr>
          <w:p w14:paraId="73E32829"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b/>
                <w:bCs/>
                <w:sz w:val="20"/>
                <w:szCs w:val="20"/>
              </w:rPr>
              <w:t>1.87 (1.15, 3.04)</w:t>
            </w:r>
          </w:p>
        </w:tc>
        <w:tc>
          <w:tcPr>
            <w:tcW w:w="769" w:type="pct"/>
            <w:tcBorders>
              <w:top w:val="nil"/>
            </w:tcBorders>
            <w:shd w:val="clear" w:color="auto" w:fill="DBE5F1" w:themeFill="accent1" w:themeFillTint="33"/>
            <w:vAlign w:val="center"/>
          </w:tcPr>
          <w:p w14:paraId="6C8898CA"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b/>
                <w:bCs/>
                <w:sz w:val="20"/>
                <w:szCs w:val="20"/>
                <w:lang w:val="fr-FR"/>
              </w:rPr>
              <w:t>2.37 (1.22, 4.57)</w:t>
            </w:r>
          </w:p>
        </w:tc>
      </w:tr>
      <w:tr w:rsidR="00B565AC" w:rsidRPr="00F81A33" w14:paraId="15E91E03" w14:textId="77777777" w:rsidTr="004A7F12">
        <w:tc>
          <w:tcPr>
            <w:tcW w:w="5000" w:type="pct"/>
            <w:gridSpan w:val="6"/>
            <w:tcBorders>
              <w:bottom w:val="single" w:sz="4" w:space="0" w:color="auto"/>
            </w:tcBorders>
            <w:shd w:val="clear" w:color="auto" w:fill="auto"/>
            <w:vAlign w:val="center"/>
          </w:tcPr>
          <w:p w14:paraId="5B0CD235" w14:textId="6F7AB9A4" w:rsidR="00B565AC" w:rsidRPr="00F81A33" w:rsidRDefault="00152F46" w:rsidP="001A7282">
            <w:pPr>
              <w:keepNext/>
              <w:keepLines/>
              <w:jc w:val="left"/>
              <w:rPr>
                <w:rFonts w:ascii="Arial Narrow" w:hAnsi="Arial Narrow"/>
                <w:sz w:val="20"/>
                <w:szCs w:val="20"/>
                <w:lang w:val="fr-FR"/>
              </w:rPr>
            </w:pPr>
            <w:r w:rsidRPr="00F81A33">
              <w:rPr>
                <w:rFonts w:ascii="Arial Narrow" w:hAnsi="Arial Narrow"/>
                <w:b/>
                <w:bCs/>
                <w:sz w:val="20"/>
                <w:szCs w:val="20"/>
              </w:rPr>
              <w:t xml:space="preserve">ANCHORED </w:t>
            </w:r>
            <w:r w:rsidR="00B565AC" w:rsidRPr="00F81A33">
              <w:rPr>
                <w:rFonts w:ascii="Arial Narrow" w:hAnsi="Arial Narrow"/>
                <w:b/>
                <w:bCs/>
                <w:sz w:val="20"/>
                <w:szCs w:val="20"/>
              </w:rPr>
              <w:t>INDIRECT COMPARISONS</w:t>
            </w:r>
          </w:p>
        </w:tc>
      </w:tr>
      <w:tr w:rsidR="00B565AC" w:rsidRPr="00F81A33" w14:paraId="677B3616" w14:textId="77777777" w:rsidTr="004A7F12">
        <w:tc>
          <w:tcPr>
            <w:tcW w:w="2710" w:type="pct"/>
            <w:gridSpan w:val="3"/>
            <w:tcBorders>
              <w:bottom w:val="nil"/>
            </w:tcBorders>
            <w:shd w:val="clear" w:color="auto" w:fill="auto"/>
            <w:vAlign w:val="center"/>
          </w:tcPr>
          <w:p w14:paraId="2B311C01" w14:textId="77777777" w:rsidR="00B565AC" w:rsidRPr="00F81A33" w:rsidRDefault="00B565AC" w:rsidP="001A7282">
            <w:pPr>
              <w:keepNext/>
              <w:keepLines/>
              <w:jc w:val="right"/>
              <w:rPr>
                <w:rFonts w:ascii="Arial Narrow" w:hAnsi="Arial Narrow"/>
                <w:b/>
                <w:bCs/>
                <w:sz w:val="20"/>
                <w:szCs w:val="20"/>
              </w:rPr>
            </w:pPr>
            <w:r w:rsidRPr="00F81A33">
              <w:rPr>
                <w:rFonts w:ascii="Arial Narrow" w:hAnsi="Arial Narrow"/>
                <w:b/>
                <w:bCs/>
                <w:sz w:val="20"/>
                <w:szCs w:val="20"/>
              </w:rPr>
              <w:t>FISTULA RESPONSE</w:t>
            </w:r>
          </w:p>
        </w:tc>
        <w:tc>
          <w:tcPr>
            <w:tcW w:w="754" w:type="pct"/>
            <w:tcBorders>
              <w:bottom w:val="nil"/>
            </w:tcBorders>
            <w:shd w:val="clear" w:color="auto" w:fill="auto"/>
            <w:vAlign w:val="center"/>
          </w:tcPr>
          <w:p w14:paraId="160C0DB6" w14:textId="77777777" w:rsidR="00B565AC" w:rsidRPr="00F81A33" w:rsidRDefault="00B565AC" w:rsidP="001A7282">
            <w:pPr>
              <w:keepNext/>
              <w:keepLines/>
              <w:jc w:val="center"/>
              <w:rPr>
                <w:rFonts w:ascii="Arial Narrow" w:hAnsi="Arial Narrow"/>
                <w:sz w:val="20"/>
                <w:szCs w:val="20"/>
              </w:rPr>
            </w:pPr>
          </w:p>
        </w:tc>
        <w:tc>
          <w:tcPr>
            <w:tcW w:w="767" w:type="pct"/>
            <w:tcBorders>
              <w:bottom w:val="nil"/>
            </w:tcBorders>
            <w:shd w:val="clear" w:color="auto" w:fill="auto"/>
            <w:vAlign w:val="center"/>
          </w:tcPr>
          <w:p w14:paraId="6776AD32" w14:textId="77777777" w:rsidR="00B565AC" w:rsidRPr="00F81A33" w:rsidRDefault="00B565AC" w:rsidP="001A7282">
            <w:pPr>
              <w:keepNext/>
              <w:keepLines/>
              <w:jc w:val="center"/>
              <w:rPr>
                <w:rFonts w:ascii="Arial Narrow" w:hAnsi="Arial Narrow"/>
                <w:sz w:val="20"/>
                <w:szCs w:val="20"/>
              </w:rPr>
            </w:pPr>
          </w:p>
        </w:tc>
        <w:tc>
          <w:tcPr>
            <w:tcW w:w="769" w:type="pct"/>
            <w:tcBorders>
              <w:bottom w:val="nil"/>
            </w:tcBorders>
            <w:shd w:val="clear" w:color="auto" w:fill="auto"/>
          </w:tcPr>
          <w:p w14:paraId="4EDF4C34" w14:textId="77777777" w:rsidR="00B565AC" w:rsidRPr="00F81A33" w:rsidRDefault="00B565AC" w:rsidP="001A7282">
            <w:pPr>
              <w:keepNext/>
              <w:keepLines/>
              <w:jc w:val="center"/>
              <w:rPr>
                <w:rFonts w:ascii="Arial Narrow" w:hAnsi="Arial Narrow"/>
                <w:sz w:val="20"/>
                <w:szCs w:val="20"/>
                <w:lang w:val="fr-FR"/>
              </w:rPr>
            </w:pPr>
          </w:p>
        </w:tc>
      </w:tr>
      <w:tr w:rsidR="00B565AC" w:rsidRPr="00F81A33" w14:paraId="6DA78373" w14:textId="77777777" w:rsidTr="004A7F12">
        <w:tc>
          <w:tcPr>
            <w:tcW w:w="2710" w:type="pct"/>
            <w:gridSpan w:val="3"/>
            <w:tcBorders>
              <w:top w:val="nil"/>
              <w:bottom w:val="nil"/>
            </w:tcBorders>
            <w:shd w:val="clear" w:color="auto" w:fill="auto"/>
            <w:vAlign w:val="center"/>
          </w:tcPr>
          <w:p w14:paraId="7CD6E9F7" w14:textId="77777777" w:rsidR="00B565AC" w:rsidRPr="00F81A33" w:rsidRDefault="00B565AC" w:rsidP="001A7282">
            <w:pPr>
              <w:keepNext/>
              <w:keepLines/>
              <w:jc w:val="right"/>
              <w:rPr>
                <w:rFonts w:ascii="Arial Narrow" w:hAnsi="Arial Narrow"/>
                <w:sz w:val="20"/>
                <w:szCs w:val="20"/>
              </w:rPr>
            </w:pPr>
            <w:r w:rsidRPr="00F81A33">
              <w:rPr>
                <w:rFonts w:ascii="Arial Narrow" w:hAnsi="Arial Narrow"/>
                <w:sz w:val="20"/>
                <w:szCs w:val="20"/>
              </w:rPr>
              <w:t>Base case: UST (4) v IFX (6)</w:t>
            </w:r>
          </w:p>
        </w:tc>
        <w:tc>
          <w:tcPr>
            <w:tcW w:w="754" w:type="pct"/>
            <w:tcBorders>
              <w:top w:val="nil"/>
              <w:bottom w:val="nil"/>
            </w:tcBorders>
            <w:shd w:val="clear" w:color="auto" w:fill="auto"/>
            <w:vAlign w:val="center"/>
          </w:tcPr>
          <w:p w14:paraId="5BDAB239"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0.12 (-0.26,0.50)</w:t>
            </w:r>
          </w:p>
        </w:tc>
        <w:tc>
          <w:tcPr>
            <w:tcW w:w="767" w:type="pct"/>
            <w:tcBorders>
              <w:top w:val="nil"/>
              <w:bottom w:val="nil"/>
            </w:tcBorders>
            <w:shd w:val="clear" w:color="auto" w:fill="auto"/>
            <w:vAlign w:val="center"/>
          </w:tcPr>
          <w:p w14:paraId="6FF41A88"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0.89 (0.40,2.01)</w:t>
            </w:r>
          </w:p>
        </w:tc>
        <w:tc>
          <w:tcPr>
            <w:tcW w:w="769" w:type="pct"/>
            <w:tcBorders>
              <w:top w:val="nil"/>
              <w:bottom w:val="nil"/>
            </w:tcBorders>
            <w:shd w:val="clear" w:color="auto" w:fill="auto"/>
          </w:tcPr>
          <w:p w14:paraId="02AACDD8"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sz w:val="20"/>
                <w:szCs w:val="20"/>
                <w:lang w:val="fr-FR"/>
              </w:rPr>
              <w:t>1.71 (0.27,10.81)</w:t>
            </w:r>
          </w:p>
        </w:tc>
      </w:tr>
      <w:tr w:rsidR="00B565AC" w:rsidRPr="00F81A33" w14:paraId="7DDBAAEC" w14:textId="77777777" w:rsidTr="004A7F12">
        <w:tc>
          <w:tcPr>
            <w:tcW w:w="2710" w:type="pct"/>
            <w:gridSpan w:val="3"/>
            <w:tcBorders>
              <w:top w:val="nil"/>
              <w:bottom w:val="nil"/>
            </w:tcBorders>
            <w:shd w:val="clear" w:color="auto" w:fill="auto"/>
            <w:vAlign w:val="center"/>
          </w:tcPr>
          <w:p w14:paraId="4E6AC485" w14:textId="77777777" w:rsidR="00B565AC" w:rsidRPr="00F81A33" w:rsidRDefault="00B565AC" w:rsidP="001A7282">
            <w:pPr>
              <w:keepNext/>
              <w:keepLines/>
              <w:jc w:val="right"/>
              <w:rPr>
                <w:rFonts w:ascii="Arial Narrow" w:hAnsi="Arial Narrow"/>
                <w:sz w:val="20"/>
                <w:szCs w:val="20"/>
              </w:rPr>
            </w:pPr>
            <w:r w:rsidRPr="00F81A33">
              <w:rPr>
                <w:rFonts w:ascii="Arial Narrow" w:hAnsi="Arial Narrow"/>
                <w:sz w:val="20"/>
                <w:szCs w:val="20"/>
              </w:rPr>
              <w:t>Sensitivity: UST (4) v IFX (5)</w:t>
            </w:r>
          </w:p>
        </w:tc>
        <w:tc>
          <w:tcPr>
            <w:tcW w:w="754" w:type="pct"/>
            <w:tcBorders>
              <w:top w:val="nil"/>
              <w:bottom w:val="nil"/>
            </w:tcBorders>
            <w:shd w:val="clear" w:color="auto" w:fill="auto"/>
            <w:vAlign w:val="center"/>
          </w:tcPr>
          <w:p w14:paraId="710208E4"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0.18 (-0.19,0.55)</w:t>
            </w:r>
          </w:p>
        </w:tc>
        <w:tc>
          <w:tcPr>
            <w:tcW w:w="767" w:type="pct"/>
            <w:tcBorders>
              <w:top w:val="nil"/>
              <w:bottom w:val="nil"/>
            </w:tcBorders>
            <w:shd w:val="clear" w:color="auto" w:fill="auto"/>
            <w:vAlign w:val="center"/>
          </w:tcPr>
          <w:p w14:paraId="761C0637"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0.98 (0.44,2.16)</w:t>
            </w:r>
          </w:p>
        </w:tc>
        <w:tc>
          <w:tcPr>
            <w:tcW w:w="769" w:type="pct"/>
            <w:tcBorders>
              <w:top w:val="nil"/>
              <w:bottom w:val="nil"/>
            </w:tcBorders>
            <w:shd w:val="clear" w:color="auto" w:fill="auto"/>
          </w:tcPr>
          <w:p w14:paraId="2C2761B2"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sz w:val="20"/>
                <w:szCs w:val="20"/>
                <w:lang w:val="fr-FR"/>
              </w:rPr>
              <w:t>2.10 (0.34,12.84)</w:t>
            </w:r>
          </w:p>
        </w:tc>
      </w:tr>
      <w:tr w:rsidR="00B565AC" w:rsidRPr="00F81A33" w14:paraId="19ECE05D" w14:textId="77777777" w:rsidTr="004A7F12">
        <w:tc>
          <w:tcPr>
            <w:tcW w:w="2710" w:type="pct"/>
            <w:gridSpan w:val="3"/>
            <w:tcBorders>
              <w:top w:val="nil"/>
              <w:bottom w:val="single" w:sz="4" w:space="0" w:color="auto"/>
            </w:tcBorders>
            <w:shd w:val="clear" w:color="auto" w:fill="auto"/>
            <w:vAlign w:val="center"/>
          </w:tcPr>
          <w:p w14:paraId="6F3927F4" w14:textId="77777777" w:rsidR="00B565AC" w:rsidRPr="00F81A33" w:rsidRDefault="00B565AC" w:rsidP="001A7282">
            <w:pPr>
              <w:keepNext/>
              <w:keepLines/>
              <w:jc w:val="right"/>
              <w:rPr>
                <w:rFonts w:ascii="Arial Narrow" w:hAnsi="Arial Narrow"/>
                <w:sz w:val="20"/>
                <w:szCs w:val="20"/>
              </w:rPr>
            </w:pPr>
            <w:r w:rsidRPr="00F81A33">
              <w:rPr>
                <w:rFonts w:ascii="Arial Narrow" w:hAnsi="Arial Narrow"/>
                <w:sz w:val="20"/>
                <w:szCs w:val="20"/>
              </w:rPr>
              <w:t>Sensitivity: UST (4) v IFX (7)</w:t>
            </w:r>
          </w:p>
        </w:tc>
        <w:tc>
          <w:tcPr>
            <w:tcW w:w="754" w:type="pct"/>
            <w:tcBorders>
              <w:top w:val="nil"/>
              <w:bottom w:val="single" w:sz="4" w:space="0" w:color="auto"/>
            </w:tcBorders>
            <w:shd w:val="clear" w:color="auto" w:fill="auto"/>
            <w:vAlign w:val="center"/>
          </w:tcPr>
          <w:p w14:paraId="7EBE9E2B"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0.30 (-0.09,0.69)</w:t>
            </w:r>
          </w:p>
        </w:tc>
        <w:tc>
          <w:tcPr>
            <w:tcW w:w="767" w:type="pct"/>
            <w:tcBorders>
              <w:top w:val="nil"/>
              <w:bottom w:val="single" w:sz="4" w:space="0" w:color="auto"/>
            </w:tcBorders>
            <w:shd w:val="clear" w:color="auto" w:fill="auto"/>
            <w:vAlign w:val="center"/>
          </w:tcPr>
          <w:p w14:paraId="71C6D26D"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1.33 (0.43,4.13)</w:t>
            </w:r>
          </w:p>
        </w:tc>
        <w:tc>
          <w:tcPr>
            <w:tcW w:w="769" w:type="pct"/>
            <w:tcBorders>
              <w:top w:val="nil"/>
              <w:bottom w:val="single" w:sz="4" w:space="0" w:color="auto"/>
            </w:tcBorders>
            <w:shd w:val="clear" w:color="auto" w:fill="auto"/>
          </w:tcPr>
          <w:p w14:paraId="738394B5"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sz w:val="20"/>
                <w:szCs w:val="20"/>
                <w:lang w:val="fr-FR"/>
              </w:rPr>
              <w:t>3.43 (0.44,26.58)</w:t>
            </w:r>
          </w:p>
        </w:tc>
      </w:tr>
      <w:tr w:rsidR="00B565AC" w:rsidRPr="00F81A33" w14:paraId="6E0D36AE" w14:textId="77777777" w:rsidTr="004A7F12">
        <w:tc>
          <w:tcPr>
            <w:tcW w:w="2710" w:type="pct"/>
            <w:gridSpan w:val="3"/>
            <w:tcBorders>
              <w:bottom w:val="nil"/>
            </w:tcBorders>
            <w:shd w:val="clear" w:color="auto" w:fill="auto"/>
            <w:vAlign w:val="center"/>
          </w:tcPr>
          <w:p w14:paraId="2F6805F6" w14:textId="77777777" w:rsidR="00B565AC" w:rsidRPr="00F81A33" w:rsidRDefault="00B565AC" w:rsidP="001A7282">
            <w:pPr>
              <w:keepNext/>
              <w:keepLines/>
              <w:jc w:val="right"/>
              <w:rPr>
                <w:rFonts w:ascii="Arial Narrow" w:hAnsi="Arial Narrow"/>
                <w:b/>
                <w:bCs/>
                <w:sz w:val="20"/>
                <w:szCs w:val="20"/>
              </w:rPr>
            </w:pPr>
            <w:r w:rsidRPr="00F81A33">
              <w:rPr>
                <w:rFonts w:ascii="Arial Narrow" w:hAnsi="Arial Narrow"/>
                <w:b/>
                <w:bCs/>
                <w:sz w:val="20"/>
                <w:szCs w:val="20"/>
              </w:rPr>
              <w:t>FISTULA REMISSION</w:t>
            </w:r>
          </w:p>
        </w:tc>
        <w:tc>
          <w:tcPr>
            <w:tcW w:w="754" w:type="pct"/>
            <w:tcBorders>
              <w:bottom w:val="nil"/>
            </w:tcBorders>
            <w:shd w:val="clear" w:color="auto" w:fill="auto"/>
            <w:vAlign w:val="center"/>
          </w:tcPr>
          <w:p w14:paraId="44B96E5B" w14:textId="77777777" w:rsidR="00B565AC" w:rsidRPr="00F81A33" w:rsidRDefault="00B565AC" w:rsidP="001A7282">
            <w:pPr>
              <w:keepNext/>
              <w:keepLines/>
              <w:jc w:val="center"/>
              <w:rPr>
                <w:rFonts w:ascii="Arial Narrow" w:hAnsi="Arial Narrow"/>
                <w:sz w:val="20"/>
                <w:szCs w:val="20"/>
              </w:rPr>
            </w:pPr>
          </w:p>
        </w:tc>
        <w:tc>
          <w:tcPr>
            <w:tcW w:w="767" w:type="pct"/>
            <w:tcBorders>
              <w:bottom w:val="nil"/>
            </w:tcBorders>
            <w:shd w:val="clear" w:color="auto" w:fill="auto"/>
            <w:vAlign w:val="center"/>
          </w:tcPr>
          <w:p w14:paraId="18CB778C" w14:textId="77777777" w:rsidR="00B565AC" w:rsidRPr="00F81A33" w:rsidRDefault="00B565AC" w:rsidP="001A7282">
            <w:pPr>
              <w:keepNext/>
              <w:keepLines/>
              <w:jc w:val="center"/>
              <w:rPr>
                <w:rFonts w:ascii="Arial Narrow" w:hAnsi="Arial Narrow"/>
                <w:sz w:val="20"/>
                <w:szCs w:val="20"/>
              </w:rPr>
            </w:pPr>
          </w:p>
        </w:tc>
        <w:tc>
          <w:tcPr>
            <w:tcW w:w="769" w:type="pct"/>
            <w:tcBorders>
              <w:bottom w:val="nil"/>
            </w:tcBorders>
            <w:shd w:val="clear" w:color="auto" w:fill="auto"/>
          </w:tcPr>
          <w:p w14:paraId="50B5EB35" w14:textId="77777777" w:rsidR="00B565AC" w:rsidRPr="00F81A33" w:rsidRDefault="00B565AC" w:rsidP="001A7282">
            <w:pPr>
              <w:keepNext/>
              <w:keepLines/>
              <w:jc w:val="center"/>
              <w:rPr>
                <w:rFonts w:ascii="Arial Narrow" w:hAnsi="Arial Narrow"/>
                <w:sz w:val="20"/>
                <w:szCs w:val="20"/>
                <w:lang w:val="fr-FR"/>
              </w:rPr>
            </w:pPr>
          </w:p>
        </w:tc>
      </w:tr>
      <w:tr w:rsidR="00B565AC" w:rsidRPr="00F81A33" w14:paraId="287A15EA" w14:textId="77777777" w:rsidTr="004A7F12">
        <w:tc>
          <w:tcPr>
            <w:tcW w:w="2710" w:type="pct"/>
            <w:gridSpan w:val="3"/>
            <w:tcBorders>
              <w:top w:val="nil"/>
              <w:bottom w:val="nil"/>
            </w:tcBorders>
            <w:shd w:val="clear" w:color="auto" w:fill="auto"/>
            <w:vAlign w:val="center"/>
          </w:tcPr>
          <w:p w14:paraId="0BF796AB" w14:textId="77777777" w:rsidR="00B565AC" w:rsidRPr="00F81A33" w:rsidRDefault="00B565AC" w:rsidP="001A7282">
            <w:pPr>
              <w:keepNext/>
              <w:keepLines/>
              <w:jc w:val="right"/>
              <w:rPr>
                <w:rFonts w:ascii="Arial Narrow" w:hAnsi="Arial Narrow"/>
                <w:b/>
                <w:bCs/>
                <w:sz w:val="20"/>
                <w:szCs w:val="20"/>
              </w:rPr>
            </w:pPr>
            <w:r w:rsidRPr="00F81A33">
              <w:rPr>
                <w:rFonts w:ascii="Arial Narrow" w:hAnsi="Arial Narrow"/>
                <w:sz w:val="20"/>
                <w:szCs w:val="20"/>
              </w:rPr>
              <w:t>UST (11) v ADA (12)</w:t>
            </w:r>
          </w:p>
        </w:tc>
        <w:tc>
          <w:tcPr>
            <w:tcW w:w="754" w:type="pct"/>
            <w:tcBorders>
              <w:top w:val="nil"/>
              <w:bottom w:val="nil"/>
            </w:tcBorders>
            <w:shd w:val="clear" w:color="auto" w:fill="auto"/>
            <w:vAlign w:val="center"/>
          </w:tcPr>
          <w:p w14:paraId="345BCF80"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0.10 (-0.34,0.54)</w:t>
            </w:r>
          </w:p>
        </w:tc>
        <w:tc>
          <w:tcPr>
            <w:tcW w:w="767" w:type="pct"/>
            <w:tcBorders>
              <w:top w:val="nil"/>
              <w:bottom w:val="nil"/>
            </w:tcBorders>
            <w:shd w:val="clear" w:color="auto" w:fill="auto"/>
            <w:vAlign w:val="center"/>
          </w:tcPr>
          <w:p w14:paraId="41342FE0"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0.62 (0.19,2.00)</w:t>
            </w:r>
          </w:p>
        </w:tc>
        <w:tc>
          <w:tcPr>
            <w:tcW w:w="769" w:type="pct"/>
            <w:tcBorders>
              <w:top w:val="nil"/>
              <w:bottom w:val="nil"/>
            </w:tcBorders>
            <w:shd w:val="clear" w:color="auto" w:fill="auto"/>
          </w:tcPr>
          <w:p w14:paraId="0A1D7E11"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sz w:val="20"/>
                <w:szCs w:val="20"/>
                <w:lang w:val="fr-FR"/>
              </w:rPr>
              <w:t>1.16 (0.13,10.00)</w:t>
            </w:r>
          </w:p>
        </w:tc>
      </w:tr>
      <w:tr w:rsidR="00B565AC" w:rsidRPr="00F81A33" w14:paraId="6C375F16" w14:textId="77777777" w:rsidTr="004A7F12">
        <w:tc>
          <w:tcPr>
            <w:tcW w:w="2710" w:type="pct"/>
            <w:gridSpan w:val="3"/>
            <w:tcBorders>
              <w:top w:val="nil"/>
              <w:bottom w:val="single" w:sz="4" w:space="0" w:color="auto"/>
            </w:tcBorders>
            <w:shd w:val="clear" w:color="auto" w:fill="auto"/>
            <w:vAlign w:val="center"/>
          </w:tcPr>
          <w:p w14:paraId="6EA76D46" w14:textId="77777777" w:rsidR="00B565AC" w:rsidRPr="00F81A33" w:rsidRDefault="00B565AC" w:rsidP="001A7282">
            <w:pPr>
              <w:keepNext/>
              <w:keepLines/>
              <w:jc w:val="right"/>
              <w:rPr>
                <w:rFonts w:ascii="Arial Narrow" w:hAnsi="Arial Narrow"/>
                <w:b/>
                <w:bCs/>
                <w:sz w:val="20"/>
                <w:szCs w:val="20"/>
              </w:rPr>
            </w:pPr>
            <w:r w:rsidRPr="00F81A33">
              <w:rPr>
                <w:rFonts w:ascii="Arial Narrow" w:hAnsi="Arial Narrow"/>
                <w:sz w:val="20"/>
                <w:szCs w:val="20"/>
              </w:rPr>
              <w:t>UST (11) v IFX (13)</w:t>
            </w:r>
          </w:p>
        </w:tc>
        <w:tc>
          <w:tcPr>
            <w:tcW w:w="754" w:type="pct"/>
            <w:tcBorders>
              <w:top w:val="nil"/>
              <w:bottom w:val="single" w:sz="4" w:space="0" w:color="auto"/>
            </w:tcBorders>
            <w:shd w:val="clear" w:color="auto" w:fill="auto"/>
            <w:vAlign w:val="center"/>
          </w:tcPr>
          <w:p w14:paraId="28180A45"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0.17 (-0.24,0.58*)</w:t>
            </w:r>
          </w:p>
        </w:tc>
        <w:tc>
          <w:tcPr>
            <w:tcW w:w="767" w:type="pct"/>
            <w:tcBorders>
              <w:top w:val="nil"/>
              <w:bottom w:val="single" w:sz="4" w:space="0" w:color="auto"/>
            </w:tcBorders>
            <w:shd w:val="clear" w:color="auto" w:fill="auto"/>
            <w:vAlign w:val="center"/>
          </w:tcPr>
          <w:p w14:paraId="3D4ECC03" w14:textId="77777777" w:rsidR="00B565AC" w:rsidRPr="00F81A33" w:rsidRDefault="00B565AC" w:rsidP="001A7282">
            <w:pPr>
              <w:keepNext/>
              <w:keepLines/>
              <w:jc w:val="center"/>
              <w:rPr>
                <w:rFonts w:ascii="Arial Narrow" w:hAnsi="Arial Narrow"/>
                <w:sz w:val="20"/>
                <w:szCs w:val="20"/>
              </w:rPr>
            </w:pPr>
            <w:r w:rsidRPr="00F81A33">
              <w:rPr>
                <w:rFonts w:ascii="Arial Narrow" w:hAnsi="Arial Narrow"/>
                <w:sz w:val="20"/>
                <w:szCs w:val="20"/>
              </w:rPr>
              <w:t>0.95 (0.38,2.37)</w:t>
            </w:r>
          </w:p>
        </w:tc>
        <w:tc>
          <w:tcPr>
            <w:tcW w:w="769" w:type="pct"/>
            <w:tcBorders>
              <w:top w:val="nil"/>
              <w:bottom w:val="single" w:sz="4" w:space="0" w:color="auto"/>
            </w:tcBorders>
            <w:shd w:val="clear" w:color="auto" w:fill="auto"/>
          </w:tcPr>
          <w:p w14:paraId="12F56BDB" w14:textId="77777777" w:rsidR="00B565AC" w:rsidRPr="00F81A33" w:rsidRDefault="00B565AC" w:rsidP="001A7282">
            <w:pPr>
              <w:keepNext/>
              <w:keepLines/>
              <w:jc w:val="center"/>
              <w:rPr>
                <w:rFonts w:ascii="Arial Narrow" w:hAnsi="Arial Narrow"/>
                <w:sz w:val="20"/>
                <w:szCs w:val="20"/>
                <w:lang w:val="fr-FR"/>
              </w:rPr>
            </w:pPr>
            <w:r w:rsidRPr="00F81A33">
              <w:rPr>
                <w:rFonts w:ascii="Arial Narrow" w:hAnsi="Arial Narrow"/>
                <w:sz w:val="20"/>
                <w:szCs w:val="20"/>
                <w:lang w:val="fr-FR"/>
              </w:rPr>
              <w:t>1.93 (0.28,13.59)</w:t>
            </w:r>
          </w:p>
        </w:tc>
      </w:tr>
    </w:tbl>
    <w:p w14:paraId="2347C77B" w14:textId="77777777" w:rsidR="00B565AC" w:rsidRPr="00427B2E" w:rsidRDefault="00B565AC" w:rsidP="001A7282">
      <w:pPr>
        <w:keepNext/>
        <w:keepLines/>
        <w:snapToGrid w:val="0"/>
        <w:rPr>
          <w:rStyle w:val="CommentReference"/>
          <w:b w:val="0"/>
          <w:sz w:val="18"/>
          <w:szCs w:val="18"/>
        </w:rPr>
      </w:pPr>
      <w:r w:rsidRPr="00427B2E">
        <w:rPr>
          <w:rStyle w:val="CommentReference"/>
          <w:b w:val="0"/>
          <w:sz w:val="18"/>
          <w:szCs w:val="18"/>
          <w:shd w:val="clear" w:color="auto" w:fill="B8CCE4" w:themeFill="accent1" w:themeFillTint="66"/>
        </w:rPr>
        <w:t>Blue</w:t>
      </w:r>
      <w:r w:rsidRPr="00427B2E">
        <w:rPr>
          <w:rStyle w:val="CommentReference"/>
          <w:b w:val="0"/>
          <w:sz w:val="18"/>
          <w:szCs w:val="18"/>
        </w:rPr>
        <w:t xml:space="preserve"> shading indicates data previously seen by the PBAC. </w:t>
      </w:r>
    </w:p>
    <w:p w14:paraId="3F278A65" w14:textId="77777777" w:rsidR="00B565AC" w:rsidRPr="00427B2E" w:rsidRDefault="00B565AC" w:rsidP="001A7282">
      <w:pPr>
        <w:keepNext/>
        <w:keepLines/>
        <w:snapToGrid w:val="0"/>
        <w:rPr>
          <w:rFonts w:ascii="Arial Narrow" w:hAnsi="Arial Narrow"/>
          <w:sz w:val="18"/>
          <w:szCs w:val="18"/>
        </w:rPr>
      </w:pPr>
      <w:r w:rsidRPr="00427B2E">
        <w:rPr>
          <w:rFonts w:ascii="Arial Narrow" w:hAnsi="Arial Narrow"/>
          <w:sz w:val="18"/>
          <w:szCs w:val="18"/>
        </w:rPr>
        <w:t xml:space="preserve">Source: Table 2.73, p173, Table 2.58 p154, Table 2.74 p174, Table 2.75 p174, Table 2.71 p 168 of the submission </w:t>
      </w:r>
    </w:p>
    <w:p w14:paraId="6AF512B1" w14:textId="77777777" w:rsidR="00B565AC" w:rsidRPr="00427B2E" w:rsidRDefault="00B565AC" w:rsidP="001A7282">
      <w:pPr>
        <w:keepNext/>
        <w:keepLines/>
        <w:snapToGrid w:val="0"/>
        <w:rPr>
          <w:rFonts w:ascii="Arial Narrow" w:hAnsi="Arial Narrow"/>
          <w:sz w:val="18"/>
          <w:szCs w:val="18"/>
        </w:rPr>
      </w:pPr>
      <w:r w:rsidRPr="00427B2E">
        <w:rPr>
          <w:rFonts w:ascii="Arial Narrow" w:hAnsi="Arial Narrow"/>
          <w:sz w:val="18"/>
          <w:szCs w:val="18"/>
        </w:rPr>
        <w:t>ADA = adalimumab; IFX = infliximab; PBO = placebo; UST = ustekinumab; CR-70=clinical response as defined by attaining CDAI ≥ 70 point reduction from baseline; CR-100= clinical response as defined by attaining CDAI ≥ 100 point reduction from baseline, FR = fistula response; QxW = once every x weeks.</w:t>
      </w:r>
    </w:p>
    <w:p w14:paraId="56DAED83" w14:textId="77777777" w:rsidR="00B565AC" w:rsidRPr="00F81A33" w:rsidRDefault="00B565AC" w:rsidP="001A7282">
      <w:pPr>
        <w:keepNext/>
        <w:keepLines/>
        <w:snapToGrid w:val="0"/>
        <w:rPr>
          <w:rFonts w:ascii="Arial Narrow" w:hAnsi="Arial Narrow"/>
          <w:sz w:val="18"/>
          <w:szCs w:val="18"/>
        </w:rPr>
      </w:pPr>
      <w:r w:rsidRPr="00F81A33">
        <w:rPr>
          <w:rFonts w:ascii="Arial Narrow" w:hAnsi="Arial Narrow"/>
          <w:sz w:val="18"/>
          <w:szCs w:val="18"/>
        </w:rPr>
        <w:t>* This result differs substantially from that calculated in the submission (Table 2.75; p174 of the submission; 0.17: -0.05, 0.39)</w:t>
      </w:r>
    </w:p>
    <w:p w14:paraId="27D692EF" w14:textId="77777777" w:rsidR="00B565AC" w:rsidRPr="00427B2E" w:rsidRDefault="00B565AC" w:rsidP="001A7282">
      <w:pPr>
        <w:keepNext/>
        <w:keepLines/>
        <w:snapToGrid w:val="0"/>
        <w:rPr>
          <w:rFonts w:ascii="Arial Narrow" w:hAnsi="Arial Narrow"/>
          <w:sz w:val="18"/>
          <w:szCs w:val="18"/>
        </w:rPr>
      </w:pPr>
      <w:r w:rsidRPr="00427B2E">
        <w:rPr>
          <w:rFonts w:ascii="Arial Narrow" w:hAnsi="Arial Narrow"/>
          <w:sz w:val="18"/>
          <w:szCs w:val="18"/>
        </w:rPr>
        <w:t>[A] STARDUST: Exclusion of patients who received UST Q4W.</w:t>
      </w:r>
    </w:p>
    <w:p w14:paraId="6DCF9438" w14:textId="77777777" w:rsidR="00B565AC" w:rsidRPr="00427B2E" w:rsidRDefault="00B565AC" w:rsidP="0091471D">
      <w:pPr>
        <w:pStyle w:val="FooterTableFigure"/>
        <w:ind w:left="165" w:hanging="165"/>
        <w:rPr>
          <w:szCs w:val="18"/>
        </w:rPr>
      </w:pPr>
      <w:r w:rsidRPr="00427B2E">
        <w:rPr>
          <w:szCs w:val="18"/>
        </w:rPr>
        <w:t>[B] STARDUST: Non-responder imputation where patients who received UST Q4W were considered non-responders.</w:t>
      </w:r>
    </w:p>
    <w:p w14:paraId="5F4CA49D" w14:textId="4FCD0336" w:rsidR="002E0F06" w:rsidRDefault="002E0F06" w:rsidP="0091471D">
      <w:pPr>
        <w:pStyle w:val="3-BodyText"/>
      </w:pPr>
      <w:r>
        <w:t xml:space="preserve">The results of the placebo-controlled maintenance trials generally showed comparisons favoured active treatment over placebo. In the IM-UNITI trial, in patients with a perianal fistula at baseline and a clinical response to UST induction treatment at Week 8, a higher proportion of patients achieved fistula response and fistula </w:t>
      </w:r>
      <w:r>
        <w:lastRenderedPageBreak/>
        <w:t xml:space="preserve">remission at Week 52 </w:t>
      </w:r>
      <w:r w:rsidR="0093704E">
        <w:t xml:space="preserve">with UST </w:t>
      </w:r>
      <w:r>
        <w:t xml:space="preserve">compared to placebo. The submission acknowledged the result did not reach statistical </w:t>
      </w:r>
      <w:r w:rsidR="00240923">
        <w:t>significance but</w:t>
      </w:r>
      <w:r w:rsidR="0093704E">
        <w:t xml:space="preserve"> noted the </w:t>
      </w:r>
      <w:r>
        <w:t xml:space="preserve">small numbers of patients and argued that the long carry-over effect with UST biased the comparison against UST. In the ACCENT II trial, in patients with fistulising CD and fistula response to IFX induction treatment, a higher proportion of patients maintained fistula response </w:t>
      </w:r>
      <w:r w:rsidR="0093704E">
        <w:t xml:space="preserve">and achieved fistula remission </w:t>
      </w:r>
      <w:r>
        <w:t>at W</w:t>
      </w:r>
      <w:r w:rsidR="0093704E">
        <w:t>ee</w:t>
      </w:r>
      <w:r>
        <w:t>k</w:t>
      </w:r>
      <w:r w:rsidR="0093704E">
        <w:t xml:space="preserve"> 54 with IFX compared to placebo</w:t>
      </w:r>
      <w:r>
        <w:t>. In the CHARM trial, in patients with fistulising CD at baseline who received ADA induction treatment to W</w:t>
      </w:r>
      <w:r w:rsidR="0093704E">
        <w:t>ee</w:t>
      </w:r>
      <w:r>
        <w:t>k</w:t>
      </w:r>
      <w:r w:rsidR="0093704E">
        <w:t xml:space="preserve"> </w:t>
      </w:r>
      <w:r>
        <w:t xml:space="preserve">4 (responders and non-responders), a higher proportion of patients </w:t>
      </w:r>
      <w:r w:rsidR="0093704E">
        <w:t xml:space="preserve">achieved fistula remission at Week 56 </w:t>
      </w:r>
      <w:r>
        <w:t xml:space="preserve">with ADA </w:t>
      </w:r>
      <w:r w:rsidR="0093704E">
        <w:t>compared to placebo</w:t>
      </w:r>
      <w:r>
        <w:t>.</w:t>
      </w:r>
      <w:r w:rsidR="0054265F">
        <w:t xml:space="preserve"> The results of the SEAVUE trial found no difference between UST and ADA at Week 52 in the fistulising CD subgroup in terms of fistula response or fistula remission.</w:t>
      </w:r>
    </w:p>
    <w:p w14:paraId="41A440EC" w14:textId="485D99D3" w:rsidR="0093704E" w:rsidRDefault="0093704E" w:rsidP="00EC1013">
      <w:pPr>
        <w:pStyle w:val="3-BodyText"/>
      </w:pPr>
      <w:r>
        <w:t xml:space="preserve">The results of the anchored indirect treatment comparisons for maintenance treatment found no statistically significant differences between UST versus ADA or IFX. For the comparisons versus IFX, the common reference arms reflected withdrawal of treatment following induction </w:t>
      </w:r>
      <w:r w:rsidR="00240923">
        <w:t>response,</w:t>
      </w:r>
      <w:r>
        <w:t xml:space="preserve"> but the submission argued the indirect analysis may still bias against UST given longer carry over effect compared to IFX. The submission cited the higher fistula response and remission rates in the placebo arm of IM-UNITI (45.5% and 44.4% respectively) compared to ACCENT II (23.5% and 19.4% respectively) as evidence of this bias. </w:t>
      </w:r>
      <w:r w:rsidRPr="009027A0">
        <w:t>For the comparison versus ADA,</w:t>
      </w:r>
      <w:r>
        <w:t xml:space="preserve"> the submission argued that the indirect analysis was biased against UST because the ADA induction dose in CHARM was lower than the TGA approved dose, the placebo arm of CHARM included induction responders and non-responders whereas IM-UNITI included induction responders only, and UST has a longer carry over effect compared to ADA. The submission cited the higher fistula remission rates in the placebo arm of IM-UNITI (44.4%) compared to CHARM (12.8%) as evidence of this bias.</w:t>
      </w:r>
    </w:p>
    <w:p w14:paraId="373836C3" w14:textId="00871874" w:rsidR="0085271A" w:rsidRDefault="0085271A" w:rsidP="005C0942">
      <w:pPr>
        <w:pStyle w:val="3-BodyText"/>
      </w:pPr>
      <w:r>
        <w:t>The submission also conducted a</w:t>
      </w:r>
      <w:r w:rsidR="005C0942">
        <w:t>n unanchored indirect</w:t>
      </w:r>
      <w:r>
        <w:t xml:space="preserve"> comparison between UST versus IFX and ADA for maintenance treatment incorporating evidence from SEAVUE and STARDUST</w:t>
      </w:r>
      <w:r w:rsidR="00A446FB">
        <w:t>.</w:t>
      </w:r>
      <w:r>
        <w:t xml:space="preserve"> The </w:t>
      </w:r>
      <w:r w:rsidR="005C0942">
        <w:t xml:space="preserve">unanchored indirect </w:t>
      </w:r>
      <w:r>
        <w:t xml:space="preserve">comparisons favoured UST versus IFX for maintenance treatment in terms of clinical response (65.7% versus 46.2%) and clinical remission (59.1% versus 36.3%), and favoured UST versus ADA for maintenance treatment in terms of clinical remission (59.1% versus 37.0%). The submission argued that the </w:t>
      </w:r>
      <w:r w:rsidR="005C0942">
        <w:t xml:space="preserve">unanchored indirect </w:t>
      </w:r>
      <w:r>
        <w:t>comparisons may offer a more relevant comparison due to the transitivity issues across the UST and IFX clinical trials identified with the indirect treatment comparisons.</w:t>
      </w:r>
      <w:r w:rsidR="00D1104F">
        <w:t xml:space="preserve"> </w:t>
      </w:r>
      <w:r w:rsidR="00723B57">
        <w:t>The evaluation considered t</w:t>
      </w:r>
      <w:r w:rsidR="00D1104F" w:rsidRPr="001447E7">
        <w:t xml:space="preserve">his argument was not reasonable, given </w:t>
      </w:r>
      <w:r w:rsidR="00C0564B" w:rsidRPr="001447E7">
        <w:t xml:space="preserve">unanchored indirect </w:t>
      </w:r>
      <w:r w:rsidR="00D1104F" w:rsidRPr="001447E7">
        <w:t>comparisons are more prone to bias from</w:t>
      </w:r>
      <w:r w:rsidR="00747E61" w:rsidRPr="001447E7">
        <w:t xml:space="preserve"> and make no adjustment for</w:t>
      </w:r>
      <w:r w:rsidR="00D1104F" w:rsidRPr="001447E7">
        <w:t xml:space="preserve"> differences across trials.</w:t>
      </w:r>
    </w:p>
    <w:p w14:paraId="632F9D76" w14:textId="17E8F3EF" w:rsidR="0071346F" w:rsidRPr="001447E7" w:rsidRDefault="0071346F" w:rsidP="0071346F">
      <w:pPr>
        <w:pStyle w:val="3-BodyText"/>
      </w:pPr>
      <w:r w:rsidRPr="001447E7">
        <w:rPr>
          <w:snapToGrid/>
        </w:rPr>
        <w:t>Based on the evidence presented i</w:t>
      </w:r>
      <w:r w:rsidRPr="001447E7">
        <w:t xml:space="preserve">n the March 2017 submission, the PBAC noted that UST was not significantly more effective in term of fistula response compared with placebo for maintenance (IM-UNITI) whereas the ADA (CHARM) and IFX (ACCENT II) trials showed a significant improvement over placebo for fistula remission during maintenance. The PBAC noted that the trial data for UST was poor with only eight patients in the (UST Q8W) treatment arm of IM-UNITI. </w:t>
      </w:r>
    </w:p>
    <w:p w14:paraId="2A1EE2E2" w14:textId="37E5B15F" w:rsidR="0071346F" w:rsidRPr="00A446FB" w:rsidRDefault="0071346F" w:rsidP="00CE5694">
      <w:pPr>
        <w:pStyle w:val="3-BodyText"/>
      </w:pPr>
      <w:bookmarkStart w:id="28" w:name="_Ref137475365"/>
      <w:r w:rsidRPr="001447E7">
        <w:lastRenderedPageBreak/>
        <w:t xml:space="preserve">Compared to the March 2017 submission, new data presented in the current submission adds limited additional evidence to support the use of UST for maintenance treatment of fistulising CD. A new pooled analysis across the two UST arms in IM-UNITI (with 15 patients in the pooled UST arms) still showed UST was no different at maintaining fistula response at Week 52 compared to placebo in patients with fistula response at Week 8, and a new post-hoc analysis of IM-UNITI showed UST was no different at inducing fistula remission at Week 52 compared to placebo (in patients with fistula remission at Week 8). The evidence supporting superiority of ADA and IFX over placebo for maintenance treatment was unchanged. The direct head-to-head comparison in SEAVUE showed </w:t>
      </w:r>
      <w:r w:rsidR="00965883" w:rsidRPr="001447E7">
        <w:t xml:space="preserve">the proportion of patients with fistula response and fistula remission at Week 52 was similar for </w:t>
      </w:r>
      <w:r w:rsidRPr="001447E7">
        <w:t xml:space="preserve">UST </w:t>
      </w:r>
      <w:r w:rsidR="00965883" w:rsidRPr="001447E7">
        <w:t>and ADA (i.e. no statistically significant differen</w:t>
      </w:r>
      <w:r w:rsidR="00CE5694" w:rsidRPr="001447E7">
        <w:t>ce</w:t>
      </w:r>
      <w:r w:rsidR="00965883" w:rsidRPr="001447E7">
        <w:t>)</w:t>
      </w:r>
      <w:r w:rsidRPr="001447E7">
        <w:t xml:space="preserve">, but the subgroup analysis was based on very small patient numbers (N=29). The </w:t>
      </w:r>
      <w:r w:rsidR="00152F46" w:rsidRPr="001447E7">
        <w:t xml:space="preserve">anchored </w:t>
      </w:r>
      <w:r w:rsidRPr="001447E7">
        <w:t xml:space="preserve">indirect treatment comparisons also showed no difference between UST versus ADA and IFX for maintenance treatment, but the results were highly uncertain given differences across the trials and the lack of statistical power in the UST and ADA trials. The arguments presented in the submission that the indirect comparisons </w:t>
      </w:r>
      <w:r w:rsidR="00677C6B" w:rsidRPr="001447E7">
        <w:t xml:space="preserve">for maintenance treatment </w:t>
      </w:r>
      <w:r w:rsidRPr="001447E7">
        <w:t xml:space="preserve">bias against UST were generally reasonable on face value (the longer ‘carry over’ effect with UST compared to TNF drugs, and the ‘treat through’ results for ADA compared to the ‘randomised withdrawal’ results for UST), but the results </w:t>
      </w:r>
      <w:r w:rsidR="00A10772" w:rsidRPr="001447E7">
        <w:t>we</w:t>
      </w:r>
      <w:r w:rsidRPr="001447E7">
        <w:t xml:space="preserve">re still difficult to interpret due to the low level of evidence available. </w:t>
      </w:r>
      <w:r w:rsidR="00677C6B" w:rsidRPr="001447E7">
        <w:t>Although t</w:t>
      </w:r>
      <w:r w:rsidRPr="001447E7">
        <w:t xml:space="preserve">he </w:t>
      </w:r>
      <w:r w:rsidR="005C0942" w:rsidRPr="001447E7">
        <w:t xml:space="preserve">unanchored indirect </w:t>
      </w:r>
      <w:r w:rsidRPr="001447E7">
        <w:t xml:space="preserve">comparisons </w:t>
      </w:r>
      <w:r w:rsidR="00677C6B" w:rsidRPr="001447E7">
        <w:t xml:space="preserve">did increase the sample size of the analysis, the results </w:t>
      </w:r>
      <w:r w:rsidR="00A10772" w:rsidRPr="001447E7">
        <w:t>we</w:t>
      </w:r>
      <w:r w:rsidR="00677C6B" w:rsidRPr="001447E7">
        <w:t>re still considered highly uncertain due to the many differences across the trials.</w:t>
      </w:r>
      <w:r w:rsidR="00F47DA1">
        <w:t xml:space="preserve"> </w:t>
      </w:r>
      <w:r w:rsidR="00A446FB" w:rsidRPr="004D0F16">
        <w:t>T</w:t>
      </w:r>
      <w:r w:rsidR="00A446FB" w:rsidRPr="00F81A33">
        <w:t>he ESC agreed with the evaluation and considered the unanchored indirect comparisons w</w:t>
      </w:r>
      <w:r w:rsidR="00F81A33">
        <w:t>ere</w:t>
      </w:r>
      <w:r w:rsidR="00A446FB" w:rsidRPr="00F81A33">
        <w:t xml:space="preserve"> largely uninformative for assessing the clinical claim due to the sample sizes remaining small and the differences between the relevant trials.</w:t>
      </w:r>
      <w:bookmarkEnd w:id="28"/>
      <w:r w:rsidR="004D0F16">
        <w:t xml:space="preserve"> The Pre-PBAC Response disagreed with the ESC and argued that although there were differences in the </w:t>
      </w:r>
      <w:r w:rsidR="00240923">
        <w:t>trials, the</w:t>
      </w:r>
      <w:r w:rsidR="004D0F16">
        <w:t xml:space="preserve"> unanchored indirect comparisons provide useful information</w:t>
      </w:r>
      <w:r w:rsidR="000E7A9D">
        <w:t>.</w:t>
      </w:r>
    </w:p>
    <w:p w14:paraId="3E5EFB57" w14:textId="12EB2E39" w:rsidR="00A446FB" w:rsidRPr="00F81A33" w:rsidRDefault="00A446FB" w:rsidP="00A446FB">
      <w:pPr>
        <w:pStyle w:val="3-BodyText"/>
      </w:pPr>
      <w:r w:rsidRPr="00F81A33">
        <w:t>The PSCR argued that despite the small sample sizes, the available evidence was sufficient to demonstrate the non-inferior comparative effectiveness of UST to the comparator treatments. Furthermore, the PSCR</w:t>
      </w:r>
      <w:r w:rsidR="004D0F16">
        <w:t xml:space="preserve"> and Pre-PBAC Response </w:t>
      </w:r>
      <w:r w:rsidRPr="00F81A33">
        <w:t xml:space="preserve">also re-iterated submission arguments that the ITCs were biased against UST (paragraphs </w:t>
      </w:r>
      <w:r w:rsidRPr="00F81A33">
        <w:fldChar w:fldCharType="begin"/>
      </w:r>
      <w:r w:rsidRPr="00F81A33">
        <w:instrText xml:space="preserve"> REF _Ref137475351 \r \h </w:instrText>
      </w:r>
      <w:r w:rsidR="00F81A33">
        <w:instrText xml:space="preserve"> \* MERGEFORMAT </w:instrText>
      </w:r>
      <w:r w:rsidRPr="00F81A33">
        <w:fldChar w:fldCharType="separate"/>
      </w:r>
      <w:r w:rsidR="00522D5A">
        <w:t>6.19</w:t>
      </w:r>
      <w:r w:rsidRPr="00F81A33">
        <w:fldChar w:fldCharType="end"/>
      </w:r>
      <w:r w:rsidRPr="00F81A33">
        <w:t xml:space="preserve"> and </w:t>
      </w:r>
      <w:r w:rsidRPr="00F81A33">
        <w:fldChar w:fldCharType="begin"/>
      </w:r>
      <w:r w:rsidRPr="00F81A33">
        <w:instrText xml:space="preserve"> REF _Ref137475365 \r \h </w:instrText>
      </w:r>
      <w:r w:rsidR="00F81A33">
        <w:instrText xml:space="preserve"> \* MERGEFORMAT </w:instrText>
      </w:r>
      <w:r w:rsidRPr="00F81A33">
        <w:fldChar w:fldCharType="separate"/>
      </w:r>
      <w:r w:rsidR="00522D5A">
        <w:t>6.26</w:t>
      </w:r>
      <w:r w:rsidRPr="00F81A33">
        <w:fldChar w:fldCharType="end"/>
      </w:r>
      <w:r w:rsidRPr="00F81A33">
        <w:t xml:space="preserve">) refer. </w:t>
      </w:r>
    </w:p>
    <w:p w14:paraId="1452C351" w14:textId="0D19F1B0" w:rsidR="00B60939" w:rsidRPr="00C9624D" w:rsidRDefault="00B60939" w:rsidP="00D86231">
      <w:pPr>
        <w:pStyle w:val="4-SubsectionHeading"/>
      </w:pPr>
      <w:bookmarkStart w:id="29" w:name="_Toc22897642"/>
      <w:bookmarkStart w:id="30" w:name="_Toc134692573"/>
      <w:r w:rsidRPr="00C9624D">
        <w:t>Comparative harms</w:t>
      </w:r>
      <w:bookmarkEnd w:id="29"/>
      <w:bookmarkEnd w:id="30"/>
    </w:p>
    <w:p w14:paraId="1126A1FF" w14:textId="5F5244C1" w:rsidR="004868FB" w:rsidRPr="001447E7" w:rsidRDefault="004E2885" w:rsidP="00FF125C">
      <w:pPr>
        <w:pStyle w:val="3-BodyText"/>
      </w:pPr>
      <w:r w:rsidRPr="001447E7">
        <w:t xml:space="preserve">Consistent with the March 2017 submission, the current submission conducted </w:t>
      </w:r>
      <w:r w:rsidR="00152F46" w:rsidRPr="001447E7">
        <w:t xml:space="preserve">anchored </w:t>
      </w:r>
      <w:r w:rsidRPr="001447E7">
        <w:t xml:space="preserve">indirect treatment comparisons based on the ITT / safety populations of the included placebo-controlled trials. </w:t>
      </w:r>
      <w:r w:rsidR="009935E9" w:rsidRPr="001447E7">
        <w:t xml:space="preserve">The submission stated that there is no biological reason why the safety profile of UST would differ in patients with moderate to severe CD compared to fistulising CD. </w:t>
      </w:r>
      <w:r w:rsidRPr="001447E7">
        <w:t>The submission concluded that the safety profile of UST in the induction and maintenance phase was s</w:t>
      </w:r>
      <w:r w:rsidR="004868FB" w:rsidRPr="001447E7">
        <w:t xml:space="preserve">imilar compared to ADA and IFX. </w:t>
      </w:r>
      <w:r w:rsidR="00656DEE" w:rsidRPr="001447E7">
        <w:t xml:space="preserve">The results of the </w:t>
      </w:r>
      <w:r w:rsidR="00152F46" w:rsidRPr="001447E7">
        <w:t xml:space="preserve">anchored </w:t>
      </w:r>
      <w:r w:rsidR="00656DEE" w:rsidRPr="001447E7">
        <w:t xml:space="preserve">indirect treatment comparisons </w:t>
      </w:r>
      <w:r w:rsidR="00152F46" w:rsidRPr="001447E7">
        <w:t xml:space="preserve">for comparative harms </w:t>
      </w:r>
      <w:r w:rsidR="00656DEE" w:rsidRPr="001447E7">
        <w:t xml:space="preserve">were </w:t>
      </w:r>
      <w:r w:rsidR="00656DEE" w:rsidRPr="001447E7">
        <w:lastRenderedPageBreak/>
        <w:t xml:space="preserve">difficult to interpret given the trials were not powered for safety outcomes and the induction trials reported outcomes at different time points </w:t>
      </w:r>
      <w:r w:rsidR="004868FB" w:rsidRPr="001447E7">
        <w:t>(e.g.</w:t>
      </w:r>
      <w:r w:rsidR="00A10772" w:rsidRPr="001447E7">
        <w:t>,</w:t>
      </w:r>
      <w:r w:rsidR="004868FB" w:rsidRPr="001447E7">
        <w:t xml:space="preserve"> Week 4</w:t>
      </w:r>
      <w:r w:rsidR="00656DEE" w:rsidRPr="001447E7">
        <w:t xml:space="preserve"> to</w:t>
      </w:r>
      <w:r w:rsidR="004868FB" w:rsidRPr="001447E7">
        <w:t xml:space="preserve"> Week 18)</w:t>
      </w:r>
      <w:r w:rsidR="00656DEE" w:rsidRPr="001447E7">
        <w:t>.</w:t>
      </w:r>
    </w:p>
    <w:p w14:paraId="7E208171" w14:textId="6A643CF6" w:rsidR="004E2885" w:rsidRPr="001447E7" w:rsidRDefault="004E2885" w:rsidP="009935E9">
      <w:pPr>
        <w:pStyle w:val="3-BodyText"/>
      </w:pPr>
      <w:r w:rsidRPr="001447E7">
        <w:t>The submission also presented safety data for the ITT/safety populations of SEAVUE</w:t>
      </w:r>
      <w:r w:rsidR="005137D8" w:rsidRPr="001447E7">
        <w:t xml:space="preserve"> and STARDUST</w:t>
      </w:r>
      <w:r w:rsidR="003C388C" w:rsidRPr="001447E7">
        <w:t xml:space="preserve">, summarised in </w:t>
      </w:r>
      <w:r w:rsidR="003C388C" w:rsidRPr="001447E7">
        <w:fldChar w:fldCharType="begin"/>
      </w:r>
      <w:r w:rsidR="003C388C" w:rsidRPr="001447E7">
        <w:instrText xml:space="preserve"> REF _Ref132617903 \h </w:instrText>
      </w:r>
      <w:r w:rsidR="001447E7" w:rsidRPr="001447E7">
        <w:instrText xml:space="preserve"> \* MERGEFORMAT </w:instrText>
      </w:r>
      <w:r w:rsidR="003C388C" w:rsidRPr="001447E7">
        <w:fldChar w:fldCharType="separate"/>
      </w:r>
      <w:r w:rsidR="00522D5A" w:rsidRPr="003F2548">
        <w:t xml:space="preserve">Table </w:t>
      </w:r>
      <w:r w:rsidR="00522D5A">
        <w:rPr>
          <w:noProof/>
        </w:rPr>
        <w:t>6</w:t>
      </w:r>
      <w:r w:rsidR="003C388C" w:rsidRPr="001447E7">
        <w:fldChar w:fldCharType="end"/>
      </w:r>
      <w:r w:rsidRPr="001447E7">
        <w:t xml:space="preserve">. </w:t>
      </w:r>
      <w:r w:rsidR="00656DEE" w:rsidRPr="001447E7">
        <w:t xml:space="preserve">In SEAVUE, </w:t>
      </w:r>
      <w:r w:rsidRPr="001447E7">
        <w:t xml:space="preserve">the incidence of </w:t>
      </w:r>
      <w:r w:rsidR="00656DEE" w:rsidRPr="001447E7">
        <w:t>adverse events (</w:t>
      </w:r>
      <w:r w:rsidRPr="001447E7">
        <w:t>AEs</w:t>
      </w:r>
      <w:r w:rsidR="00656DEE" w:rsidRPr="001447E7">
        <w:t>)</w:t>
      </w:r>
      <w:r w:rsidRPr="001447E7">
        <w:t xml:space="preserve"> was similar between UST and </w:t>
      </w:r>
      <w:r w:rsidR="00240923" w:rsidRPr="001447E7">
        <w:t>ADA,</w:t>
      </w:r>
      <w:r w:rsidRPr="001447E7">
        <w:t xml:space="preserve"> </w:t>
      </w:r>
      <w:r w:rsidR="00656DEE" w:rsidRPr="001447E7">
        <w:t xml:space="preserve">but </w:t>
      </w:r>
      <w:r w:rsidRPr="001447E7">
        <w:t>more patients treated with ADA experienced injection site r</w:t>
      </w:r>
      <w:r w:rsidR="00656DEE" w:rsidRPr="001447E7">
        <w:t>eactions and more</w:t>
      </w:r>
      <w:r w:rsidRPr="001447E7">
        <w:t xml:space="preserve"> </w:t>
      </w:r>
      <w:r w:rsidR="00656DEE" w:rsidRPr="001447E7">
        <w:t xml:space="preserve">patients treated with ADA </w:t>
      </w:r>
      <w:r w:rsidRPr="001447E7">
        <w:t>discontinu</w:t>
      </w:r>
      <w:r w:rsidR="00656DEE" w:rsidRPr="001447E7">
        <w:t>ed treatment</w:t>
      </w:r>
      <w:r w:rsidRPr="001447E7">
        <w:t xml:space="preserve"> due to AEs. </w:t>
      </w:r>
      <w:r w:rsidR="00656DEE" w:rsidRPr="001447E7">
        <w:t>In STARDUST, the incidence of AEs was similar for UST routine care and UST treat-to-target. Overall, t</w:t>
      </w:r>
      <w:r w:rsidRPr="001447E7">
        <w:t xml:space="preserve">he most frequently reported AEs with UST </w:t>
      </w:r>
      <w:r w:rsidR="00656DEE" w:rsidRPr="001447E7">
        <w:t>in</w:t>
      </w:r>
      <w:r w:rsidRPr="001447E7">
        <w:t xml:space="preserve"> SEAVUE and STARDUST included abdominal pain, Crohn’s disease event, headache and nasopharyngitis, </w:t>
      </w:r>
      <w:r w:rsidR="00656DEE" w:rsidRPr="001447E7">
        <w:t xml:space="preserve">which are </w:t>
      </w:r>
      <w:r w:rsidRPr="001447E7">
        <w:t>consistent with the known safety profile of UST.</w:t>
      </w:r>
    </w:p>
    <w:p w14:paraId="4012CF8D" w14:textId="38F42FA7" w:rsidR="004E2885" w:rsidRPr="003F2548" w:rsidRDefault="004E2885" w:rsidP="005137D8">
      <w:pPr>
        <w:pStyle w:val="Caption"/>
        <w:jc w:val="left"/>
      </w:pPr>
      <w:bookmarkStart w:id="31" w:name="_Ref132617903"/>
      <w:r w:rsidRPr="003F2548">
        <w:t xml:space="preserve">Table </w:t>
      </w:r>
      <w:fldSimple w:instr=" SEQ Table \* ARABIC ">
        <w:r w:rsidR="00522D5A">
          <w:rPr>
            <w:noProof/>
          </w:rPr>
          <w:t>6</w:t>
        </w:r>
      </w:fldSimple>
      <w:bookmarkEnd w:id="31"/>
      <w:r w:rsidRPr="003F2548">
        <w:rPr>
          <w:rFonts w:eastAsiaTheme="minorEastAsia" w:cs="Times New Roman"/>
          <w:szCs w:val="20"/>
          <w:lang w:eastAsia="en-US"/>
        </w:rPr>
        <w:t xml:space="preserve">: Summary of adverse events in SEAVUE </w:t>
      </w:r>
      <w:r w:rsidR="005137D8">
        <w:rPr>
          <w:rFonts w:eastAsiaTheme="minorEastAsia" w:cs="Times New Roman"/>
          <w:szCs w:val="20"/>
          <w:lang w:eastAsia="en-US"/>
        </w:rPr>
        <w:t xml:space="preserve">and STARDUST </w:t>
      </w:r>
      <w:r w:rsidRPr="003F2548">
        <w:rPr>
          <w:rFonts w:eastAsiaTheme="minorEastAsia" w:cs="Times New Roman"/>
          <w:szCs w:val="20"/>
          <w:lang w:eastAsia="en-US"/>
        </w:rPr>
        <w:t>(whole trial population of moderate to severe 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3"/>
        <w:gridCol w:w="1688"/>
        <w:gridCol w:w="1690"/>
        <w:gridCol w:w="1688"/>
        <w:gridCol w:w="1688"/>
      </w:tblGrid>
      <w:tr w:rsidR="003F2548" w:rsidRPr="001447E7" w14:paraId="72D43D54" w14:textId="77777777" w:rsidTr="00723FF9">
        <w:trPr>
          <w:trHeight w:val="70"/>
          <w:tblHeader/>
        </w:trPr>
        <w:tc>
          <w:tcPr>
            <w:tcW w:w="1255" w:type="pct"/>
            <w:shd w:val="clear" w:color="auto" w:fill="auto"/>
            <w:vAlign w:val="center"/>
          </w:tcPr>
          <w:p w14:paraId="2CB125AC" w14:textId="7D62C173" w:rsidR="004E2885" w:rsidRPr="001447E7" w:rsidRDefault="003C388C" w:rsidP="00723FF9">
            <w:pPr>
              <w:keepNext/>
              <w:jc w:val="left"/>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SEAVUE</w:t>
            </w:r>
          </w:p>
        </w:tc>
        <w:tc>
          <w:tcPr>
            <w:tcW w:w="936" w:type="pct"/>
            <w:shd w:val="clear" w:color="auto" w:fill="auto"/>
            <w:vAlign w:val="center"/>
          </w:tcPr>
          <w:p w14:paraId="22FEFBF9"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UST</w:t>
            </w:r>
          </w:p>
          <w:p w14:paraId="2B1533AF"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n/N (%)</w:t>
            </w:r>
          </w:p>
        </w:tc>
        <w:tc>
          <w:tcPr>
            <w:tcW w:w="937" w:type="pct"/>
            <w:shd w:val="clear" w:color="auto" w:fill="auto"/>
            <w:vAlign w:val="center"/>
          </w:tcPr>
          <w:p w14:paraId="676C8B33"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ADA</w:t>
            </w:r>
          </w:p>
          <w:p w14:paraId="4A25206F"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n/N (%)</w:t>
            </w:r>
          </w:p>
        </w:tc>
        <w:tc>
          <w:tcPr>
            <w:tcW w:w="936" w:type="pct"/>
            <w:shd w:val="clear" w:color="auto" w:fill="auto"/>
            <w:vAlign w:val="center"/>
          </w:tcPr>
          <w:p w14:paraId="0D5A144D"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RR (95% CI)</w:t>
            </w:r>
          </w:p>
        </w:tc>
        <w:tc>
          <w:tcPr>
            <w:tcW w:w="936" w:type="pct"/>
            <w:shd w:val="clear" w:color="auto" w:fill="auto"/>
            <w:vAlign w:val="center"/>
          </w:tcPr>
          <w:p w14:paraId="53C97682"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RD (95% CI)</w:t>
            </w:r>
          </w:p>
        </w:tc>
      </w:tr>
      <w:tr w:rsidR="003F2548" w:rsidRPr="001447E7" w14:paraId="1A81DD52" w14:textId="77777777" w:rsidTr="00723FF9">
        <w:trPr>
          <w:trHeight w:val="53"/>
        </w:trPr>
        <w:tc>
          <w:tcPr>
            <w:tcW w:w="5000" w:type="pct"/>
            <w:gridSpan w:val="5"/>
            <w:shd w:val="clear" w:color="auto" w:fill="auto"/>
            <w:vAlign w:val="center"/>
          </w:tcPr>
          <w:p w14:paraId="5341B321" w14:textId="77777777" w:rsidR="004E2885" w:rsidRPr="001447E7" w:rsidRDefault="004E2885" w:rsidP="00723FF9">
            <w:pPr>
              <w:keepNext/>
              <w:jc w:val="left"/>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Week 52</w:t>
            </w:r>
          </w:p>
        </w:tc>
      </w:tr>
      <w:tr w:rsidR="003F2548" w:rsidRPr="001447E7" w14:paraId="43BAF102" w14:textId="77777777" w:rsidTr="00723FF9">
        <w:trPr>
          <w:trHeight w:val="187"/>
        </w:trPr>
        <w:tc>
          <w:tcPr>
            <w:tcW w:w="1255" w:type="pct"/>
            <w:shd w:val="clear" w:color="auto" w:fill="auto"/>
            <w:vAlign w:val="center"/>
          </w:tcPr>
          <w:p w14:paraId="03144E96"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Any adverse event</w:t>
            </w:r>
          </w:p>
        </w:tc>
        <w:tc>
          <w:tcPr>
            <w:tcW w:w="936" w:type="pct"/>
            <w:shd w:val="clear" w:color="auto" w:fill="auto"/>
          </w:tcPr>
          <w:p w14:paraId="3D178205"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hAnsi="Arial Narrow" w:cstheme="minorHAnsi"/>
                <w:sz w:val="20"/>
                <w:szCs w:val="20"/>
              </w:rPr>
              <w:t>153/191 (80.1)</w:t>
            </w:r>
          </w:p>
        </w:tc>
        <w:tc>
          <w:tcPr>
            <w:tcW w:w="937" w:type="pct"/>
            <w:shd w:val="clear" w:color="auto" w:fill="auto"/>
          </w:tcPr>
          <w:p w14:paraId="49E3D621"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hAnsi="Arial Narrow" w:cstheme="minorHAnsi"/>
                <w:sz w:val="20"/>
                <w:szCs w:val="20"/>
              </w:rPr>
              <w:t>152/195 (77.9)</w:t>
            </w:r>
          </w:p>
        </w:tc>
        <w:tc>
          <w:tcPr>
            <w:tcW w:w="936" w:type="pct"/>
            <w:shd w:val="clear" w:color="auto" w:fill="auto"/>
            <w:vAlign w:val="center"/>
          </w:tcPr>
          <w:p w14:paraId="449A9870"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eastAsiaTheme="minorEastAsia" w:hAnsi="Arial Narrow" w:cs="Times New Roman"/>
                <w:bCs/>
                <w:sz w:val="20"/>
                <w:szCs w:val="20"/>
                <w:lang w:eastAsia="en-US"/>
              </w:rPr>
              <w:t>1.03 (0.93, 1.14)</w:t>
            </w:r>
          </w:p>
        </w:tc>
        <w:tc>
          <w:tcPr>
            <w:tcW w:w="936" w:type="pct"/>
            <w:shd w:val="clear" w:color="auto" w:fill="auto"/>
            <w:vAlign w:val="center"/>
          </w:tcPr>
          <w:p w14:paraId="79D6E277"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eastAsiaTheme="minorEastAsia" w:hAnsi="Arial Narrow" w:cs="Times New Roman"/>
                <w:bCs/>
                <w:sz w:val="20"/>
                <w:szCs w:val="20"/>
                <w:lang w:eastAsia="en-US"/>
              </w:rPr>
              <w:t>0.02 (-0.06, 0.10)</w:t>
            </w:r>
          </w:p>
        </w:tc>
      </w:tr>
      <w:tr w:rsidR="003F2548" w:rsidRPr="001447E7" w14:paraId="2395FDBD" w14:textId="77777777" w:rsidTr="00723FF9">
        <w:trPr>
          <w:trHeight w:val="87"/>
        </w:trPr>
        <w:tc>
          <w:tcPr>
            <w:tcW w:w="1255" w:type="pct"/>
            <w:shd w:val="clear" w:color="auto" w:fill="auto"/>
            <w:vAlign w:val="center"/>
          </w:tcPr>
          <w:p w14:paraId="75BCA447"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Serious adverse event</w:t>
            </w:r>
          </w:p>
        </w:tc>
        <w:tc>
          <w:tcPr>
            <w:tcW w:w="936" w:type="pct"/>
            <w:shd w:val="clear" w:color="auto" w:fill="auto"/>
          </w:tcPr>
          <w:p w14:paraId="60F72DBA"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hAnsi="Arial Narrow" w:cstheme="minorHAnsi"/>
                <w:sz w:val="20"/>
                <w:szCs w:val="20"/>
              </w:rPr>
              <w:t>25/191 (13.1)</w:t>
            </w:r>
          </w:p>
        </w:tc>
        <w:tc>
          <w:tcPr>
            <w:tcW w:w="937" w:type="pct"/>
            <w:shd w:val="clear" w:color="auto" w:fill="auto"/>
          </w:tcPr>
          <w:p w14:paraId="05A2352E"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hAnsi="Arial Narrow" w:cstheme="minorHAnsi"/>
                <w:sz w:val="20"/>
                <w:szCs w:val="20"/>
              </w:rPr>
              <w:t>32/195 (16.4)</w:t>
            </w:r>
          </w:p>
        </w:tc>
        <w:tc>
          <w:tcPr>
            <w:tcW w:w="936" w:type="pct"/>
            <w:shd w:val="clear" w:color="auto" w:fill="auto"/>
            <w:vAlign w:val="center"/>
          </w:tcPr>
          <w:p w14:paraId="3ADEDBCF"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eastAsiaTheme="minorEastAsia" w:hAnsi="Arial Narrow" w:cs="Times New Roman"/>
                <w:bCs/>
                <w:sz w:val="20"/>
                <w:szCs w:val="20"/>
                <w:lang w:eastAsia="en-US"/>
              </w:rPr>
              <w:t>0.80 (0.49, 1.29)</w:t>
            </w:r>
          </w:p>
        </w:tc>
        <w:tc>
          <w:tcPr>
            <w:tcW w:w="936" w:type="pct"/>
            <w:shd w:val="clear" w:color="auto" w:fill="auto"/>
            <w:vAlign w:val="center"/>
          </w:tcPr>
          <w:p w14:paraId="12A37396"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eastAsiaTheme="minorEastAsia" w:hAnsi="Arial Narrow" w:cs="Times New Roman"/>
                <w:bCs/>
                <w:sz w:val="20"/>
                <w:szCs w:val="20"/>
                <w:lang w:eastAsia="en-US"/>
              </w:rPr>
              <w:t>-0.03 (-0.10, 0.04)</w:t>
            </w:r>
          </w:p>
        </w:tc>
      </w:tr>
      <w:tr w:rsidR="003F2548" w:rsidRPr="001447E7" w14:paraId="101BB06E" w14:textId="77777777" w:rsidTr="00723FF9">
        <w:trPr>
          <w:trHeight w:val="53"/>
        </w:trPr>
        <w:tc>
          <w:tcPr>
            <w:tcW w:w="1255" w:type="pct"/>
            <w:shd w:val="clear" w:color="auto" w:fill="auto"/>
            <w:vAlign w:val="center"/>
          </w:tcPr>
          <w:p w14:paraId="4C33F0A2"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Discontinuation due to AE</w:t>
            </w:r>
          </w:p>
        </w:tc>
        <w:tc>
          <w:tcPr>
            <w:tcW w:w="936" w:type="pct"/>
            <w:shd w:val="clear" w:color="auto" w:fill="auto"/>
            <w:vAlign w:val="center"/>
          </w:tcPr>
          <w:p w14:paraId="7FA360CC"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hAnsi="Arial Narrow" w:cstheme="minorHAnsi"/>
                <w:sz w:val="20"/>
                <w:szCs w:val="20"/>
              </w:rPr>
              <w:t>12/191 (6.3)</w:t>
            </w:r>
          </w:p>
        </w:tc>
        <w:tc>
          <w:tcPr>
            <w:tcW w:w="937" w:type="pct"/>
            <w:shd w:val="clear" w:color="auto" w:fill="auto"/>
          </w:tcPr>
          <w:p w14:paraId="39C56C2B"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22/195 (11.3)</w:t>
            </w:r>
          </w:p>
        </w:tc>
        <w:tc>
          <w:tcPr>
            <w:tcW w:w="936" w:type="pct"/>
            <w:shd w:val="clear" w:color="auto" w:fill="auto"/>
            <w:vAlign w:val="center"/>
          </w:tcPr>
          <w:p w14:paraId="65D38369"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0.56 (0.28, 1.09)</w:t>
            </w:r>
          </w:p>
        </w:tc>
        <w:tc>
          <w:tcPr>
            <w:tcW w:w="936" w:type="pct"/>
            <w:shd w:val="clear" w:color="auto" w:fill="auto"/>
            <w:vAlign w:val="center"/>
          </w:tcPr>
          <w:p w14:paraId="7E655285"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-0.05 (-0.11, 0.01)</w:t>
            </w:r>
          </w:p>
        </w:tc>
      </w:tr>
      <w:tr w:rsidR="003F2548" w:rsidRPr="001447E7" w14:paraId="79324F88" w14:textId="77777777" w:rsidTr="00723FF9">
        <w:trPr>
          <w:trHeight w:val="70"/>
        </w:trPr>
        <w:tc>
          <w:tcPr>
            <w:tcW w:w="1255" w:type="pct"/>
            <w:shd w:val="clear" w:color="auto" w:fill="auto"/>
            <w:vAlign w:val="center"/>
          </w:tcPr>
          <w:p w14:paraId="114C2609"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Infections</w:t>
            </w:r>
          </w:p>
        </w:tc>
        <w:tc>
          <w:tcPr>
            <w:tcW w:w="936" w:type="pct"/>
            <w:shd w:val="clear" w:color="auto" w:fill="auto"/>
          </w:tcPr>
          <w:p w14:paraId="315BD1FB"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65/191 (34.0)</w:t>
            </w:r>
          </w:p>
        </w:tc>
        <w:tc>
          <w:tcPr>
            <w:tcW w:w="937" w:type="pct"/>
            <w:shd w:val="clear" w:color="auto" w:fill="auto"/>
          </w:tcPr>
          <w:p w14:paraId="2A935231"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79/195 (40.5)</w:t>
            </w:r>
          </w:p>
        </w:tc>
        <w:tc>
          <w:tcPr>
            <w:tcW w:w="936" w:type="pct"/>
            <w:shd w:val="clear" w:color="auto" w:fill="auto"/>
            <w:vAlign w:val="center"/>
          </w:tcPr>
          <w:p w14:paraId="70C4EAA1"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0.84 (0.65, 1.09)</w:t>
            </w:r>
          </w:p>
        </w:tc>
        <w:tc>
          <w:tcPr>
            <w:tcW w:w="936" w:type="pct"/>
            <w:shd w:val="clear" w:color="auto" w:fill="auto"/>
            <w:vAlign w:val="center"/>
          </w:tcPr>
          <w:p w14:paraId="4D6A119B"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-0.06 (-0.16, 0.03)</w:t>
            </w:r>
          </w:p>
        </w:tc>
      </w:tr>
      <w:tr w:rsidR="003F2548" w:rsidRPr="001447E7" w14:paraId="543A1159" w14:textId="77777777" w:rsidTr="00723FF9">
        <w:trPr>
          <w:trHeight w:val="70"/>
        </w:trPr>
        <w:tc>
          <w:tcPr>
            <w:tcW w:w="1255" w:type="pct"/>
            <w:shd w:val="clear" w:color="auto" w:fill="auto"/>
            <w:vAlign w:val="center"/>
          </w:tcPr>
          <w:p w14:paraId="1A2207A6"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Serious Infections</w:t>
            </w:r>
          </w:p>
        </w:tc>
        <w:tc>
          <w:tcPr>
            <w:tcW w:w="936" w:type="pct"/>
            <w:shd w:val="clear" w:color="auto" w:fill="auto"/>
          </w:tcPr>
          <w:p w14:paraId="268C2CDE"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hAnsi="Arial Narrow" w:cstheme="minorHAnsi"/>
                <w:sz w:val="20"/>
                <w:szCs w:val="20"/>
              </w:rPr>
              <w:t>4/191 (2.1)</w:t>
            </w:r>
          </w:p>
        </w:tc>
        <w:tc>
          <w:tcPr>
            <w:tcW w:w="937" w:type="pct"/>
            <w:shd w:val="clear" w:color="auto" w:fill="auto"/>
          </w:tcPr>
          <w:p w14:paraId="6AA21803"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hAnsi="Arial Narrow" w:cstheme="minorHAnsi"/>
                <w:sz w:val="20"/>
                <w:szCs w:val="20"/>
              </w:rPr>
              <w:t>5/195 (2.6)</w:t>
            </w:r>
          </w:p>
        </w:tc>
        <w:tc>
          <w:tcPr>
            <w:tcW w:w="936" w:type="pct"/>
            <w:shd w:val="clear" w:color="auto" w:fill="auto"/>
            <w:vAlign w:val="center"/>
          </w:tcPr>
          <w:p w14:paraId="67802359"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0.82 (0.22, 3.00)</w:t>
            </w:r>
          </w:p>
        </w:tc>
        <w:tc>
          <w:tcPr>
            <w:tcW w:w="936" w:type="pct"/>
            <w:shd w:val="clear" w:color="auto" w:fill="auto"/>
            <w:vAlign w:val="center"/>
          </w:tcPr>
          <w:p w14:paraId="39D8FBA1"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-0.00 (-0.03, 0.03)</w:t>
            </w:r>
          </w:p>
        </w:tc>
      </w:tr>
      <w:tr w:rsidR="003F2548" w:rsidRPr="001447E7" w14:paraId="35C92006" w14:textId="77777777" w:rsidTr="00723FF9">
        <w:trPr>
          <w:trHeight w:val="70"/>
        </w:trPr>
        <w:tc>
          <w:tcPr>
            <w:tcW w:w="1255" w:type="pct"/>
            <w:shd w:val="clear" w:color="auto" w:fill="auto"/>
            <w:vAlign w:val="center"/>
          </w:tcPr>
          <w:p w14:paraId="52B87692"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Injection site reactions</w:t>
            </w:r>
          </w:p>
        </w:tc>
        <w:tc>
          <w:tcPr>
            <w:tcW w:w="936" w:type="pct"/>
            <w:shd w:val="clear" w:color="auto" w:fill="auto"/>
          </w:tcPr>
          <w:p w14:paraId="09A9A6D2"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6/191 (3.1)</w:t>
            </w:r>
          </w:p>
        </w:tc>
        <w:tc>
          <w:tcPr>
            <w:tcW w:w="937" w:type="pct"/>
            <w:shd w:val="clear" w:color="auto" w:fill="auto"/>
          </w:tcPr>
          <w:p w14:paraId="4C71695B"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20/195 (10.3)</w:t>
            </w:r>
          </w:p>
        </w:tc>
        <w:tc>
          <w:tcPr>
            <w:tcW w:w="936" w:type="pct"/>
            <w:shd w:val="clear" w:color="auto" w:fill="auto"/>
            <w:vAlign w:val="center"/>
          </w:tcPr>
          <w:p w14:paraId="35E3A233"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0.31 (0.13, 0.75)</w:t>
            </w:r>
          </w:p>
        </w:tc>
        <w:tc>
          <w:tcPr>
            <w:tcW w:w="936" w:type="pct"/>
            <w:shd w:val="clear" w:color="auto" w:fill="auto"/>
            <w:vAlign w:val="center"/>
          </w:tcPr>
          <w:p w14:paraId="78D245B5"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-0.07 (-0.12, -0.02)</w:t>
            </w:r>
          </w:p>
        </w:tc>
      </w:tr>
      <w:tr w:rsidR="003F2548" w:rsidRPr="001447E7" w14:paraId="2FA33FEA" w14:textId="77777777" w:rsidTr="00723FF9">
        <w:trPr>
          <w:trHeight w:val="70"/>
        </w:trPr>
        <w:tc>
          <w:tcPr>
            <w:tcW w:w="1255" w:type="pct"/>
            <w:shd w:val="clear" w:color="auto" w:fill="auto"/>
            <w:vAlign w:val="center"/>
          </w:tcPr>
          <w:p w14:paraId="7FDE55FA"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Deaths</w:t>
            </w:r>
          </w:p>
        </w:tc>
        <w:tc>
          <w:tcPr>
            <w:tcW w:w="936" w:type="pct"/>
            <w:shd w:val="clear" w:color="auto" w:fill="auto"/>
          </w:tcPr>
          <w:p w14:paraId="0F9542D2"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0/191</w:t>
            </w:r>
          </w:p>
        </w:tc>
        <w:tc>
          <w:tcPr>
            <w:tcW w:w="937" w:type="pct"/>
            <w:shd w:val="clear" w:color="auto" w:fill="auto"/>
          </w:tcPr>
          <w:p w14:paraId="6C313473"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0/195</w:t>
            </w:r>
          </w:p>
        </w:tc>
        <w:tc>
          <w:tcPr>
            <w:tcW w:w="936" w:type="pct"/>
            <w:shd w:val="clear" w:color="auto" w:fill="auto"/>
            <w:vAlign w:val="center"/>
          </w:tcPr>
          <w:p w14:paraId="36B60887"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w:t>
            </w:r>
          </w:p>
        </w:tc>
        <w:tc>
          <w:tcPr>
            <w:tcW w:w="936" w:type="pct"/>
            <w:shd w:val="clear" w:color="auto" w:fill="auto"/>
            <w:vAlign w:val="center"/>
          </w:tcPr>
          <w:p w14:paraId="0071FA7D"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w:t>
            </w:r>
          </w:p>
        </w:tc>
      </w:tr>
      <w:tr w:rsidR="003F2548" w:rsidRPr="001447E7" w14:paraId="02B3C108" w14:textId="77777777" w:rsidTr="00723FF9">
        <w:trPr>
          <w:trHeight w:val="53"/>
        </w:trPr>
        <w:tc>
          <w:tcPr>
            <w:tcW w:w="5000" w:type="pct"/>
            <w:gridSpan w:val="5"/>
            <w:shd w:val="clear" w:color="auto" w:fill="auto"/>
            <w:vAlign w:val="center"/>
          </w:tcPr>
          <w:p w14:paraId="24D7B7D2" w14:textId="77777777" w:rsidR="004E2885" w:rsidRPr="001447E7" w:rsidRDefault="004E2885" w:rsidP="00723FF9">
            <w:pPr>
              <w:keepNext/>
              <w:jc w:val="left"/>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Week 76^</w:t>
            </w:r>
          </w:p>
        </w:tc>
      </w:tr>
      <w:tr w:rsidR="003F2548" w:rsidRPr="001447E7" w14:paraId="7178ADAB" w14:textId="77777777" w:rsidTr="00723FF9">
        <w:trPr>
          <w:trHeight w:val="187"/>
        </w:trPr>
        <w:tc>
          <w:tcPr>
            <w:tcW w:w="1255" w:type="pct"/>
            <w:shd w:val="clear" w:color="auto" w:fill="auto"/>
            <w:vAlign w:val="center"/>
          </w:tcPr>
          <w:p w14:paraId="4501018C"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Any adverse event</w:t>
            </w:r>
          </w:p>
        </w:tc>
        <w:tc>
          <w:tcPr>
            <w:tcW w:w="936" w:type="pct"/>
            <w:shd w:val="clear" w:color="auto" w:fill="auto"/>
          </w:tcPr>
          <w:p w14:paraId="52A52B72"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hAnsi="Arial Narrow" w:cstheme="minorHAnsi"/>
                <w:sz w:val="20"/>
                <w:szCs w:val="20"/>
              </w:rPr>
              <w:t>156/191 (80.1)</w:t>
            </w:r>
          </w:p>
        </w:tc>
        <w:tc>
          <w:tcPr>
            <w:tcW w:w="937" w:type="pct"/>
            <w:shd w:val="clear" w:color="auto" w:fill="auto"/>
          </w:tcPr>
          <w:p w14:paraId="25808377"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hAnsi="Arial Narrow" w:cstheme="minorHAnsi"/>
                <w:sz w:val="20"/>
                <w:szCs w:val="20"/>
              </w:rPr>
              <w:t>156/195 (77.9)</w:t>
            </w:r>
          </w:p>
        </w:tc>
        <w:tc>
          <w:tcPr>
            <w:tcW w:w="936" w:type="pct"/>
            <w:shd w:val="clear" w:color="auto" w:fill="auto"/>
            <w:vAlign w:val="center"/>
          </w:tcPr>
          <w:p w14:paraId="4E4037E8"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eastAsiaTheme="minorEastAsia" w:hAnsi="Arial Narrow" w:cs="Times New Roman"/>
                <w:bCs/>
                <w:sz w:val="20"/>
                <w:szCs w:val="20"/>
                <w:lang w:eastAsia="en-US"/>
              </w:rPr>
              <w:t>1.02 (0.93, 1.13)</w:t>
            </w:r>
          </w:p>
        </w:tc>
        <w:tc>
          <w:tcPr>
            <w:tcW w:w="936" w:type="pct"/>
            <w:shd w:val="clear" w:color="auto" w:fill="auto"/>
            <w:vAlign w:val="center"/>
          </w:tcPr>
          <w:p w14:paraId="10ADAAA8"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eastAsiaTheme="minorEastAsia" w:hAnsi="Arial Narrow" w:cs="Times New Roman"/>
                <w:bCs/>
                <w:sz w:val="20"/>
                <w:szCs w:val="20"/>
                <w:lang w:eastAsia="en-US"/>
              </w:rPr>
              <w:t>0.02 (-0.06, 0.10)</w:t>
            </w:r>
          </w:p>
        </w:tc>
      </w:tr>
      <w:tr w:rsidR="003F2548" w:rsidRPr="001447E7" w14:paraId="5070091B" w14:textId="77777777" w:rsidTr="00723FF9">
        <w:trPr>
          <w:trHeight w:val="87"/>
        </w:trPr>
        <w:tc>
          <w:tcPr>
            <w:tcW w:w="1255" w:type="pct"/>
            <w:shd w:val="clear" w:color="auto" w:fill="auto"/>
            <w:vAlign w:val="center"/>
          </w:tcPr>
          <w:p w14:paraId="3DAB73A1"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Serious adverse event</w:t>
            </w:r>
          </w:p>
        </w:tc>
        <w:tc>
          <w:tcPr>
            <w:tcW w:w="936" w:type="pct"/>
            <w:shd w:val="clear" w:color="auto" w:fill="auto"/>
          </w:tcPr>
          <w:p w14:paraId="757FC0BA"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hAnsi="Arial Narrow" w:cstheme="minorHAnsi"/>
                <w:sz w:val="20"/>
                <w:szCs w:val="20"/>
              </w:rPr>
              <w:t>29/191 (13.1)</w:t>
            </w:r>
          </w:p>
        </w:tc>
        <w:tc>
          <w:tcPr>
            <w:tcW w:w="937" w:type="pct"/>
            <w:shd w:val="clear" w:color="auto" w:fill="auto"/>
          </w:tcPr>
          <w:p w14:paraId="41118639"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hAnsi="Arial Narrow" w:cstheme="minorHAnsi"/>
                <w:sz w:val="20"/>
                <w:szCs w:val="20"/>
              </w:rPr>
              <w:t>38/195 (16.4)</w:t>
            </w:r>
          </w:p>
        </w:tc>
        <w:tc>
          <w:tcPr>
            <w:tcW w:w="936" w:type="pct"/>
            <w:shd w:val="clear" w:color="auto" w:fill="auto"/>
            <w:vAlign w:val="center"/>
          </w:tcPr>
          <w:p w14:paraId="58570CDA"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eastAsiaTheme="minorEastAsia" w:hAnsi="Arial Narrow" w:cs="Times New Roman"/>
                <w:bCs/>
                <w:sz w:val="20"/>
                <w:szCs w:val="20"/>
                <w:lang w:eastAsia="en-US"/>
              </w:rPr>
              <w:t>0.78 (0.50, 1.21)</w:t>
            </w:r>
          </w:p>
        </w:tc>
        <w:tc>
          <w:tcPr>
            <w:tcW w:w="936" w:type="pct"/>
            <w:shd w:val="clear" w:color="auto" w:fill="auto"/>
            <w:vAlign w:val="center"/>
          </w:tcPr>
          <w:p w14:paraId="1E94E05D" w14:textId="77777777" w:rsidR="004E2885" w:rsidRPr="001447E7" w:rsidRDefault="004E2885" w:rsidP="00723FF9">
            <w:pPr>
              <w:keepNext/>
              <w:jc w:val="center"/>
              <w:rPr>
                <w:rFonts w:ascii="Arial Narrow" w:eastAsiaTheme="minorEastAsia" w:hAnsi="Arial Narrow" w:cs="Times New Roman"/>
                <w:bCs/>
                <w:sz w:val="20"/>
                <w:szCs w:val="20"/>
                <w:lang w:eastAsia="en-US"/>
              </w:rPr>
            </w:pPr>
            <w:r w:rsidRPr="001447E7">
              <w:rPr>
                <w:rFonts w:ascii="Arial Narrow" w:eastAsiaTheme="minorEastAsia" w:hAnsi="Arial Narrow" w:cs="Times New Roman"/>
                <w:bCs/>
                <w:sz w:val="20"/>
                <w:szCs w:val="20"/>
                <w:lang w:eastAsia="en-US"/>
              </w:rPr>
              <w:t>-0.04 (-0.12, 0.03)</w:t>
            </w:r>
          </w:p>
        </w:tc>
      </w:tr>
      <w:tr w:rsidR="003F2548" w:rsidRPr="001447E7" w14:paraId="22D7A60B" w14:textId="77777777" w:rsidTr="00723FF9">
        <w:trPr>
          <w:trHeight w:val="53"/>
        </w:trPr>
        <w:tc>
          <w:tcPr>
            <w:tcW w:w="1255" w:type="pct"/>
            <w:shd w:val="clear" w:color="auto" w:fill="auto"/>
            <w:vAlign w:val="center"/>
          </w:tcPr>
          <w:p w14:paraId="751A28EC"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Discontinuation due to AE</w:t>
            </w:r>
          </w:p>
        </w:tc>
        <w:tc>
          <w:tcPr>
            <w:tcW w:w="936" w:type="pct"/>
            <w:shd w:val="clear" w:color="auto" w:fill="auto"/>
            <w:vAlign w:val="center"/>
          </w:tcPr>
          <w:p w14:paraId="07A0D6F4"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hAnsi="Arial Narrow" w:cstheme="minorHAnsi"/>
                <w:sz w:val="20"/>
                <w:szCs w:val="20"/>
              </w:rPr>
              <w:t>12/191 (6.3)</w:t>
            </w:r>
          </w:p>
        </w:tc>
        <w:tc>
          <w:tcPr>
            <w:tcW w:w="937" w:type="pct"/>
            <w:shd w:val="clear" w:color="auto" w:fill="auto"/>
          </w:tcPr>
          <w:p w14:paraId="406313CD"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24/195 (11.3)</w:t>
            </w:r>
          </w:p>
        </w:tc>
        <w:tc>
          <w:tcPr>
            <w:tcW w:w="936" w:type="pct"/>
            <w:shd w:val="clear" w:color="auto" w:fill="auto"/>
            <w:vAlign w:val="center"/>
          </w:tcPr>
          <w:p w14:paraId="33FB6C0D"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0.51 (0.26, 0.99)</w:t>
            </w:r>
          </w:p>
        </w:tc>
        <w:tc>
          <w:tcPr>
            <w:tcW w:w="936" w:type="pct"/>
            <w:shd w:val="clear" w:color="auto" w:fill="auto"/>
            <w:vAlign w:val="center"/>
          </w:tcPr>
          <w:p w14:paraId="4F6CFAA0"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-0.06 (-0.12, -0.00)</w:t>
            </w:r>
          </w:p>
        </w:tc>
      </w:tr>
      <w:tr w:rsidR="003F2548" w:rsidRPr="001447E7" w14:paraId="40691769" w14:textId="77777777" w:rsidTr="00723FF9">
        <w:trPr>
          <w:trHeight w:val="70"/>
        </w:trPr>
        <w:tc>
          <w:tcPr>
            <w:tcW w:w="1255" w:type="pct"/>
            <w:shd w:val="clear" w:color="auto" w:fill="auto"/>
            <w:vAlign w:val="center"/>
          </w:tcPr>
          <w:p w14:paraId="4609A646"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Infections</w:t>
            </w:r>
          </w:p>
        </w:tc>
        <w:tc>
          <w:tcPr>
            <w:tcW w:w="936" w:type="pct"/>
            <w:shd w:val="clear" w:color="auto" w:fill="auto"/>
          </w:tcPr>
          <w:p w14:paraId="7B3CA0B2"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71/191 (34.0)</w:t>
            </w:r>
          </w:p>
        </w:tc>
        <w:tc>
          <w:tcPr>
            <w:tcW w:w="937" w:type="pct"/>
            <w:shd w:val="clear" w:color="auto" w:fill="auto"/>
          </w:tcPr>
          <w:p w14:paraId="5FEDC1A0"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84/195 (40.5)</w:t>
            </w:r>
          </w:p>
        </w:tc>
        <w:tc>
          <w:tcPr>
            <w:tcW w:w="936" w:type="pct"/>
            <w:shd w:val="clear" w:color="auto" w:fill="auto"/>
            <w:vAlign w:val="center"/>
          </w:tcPr>
          <w:p w14:paraId="3F2A05CB"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0.86 (0.68, 1.10)</w:t>
            </w:r>
          </w:p>
        </w:tc>
        <w:tc>
          <w:tcPr>
            <w:tcW w:w="936" w:type="pct"/>
            <w:shd w:val="clear" w:color="auto" w:fill="auto"/>
            <w:vAlign w:val="center"/>
          </w:tcPr>
          <w:p w14:paraId="4A2D2173"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-0.06 (-0.16, 0.04)</w:t>
            </w:r>
          </w:p>
        </w:tc>
      </w:tr>
      <w:tr w:rsidR="003F2548" w:rsidRPr="001447E7" w14:paraId="2E7C4390" w14:textId="77777777" w:rsidTr="00723FF9">
        <w:trPr>
          <w:trHeight w:val="70"/>
        </w:trPr>
        <w:tc>
          <w:tcPr>
            <w:tcW w:w="1255" w:type="pct"/>
            <w:shd w:val="clear" w:color="auto" w:fill="auto"/>
            <w:vAlign w:val="center"/>
          </w:tcPr>
          <w:p w14:paraId="1AB400CC"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Serious Infections</w:t>
            </w:r>
          </w:p>
        </w:tc>
        <w:tc>
          <w:tcPr>
            <w:tcW w:w="936" w:type="pct"/>
            <w:shd w:val="clear" w:color="auto" w:fill="auto"/>
          </w:tcPr>
          <w:p w14:paraId="068F49EF"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hAnsi="Arial Narrow" w:cstheme="minorHAnsi"/>
                <w:sz w:val="20"/>
                <w:szCs w:val="20"/>
              </w:rPr>
              <w:t>7/191 (2.1)</w:t>
            </w:r>
          </w:p>
        </w:tc>
        <w:tc>
          <w:tcPr>
            <w:tcW w:w="937" w:type="pct"/>
            <w:shd w:val="clear" w:color="auto" w:fill="auto"/>
          </w:tcPr>
          <w:p w14:paraId="421415AA"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hAnsi="Arial Narrow" w:cstheme="minorHAnsi"/>
                <w:sz w:val="20"/>
                <w:szCs w:val="20"/>
              </w:rPr>
              <w:t>6/195 (2.6)</w:t>
            </w:r>
          </w:p>
        </w:tc>
        <w:tc>
          <w:tcPr>
            <w:tcW w:w="936" w:type="pct"/>
            <w:shd w:val="clear" w:color="auto" w:fill="auto"/>
            <w:vAlign w:val="center"/>
          </w:tcPr>
          <w:p w14:paraId="178FEB4F"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1.19 (0.41, 3.48)</w:t>
            </w:r>
          </w:p>
        </w:tc>
        <w:tc>
          <w:tcPr>
            <w:tcW w:w="936" w:type="pct"/>
            <w:shd w:val="clear" w:color="auto" w:fill="auto"/>
            <w:vAlign w:val="center"/>
          </w:tcPr>
          <w:p w14:paraId="0742F34B"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0.01 (-0.03, -0.04)</w:t>
            </w:r>
          </w:p>
        </w:tc>
      </w:tr>
      <w:tr w:rsidR="003F2548" w:rsidRPr="001447E7" w14:paraId="7C7871A8" w14:textId="77777777" w:rsidTr="00723FF9">
        <w:trPr>
          <w:trHeight w:val="70"/>
        </w:trPr>
        <w:tc>
          <w:tcPr>
            <w:tcW w:w="1255" w:type="pct"/>
            <w:shd w:val="clear" w:color="auto" w:fill="auto"/>
            <w:vAlign w:val="center"/>
          </w:tcPr>
          <w:p w14:paraId="7038B171"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Injection site reactions</w:t>
            </w:r>
          </w:p>
        </w:tc>
        <w:tc>
          <w:tcPr>
            <w:tcW w:w="936" w:type="pct"/>
            <w:shd w:val="clear" w:color="auto" w:fill="auto"/>
          </w:tcPr>
          <w:p w14:paraId="49FC3CDA"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6/191 (3.1)</w:t>
            </w:r>
          </w:p>
        </w:tc>
        <w:tc>
          <w:tcPr>
            <w:tcW w:w="937" w:type="pct"/>
            <w:shd w:val="clear" w:color="auto" w:fill="auto"/>
          </w:tcPr>
          <w:p w14:paraId="6CB75A53"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20/195 (10.3)</w:t>
            </w:r>
          </w:p>
        </w:tc>
        <w:tc>
          <w:tcPr>
            <w:tcW w:w="936" w:type="pct"/>
            <w:shd w:val="clear" w:color="auto" w:fill="auto"/>
            <w:vAlign w:val="center"/>
          </w:tcPr>
          <w:p w14:paraId="511107E7"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0.31 (0.13, 0.75)</w:t>
            </w:r>
          </w:p>
        </w:tc>
        <w:tc>
          <w:tcPr>
            <w:tcW w:w="936" w:type="pct"/>
            <w:shd w:val="clear" w:color="auto" w:fill="auto"/>
            <w:vAlign w:val="center"/>
          </w:tcPr>
          <w:p w14:paraId="15691C89" w14:textId="77777777" w:rsidR="004E2885" w:rsidRPr="001447E7" w:rsidRDefault="004E2885" w:rsidP="00723FF9">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-0.07 (-0.12, -0.02)</w:t>
            </w:r>
          </w:p>
        </w:tc>
      </w:tr>
      <w:tr w:rsidR="003F2548" w:rsidRPr="001447E7" w14:paraId="5A187A3C" w14:textId="77777777" w:rsidTr="00723FF9">
        <w:trPr>
          <w:trHeight w:val="70"/>
        </w:trPr>
        <w:tc>
          <w:tcPr>
            <w:tcW w:w="1255" w:type="pct"/>
            <w:shd w:val="clear" w:color="auto" w:fill="auto"/>
            <w:vAlign w:val="center"/>
          </w:tcPr>
          <w:p w14:paraId="33AD3B95" w14:textId="77777777" w:rsidR="004E2885" w:rsidRPr="001447E7" w:rsidRDefault="004E2885" w:rsidP="00723FF9">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Deaths</w:t>
            </w:r>
          </w:p>
        </w:tc>
        <w:tc>
          <w:tcPr>
            <w:tcW w:w="936" w:type="pct"/>
            <w:shd w:val="clear" w:color="auto" w:fill="auto"/>
          </w:tcPr>
          <w:p w14:paraId="17D39F38"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0/191</w:t>
            </w:r>
          </w:p>
        </w:tc>
        <w:tc>
          <w:tcPr>
            <w:tcW w:w="937" w:type="pct"/>
            <w:shd w:val="clear" w:color="auto" w:fill="auto"/>
          </w:tcPr>
          <w:p w14:paraId="2C8FE3E3" w14:textId="77777777" w:rsidR="004E2885" w:rsidRPr="001447E7" w:rsidRDefault="004E2885" w:rsidP="00723FF9">
            <w:pPr>
              <w:keepNext/>
              <w:jc w:val="center"/>
              <w:rPr>
                <w:rFonts w:ascii="Arial Narrow" w:hAnsi="Arial Narrow" w:cstheme="minorHAnsi"/>
                <w:sz w:val="20"/>
                <w:szCs w:val="20"/>
              </w:rPr>
            </w:pPr>
            <w:r w:rsidRPr="001447E7">
              <w:rPr>
                <w:rFonts w:ascii="Arial Narrow" w:hAnsi="Arial Narrow" w:cstheme="minorHAnsi"/>
                <w:sz w:val="20"/>
                <w:szCs w:val="20"/>
              </w:rPr>
              <w:t>1</w:t>
            </w:r>
            <w:r w:rsidRPr="001447E7">
              <w:rPr>
                <w:rFonts w:ascii="Arial Narrow" w:hAnsi="Arial Narrow" w:cstheme="minorHAnsi"/>
                <w:sz w:val="20"/>
                <w:szCs w:val="20"/>
                <w:vertAlign w:val="superscript"/>
              </w:rPr>
              <w:t>a</w:t>
            </w:r>
            <w:r w:rsidRPr="001447E7">
              <w:rPr>
                <w:rFonts w:ascii="Arial Narrow" w:hAnsi="Arial Narrow" w:cstheme="minorHAnsi"/>
                <w:sz w:val="20"/>
                <w:szCs w:val="20"/>
              </w:rPr>
              <w:t>/195</w:t>
            </w:r>
          </w:p>
        </w:tc>
        <w:tc>
          <w:tcPr>
            <w:tcW w:w="936" w:type="pct"/>
            <w:shd w:val="clear" w:color="auto" w:fill="auto"/>
            <w:vAlign w:val="center"/>
          </w:tcPr>
          <w:p w14:paraId="27264C50"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w:t>
            </w:r>
          </w:p>
        </w:tc>
        <w:tc>
          <w:tcPr>
            <w:tcW w:w="936" w:type="pct"/>
            <w:shd w:val="clear" w:color="auto" w:fill="auto"/>
            <w:vAlign w:val="center"/>
          </w:tcPr>
          <w:p w14:paraId="034A7288" w14:textId="77777777" w:rsidR="004E2885" w:rsidRPr="001447E7" w:rsidRDefault="004E2885" w:rsidP="00723FF9">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w:t>
            </w:r>
          </w:p>
        </w:tc>
      </w:tr>
      <w:tr w:rsidR="005137D8" w:rsidRPr="001447E7" w14:paraId="6187C762" w14:textId="77777777" w:rsidTr="003C388C">
        <w:trPr>
          <w:trHeight w:val="70"/>
        </w:trPr>
        <w:tc>
          <w:tcPr>
            <w:tcW w:w="1255" w:type="pct"/>
            <w:shd w:val="clear" w:color="auto" w:fill="auto"/>
            <w:vAlign w:val="center"/>
          </w:tcPr>
          <w:p w14:paraId="57511412" w14:textId="50FB730C" w:rsidR="005137D8" w:rsidRPr="001447E7" w:rsidRDefault="005137D8" w:rsidP="005137D8">
            <w:pPr>
              <w:keepNext/>
              <w:jc w:val="left"/>
              <w:rPr>
                <w:rFonts w:ascii="Arial Narrow" w:eastAsiaTheme="minorEastAsia" w:hAnsi="Arial Narrow" w:cs="Times New Roman"/>
                <w:sz w:val="20"/>
                <w:szCs w:val="20"/>
                <w:lang w:eastAsia="en-US"/>
              </w:rPr>
            </w:pPr>
            <w:r w:rsidRPr="001447E7">
              <w:rPr>
                <w:rFonts w:ascii="Arial Narrow" w:eastAsiaTheme="minorEastAsia" w:hAnsi="Arial Narrow" w:cs="Times New Roman"/>
                <w:b/>
                <w:bCs/>
                <w:sz w:val="20"/>
                <w:szCs w:val="20"/>
                <w:lang w:eastAsia="en-US"/>
              </w:rPr>
              <w:t>STARDUST</w:t>
            </w:r>
          </w:p>
        </w:tc>
        <w:tc>
          <w:tcPr>
            <w:tcW w:w="936" w:type="pct"/>
            <w:shd w:val="clear" w:color="auto" w:fill="auto"/>
            <w:vAlign w:val="center"/>
          </w:tcPr>
          <w:p w14:paraId="59796CE6" w14:textId="77777777" w:rsidR="005137D8" w:rsidRPr="001447E7" w:rsidRDefault="005137D8" w:rsidP="005137D8">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UST RC</w:t>
            </w:r>
          </w:p>
          <w:p w14:paraId="5C7BE7D4" w14:textId="22538FB8" w:rsidR="005137D8" w:rsidRPr="001447E7" w:rsidRDefault="005137D8" w:rsidP="005137D8">
            <w:pPr>
              <w:keepNext/>
              <w:jc w:val="center"/>
              <w:rPr>
                <w:rFonts w:ascii="Arial Narrow" w:hAnsi="Arial Narrow" w:cstheme="minorHAnsi"/>
                <w:sz w:val="20"/>
                <w:szCs w:val="20"/>
              </w:rPr>
            </w:pPr>
            <w:r w:rsidRPr="001447E7">
              <w:rPr>
                <w:rFonts w:ascii="Arial Narrow" w:eastAsiaTheme="minorEastAsia" w:hAnsi="Arial Narrow" w:cs="Times New Roman"/>
                <w:b/>
                <w:bCs/>
                <w:sz w:val="20"/>
                <w:szCs w:val="20"/>
                <w:lang w:eastAsia="en-US"/>
              </w:rPr>
              <w:t>n/N (%)</w:t>
            </w:r>
          </w:p>
        </w:tc>
        <w:tc>
          <w:tcPr>
            <w:tcW w:w="937" w:type="pct"/>
            <w:shd w:val="clear" w:color="auto" w:fill="auto"/>
            <w:vAlign w:val="center"/>
          </w:tcPr>
          <w:p w14:paraId="7ABD495A" w14:textId="77777777" w:rsidR="005137D8" w:rsidRPr="001447E7" w:rsidRDefault="005137D8" w:rsidP="005137D8">
            <w:pPr>
              <w:keepNext/>
              <w:jc w:val="center"/>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UST T2T</w:t>
            </w:r>
          </w:p>
          <w:p w14:paraId="1879A26F" w14:textId="4AB3F4C9" w:rsidR="005137D8" w:rsidRPr="001447E7" w:rsidRDefault="005137D8" w:rsidP="005137D8">
            <w:pPr>
              <w:keepNext/>
              <w:jc w:val="center"/>
              <w:rPr>
                <w:rFonts w:ascii="Arial Narrow" w:hAnsi="Arial Narrow" w:cstheme="minorHAnsi"/>
                <w:sz w:val="20"/>
                <w:szCs w:val="20"/>
              </w:rPr>
            </w:pPr>
            <w:r w:rsidRPr="001447E7">
              <w:rPr>
                <w:rFonts w:ascii="Arial Narrow" w:eastAsiaTheme="minorEastAsia" w:hAnsi="Arial Narrow" w:cs="Times New Roman"/>
                <w:b/>
                <w:bCs/>
                <w:sz w:val="20"/>
                <w:szCs w:val="20"/>
                <w:lang w:eastAsia="en-US"/>
              </w:rPr>
              <w:t>n/N (%)</w:t>
            </w:r>
          </w:p>
        </w:tc>
        <w:tc>
          <w:tcPr>
            <w:tcW w:w="936" w:type="pct"/>
            <w:shd w:val="clear" w:color="auto" w:fill="auto"/>
            <w:vAlign w:val="center"/>
          </w:tcPr>
          <w:p w14:paraId="0D593DD1" w14:textId="74C29CDB"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b/>
                <w:bCs/>
                <w:sz w:val="20"/>
                <w:szCs w:val="20"/>
                <w:lang w:eastAsia="en-US"/>
              </w:rPr>
              <w:t>RR (95% CI)</w:t>
            </w:r>
          </w:p>
        </w:tc>
        <w:tc>
          <w:tcPr>
            <w:tcW w:w="936" w:type="pct"/>
            <w:shd w:val="clear" w:color="auto" w:fill="auto"/>
            <w:vAlign w:val="center"/>
          </w:tcPr>
          <w:p w14:paraId="33A524F6" w14:textId="69087597"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b/>
                <w:bCs/>
                <w:sz w:val="20"/>
                <w:szCs w:val="20"/>
                <w:lang w:eastAsia="en-US"/>
              </w:rPr>
              <w:t>RD (95% CI)</w:t>
            </w:r>
          </w:p>
        </w:tc>
      </w:tr>
      <w:tr w:rsidR="005137D8" w:rsidRPr="001447E7" w14:paraId="79484DEC" w14:textId="77777777" w:rsidTr="005137D8">
        <w:trPr>
          <w:trHeight w:val="70"/>
        </w:trPr>
        <w:tc>
          <w:tcPr>
            <w:tcW w:w="5000" w:type="pct"/>
            <w:gridSpan w:val="5"/>
            <w:shd w:val="clear" w:color="auto" w:fill="auto"/>
            <w:vAlign w:val="center"/>
          </w:tcPr>
          <w:p w14:paraId="71F5AF05" w14:textId="049421C3" w:rsidR="005137D8" w:rsidRPr="001447E7" w:rsidRDefault="005137D8" w:rsidP="005137D8">
            <w:pPr>
              <w:keepNext/>
              <w:jc w:val="left"/>
              <w:rPr>
                <w:rFonts w:ascii="Arial Narrow" w:eastAsiaTheme="minorEastAsia" w:hAnsi="Arial Narrow" w:cs="Times New Roman"/>
                <w:b/>
                <w:bCs/>
                <w:sz w:val="20"/>
                <w:szCs w:val="20"/>
                <w:lang w:eastAsia="en-US"/>
              </w:rPr>
            </w:pPr>
            <w:r w:rsidRPr="001447E7">
              <w:rPr>
                <w:rFonts w:ascii="Arial Narrow" w:eastAsiaTheme="minorEastAsia" w:hAnsi="Arial Narrow" w:cs="Times New Roman"/>
                <w:b/>
                <w:bCs/>
                <w:sz w:val="20"/>
                <w:szCs w:val="20"/>
                <w:lang w:eastAsia="en-US"/>
              </w:rPr>
              <w:t>Week 48</w:t>
            </w:r>
          </w:p>
        </w:tc>
      </w:tr>
      <w:tr w:rsidR="005137D8" w:rsidRPr="001447E7" w14:paraId="45C9794E" w14:textId="77777777" w:rsidTr="00723FF9">
        <w:trPr>
          <w:trHeight w:val="70"/>
        </w:trPr>
        <w:tc>
          <w:tcPr>
            <w:tcW w:w="1255" w:type="pct"/>
            <w:shd w:val="clear" w:color="auto" w:fill="auto"/>
            <w:vAlign w:val="center"/>
          </w:tcPr>
          <w:p w14:paraId="52BBA603" w14:textId="41DFEBA3" w:rsidR="005137D8" w:rsidRPr="001447E7" w:rsidRDefault="005137D8" w:rsidP="005137D8">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Any adverse event</w:t>
            </w:r>
          </w:p>
        </w:tc>
        <w:tc>
          <w:tcPr>
            <w:tcW w:w="936" w:type="pct"/>
            <w:shd w:val="clear" w:color="auto" w:fill="auto"/>
          </w:tcPr>
          <w:p w14:paraId="03DCA6C6" w14:textId="465FB617" w:rsidR="005137D8" w:rsidRPr="001447E7" w:rsidRDefault="005137D8" w:rsidP="005137D8">
            <w:pPr>
              <w:keepNext/>
              <w:jc w:val="center"/>
              <w:rPr>
                <w:rFonts w:ascii="Arial Narrow" w:hAnsi="Arial Narrow" w:cstheme="minorHAnsi"/>
                <w:sz w:val="20"/>
                <w:szCs w:val="20"/>
              </w:rPr>
            </w:pPr>
            <w:r w:rsidRPr="001447E7">
              <w:rPr>
                <w:rFonts w:ascii="Arial Narrow" w:hAnsi="Arial Narrow" w:cstheme="minorHAnsi"/>
                <w:sz w:val="20"/>
                <w:szCs w:val="20"/>
              </w:rPr>
              <w:t>179/221 (81.0)</w:t>
            </w:r>
          </w:p>
        </w:tc>
        <w:tc>
          <w:tcPr>
            <w:tcW w:w="937" w:type="pct"/>
            <w:shd w:val="clear" w:color="auto" w:fill="auto"/>
          </w:tcPr>
          <w:p w14:paraId="42F699B3" w14:textId="60D95D15" w:rsidR="005137D8" w:rsidRPr="001447E7" w:rsidRDefault="005137D8" w:rsidP="005137D8">
            <w:pPr>
              <w:keepNext/>
              <w:jc w:val="center"/>
              <w:rPr>
                <w:rFonts w:ascii="Arial Narrow" w:hAnsi="Arial Narrow" w:cstheme="minorHAnsi"/>
                <w:sz w:val="20"/>
                <w:szCs w:val="20"/>
              </w:rPr>
            </w:pPr>
            <w:r w:rsidRPr="001447E7">
              <w:rPr>
                <w:rFonts w:ascii="Arial Narrow" w:hAnsi="Arial Narrow" w:cstheme="minorHAnsi"/>
                <w:sz w:val="20"/>
                <w:szCs w:val="20"/>
              </w:rPr>
              <w:t>188/219 (85.8)</w:t>
            </w:r>
          </w:p>
        </w:tc>
        <w:tc>
          <w:tcPr>
            <w:tcW w:w="936" w:type="pct"/>
            <w:shd w:val="clear" w:color="auto" w:fill="auto"/>
            <w:vAlign w:val="center"/>
          </w:tcPr>
          <w:p w14:paraId="09734278" w14:textId="0DD4C879"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bCs/>
                <w:sz w:val="20"/>
                <w:szCs w:val="20"/>
                <w:lang w:eastAsia="en-US"/>
              </w:rPr>
              <w:t>0.94 (0.87, 1.03)</w:t>
            </w:r>
          </w:p>
        </w:tc>
        <w:tc>
          <w:tcPr>
            <w:tcW w:w="936" w:type="pct"/>
            <w:shd w:val="clear" w:color="auto" w:fill="auto"/>
            <w:vAlign w:val="center"/>
          </w:tcPr>
          <w:p w14:paraId="25C9B24A" w14:textId="371B7544"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bCs/>
                <w:sz w:val="20"/>
                <w:szCs w:val="20"/>
                <w:lang w:eastAsia="en-US"/>
              </w:rPr>
              <w:t>-0.05 (-0.12, 0.02)</w:t>
            </w:r>
          </w:p>
        </w:tc>
      </w:tr>
      <w:tr w:rsidR="005137D8" w:rsidRPr="001447E7" w14:paraId="2166548E" w14:textId="77777777" w:rsidTr="00723FF9">
        <w:trPr>
          <w:trHeight w:val="70"/>
        </w:trPr>
        <w:tc>
          <w:tcPr>
            <w:tcW w:w="1255" w:type="pct"/>
            <w:shd w:val="clear" w:color="auto" w:fill="auto"/>
            <w:vAlign w:val="center"/>
          </w:tcPr>
          <w:p w14:paraId="3E2EB0A3" w14:textId="336E8B18" w:rsidR="005137D8" w:rsidRPr="001447E7" w:rsidRDefault="005137D8" w:rsidP="005137D8">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Serious adverse event</w:t>
            </w:r>
          </w:p>
        </w:tc>
        <w:tc>
          <w:tcPr>
            <w:tcW w:w="936" w:type="pct"/>
            <w:shd w:val="clear" w:color="auto" w:fill="auto"/>
          </w:tcPr>
          <w:p w14:paraId="203B303D" w14:textId="32DAE5F2" w:rsidR="005137D8" w:rsidRPr="001447E7" w:rsidRDefault="005137D8" w:rsidP="005137D8">
            <w:pPr>
              <w:keepNext/>
              <w:jc w:val="center"/>
              <w:rPr>
                <w:rFonts w:ascii="Arial Narrow" w:hAnsi="Arial Narrow" w:cstheme="minorHAnsi"/>
                <w:sz w:val="20"/>
                <w:szCs w:val="20"/>
              </w:rPr>
            </w:pPr>
            <w:r w:rsidRPr="001447E7">
              <w:rPr>
                <w:rFonts w:ascii="Arial Narrow" w:hAnsi="Arial Narrow" w:cstheme="minorHAnsi"/>
                <w:sz w:val="20"/>
                <w:szCs w:val="20"/>
              </w:rPr>
              <w:t>29/221 (13.1)</w:t>
            </w:r>
          </w:p>
        </w:tc>
        <w:tc>
          <w:tcPr>
            <w:tcW w:w="937" w:type="pct"/>
            <w:shd w:val="clear" w:color="auto" w:fill="auto"/>
          </w:tcPr>
          <w:p w14:paraId="19B65187" w14:textId="12B440AB" w:rsidR="005137D8" w:rsidRPr="001447E7" w:rsidRDefault="005137D8" w:rsidP="005137D8">
            <w:pPr>
              <w:keepNext/>
              <w:jc w:val="center"/>
              <w:rPr>
                <w:rFonts w:ascii="Arial Narrow" w:hAnsi="Arial Narrow" w:cstheme="minorHAnsi"/>
                <w:sz w:val="20"/>
                <w:szCs w:val="20"/>
              </w:rPr>
            </w:pPr>
            <w:r w:rsidRPr="001447E7">
              <w:rPr>
                <w:rFonts w:ascii="Arial Narrow" w:hAnsi="Arial Narrow" w:cstheme="minorHAnsi"/>
                <w:sz w:val="20"/>
                <w:szCs w:val="20"/>
              </w:rPr>
              <w:t>26/219 (11.9)</w:t>
            </w:r>
          </w:p>
        </w:tc>
        <w:tc>
          <w:tcPr>
            <w:tcW w:w="936" w:type="pct"/>
            <w:shd w:val="clear" w:color="auto" w:fill="auto"/>
            <w:vAlign w:val="center"/>
          </w:tcPr>
          <w:p w14:paraId="026278D2" w14:textId="2821AC1A"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bCs/>
                <w:sz w:val="20"/>
                <w:szCs w:val="20"/>
                <w:lang w:eastAsia="en-US"/>
              </w:rPr>
              <w:t>1.11 (0.67, 1.81)</w:t>
            </w:r>
          </w:p>
        </w:tc>
        <w:tc>
          <w:tcPr>
            <w:tcW w:w="936" w:type="pct"/>
            <w:shd w:val="clear" w:color="auto" w:fill="auto"/>
            <w:vAlign w:val="center"/>
          </w:tcPr>
          <w:p w14:paraId="16C1BC6D" w14:textId="2ED41BF7"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bCs/>
                <w:sz w:val="20"/>
                <w:szCs w:val="20"/>
                <w:lang w:eastAsia="en-US"/>
              </w:rPr>
              <w:t>0.01 (-0.05, 0.07)</w:t>
            </w:r>
          </w:p>
        </w:tc>
      </w:tr>
      <w:tr w:rsidR="005137D8" w:rsidRPr="001447E7" w14:paraId="39F29C74" w14:textId="77777777" w:rsidTr="00671A04">
        <w:trPr>
          <w:trHeight w:val="70"/>
        </w:trPr>
        <w:tc>
          <w:tcPr>
            <w:tcW w:w="1255" w:type="pct"/>
            <w:shd w:val="clear" w:color="auto" w:fill="auto"/>
            <w:vAlign w:val="center"/>
          </w:tcPr>
          <w:p w14:paraId="62A59E61" w14:textId="1A41A741" w:rsidR="005137D8" w:rsidRPr="001447E7" w:rsidRDefault="005137D8" w:rsidP="005137D8">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Discontinuation due to AE</w:t>
            </w:r>
          </w:p>
        </w:tc>
        <w:tc>
          <w:tcPr>
            <w:tcW w:w="936" w:type="pct"/>
            <w:shd w:val="clear" w:color="auto" w:fill="auto"/>
            <w:vAlign w:val="center"/>
          </w:tcPr>
          <w:p w14:paraId="06B9C9FB" w14:textId="63BA17E4" w:rsidR="005137D8" w:rsidRPr="001447E7" w:rsidRDefault="005137D8" w:rsidP="005137D8">
            <w:pPr>
              <w:keepNext/>
              <w:jc w:val="center"/>
              <w:rPr>
                <w:rFonts w:ascii="Arial Narrow" w:hAnsi="Arial Narrow" w:cstheme="minorHAnsi"/>
                <w:sz w:val="20"/>
                <w:szCs w:val="20"/>
              </w:rPr>
            </w:pPr>
            <w:r w:rsidRPr="001447E7">
              <w:rPr>
                <w:rFonts w:ascii="Arial Narrow" w:hAnsi="Arial Narrow" w:cstheme="minorHAnsi"/>
                <w:sz w:val="20"/>
                <w:szCs w:val="20"/>
              </w:rPr>
              <w:t>20/221 (9.0)</w:t>
            </w:r>
          </w:p>
        </w:tc>
        <w:tc>
          <w:tcPr>
            <w:tcW w:w="937" w:type="pct"/>
            <w:shd w:val="clear" w:color="auto" w:fill="auto"/>
          </w:tcPr>
          <w:p w14:paraId="20865463" w14:textId="75337744" w:rsidR="005137D8" w:rsidRPr="001447E7" w:rsidRDefault="005137D8" w:rsidP="005137D8">
            <w:pPr>
              <w:keepNext/>
              <w:jc w:val="center"/>
              <w:rPr>
                <w:rFonts w:ascii="Arial Narrow" w:hAnsi="Arial Narrow" w:cstheme="minorHAnsi"/>
                <w:sz w:val="20"/>
                <w:szCs w:val="20"/>
              </w:rPr>
            </w:pPr>
            <w:r w:rsidRPr="001447E7">
              <w:rPr>
                <w:rFonts w:ascii="Arial Narrow" w:eastAsiaTheme="minorEastAsia" w:hAnsi="Arial Narrow" w:cs="Times New Roman"/>
                <w:sz w:val="20"/>
                <w:szCs w:val="20"/>
                <w:lang w:eastAsia="en-US"/>
              </w:rPr>
              <w:t>11/219 (5.0)</w:t>
            </w:r>
          </w:p>
        </w:tc>
        <w:tc>
          <w:tcPr>
            <w:tcW w:w="936" w:type="pct"/>
            <w:shd w:val="clear" w:color="auto" w:fill="auto"/>
            <w:vAlign w:val="center"/>
          </w:tcPr>
          <w:p w14:paraId="5C602843" w14:textId="52736C0E"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1.80 (0.88, 3.67)</w:t>
            </w:r>
          </w:p>
        </w:tc>
        <w:tc>
          <w:tcPr>
            <w:tcW w:w="936" w:type="pct"/>
            <w:shd w:val="clear" w:color="auto" w:fill="auto"/>
            <w:vAlign w:val="center"/>
          </w:tcPr>
          <w:p w14:paraId="6FF58B6C" w14:textId="310534C5"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0.04 (-0.01, 0.09)</w:t>
            </w:r>
          </w:p>
        </w:tc>
      </w:tr>
      <w:tr w:rsidR="005137D8" w:rsidRPr="001447E7" w14:paraId="0FE73161" w14:textId="77777777" w:rsidTr="00723FF9">
        <w:trPr>
          <w:trHeight w:val="70"/>
        </w:trPr>
        <w:tc>
          <w:tcPr>
            <w:tcW w:w="1255" w:type="pct"/>
            <w:shd w:val="clear" w:color="auto" w:fill="auto"/>
            <w:vAlign w:val="center"/>
          </w:tcPr>
          <w:p w14:paraId="74859F55" w14:textId="2FC641AF" w:rsidR="005137D8" w:rsidRPr="001447E7" w:rsidRDefault="005137D8" w:rsidP="005137D8">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Infections</w:t>
            </w:r>
          </w:p>
        </w:tc>
        <w:tc>
          <w:tcPr>
            <w:tcW w:w="936" w:type="pct"/>
            <w:shd w:val="clear" w:color="auto" w:fill="auto"/>
          </w:tcPr>
          <w:p w14:paraId="453E822E" w14:textId="63D2A16D" w:rsidR="005137D8" w:rsidRPr="001447E7" w:rsidRDefault="005137D8" w:rsidP="005137D8">
            <w:pPr>
              <w:keepNext/>
              <w:jc w:val="center"/>
              <w:rPr>
                <w:rFonts w:ascii="Arial Narrow" w:hAnsi="Arial Narrow" w:cstheme="minorHAnsi"/>
                <w:sz w:val="20"/>
                <w:szCs w:val="20"/>
              </w:rPr>
            </w:pPr>
            <w:r w:rsidRPr="001447E7">
              <w:rPr>
                <w:rFonts w:ascii="Arial Narrow" w:hAnsi="Arial Narrow" w:cstheme="minorHAnsi"/>
                <w:sz w:val="20"/>
                <w:szCs w:val="20"/>
              </w:rPr>
              <w:t>65/191 (34.0)</w:t>
            </w:r>
          </w:p>
        </w:tc>
        <w:tc>
          <w:tcPr>
            <w:tcW w:w="937" w:type="pct"/>
            <w:shd w:val="clear" w:color="auto" w:fill="auto"/>
          </w:tcPr>
          <w:p w14:paraId="0A14F3C2" w14:textId="2287BE0C" w:rsidR="005137D8" w:rsidRPr="001447E7" w:rsidRDefault="005137D8" w:rsidP="005137D8">
            <w:pPr>
              <w:keepNext/>
              <w:jc w:val="center"/>
              <w:rPr>
                <w:rFonts w:ascii="Arial Narrow" w:hAnsi="Arial Narrow" w:cstheme="minorHAnsi"/>
                <w:sz w:val="20"/>
                <w:szCs w:val="20"/>
              </w:rPr>
            </w:pPr>
            <w:r w:rsidRPr="001447E7">
              <w:rPr>
                <w:rFonts w:ascii="Arial Narrow" w:hAnsi="Arial Narrow" w:cstheme="minorHAnsi"/>
                <w:sz w:val="20"/>
                <w:szCs w:val="20"/>
              </w:rPr>
              <w:t>79/195 (40.5)</w:t>
            </w:r>
          </w:p>
        </w:tc>
        <w:tc>
          <w:tcPr>
            <w:tcW w:w="936" w:type="pct"/>
            <w:shd w:val="clear" w:color="auto" w:fill="auto"/>
            <w:vAlign w:val="center"/>
          </w:tcPr>
          <w:p w14:paraId="60D8132B" w14:textId="4C9297F8"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0.84 (0.65, 1.09)</w:t>
            </w:r>
          </w:p>
        </w:tc>
        <w:tc>
          <w:tcPr>
            <w:tcW w:w="936" w:type="pct"/>
            <w:shd w:val="clear" w:color="auto" w:fill="auto"/>
            <w:vAlign w:val="center"/>
          </w:tcPr>
          <w:p w14:paraId="5C645394" w14:textId="2EDCD51E"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-0.06 (-0.16, 0.03)</w:t>
            </w:r>
          </w:p>
        </w:tc>
      </w:tr>
      <w:tr w:rsidR="005137D8" w:rsidRPr="001447E7" w14:paraId="0DEA6D04" w14:textId="77777777" w:rsidTr="00723FF9">
        <w:trPr>
          <w:trHeight w:val="70"/>
        </w:trPr>
        <w:tc>
          <w:tcPr>
            <w:tcW w:w="1255" w:type="pct"/>
            <w:shd w:val="clear" w:color="auto" w:fill="auto"/>
            <w:vAlign w:val="center"/>
          </w:tcPr>
          <w:p w14:paraId="1AB75A60" w14:textId="68E8B970" w:rsidR="005137D8" w:rsidRPr="001447E7" w:rsidRDefault="005137D8" w:rsidP="005137D8">
            <w:pPr>
              <w:keepNext/>
              <w:jc w:val="right"/>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Deaths</w:t>
            </w:r>
          </w:p>
        </w:tc>
        <w:tc>
          <w:tcPr>
            <w:tcW w:w="936" w:type="pct"/>
            <w:shd w:val="clear" w:color="auto" w:fill="auto"/>
          </w:tcPr>
          <w:p w14:paraId="0712DC6F" w14:textId="431ED9D9" w:rsidR="005137D8" w:rsidRPr="001447E7" w:rsidRDefault="005137D8" w:rsidP="005137D8">
            <w:pPr>
              <w:keepNext/>
              <w:jc w:val="center"/>
              <w:rPr>
                <w:rFonts w:ascii="Arial Narrow" w:hAnsi="Arial Narrow" w:cstheme="minorHAnsi"/>
                <w:sz w:val="20"/>
                <w:szCs w:val="20"/>
              </w:rPr>
            </w:pPr>
            <w:r w:rsidRPr="001447E7">
              <w:rPr>
                <w:rFonts w:ascii="Arial Narrow" w:hAnsi="Arial Narrow" w:cstheme="minorHAnsi"/>
                <w:sz w:val="20"/>
                <w:szCs w:val="20"/>
              </w:rPr>
              <w:t>0/221 (0)</w:t>
            </w:r>
          </w:p>
        </w:tc>
        <w:tc>
          <w:tcPr>
            <w:tcW w:w="937" w:type="pct"/>
            <w:shd w:val="clear" w:color="auto" w:fill="auto"/>
          </w:tcPr>
          <w:p w14:paraId="799F53B4" w14:textId="119843B5" w:rsidR="005137D8" w:rsidRPr="001447E7" w:rsidRDefault="005137D8" w:rsidP="005137D8">
            <w:pPr>
              <w:keepNext/>
              <w:jc w:val="center"/>
              <w:rPr>
                <w:rFonts w:ascii="Arial Narrow" w:hAnsi="Arial Narrow" w:cstheme="minorHAnsi"/>
                <w:sz w:val="20"/>
                <w:szCs w:val="20"/>
              </w:rPr>
            </w:pPr>
            <w:r w:rsidRPr="001447E7">
              <w:rPr>
                <w:rFonts w:ascii="Arial Narrow" w:hAnsi="Arial Narrow" w:cstheme="minorHAnsi"/>
                <w:sz w:val="20"/>
                <w:szCs w:val="20"/>
              </w:rPr>
              <w:t>2</w:t>
            </w:r>
            <w:r w:rsidRPr="001447E7">
              <w:rPr>
                <w:rFonts w:ascii="Arial Narrow" w:hAnsi="Arial Narrow" w:cstheme="minorHAnsi"/>
                <w:sz w:val="20"/>
                <w:szCs w:val="20"/>
                <w:vertAlign w:val="superscript"/>
              </w:rPr>
              <w:t>a</w:t>
            </w:r>
            <w:r w:rsidRPr="001447E7">
              <w:rPr>
                <w:rFonts w:ascii="Arial Narrow" w:hAnsi="Arial Narrow" w:cstheme="minorHAnsi"/>
                <w:sz w:val="20"/>
                <w:szCs w:val="20"/>
              </w:rPr>
              <w:t>/219 (0.9)</w:t>
            </w:r>
          </w:p>
        </w:tc>
        <w:tc>
          <w:tcPr>
            <w:tcW w:w="936" w:type="pct"/>
            <w:shd w:val="clear" w:color="auto" w:fill="auto"/>
            <w:vAlign w:val="center"/>
          </w:tcPr>
          <w:p w14:paraId="705B283C" w14:textId="196A437C"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0.20 (0.01, 4.10)</w:t>
            </w:r>
          </w:p>
        </w:tc>
        <w:tc>
          <w:tcPr>
            <w:tcW w:w="936" w:type="pct"/>
            <w:shd w:val="clear" w:color="auto" w:fill="auto"/>
            <w:vAlign w:val="center"/>
          </w:tcPr>
          <w:p w14:paraId="74236BC5" w14:textId="1CAB9F86" w:rsidR="005137D8" w:rsidRPr="001447E7" w:rsidRDefault="005137D8" w:rsidP="005137D8">
            <w:pPr>
              <w:keepNext/>
              <w:jc w:val="center"/>
              <w:rPr>
                <w:rFonts w:ascii="Arial Narrow" w:eastAsiaTheme="minorEastAsia" w:hAnsi="Arial Narrow" w:cs="Times New Roman"/>
                <w:sz w:val="20"/>
                <w:szCs w:val="20"/>
                <w:lang w:eastAsia="en-US"/>
              </w:rPr>
            </w:pPr>
            <w:r w:rsidRPr="001447E7">
              <w:rPr>
                <w:rFonts w:ascii="Arial Narrow" w:eastAsiaTheme="minorEastAsia" w:hAnsi="Arial Narrow" w:cs="Times New Roman"/>
                <w:sz w:val="20"/>
                <w:szCs w:val="20"/>
                <w:lang w:eastAsia="en-US"/>
              </w:rPr>
              <w:t>-0.01 (-0.02, 0.01)</w:t>
            </w:r>
          </w:p>
        </w:tc>
      </w:tr>
    </w:tbl>
    <w:p w14:paraId="78163DCA" w14:textId="77777777" w:rsidR="004E2885" w:rsidRPr="001447E7" w:rsidRDefault="004E2885" w:rsidP="004E2885">
      <w:pPr>
        <w:rPr>
          <w:rFonts w:ascii="Arial Narrow" w:eastAsiaTheme="minorEastAsia" w:hAnsi="Arial Narrow"/>
          <w:snapToGrid w:val="0"/>
          <w:sz w:val="18"/>
          <w:szCs w:val="18"/>
          <w:lang w:eastAsia="en-US"/>
        </w:rPr>
      </w:pPr>
      <w:r w:rsidRPr="001447E7">
        <w:rPr>
          <w:rFonts w:ascii="Arial Narrow" w:eastAsiaTheme="minorEastAsia" w:hAnsi="Arial Narrow"/>
          <w:snapToGrid w:val="0"/>
          <w:sz w:val="18"/>
          <w:szCs w:val="18"/>
          <w:lang w:eastAsia="en-US"/>
        </w:rPr>
        <w:t>Source: Tables 2-63, p158 of the submission; Table 23, p102 of SEAVUE CSR.</w:t>
      </w:r>
    </w:p>
    <w:p w14:paraId="084D781B" w14:textId="0E268337" w:rsidR="004E2885" w:rsidRPr="001447E7" w:rsidRDefault="004E2885" w:rsidP="004E2885">
      <w:pPr>
        <w:rPr>
          <w:rFonts w:ascii="Arial Narrow" w:eastAsiaTheme="minorEastAsia" w:hAnsi="Arial Narrow"/>
          <w:snapToGrid w:val="0"/>
          <w:sz w:val="18"/>
          <w:szCs w:val="18"/>
          <w:lang w:eastAsia="en-US"/>
        </w:rPr>
      </w:pPr>
      <w:r w:rsidRPr="001447E7">
        <w:rPr>
          <w:rFonts w:ascii="Arial Narrow" w:eastAsiaTheme="minorEastAsia" w:hAnsi="Arial Narrow"/>
          <w:snapToGrid w:val="0"/>
          <w:sz w:val="18"/>
          <w:szCs w:val="18"/>
          <w:lang w:eastAsia="en-US"/>
        </w:rPr>
        <w:t>CI=confidence interval; n=number of participants with event; N=total participants in group, NE=not estimable, RD=risk difference, RR=risk ratio, ADA = adalimumab; UST=ustekinumab</w:t>
      </w:r>
      <w:r w:rsidR="007B401F">
        <w:rPr>
          <w:rFonts w:ascii="Arial Narrow" w:eastAsiaTheme="minorEastAsia" w:hAnsi="Arial Narrow"/>
          <w:snapToGrid w:val="0"/>
          <w:sz w:val="18"/>
          <w:szCs w:val="18"/>
          <w:lang w:eastAsia="en-US"/>
        </w:rPr>
        <w:t>; RC = randomised controlled; T2T = treat to target.</w:t>
      </w:r>
    </w:p>
    <w:p w14:paraId="1F0551E4" w14:textId="77777777" w:rsidR="004E2885" w:rsidRPr="001447E7" w:rsidRDefault="004E2885" w:rsidP="004E2885">
      <w:pPr>
        <w:rPr>
          <w:rFonts w:ascii="Arial Narrow" w:eastAsiaTheme="minorEastAsia" w:hAnsi="Arial Narrow"/>
          <w:snapToGrid w:val="0"/>
          <w:sz w:val="18"/>
          <w:szCs w:val="18"/>
          <w:lang w:eastAsia="en-US"/>
        </w:rPr>
      </w:pPr>
      <w:r w:rsidRPr="001447E7">
        <w:rPr>
          <w:rFonts w:ascii="Arial Narrow" w:eastAsiaTheme="minorEastAsia" w:hAnsi="Arial Narrow"/>
          <w:snapToGrid w:val="0"/>
          <w:sz w:val="18"/>
          <w:szCs w:val="18"/>
          <w:lang w:eastAsia="en-US"/>
        </w:rPr>
        <w:t xml:space="preserve">^ </w:t>
      </w:r>
      <w:r w:rsidRPr="001447E7">
        <w:rPr>
          <w:rFonts w:ascii="Arial Narrow" w:hAnsi="Arial Narrow" w:cs="Calibri"/>
          <w:sz w:val="18"/>
          <w:szCs w:val="18"/>
        </w:rPr>
        <w:t>Patients were treated through Week 56 and followed up for safety through Week 76.</w:t>
      </w:r>
    </w:p>
    <w:p w14:paraId="2A236681" w14:textId="77777777" w:rsidR="004E2885" w:rsidRPr="001447E7" w:rsidRDefault="004E2885" w:rsidP="006D51B6">
      <w:pPr>
        <w:spacing w:after="120"/>
        <w:rPr>
          <w:rFonts w:ascii="Arial Narrow" w:eastAsiaTheme="minorEastAsia" w:hAnsi="Arial Narrow"/>
          <w:snapToGrid w:val="0"/>
          <w:sz w:val="18"/>
          <w:szCs w:val="18"/>
          <w:lang w:eastAsia="en-US"/>
        </w:rPr>
      </w:pPr>
      <w:r w:rsidRPr="001447E7">
        <w:rPr>
          <w:rFonts w:ascii="Arial Narrow" w:eastAsiaTheme="minorEastAsia" w:hAnsi="Arial Narrow"/>
          <w:snapToGrid w:val="0"/>
          <w:sz w:val="18"/>
          <w:szCs w:val="18"/>
          <w:vertAlign w:val="superscript"/>
          <w:lang w:eastAsia="en-US"/>
        </w:rPr>
        <w:t xml:space="preserve">a </w:t>
      </w:r>
      <w:r w:rsidRPr="001447E7">
        <w:rPr>
          <w:rFonts w:ascii="Arial Narrow" w:eastAsiaTheme="minorEastAsia" w:hAnsi="Arial Narrow"/>
          <w:snapToGrid w:val="0"/>
          <w:sz w:val="18"/>
          <w:szCs w:val="18"/>
          <w:lang w:eastAsia="en-US"/>
        </w:rPr>
        <w:t xml:space="preserve">One patient died of “sudden death” (assessed by the investigator as not related to study treatment) approximately 5 weeks after the las dose at Week 50. </w:t>
      </w:r>
    </w:p>
    <w:p w14:paraId="04908C7F" w14:textId="415B9B7D" w:rsidR="007F1017" w:rsidRPr="00C9624D" w:rsidRDefault="007F1017" w:rsidP="00D86231">
      <w:pPr>
        <w:pStyle w:val="4-SubsectionHeading"/>
      </w:pPr>
      <w:bookmarkStart w:id="32" w:name="_Toc22897643"/>
      <w:bookmarkStart w:id="33" w:name="_Toc134692574"/>
      <w:r w:rsidRPr="00C9624D">
        <w:t>Benefits/harms</w:t>
      </w:r>
      <w:bookmarkEnd w:id="32"/>
      <w:bookmarkEnd w:id="33"/>
    </w:p>
    <w:p w14:paraId="02B9BDE3" w14:textId="22C709E7" w:rsidR="007A1345" w:rsidRPr="002E1071" w:rsidRDefault="00311D9B" w:rsidP="00D2155B">
      <w:pPr>
        <w:pStyle w:val="3-BodyText"/>
      </w:pPr>
      <w:r w:rsidRPr="00311D9B">
        <w:rPr>
          <w:snapToGrid/>
          <w:lang w:val="en-US"/>
        </w:rPr>
        <w:t>A benefits and harms table is not presented as the submission made a claim of non-inferiority.</w:t>
      </w:r>
    </w:p>
    <w:p w14:paraId="7A1772B6" w14:textId="23BB3145" w:rsidR="00B60939" w:rsidRPr="00C9624D" w:rsidRDefault="00B60939" w:rsidP="00E9094A">
      <w:pPr>
        <w:pStyle w:val="4-SubsectionHeading"/>
      </w:pPr>
      <w:bookmarkStart w:id="34" w:name="_Toc22897644"/>
      <w:bookmarkStart w:id="35" w:name="_Toc134692575"/>
      <w:r w:rsidRPr="00C9624D">
        <w:lastRenderedPageBreak/>
        <w:t>Clinical claim</w:t>
      </w:r>
      <w:bookmarkEnd w:id="34"/>
      <w:bookmarkEnd w:id="35"/>
    </w:p>
    <w:p w14:paraId="25B22532" w14:textId="4D6C8807" w:rsidR="004D04ED" w:rsidRPr="00290E77" w:rsidRDefault="009807BD" w:rsidP="00C337B6">
      <w:pPr>
        <w:pStyle w:val="3-BodyText"/>
        <w:rPr>
          <w:rFonts w:eastAsia="Calibri"/>
        </w:rPr>
      </w:pPr>
      <w:r w:rsidRPr="00290E77">
        <w:rPr>
          <w:rFonts w:eastAsia="Calibri"/>
        </w:rPr>
        <w:t xml:space="preserve">The submission described UST as non-inferior in terms of effectiveness </w:t>
      </w:r>
      <w:r w:rsidR="004D04ED" w:rsidRPr="00290E77">
        <w:rPr>
          <w:rFonts w:eastAsia="Calibri"/>
        </w:rPr>
        <w:t>and safety for</w:t>
      </w:r>
      <w:r w:rsidRPr="00290E77">
        <w:rPr>
          <w:rFonts w:eastAsia="Calibri"/>
        </w:rPr>
        <w:t xml:space="preserve"> induction and maintenance </w:t>
      </w:r>
      <w:r w:rsidR="004D04ED" w:rsidRPr="00290E77">
        <w:rPr>
          <w:rFonts w:eastAsia="Calibri"/>
        </w:rPr>
        <w:t xml:space="preserve">treatment </w:t>
      </w:r>
      <w:r w:rsidRPr="00290E77">
        <w:rPr>
          <w:rFonts w:eastAsia="Calibri"/>
        </w:rPr>
        <w:t>compared to ADA and IFX for the treatment of patients with fistulising CD.</w:t>
      </w:r>
      <w:r w:rsidR="00C337B6" w:rsidRPr="00290E77">
        <w:rPr>
          <w:rFonts w:eastAsia="Calibri"/>
        </w:rPr>
        <w:t xml:space="preserve"> At the March 2017 PBAC Meeting, </w:t>
      </w:r>
      <w:r w:rsidR="004D04ED" w:rsidRPr="00290E77">
        <w:t xml:space="preserve">the PBAC </w:t>
      </w:r>
      <w:r w:rsidR="00C337B6" w:rsidRPr="00290E77">
        <w:t xml:space="preserve">accepted the </w:t>
      </w:r>
      <w:r w:rsidR="004D04ED" w:rsidRPr="00290E77">
        <w:t xml:space="preserve">claim of non-inferior comparative safety </w:t>
      </w:r>
      <w:r w:rsidR="00C337B6" w:rsidRPr="00290E77">
        <w:t xml:space="preserve">but considered there was insufficient evidence to support the claim of non-inferior effectiveness for patients with fistulising CD </w:t>
      </w:r>
      <w:r w:rsidR="004D04ED" w:rsidRPr="00290E77">
        <w:t>(paragraph</w:t>
      </w:r>
      <w:r w:rsidR="00C337B6" w:rsidRPr="00290E77">
        <w:t>s</w:t>
      </w:r>
      <w:r w:rsidR="004D04ED" w:rsidRPr="00290E77">
        <w:t xml:space="preserve"> 6.29</w:t>
      </w:r>
      <w:r w:rsidR="00C337B6" w:rsidRPr="00290E77">
        <w:t xml:space="preserve"> and 7.1,</w:t>
      </w:r>
      <w:r w:rsidR="004D04ED" w:rsidRPr="00290E77">
        <w:t xml:space="preserve"> UST PSD, March 2017 PBAC Meeting).</w:t>
      </w:r>
    </w:p>
    <w:p w14:paraId="67B1167F" w14:textId="5006191A" w:rsidR="009807BD" w:rsidRPr="004F4EEF" w:rsidRDefault="009807BD" w:rsidP="00FC7AC9">
      <w:pPr>
        <w:pStyle w:val="3-BodyText"/>
        <w:rPr>
          <w:rFonts w:eastAsia="Calibri"/>
        </w:rPr>
      </w:pPr>
      <w:r w:rsidRPr="00290E77">
        <w:t>On balance, the</w:t>
      </w:r>
      <w:r w:rsidR="005E1B93">
        <w:t xml:space="preserve"> evaluation considered the</w:t>
      </w:r>
      <w:r w:rsidRPr="00290E77">
        <w:t xml:space="preserve"> evidence presented in the current submission may </w:t>
      </w:r>
      <w:r w:rsidR="009328E6" w:rsidRPr="00290E77">
        <w:t xml:space="preserve">still </w:t>
      </w:r>
      <w:r w:rsidRPr="00290E77">
        <w:t xml:space="preserve">not adequately support the claim of non-inferior effectiveness between UST versus IFX and ADA. </w:t>
      </w:r>
      <w:r w:rsidR="009328E6" w:rsidRPr="00290E77">
        <w:t xml:space="preserve">The new evidence from the placebo-controlled trials did not show any difference between UST and placebo for induction or maintenance treatment. Although </w:t>
      </w:r>
      <w:r w:rsidR="00152F46" w:rsidRPr="00290E77">
        <w:t xml:space="preserve">the anchored </w:t>
      </w:r>
      <w:r w:rsidR="009328E6" w:rsidRPr="00290E77">
        <w:t xml:space="preserve">indirect treatment comparisons generally found no statistically significant differences between UST versus ADA and IFX for induction or maintenance treatment, the analyses were considered highly uncertain and difficult to interpret owing to poor level of evidence available and differences across the trials. The direct head-to-head evidence presented in SEAVUE showed </w:t>
      </w:r>
      <w:r w:rsidR="00965883" w:rsidRPr="00290E77">
        <w:t xml:space="preserve">fewer patients achieved </w:t>
      </w:r>
      <w:r w:rsidR="009328E6" w:rsidRPr="00290E77">
        <w:t xml:space="preserve">fistula response and fistula remission </w:t>
      </w:r>
      <w:r w:rsidR="00965883" w:rsidRPr="00290E77">
        <w:t>with</w:t>
      </w:r>
      <w:r w:rsidR="009328E6" w:rsidRPr="00290E77">
        <w:t xml:space="preserve"> UST compared to ADA between Week 2 to Week 24 </w:t>
      </w:r>
      <w:r w:rsidR="00965883" w:rsidRPr="00290E77">
        <w:t xml:space="preserve">(statistically significant </w:t>
      </w:r>
      <w:r w:rsidR="00CE5694" w:rsidRPr="00290E77">
        <w:t xml:space="preserve">at Week 16 </w:t>
      </w:r>
      <w:r w:rsidR="00965883" w:rsidRPr="00290E77">
        <w:t xml:space="preserve">favouring ADA) </w:t>
      </w:r>
      <w:r w:rsidR="00FC7AC9" w:rsidRPr="00290E77">
        <w:t xml:space="preserve">and a similar proportion of patients achieving the outcomes between </w:t>
      </w:r>
      <w:r w:rsidR="009328E6" w:rsidRPr="00290E77">
        <w:t>Week 32 to Week 52</w:t>
      </w:r>
      <w:r w:rsidR="00965883" w:rsidRPr="00290E77">
        <w:t xml:space="preserve"> (</w:t>
      </w:r>
      <w:r w:rsidR="00CE5694" w:rsidRPr="00290E77">
        <w:t xml:space="preserve">i.e. </w:t>
      </w:r>
      <w:r w:rsidR="00965883" w:rsidRPr="00290E77">
        <w:t xml:space="preserve">no </w:t>
      </w:r>
      <w:r w:rsidR="00CE5694" w:rsidRPr="00290E77">
        <w:t xml:space="preserve">statistically </w:t>
      </w:r>
      <w:r w:rsidR="00965883" w:rsidRPr="00290E77">
        <w:t>significant difference)</w:t>
      </w:r>
      <w:r w:rsidR="009328E6" w:rsidRPr="00290E77">
        <w:t xml:space="preserve">, but the subgroup analysis was based on a very small sample size (N=29). Similarly, the </w:t>
      </w:r>
      <w:r w:rsidR="005C0942" w:rsidRPr="00290E77">
        <w:t xml:space="preserve">unanchored indirect </w:t>
      </w:r>
      <w:r w:rsidR="009328E6" w:rsidRPr="00290E77">
        <w:t>comparison</w:t>
      </w:r>
      <w:r w:rsidR="00D3597A" w:rsidRPr="00290E77">
        <w:t>s</w:t>
      </w:r>
      <w:r w:rsidR="009328E6" w:rsidRPr="00290E77">
        <w:t xml:space="preserve"> for maintenance treatment </w:t>
      </w:r>
      <w:r w:rsidR="00686362" w:rsidRPr="00290E77">
        <w:t xml:space="preserve">favouring UST over ADA and IFX for maintenance treatment </w:t>
      </w:r>
      <w:r w:rsidR="00D3597A" w:rsidRPr="00290E77">
        <w:t xml:space="preserve">were </w:t>
      </w:r>
      <w:r w:rsidR="009328E6" w:rsidRPr="00290E77">
        <w:t>also considered highly uncertain for determining comparative effectiveness between UST versus IFX and ADA.</w:t>
      </w:r>
      <w:r w:rsidR="004F4EEF">
        <w:t xml:space="preserve"> </w:t>
      </w:r>
      <w:r w:rsidR="004D0F16">
        <w:t>The Pre-PBAC Response argued the level of evidence presented for UST was similar to that for ADA for fCD.</w:t>
      </w:r>
    </w:p>
    <w:p w14:paraId="0A0D9798" w14:textId="0FA90949" w:rsidR="000B1CFF" w:rsidRPr="00075696" w:rsidRDefault="000B1CFF" w:rsidP="00B563C5">
      <w:pPr>
        <w:pStyle w:val="3-BodyText"/>
      </w:pPr>
      <w:r w:rsidRPr="00F81A33">
        <w:t xml:space="preserve">The ESC considered there were substantial uncertainties with the presented analyses that made drawing meaningful conclusions on the comparative effectiveness of UST and </w:t>
      </w:r>
      <w:r w:rsidR="005C0759">
        <w:t>the nominated comparators</w:t>
      </w:r>
      <w:r w:rsidRPr="00F81A33">
        <w:t xml:space="preserve"> challenging. Overall, the ESC considered evidence presented did not strongly support a</w:t>
      </w:r>
      <w:r w:rsidR="00060B3A" w:rsidRPr="00F81A33">
        <w:t xml:space="preserve"> claim</w:t>
      </w:r>
      <w:r w:rsidRPr="00F81A33">
        <w:t xml:space="preserve"> that UST is of non-inferior comparative effectiveness to ADA due to its substantial limitations</w:t>
      </w:r>
      <w:r w:rsidR="00060B3A" w:rsidRPr="00F81A33">
        <w:t>. H</w:t>
      </w:r>
      <w:r w:rsidRPr="00F81A33">
        <w:t xml:space="preserve">owever, </w:t>
      </w:r>
      <w:r w:rsidR="00060B3A" w:rsidRPr="00F81A33">
        <w:t xml:space="preserve">it </w:t>
      </w:r>
      <w:r w:rsidRPr="00F81A33">
        <w:t xml:space="preserve">was of the view the head-to-head data for UST versus ADA in SEAVUE (new to this submission) may, on balance, suggest UST may be similarly effective to ADA in terms of maintenance treatment (beyond 24-32 weeks). However, the ESC considered the evidence indicated </w:t>
      </w:r>
      <w:r w:rsidRPr="00075696">
        <w:t>patients treated with UST took substantially longer to realise a clinical benefit</w:t>
      </w:r>
      <w:r w:rsidR="00390FE5" w:rsidRPr="00075696">
        <w:t>.</w:t>
      </w:r>
    </w:p>
    <w:p w14:paraId="2D630DBD" w14:textId="7E33F373" w:rsidR="00F81A33" w:rsidRPr="00075696" w:rsidRDefault="00F81A33" w:rsidP="00F81A33">
      <w:pPr>
        <w:widowControl w:val="0"/>
        <w:numPr>
          <w:ilvl w:val="1"/>
          <w:numId w:val="1"/>
        </w:numPr>
        <w:spacing w:after="120"/>
        <w:rPr>
          <w:rFonts w:asciiTheme="minorHAnsi" w:hAnsiTheme="minorHAnsi"/>
          <w:snapToGrid w:val="0"/>
          <w:szCs w:val="20"/>
        </w:rPr>
      </w:pPr>
      <w:bookmarkStart w:id="36" w:name="_Hlk76376200"/>
      <w:r w:rsidRPr="00075696">
        <w:rPr>
          <w:rFonts w:asciiTheme="minorHAnsi" w:hAnsiTheme="minorHAnsi"/>
          <w:iCs/>
          <w:snapToGrid w:val="0"/>
        </w:rPr>
        <w:t>The</w:t>
      </w:r>
      <w:r w:rsidRPr="00075696">
        <w:rPr>
          <w:rFonts w:asciiTheme="minorHAnsi" w:hAnsiTheme="minorHAnsi"/>
          <w:snapToGrid w:val="0"/>
          <w:szCs w:val="20"/>
        </w:rPr>
        <w:t xml:space="preserve"> PBAC </w:t>
      </w:r>
      <w:r w:rsidR="00114025" w:rsidRPr="00075696">
        <w:rPr>
          <w:rFonts w:asciiTheme="minorHAnsi" w:hAnsiTheme="minorHAnsi"/>
          <w:snapToGrid w:val="0"/>
          <w:szCs w:val="20"/>
        </w:rPr>
        <w:t xml:space="preserve">noted </w:t>
      </w:r>
      <w:r w:rsidRPr="00075696">
        <w:rPr>
          <w:rFonts w:asciiTheme="minorHAnsi" w:hAnsiTheme="minorHAnsi"/>
          <w:snapToGrid w:val="0"/>
          <w:szCs w:val="20"/>
        </w:rPr>
        <w:t>that</w:t>
      </w:r>
      <w:r w:rsidR="005E1B93" w:rsidRPr="00075696">
        <w:rPr>
          <w:rFonts w:asciiTheme="minorHAnsi" w:hAnsiTheme="minorHAnsi"/>
          <w:snapToGrid w:val="0"/>
          <w:szCs w:val="20"/>
        </w:rPr>
        <w:t xml:space="preserve"> while the evidence for UST was limited and based on small subgroup analyses, there was some </w:t>
      </w:r>
      <w:r w:rsidR="00240923" w:rsidRPr="00075696">
        <w:rPr>
          <w:rFonts w:asciiTheme="minorHAnsi" w:hAnsiTheme="minorHAnsi"/>
          <w:snapToGrid w:val="0"/>
          <w:szCs w:val="20"/>
        </w:rPr>
        <w:t>head-to-head</w:t>
      </w:r>
      <w:r w:rsidR="005E1B93" w:rsidRPr="00075696">
        <w:rPr>
          <w:rFonts w:asciiTheme="minorHAnsi" w:hAnsiTheme="minorHAnsi"/>
          <w:snapToGrid w:val="0"/>
          <w:szCs w:val="20"/>
        </w:rPr>
        <w:t xml:space="preserve"> data vs. ADA available which indicated comparable outcomes over longer-term treatment and considered, on balance,</w:t>
      </w:r>
      <w:r w:rsidRPr="00075696">
        <w:rPr>
          <w:rFonts w:asciiTheme="minorHAnsi" w:hAnsiTheme="minorHAnsi"/>
          <w:snapToGrid w:val="0"/>
          <w:szCs w:val="20"/>
        </w:rPr>
        <w:t xml:space="preserve"> the claim of non-inferior comparative effectiveness</w:t>
      </w:r>
      <w:r w:rsidR="00D21175" w:rsidRPr="00075696">
        <w:rPr>
          <w:rFonts w:asciiTheme="minorHAnsi" w:hAnsiTheme="minorHAnsi"/>
          <w:snapToGrid w:val="0"/>
          <w:szCs w:val="20"/>
        </w:rPr>
        <w:t xml:space="preserve"> versus ADA</w:t>
      </w:r>
      <w:r w:rsidRPr="00075696">
        <w:rPr>
          <w:rFonts w:asciiTheme="minorHAnsi" w:hAnsiTheme="minorHAnsi"/>
          <w:snapToGrid w:val="0"/>
          <w:szCs w:val="20"/>
        </w:rPr>
        <w:t xml:space="preserve"> was </w:t>
      </w:r>
      <w:r w:rsidR="005E1B93" w:rsidRPr="00075696">
        <w:rPr>
          <w:rFonts w:asciiTheme="minorHAnsi" w:hAnsiTheme="minorHAnsi"/>
          <w:snapToGrid w:val="0"/>
          <w:szCs w:val="20"/>
        </w:rPr>
        <w:t>likely su</w:t>
      </w:r>
      <w:r w:rsidR="009B1F98" w:rsidRPr="00075696">
        <w:rPr>
          <w:rFonts w:asciiTheme="minorHAnsi" w:hAnsiTheme="minorHAnsi"/>
          <w:snapToGrid w:val="0"/>
          <w:szCs w:val="20"/>
        </w:rPr>
        <w:t>pported by the data.</w:t>
      </w:r>
      <w:r w:rsidR="00D21175" w:rsidRPr="00075696">
        <w:rPr>
          <w:rFonts w:asciiTheme="minorHAnsi" w:hAnsiTheme="minorHAnsi"/>
          <w:snapToGrid w:val="0"/>
          <w:szCs w:val="20"/>
        </w:rPr>
        <w:t xml:space="preserve"> While the data versus IFX</w:t>
      </w:r>
      <w:r w:rsidR="005C0759" w:rsidRPr="00075696">
        <w:rPr>
          <w:rFonts w:asciiTheme="minorHAnsi" w:hAnsiTheme="minorHAnsi"/>
          <w:snapToGrid w:val="0"/>
          <w:szCs w:val="20"/>
        </w:rPr>
        <w:t xml:space="preserve"> </w:t>
      </w:r>
      <w:r w:rsidR="00D21175" w:rsidRPr="00075696">
        <w:rPr>
          <w:rFonts w:asciiTheme="minorHAnsi" w:hAnsiTheme="minorHAnsi"/>
          <w:snapToGrid w:val="0"/>
          <w:szCs w:val="20"/>
        </w:rPr>
        <w:t>was very limited</w:t>
      </w:r>
      <w:r w:rsidR="005C0759" w:rsidRPr="00075696">
        <w:rPr>
          <w:rFonts w:asciiTheme="minorHAnsi" w:hAnsiTheme="minorHAnsi"/>
          <w:snapToGrid w:val="0"/>
          <w:szCs w:val="20"/>
        </w:rPr>
        <w:t xml:space="preserve">, </w:t>
      </w:r>
      <w:r w:rsidR="00D21175" w:rsidRPr="00075696">
        <w:rPr>
          <w:rFonts w:asciiTheme="minorHAnsi" w:hAnsiTheme="minorHAnsi"/>
          <w:snapToGrid w:val="0"/>
          <w:szCs w:val="20"/>
        </w:rPr>
        <w:t xml:space="preserve">the PBAC </w:t>
      </w:r>
      <w:r w:rsidR="005C0759" w:rsidRPr="00075696">
        <w:rPr>
          <w:rFonts w:asciiTheme="minorHAnsi" w:hAnsiTheme="minorHAnsi"/>
          <w:snapToGrid w:val="0"/>
          <w:szCs w:val="20"/>
        </w:rPr>
        <w:t xml:space="preserve">recalled </w:t>
      </w:r>
      <w:r w:rsidR="00D21175" w:rsidRPr="00075696">
        <w:rPr>
          <w:rFonts w:asciiTheme="minorHAnsi" w:hAnsiTheme="minorHAnsi"/>
          <w:snapToGrid w:val="0"/>
          <w:szCs w:val="20"/>
        </w:rPr>
        <w:t>its previous recommendation for ADA in</w:t>
      </w:r>
      <w:r w:rsidR="007570F4" w:rsidRPr="00075696">
        <w:rPr>
          <w:rFonts w:asciiTheme="minorHAnsi" w:hAnsiTheme="minorHAnsi"/>
          <w:snapToGrid w:val="0"/>
          <w:szCs w:val="20"/>
        </w:rPr>
        <w:t xml:space="preserve"> November</w:t>
      </w:r>
      <w:r w:rsidR="00D21175" w:rsidRPr="00075696">
        <w:rPr>
          <w:rFonts w:asciiTheme="minorHAnsi" w:hAnsiTheme="minorHAnsi"/>
          <w:snapToGrid w:val="0"/>
          <w:szCs w:val="20"/>
        </w:rPr>
        <w:t xml:space="preserve"> 2010</w:t>
      </w:r>
      <w:r w:rsidR="005C0759" w:rsidRPr="00075696">
        <w:rPr>
          <w:rFonts w:asciiTheme="minorHAnsi" w:hAnsiTheme="minorHAnsi"/>
          <w:snapToGrid w:val="0"/>
          <w:szCs w:val="20"/>
        </w:rPr>
        <w:t xml:space="preserve"> was based on similarly </w:t>
      </w:r>
      <w:r w:rsidR="005C0759" w:rsidRPr="00075696">
        <w:rPr>
          <w:rFonts w:asciiTheme="minorHAnsi" w:hAnsiTheme="minorHAnsi"/>
          <w:snapToGrid w:val="0"/>
          <w:szCs w:val="20"/>
        </w:rPr>
        <w:lastRenderedPageBreak/>
        <w:t xml:space="preserve">uncertain clinical data and considered that, on balance, </w:t>
      </w:r>
      <w:r w:rsidR="000778BC" w:rsidRPr="00075696">
        <w:rPr>
          <w:rFonts w:asciiTheme="minorHAnsi" w:hAnsiTheme="minorHAnsi"/>
          <w:snapToGrid w:val="0"/>
          <w:szCs w:val="20"/>
        </w:rPr>
        <w:t xml:space="preserve">a claim </w:t>
      </w:r>
      <w:r w:rsidR="005C0759" w:rsidRPr="00075696">
        <w:rPr>
          <w:rFonts w:asciiTheme="minorHAnsi" w:hAnsiTheme="minorHAnsi"/>
          <w:snapToGrid w:val="0"/>
          <w:szCs w:val="20"/>
        </w:rPr>
        <w:t xml:space="preserve">of non-inferiority </w:t>
      </w:r>
      <w:r w:rsidR="000778BC" w:rsidRPr="00075696">
        <w:rPr>
          <w:rFonts w:asciiTheme="minorHAnsi" w:hAnsiTheme="minorHAnsi"/>
          <w:snapToGrid w:val="0"/>
          <w:szCs w:val="20"/>
        </w:rPr>
        <w:t>versus IFX was</w:t>
      </w:r>
      <w:r w:rsidR="005C0759" w:rsidRPr="00075696">
        <w:rPr>
          <w:rFonts w:asciiTheme="minorHAnsi" w:hAnsiTheme="minorHAnsi"/>
          <w:snapToGrid w:val="0"/>
          <w:szCs w:val="20"/>
        </w:rPr>
        <w:t xml:space="preserve"> </w:t>
      </w:r>
      <w:r w:rsidR="000778BC" w:rsidRPr="00075696">
        <w:rPr>
          <w:rFonts w:asciiTheme="minorHAnsi" w:hAnsiTheme="minorHAnsi"/>
          <w:snapToGrid w:val="0"/>
          <w:szCs w:val="20"/>
        </w:rPr>
        <w:t>likely to be reasonable.</w:t>
      </w:r>
    </w:p>
    <w:p w14:paraId="7D1274D0" w14:textId="1941A878" w:rsidR="00F81A33" w:rsidRPr="009B1F98" w:rsidRDefault="00F81A33" w:rsidP="00F81A33">
      <w:pPr>
        <w:widowControl w:val="0"/>
        <w:numPr>
          <w:ilvl w:val="1"/>
          <w:numId w:val="1"/>
        </w:numPr>
        <w:spacing w:after="120"/>
        <w:rPr>
          <w:rFonts w:asciiTheme="minorHAnsi" w:hAnsiTheme="minorHAnsi"/>
          <w:snapToGrid w:val="0"/>
          <w:szCs w:val="20"/>
        </w:rPr>
      </w:pPr>
      <w:r w:rsidRPr="009B1F98">
        <w:rPr>
          <w:rFonts w:asciiTheme="minorHAnsi" w:hAnsiTheme="minorHAnsi"/>
          <w:snapToGrid w:val="0"/>
          <w:szCs w:val="20"/>
        </w:rPr>
        <w:t xml:space="preserve">The PBAC </w:t>
      </w:r>
      <w:r w:rsidR="00114025">
        <w:rPr>
          <w:rFonts w:asciiTheme="minorHAnsi" w:hAnsiTheme="minorHAnsi"/>
          <w:snapToGrid w:val="0"/>
          <w:szCs w:val="20"/>
        </w:rPr>
        <w:t>noted</w:t>
      </w:r>
      <w:r w:rsidR="00114025" w:rsidRPr="009B1F98">
        <w:rPr>
          <w:rFonts w:asciiTheme="minorHAnsi" w:hAnsiTheme="minorHAnsi"/>
          <w:snapToGrid w:val="0"/>
          <w:szCs w:val="20"/>
        </w:rPr>
        <w:t xml:space="preserve"> </w:t>
      </w:r>
      <w:r w:rsidRPr="009B1F98">
        <w:rPr>
          <w:rFonts w:asciiTheme="minorHAnsi" w:hAnsiTheme="minorHAnsi"/>
          <w:snapToGrid w:val="0"/>
          <w:szCs w:val="20"/>
        </w:rPr>
        <w:t>that</w:t>
      </w:r>
      <w:r w:rsidR="009B1F98" w:rsidRPr="009B1F98">
        <w:rPr>
          <w:rFonts w:asciiTheme="minorHAnsi" w:hAnsiTheme="minorHAnsi"/>
          <w:snapToGrid w:val="0"/>
          <w:szCs w:val="20"/>
        </w:rPr>
        <w:t xml:space="preserve"> while</w:t>
      </w:r>
      <w:r w:rsidRPr="009B1F98">
        <w:rPr>
          <w:rFonts w:asciiTheme="minorHAnsi" w:hAnsiTheme="minorHAnsi"/>
          <w:snapToGrid w:val="0"/>
          <w:szCs w:val="20"/>
        </w:rPr>
        <w:t xml:space="preserve"> the claim of non-inferior comparative </w:t>
      </w:r>
      <w:r w:rsidR="00240923" w:rsidRPr="009B1F98">
        <w:rPr>
          <w:rFonts w:asciiTheme="minorHAnsi" w:hAnsiTheme="minorHAnsi"/>
          <w:snapToGrid w:val="0"/>
          <w:szCs w:val="20"/>
        </w:rPr>
        <w:t xml:space="preserve">safety </w:t>
      </w:r>
      <w:r w:rsidR="00240923">
        <w:rPr>
          <w:rFonts w:asciiTheme="minorHAnsi" w:hAnsiTheme="minorHAnsi"/>
          <w:snapToGrid w:val="0"/>
          <w:szCs w:val="20"/>
        </w:rPr>
        <w:t>to</w:t>
      </w:r>
      <w:r w:rsidR="00D21175">
        <w:rPr>
          <w:rFonts w:asciiTheme="minorHAnsi" w:hAnsiTheme="minorHAnsi"/>
          <w:snapToGrid w:val="0"/>
          <w:szCs w:val="20"/>
        </w:rPr>
        <w:t xml:space="preserve"> both ADA and IFX </w:t>
      </w:r>
      <w:r w:rsidRPr="009B1F98">
        <w:rPr>
          <w:rFonts w:asciiTheme="minorHAnsi" w:hAnsiTheme="minorHAnsi"/>
          <w:snapToGrid w:val="0"/>
          <w:szCs w:val="20"/>
        </w:rPr>
        <w:t>was</w:t>
      </w:r>
      <w:r w:rsidR="009B1F98" w:rsidRPr="009B1F98">
        <w:rPr>
          <w:rFonts w:asciiTheme="minorHAnsi" w:hAnsiTheme="minorHAnsi"/>
          <w:snapToGrid w:val="0"/>
          <w:szCs w:val="20"/>
        </w:rPr>
        <w:t xml:space="preserve"> based on a broader CD dataset, considered there was no reason to assume the safety of UST would meaningfully differ between severe CD and fistulising CD and therefore considered the claim was likely to be reasonable.</w:t>
      </w:r>
      <w:r w:rsidRPr="009B1F98">
        <w:rPr>
          <w:rFonts w:asciiTheme="minorHAnsi" w:hAnsiTheme="minorHAnsi"/>
          <w:snapToGrid w:val="0"/>
          <w:szCs w:val="20"/>
        </w:rPr>
        <w:t xml:space="preserve"> </w:t>
      </w:r>
      <w:bookmarkEnd w:id="36"/>
    </w:p>
    <w:p w14:paraId="74A1172E" w14:textId="59858CC8" w:rsidR="00B60939" w:rsidRPr="00C9624D" w:rsidRDefault="00B60939" w:rsidP="002E610B">
      <w:pPr>
        <w:pStyle w:val="4-SubsectionHeading"/>
      </w:pPr>
      <w:bookmarkStart w:id="37" w:name="_Toc22897645"/>
      <w:bookmarkStart w:id="38" w:name="_Toc134692576"/>
      <w:r w:rsidRPr="00C9624D">
        <w:t>Economic analysis</w:t>
      </w:r>
      <w:bookmarkEnd w:id="37"/>
      <w:bookmarkEnd w:id="38"/>
    </w:p>
    <w:p w14:paraId="1BFADC9A" w14:textId="7AB539F8" w:rsidR="002A4A6A" w:rsidRPr="009C3533" w:rsidRDefault="002A4A6A" w:rsidP="00603C80">
      <w:pPr>
        <w:pStyle w:val="3-BodyText"/>
        <w:rPr>
          <w:i/>
          <w:iCs/>
          <w:lang w:val="en-US"/>
        </w:rPr>
      </w:pPr>
      <w:r>
        <w:t>The submission presented a cost-minimisation approach comparing the total cost of treatment with UST versus IFX</w:t>
      </w:r>
      <w:r>
        <w:rPr>
          <w:rFonts w:eastAsiaTheme="minorEastAsia"/>
          <w:szCs w:val="22"/>
          <w:lang w:eastAsia="en-US"/>
        </w:rPr>
        <w:t xml:space="preserve"> (IV only) over the first two years (104 weeks), accounting for IV infusion administration costs. The submission </w:t>
      </w:r>
      <w:r w:rsidR="000865DA">
        <w:rPr>
          <w:rFonts w:eastAsiaTheme="minorEastAsia"/>
          <w:szCs w:val="22"/>
          <w:lang w:eastAsia="en-US"/>
        </w:rPr>
        <w:t xml:space="preserve">stated </w:t>
      </w:r>
      <w:r>
        <w:rPr>
          <w:rFonts w:eastAsiaTheme="minorEastAsia"/>
          <w:szCs w:val="22"/>
          <w:lang w:eastAsia="en-US"/>
        </w:rPr>
        <w:t xml:space="preserve">IFX was the least costly alternative based on the </w:t>
      </w:r>
      <w:r w:rsidRPr="009C3533">
        <w:rPr>
          <w:rFonts w:eastAsiaTheme="minorEastAsia"/>
          <w:szCs w:val="22"/>
          <w:lang w:eastAsia="en-US"/>
        </w:rPr>
        <w:t>current list prices of IFX and ADA</w:t>
      </w:r>
      <w:r w:rsidR="00723B57" w:rsidRPr="009C3533">
        <w:rPr>
          <w:rFonts w:eastAsiaTheme="minorEastAsia"/>
          <w:szCs w:val="22"/>
          <w:lang w:eastAsia="en-US"/>
        </w:rPr>
        <w:t>.</w:t>
      </w:r>
      <w:r w:rsidR="000865DA" w:rsidRPr="009C3533">
        <w:rPr>
          <w:rFonts w:eastAsiaTheme="minorEastAsia"/>
          <w:szCs w:val="22"/>
          <w:lang w:eastAsia="en-US"/>
        </w:rPr>
        <w:t xml:space="preserve"> </w:t>
      </w:r>
      <w:r w:rsidR="00557339" w:rsidRPr="009C3533">
        <w:rPr>
          <w:rFonts w:eastAsiaTheme="minorEastAsia"/>
          <w:szCs w:val="22"/>
          <w:lang w:eastAsia="en-US"/>
        </w:rPr>
        <w:t>Over the first two years, the average cost of treatment with ADA is $17,329.20 (</w:t>
      </w:r>
      <w:r w:rsidR="00603C80" w:rsidRPr="009C3533">
        <w:rPr>
          <w:rFonts w:eastAsiaTheme="minorEastAsia"/>
          <w:szCs w:val="22"/>
          <w:lang w:eastAsia="en-US"/>
        </w:rPr>
        <w:t xml:space="preserve">calculated during the evaluation assuming an </w:t>
      </w:r>
      <w:r w:rsidR="00557339" w:rsidRPr="009C3533">
        <w:rPr>
          <w:rFonts w:eastAsiaTheme="minorEastAsia"/>
          <w:szCs w:val="22"/>
          <w:lang w:eastAsia="en-US"/>
        </w:rPr>
        <w:t xml:space="preserve">AEMP </w:t>
      </w:r>
      <w:r w:rsidR="00603C80" w:rsidRPr="009C3533">
        <w:rPr>
          <w:rFonts w:eastAsiaTheme="minorEastAsia"/>
          <w:szCs w:val="22"/>
          <w:lang w:eastAsia="en-US"/>
        </w:rPr>
        <w:t xml:space="preserve">of </w:t>
      </w:r>
      <w:r w:rsidR="00557339" w:rsidRPr="009C3533">
        <w:rPr>
          <w:rFonts w:eastAsiaTheme="minorEastAsia"/>
          <w:szCs w:val="22"/>
          <w:lang w:eastAsia="en-US"/>
        </w:rPr>
        <w:t>$618.90 for 2x ADA 40</w:t>
      </w:r>
      <w:r w:rsidR="00A24D76" w:rsidRPr="009C3533">
        <w:rPr>
          <w:rFonts w:eastAsiaTheme="minorEastAsia"/>
          <w:szCs w:val="22"/>
          <w:lang w:eastAsia="en-US"/>
        </w:rPr>
        <w:t xml:space="preserve"> </w:t>
      </w:r>
      <w:r w:rsidR="00557339" w:rsidRPr="009C3533">
        <w:rPr>
          <w:rFonts w:eastAsiaTheme="minorEastAsia"/>
          <w:szCs w:val="22"/>
          <w:lang w:eastAsia="en-US"/>
        </w:rPr>
        <w:t xml:space="preserve">mg pre-filled syringe), compared to </w:t>
      </w:r>
      <w:r w:rsidR="00603C80" w:rsidRPr="009C3533">
        <w:rPr>
          <w:rFonts w:eastAsiaTheme="minorEastAsia"/>
          <w:szCs w:val="22"/>
          <w:lang w:eastAsia="en-US"/>
        </w:rPr>
        <w:t>the</w:t>
      </w:r>
      <w:r w:rsidR="00557339" w:rsidRPr="009C3533">
        <w:rPr>
          <w:rFonts w:eastAsiaTheme="minorEastAsia"/>
          <w:szCs w:val="22"/>
          <w:lang w:eastAsia="en-US"/>
        </w:rPr>
        <w:t xml:space="preserve"> average cost of treatment with IFX of $16,378.00 (</w:t>
      </w:r>
      <w:r w:rsidR="00603C80" w:rsidRPr="009C3533">
        <w:rPr>
          <w:rFonts w:eastAsiaTheme="minorEastAsia"/>
          <w:szCs w:val="22"/>
          <w:lang w:eastAsia="en-US"/>
        </w:rPr>
        <w:t xml:space="preserve">calculated </w:t>
      </w:r>
      <w:r w:rsidR="00557339" w:rsidRPr="009C3533">
        <w:rPr>
          <w:rFonts w:eastAsiaTheme="minorEastAsia"/>
          <w:szCs w:val="22"/>
          <w:lang w:eastAsia="en-US"/>
        </w:rPr>
        <w:t>in the submission, see details below).</w:t>
      </w:r>
    </w:p>
    <w:p w14:paraId="04BC7F62" w14:textId="77777777" w:rsidR="00194C75" w:rsidRDefault="002E0375" w:rsidP="00194C75">
      <w:pPr>
        <w:pStyle w:val="3-BodyText"/>
        <w:rPr>
          <w:lang w:val="en-US"/>
        </w:rPr>
      </w:pPr>
      <w:r w:rsidRPr="002E0375">
        <w:t xml:space="preserve">The </w:t>
      </w:r>
      <w:r w:rsidR="002A4A6A">
        <w:t xml:space="preserve">proposed </w:t>
      </w:r>
      <w:r w:rsidRPr="002E0375">
        <w:t>equi-</w:t>
      </w:r>
      <w:r w:rsidRPr="002E0375">
        <w:rPr>
          <w:lang w:val="en-US"/>
        </w:rPr>
        <w:t xml:space="preserve">effective doses </w:t>
      </w:r>
      <w:r>
        <w:rPr>
          <w:lang w:val="en-US"/>
        </w:rPr>
        <w:t>were</w:t>
      </w:r>
      <w:r w:rsidRPr="002E0375">
        <w:rPr>
          <w:lang w:val="en-US"/>
        </w:rPr>
        <w:t xml:space="preserve"> based on </w:t>
      </w:r>
      <w:r>
        <w:rPr>
          <w:lang w:val="en-US"/>
        </w:rPr>
        <w:t xml:space="preserve">the </w:t>
      </w:r>
      <w:r w:rsidRPr="002E0375">
        <w:rPr>
          <w:lang w:val="en-US"/>
        </w:rPr>
        <w:t>recommended doses:</w:t>
      </w:r>
    </w:p>
    <w:p w14:paraId="59880CED" w14:textId="4DDD66A3" w:rsidR="00194C75" w:rsidRPr="00194C75" w:rsidRDefault="00194C75" w:rsidP="00F81A33">
      <w:pPr>
        <w:pStyle w:val="ListParagraph"/>
        <w:numPr>
          <w:ilvl w:val="0"/>
          <w:numId w:val="12"/>
        </w:numPr>
        <w:ind w:left="1134"/>
        <w:rPr>
          <w:lang w:val="en-US"/>
        </w:rPr>
      </w:pPr>
      <w:r w:rsidRPr="00194C75">
        <w:rPr>
          <w:rFonts w:eastAsiaTheme="minorEastAsia"/>
          <w:lang w:eastAsia="en-US"/>
        </w:rPr>
        <w:t>UST IV weight-based dose at Week 0, UST SC 90 mg at Week 8, then UST SC 90</w:t>
      </w:r>
      <w:r w:rsidR="00AB00C2">
        <w:rPr>
          <w:rFonts w:eastAsiaTheme="minorEastAsia"/>
          <w:lang w:eastAsia="en-US"/>
        </w:rPr>
        <w:t> </w:t>
      </w:r>
      <w:r w:rsidRPr="00194C75">
        <w:rPr>
          <w:rFonts w:eastAsiaTheme="minorEastAsia"/>
          <w:lang w:eastAsia="en-US"/>
        </w:rPr>
        <w:t>mg Q8W thereafter;</w:t>
      </w:r>
    </w:p>
    <w:p w14:paraId="56D18E39" w14:textId="315DCAB9" w:rsidR="00194C75" w:rsidRPr="00194C75" w:rsidRDefault="00194C75" w:rsidP="00F81A33">
      <w:pPr>
        <w:pStyle w:val="ListParagraph"/>
        <w:numPr>
          <w:ilvl w:val="0"/>
          <w:numId w:val="12"/>
        </w:numPr>
        <w:ind w:left="1134"/>
        <w:rPr>
          <w:lang w:val="en-US"/>
        </w:rPr>
      </w:pPr>
      <w:r w:rsidRPr="00194C75">
        <w:rPr>
          <w:rFonts w:eastAsiaTheme="minorEastAsia"/>
          <w:lang w:eastAsia="en-US"/>
        </w:rPr>
        <w:t>UST IV weight-based dose at Week 0, UST SC 90 mg at Week 8, then UST SC 90</w:t>
      </w:r>
      <w:r w:rsidR="00AB00C2">
        <w:rPr>
          <w:rFonts w:eastAsiaTheme="minorEastAsia"/>
          <w:lang w:eastAsia="en-US"/>
        </w:rPr>
        <w:t> </w:t>
      </w:r>
      <w:r w:rsidRPr="00194C75">
        <w:rPr>
          <w:rFonts w:eastAsiaTheme="minorEastAsia"/>
          <w:lang w:eastAsia="en-US"/>
        </w:rPr>
        <w:t>mg Q12W thereafter;</w:t>
      </w:r>
    </w:p>
    <w:p w14:paraId="66ACA58A" w14:textId="4E18C641" w:rsidR="00194C75" w:rsidRDefault="00194C75" w:rsidP="00F81A33">
      <w:pPr>
        <w:pStyle w:val="ListParagraph"/>
        <w:numPr>
          <w:ilvl w:val="0"/>
          <w:numId w:val="12"/>
        </w:numPr>
        <w:ind w:left="1134"/>
        <w:rPr>
          <w:rFonts w:eastAsiaTheme="minorEastAsia"/>
          <w:lang w:eastAsia="en-US"/>
        </w:rPr>
      </w:pPr>
      <w:r w:rsidRPr="00194C75">
        <w:rPr>
          <w:rFonts w:eastAsiaTheme="minorEastAsia"/>
          <w:lang w:eastAsia="en-US"/>
        </w:rPr>
        <w:t>IFX IV 5 mg/kg at Weeks 0, 2, 6, then Q8W thereafter.</w:t>
      </w:r>
    </w:p>
    <w:p w14:paraId="277A96D6" w14:textId="36813C7E" w:rsidR="00E73F40" w:rsidRPr="00290E77" w:rsidRDefault="00E73F40" w:rsidP="00557339">
      <w:pPr>
        <w:pStyle w:val="3-BodyText"/>
        <w:numPr>
          <w:ilvl w:val="0"/>
          <w:numId w:val="0"/>
        </w:numPr>
        <w:ind w:left="720"/>
        <w:rPr>
          <w:rFonts w:eastAsiaTheme="minorEastAsia"/>
          <w:lang w:eastAsia="en-US"/>
        </w:rPr>
      </w:pPr>
      <w:r w:rsidRPr="00290E77">
        <w:rPr>
          <w:rFonts w:eastAsiaTheme="minorEastAsia"/>
          <w:lang w:eastAsia="en-US"/>
        </w:rPr>
        <w:t xml:space="preserve">The </w:t>
      </w:r>
      <w:r w:rsidR="00557339" w:rsidRPr="00290E77">
        <w:rPr>
          <w:rFonts w:eastAsiaTheme="minorEastAsia"/>
          <w:lang w:eastAsia="en-US"/>
        </w:rPr>
        <w:t xml:space="preserve">submission did not consider the IFX SC formulation in the </w:t>
      </w:r>
      <w:r w:rsidRPr="00290E77">
        <w:rPr>
          <w:rFonts w:eastAsiaTheme="minorEastAsia"/>
          <w:lang w:eastAsia="en-US"/>
        </w:rPr>
        <w:t>cost-minimisation approach, which the PBAC recommended for fistulising CD in November 2020 on the basis of cost-minimisation versus IFX IV.</w:t>
      </w:r>
    </w:p>
    <w:p w14:paraId="51B2BD55" w14:textId="36CB33E7" w:rsidR="00037D01" w:rsidRPr="00290E77" w:rsidRDefault="00BA296B" w:rsidP="00037D01">
      <w:pPr>
        <w:pStyle w:val="3-BodyText"/>
        <w:rPr>
          <w:lang w:val="en-US"/>
        </w:rPr>
      </w:pPr>
      <w:r w:rsidRPr="00290E77">
        <w:rPr>
          <w:rFonts w:eastAsiaTheme="minorEastAsia"/>
          <w:szCs w:val="22"/>
          <w:lang w:eastAsia="en-US"/>
        </w:rPr>
        <w:fldChar w:fldCharType="begin"/>
      </w:r>
      <w:r w:rsidRPr="00290E77">
        <w:rPr>
          <w:rFonts w:eastAsiaTheme="minorEastAsia"/>
          <w:szCs w:val="22"/>
          <w:lang w:eastAsia="en-US"/>
        </w:rPr>
        <w:instrText xml:space="preserve"> REF _Ref132561969 \h </w:instrText>
      </w:r>
      <w:r w:rsidR="00290E77" w:rsidRPr="00290E77">
        <w:rPr>
          <w:rFonts w:eastAsiaTheme="minorEastAsia"/>
          <w:szCs w:val="22"/>
          <w:lang w:eastAsia="en-US"/>
        </w:rPr>
        <w:instrText xml:space="preserve"> \* MERGEFORMAT </w:instrText>
      </w:r>
      <w:r w:rsidRPr="00290E77">
        <w:rPr>
          <w:rFonts w:eastAsiaTheme="minorEastAsia"/>
          <w:szCs w:val="22"/>
          <w:lang w:eastAsia="en-US"/>
        </w:rPr>
      </w:r>
      <w:r w:rsidRPr="00290E77">
        <w:rPr>
          <w:rFonts w:eastAsiaTheme="minorEastAsia"/>
          <w:szCs w:val="22"/>
          <w:lang w:eastAsia="en-US"/>
        </w:rPr>
        <w:fldChar w:fldCharType="separate"/>
      </w:r>
      <w:r w:rsidR="00522D5A">
        <w:t xml:space="preserve">Table </w:t>
      </w:r>
      <w:r w:rsidR="00522D5A">
        <w:rPr>
          <w:noProof/>
        </w:rPr>
        <w:t>7</w:t>
      </w:r>
      <w:r w:rsidRPr="00290E77">
        <w:rPr>
          <w:rFonts w:eastAsiaTheme="minorEastAsia"/>
          <w:szCs w:val="22"/>
          <w:lang w:eastAsia="en-US"/>
        </w:rPr>
        <w:fldChar w:fldCharType="end"/>
      </w:r>
      <w:r w:rsidRPr="00290E77">
        <w:rPr>
          <w:rFonts w:eastAsiaTheme="minorEastAsia"/>
          <w:szCs w:val="22"/>
          <w:lang w:eastAsia="en-US"/>
        </w:rPr>
        <w:t xml:space="preserve"> </w:t>
      </w:r>
      <w:r w:rsidR="00037D01" w:rsidRPr="00290E77">
        <w:rPr>
          <w:rFonts w:eastAsiaTheme="minorEastAsia"/>
          <w:szCs w:val="22"/>
          <w:lang w:eastAsia="en-US"/>
        </w:rPr>
        <w:t>shows the results of the cost-minimisation approach presented in the submission, based on the following assumptions:</w:t>
      </w:r>
    </w:p>
    <w:p w14:paraId="4967D070" w14:textId="77B31B83" w:rsidR="00037D01" w:rsidRPr="00290E77" w:rsidRDefault="00037D01" w:rsidP="00F81A33">
      <w:pPr>
        <w:pStyle w:val="ListParagraph"/>
        <w:numPr>
          <w:ilvl w:val="0"/>
          <w:numId w:val="12"/>
        </w:numPr>
        <w:ind w:left="1134"/>
        <w:rPr>
          <w:rFonts w:eastAsiaTheme="minorEastAsia"/>
          <w:lang w:eastAsia="en-US"/>
        </w:rPr>
      </w:pPr>
      <w:r w:rsidRPr="00290E77">
        <w:rPr>
          <w:rFonts w:eastAsiaTheme="minorEastAsia"/>
          <w:lang w:eastAsia="en-US"/>
        </w:rPr>
        <w:t>The cost minimisation approach assume</w:t>
      </w:r>
      <w:r w:rsidR="00815637" w:rsidRPr="00290E77">
        <w:rPr>
          <w:rFonts w:eastAsiaTheme="minorEastAsia"/>
          <w:lang w:eastAsia="en-US"/>
        </w:rPr>
        <w:t>d</w:t>
      </w:r>
      <w:r w:rsidRPr="00290E77">
        <w:rPr>
          <w:rFonts w:eastAsiaTheme="minorEastAsia"/>
          <w:lang w:eastAsia="en-US"/>
        </w:rPr>
        <w:t xml:space="preserve"> equivalent total cost of treatment with IFX IV and UST over the first two years (104 weeks). Given UST includes both IV and SC formulations for initial treatment, and the SC formulation for continuing treatment, the cost-minimisation approach was conducted separately for initial and continuing treatment periods. The submission first calculated the AEMP for the UST SC formulation to ensure cost equivalence for continuing treatment then calculated the AEMP for the US</w:t>
      </w:r>
      <w:r w:rsidR="00F13C13" w:rsidRPr="00290E77">
        <w:rPr>
          <w:rFonts w:eastAsiaTheme="minorEastAsia"/>
          <w:lang w:eastAsia="en-US"/>
        </w:rPr>
        <w:t>T</w:t>
      </w:r>
      <w:r w:rsidRPr="00290E77">
        <w:rPr>
          <w:rFonts w:eastAsiaTheme="minorEastAsia"/>
          <w:lang w:eastAsia="en-US"/>
        </w:rPr>
        <w:t xml:space="preserve"> IV formulation to ensure cost equivalence for initial treatment.</w:t>
      </w:r>
    </w:p>
    <w:p w14:paraId="4E9D4DC3" w14:textId="7C38F064" w:rsidR="00037D01" w:rsidRPr="00290E77" w:rsidRDefault="00037D01" w:rsidP="00F81A33">
      <w:pPr>
        <w:pStyle w:val="ListParagraph"/>
        <w:numPr>
          <w:ilvl w:val="0"/>
          <w:numId w:val="12"/>
        </w:numPr>
        <w:ind w:left="1134"/>
        <w:rPr>
          <w:rFonts w:eastAsiaTheme="minorEastAsia"/>
          <w:lang w:eastAsia="en-US"/>
        </w:rPr>
      </w:pPr>
      <w:r w:rsidRPr="00290E77">
        <w:rPr>
          <w:rFonts w:eastAsiaTheme="minorEastAsia"/>
          <w:lang w:eastAsia="en-US"/>
        </w:rPr>
        <w:t>The cost minimisation approach also include</w:t>
      </w:r>
      <w:r w:rsidR="00815637" w:rsidRPr="00290E77">
        <w:rPr>
          <w:rFonts w:eastAsiaTheme="minorEastAsia"/>
          <w:lang w:eastAsia="en-US"/>
        </w:rPr>
        <w:t>d</w:t>
      </w:r>
      <w:r w:rsidRPr="00290E77">
        <w:rPr>
          <w:rFonts w:eastAsiaTheme="minorEastAsia"/>
          <w:lang w:eastAsia="en-US"/>
        </w:rPr>
        <w:t xml:space="preserve"> separate calculations for patients </w:t>
      </w:r>
      <w:r w:rsidRPr="00322704">
        <w:rPr>
          <w:rFonts w:eastAsiaTheme="minorEastAsia"/>
          <w:lang w:eastAsia="en-US"/>
        </w:rPr>
        <w:t xml:space="preserve">treated with the UST Q8W regimen and UST Q12W, given they require a different number of scripts for maintenance therapy. The submission then derived the average weighted AEMPs for the UST 130 mg vial and UST 90 mg pre-filled syringe </w:t>
      </w:r>
      <w:r w:rsidRPr="00322704">
        <w:rPr>
          <w:rFonts w:eastAsiaTheme="minorEastAsia"/>
          <w:lang w:eastAsia="en-US"/>
        </w:rPr>
        <w:lastRenderedPageBreak/>
        <w:t>assuming 88% of patients will use the UST Q8W regimen and 12% of patients will use the UST Q12W regimen.</w:t>
      </w:r>
      <w:r w:rsidR="00A004E0" w:rsidRPr="00322704">
        <w:rPr>
          <w:rFonts w:eastAsiaTheme="minorEastAsia"/>
          <w:lang w:eastAsia="en-US"/>
        </w:rPr>
        <w:t xml:space="preserve"> The proportional use of the Q8W and Q12W regimens was based on a clinician survey (N=27), presented in the UST July 2022 submission for ulcerative colitis.</w:t>
      </w:r>
    </w:p>
    <w:p w14:paraId="21C8E412" w14:textId="56FE352F" w:rsidR="00037D01" w:rsidRPr="00290E77" w:rsidRDefault="00037D01" w:rsidP="00F81A33">
      <w:pPr>
        <w:pStyle w:val="ListParagraph"/>
        <w:numPr>
          <w:ilvl w:val="0"/>
          <w:numId w:val="12"/>
        </w:numPr>
        <w:ind w:left="1134"/>
        <w:rPr>
          <w:rFonts w:eastAsiaTheme="minorEastAsia"/>
          <w:lang w:eastAsia="en-US"/>
        </w:rPr>
      </w:pPr>
      <w:r w:rsidRPr="00290E77">
        <w:t xml:space="preserve">For IFX IV, the submission assumed an average </w:t>
      </w:r>
      <w:r w:rsidRPr="00322704">
        <w:t xml:space="preserve">of 4.17 </w:t>
      </w:r>
      <w:r w:rsidRPr="00290E77">
        <w:t xml:space="preserve">x IFX 100 mg vials per infusion based on </w:t>
      </w:r>
      <w:r w:rsidRPr="00290E77">
        <w:rPr>
          <w:rFonts w:eastAsiaTheme="minorEastAsia"/>
          <w:lang w:eastAsia="en-US"/>
        </w:rPr>
        <w:t>the distribution body weight of adults treated with a bDMARD for CD in Australia</w:t>
      </w:r>
      <w:r w:rsidR="005657BA" w:rsidRPr="00290E77">
        <w:rPr>
          <w:rFonts w:eastAsiaTheme="minorEastAsia"/>
          <w:lang w:eastAsia="en-US"/>
        </w:rPr>
        <w:t xml:space="preserve"> (using EPISOFT data presented in March 2017 submission)</w:t>
      </w:r>
      <w:r w:rsidRPr="00290E77">
        <w:rPr>
          <w:rFonts w:eastAsiaTheme="minorEastAsia"/>
          <w:lang w:eastAsia="en-US"/>
        </w:rPr>
        <w:t xml:space="preserve">. For the UST IV loading dose, the submission assumed 3 x UST 130 mg vials would be required. </w:t>
      </w:r>
      <w:r w:rsidR="00837386" w:rsidRPr="00290E77">
        <w:t xml:space="preserve">The submission did not provide any detail of the method used to estimate the </w:t>
      </w:r>
      <w:r w:rsidR="00837386" w:rsidRPr="00322704">
        <w:t>3 vials of UST.</w:t>
      </w:r>
      <w:r w:rsidR="00521B7B" w:rsidRPr="00322704">
        <w:t xml:space="preserve"> </w:t>
      </w:r>
      <w:r w:rsidR="00837386" w:rsidRPr="00322704">
        <w:t>Presumably, an average of 4.17 vials of IFX corresponds to an average weight of 83 kg and 3.0</w:t>
      </w:r>
      <w:r w:rsidR="00837386" w:rsidRPr="00290E77">
        <w:t xml:space="preserve"> vials of UST is required for patients weighing </w:t>
      </w:r>
      <w:r w:rsidR="00837386" w:rsidRPr="00322704">
        <w:t>&gt;55</w:t>
      </w:r>
      <w:r w:rsidR="00AB00C2">
        <w:t> </w:t>
      </w:r>
      <w:r w:rsidR="00837386" w:rsidRPr="00322704">
        <w:t xml:space="preserve">kg and </w:t>
      </w:r>
      <w:r w:rsidR="00837386" w:rsidRPr="00322704">
        <w:rPr>
          <w:rFonts w:cs="Calibri"/>
        </w:rPr>
        <w:t>≤</w:t>
      </w:r>
      <w:r w:rsidR="00837386" w:rsidRPr="00322704">
        <w:t>85</w:t>
      </w:r>
      <w:r w:rsidR="00AB00C2">
        <w:t> </w:t>
      </w:r>
      <w:r w:rsidR="00837386" w:rsidRPr="00322704">
        <w:t>kg</w:t>
      </w:r>
      <w:r w:rsidR="00C25150" w:rsidRPr="00322704">
        <w:t>.</w:t>
      </w:r>
    </w:p>
    <w:p w14:paraId="32DC39CA" w14:textId="2F6B323A" w:rsidR="00B043AC" w:rsidRPr="00290E77" w:rsidRDefault="00037D01" w:rsidP="00F81A33">
      <w:pPr>
        <w:pStyle w:val="ListParagraph"/>
        <w:numPr>
          <w:ilvl w:val="0"/>
          <w:numId w:val="12"/>
        </w:numPr>
        <w:ind w:left="1134"/>
        <w:rPr>
          <w:lang w:val="en-US"/>
        </w:rPr>
      </w:pPr>
      <w:r w:rsidRPr="00290E77">
        <w:rPr>
          <w:rFonts w:eastAsiaTheme="minorEastAsia"/>
          <w:lang w:eastAsia="en-US"/>
        </w:rPr>
        <w:t>The calculations use</w:t>
      </w:r>
      <w:r w:rsidR="00815637" w:rsidRPr="00290E77">
        <w:rPr>
          <w:rFonts w:eastAsiaTheme="minorEastAsia"/>
          <w:lang w:eastAsia="en-US"/>
        </w:rPr>
        <w:t>d</w:t>
      </w:r>
      <w:r w:rsidRPr="00290E77">
        <w:rPr>
          <w:rFonts w:eastAsiaTheme="minorEastAsia"/>
          <w:lang w:eastAsia="en-US"/>
        </w:rPr>
        <w:t xml:space="preserve"> the published AEMP for IFX IV, which the submission stated was the same as the effective AEMP because IFX is listed on the F2 formulary and is no longer subject to confidential pricing arrangements. The derived weighted AEMPs for UST 130 mg vial and UST 90 mg pre-filled syringe reflect the requested effective AEMP under the proposed special pricing arrangement for UST.</w:t>
      </w:r>
    </w:p>
    <w:p w14:paraId="1B49268F" w14:textId="06D48591" w:rsidR="002E0375" w:rsidRPr="00290E77" w:rsidRDefault="00037D01" w:rsidP="00F81A33">
      <w:pPr>
        <w:pStyle w:val="ListParagraph"/>
        <w:numPr>
          <w:ilvl w:val="0"/>
          <w:numId w:val="12"/>
        </w:numPr>
        <w:ind w:left="1134"/>
        <w:rPr>
          <w:lang w:val="en-US"/>
        </w:rPr>
      </w:pPr>
      <w:r w:rsidRPr="00290E77">
        <w:rPr>
          <w:rFonts w:eastAsiaTheme="minorEastAsia"/>
          <w:lang w:eastAsia="en-US"/>
        </w:rPr>
        <w:t>The calculations include</w:t>
      </w:r>
      <w:r w:rsidR="00815637" w:rsidRPr="00290E77">
        <w:rPr>
          <w:rFonts w:eastAsiaTheme="minorEastAsia"/>
          <w:lang w:eastAsia="en-US"/>
        </w:rPr>
        <w:t>d</w:t>
      </w:r>
      <w:r w:rsidRPr="00290E77">
        <w:rPr>
          <w:rFonts w:eastAsiaTheme="minorEastAsia"/>
          <w:lang w:eastAsia="en-US"/>
        </w:rPr>
        <w:t xml:space="preserve"> administration costs for IV infusions (UST IV loading dose at Week 0 and every dose of IFX IV), assuming a unit cost per infusion </w:t>
      </w:r>
      <w:r w:rsidR="00282FAE" w:rsidRPr="00290E77">
        <w:rPr>
          <w:rFonts w:eastAsiaTheme="minorEastAsia"/>
          <w:lang w:eastAsia="en-US"/>
        </w:rPr>
        <w:t xml:space="preserve">of </w:t>
      </w:r>
      <w:r w:rsidRPr="009C3533">
        <w:rPr>
          <w:rFonts w:eastAsiaTheme="minorEastAsia"/>
          <w:lang w:eastAsia="en-US"/>
        </w:rPr>
        <w:t xml:space="preserve">$88.05 </w:t>
      </w:r>
      <w:r w:rsidR="00282FAE" w:rsidRPr="009C3533">
        <w:rPr>
          <w:rFonts w:eastAsiaTheme="minorEastAsia"/>
          <w:lang w:eastAsia="en-US"/>
        </w:rPr>
        <w:t>(</w:t>
      </w:r>
      <w:r w:rsidRPr="009C3533">
        <w:rPr>
          <w:rFonts w:eastAsiaTheme="minorEastAsia"/>
          <w:lang w:eastAsia="en-US"/>
        </w:rPr>
        <w:t>corresponding</w:t>
      </w:r>
      <w:r w:rsidRPr="00290E77">
        <w:rPr>
          <w:rFonts w:eastAsiaTheme="minorEastAsia"/>
          <w:lang w:eastAsia="en-US"/>
        </w:rPr>
        <w:t xml:space="preserve"> to the 85% schedule fee of MBS item 14245</w:t>
      </w:r>
      <w:r w:rsidR="00282FAE" w:rsidRPr="00290E77">
        <w:rPr>
          <w:rFonts w:eastAsiaTheme="minorEastAsia"/>
          <w:lang w:eastAsia="en-US"/>
        </w:rPr>
        <w:t>).</w:t>
      </w:r>
      <w:r w:rsidR="00B41579" w:rsidRPr="00290E77">
        <w:rPr>
          <w:rFonts w:eastAsiaTheme="minorEastAsia"/>
          <w:lang w:eastAsia="en-US"/>
        </w:rPr>
        <w:t xml:space="preserve"> </w:t>
      </w:r>
      <w:r w:rsidR="00282FAE" w:rsidRPr="00290E77">
        <w:rPr>
          <w:rFonts w:eastAsiaTheme="minorEastAsia"/>
          <w:lang w:eastAsia="en-US"/>
        </w:rPr>
        <w:t>The submission incorrectly</w:t>
      </w:r>
      <w:r w:rsidR="00666E37" w:rsidRPr="00290E77">
        <w:rPr>
          <w:rFonts w:eastAsiaTheme="minorEastAsia" w:cs="Calibri"/>
          <w:lang w:eastAsia="en-US"/>
        </w:rPr>
        <w:t xml:space="preserve"> attributed the </w:t>
      </w:r>
      <w:r w:rsidR="00282FAE" w:rsidRPr="00290E77">
        <w:rPr>
          <w:rFonts w:eastAsiaTheme="minorEastAsia" w:cs="Calibri"/>
          <w:lang w:eastAsia="en-US"/>
        </w:rPr>
        <w:t xml:space="preserve">unit cost </w:t>
      </w:r>
      <w:r w:rsidR="00666E37" w:rsidRPr="00290E77">
        <w:rPr>
          <w:rFonts w:eastAsiaTheme="minorEastAsia" w:cs="Calibri"/>
          <w:lang w:eastAsia="en-US"/>
        </w:rPr>
        <w:t>to MBS item 116</w:t>
      </w:r>
      <w:r w:rsidR="00791155" w:rsidRPr="00290E77">
        <w:rPr>
          <w:rFonts w:eastAsiaTheme="minorEastAsia" w:cs="Calibri"/>
          <w:lang w:eastAsia="en-US"/>
        </w:rPr>
        <w:t xml:space="preserve">, but the PBAC had </w:t>
      </w:r>
      <w:r w:rsidR="00666E37" w:rsidRPr="00290E77">
        <w:rPr>
          <w:rFonts w:eastAsiaTheme="minorEastAsia" w:cs="Calibri"/>
          <w:lang w:eastAsia="en-US"/>
        </w:rPr>
        <w:t xml:space="preserve">considered </w:t>
      </w:r>
      <w:r w:rsidR="00791155" w:rsidRPr="00290E77">
        <w:rPr>
          <w:rFonts w:eastAsiaTheme="minorEastAsia" w:cs="Calibri"/>
          <w:lang w:eastAsia="en-US"/>
        </w:rPr>
        <w:t xml:space="preserve">MBS item 14245 </w:t>
      </w:r>
      <w:r w:rsidR="00666E37" w:rsidRPr="00290E77">
        <w:rPr>
          <w:rFonts w:eastAsiaTheme="minorEastAsia" w:cs="Calibri"/>
          <w:lang w:eastAsia="en-US"/>
        </w:rPr>
        <w:t xml:space="preserve">closely aligned to the administration duration </w:t>
      </w:r>
      <w:r w:rsidR="00791155" w:rsidRPr="00290E77">
        <w:rPr>
          <w:rFonts w:eastAsiaTheme="minorEastAsia" w:cs="Calibri"/>
          <w:lang w:eastAsia="en-US"/>
        </w:rPr>
        <w:t xml:space="preserve">of UST </w:t>
      </w:r>
      <w:r w:rsidR="00666E37" w:rsidRPr="00290E77">
        <w:rPr>
          <w:rFonts w:eastAsiaTheme="minorEastAsia" w:cs="Calibri"/>
          <w:lang w:eastAsia="en-US"/>
        </w:rPr>
        <w:t>in practice (paragraph 6.57, UST PSD, July 2022 PBAC Meeting).</w:t>
      </w:r>
    </w:p>
    <w:p w14:paraId="2BF323B5" w14:textId="46E05885" w:rsidR="00037D01" w:rsidRPr="00BA296B" w:rsidRDefault="00BA296B" w:rsidP="001C716C">
      <w:pPr>
        <w:pStyle w:val="Caption"/>
      </w:pPr>
      <w:bookmarkStart w:id="39" w:name="_Ref132561969"/>
      <w:r>
        <w:lastRenderedPageBreak/>
        <w:t xml:space="preserve">Table </w:t>
      </w:r>
      <w:fldSimple w:instr=" SEQ Table \* ARABIC ">
        <w:r w:rsidR="00522D5A">
          <w:rPr>
            <w:noProof/>
          </w:rPr>
          <w:t>7</w:t>
        </w:r>
      </w:fldSimple>
      <w:bookmarkEnd w:id="39"/>
      <w:r w:rsidR="00037D01" w:rsidRPr="00301E73">
        <w:rPr>
          <w:rFonts w:eastAsiaTheme="minorEastAsia"/>
          <w:snapToGrid w:val="0"/>
          <w:szCs w:val="16"/>
          <w:lang w:eastAsia="en-US"/>
        </w:rPr>
        <w:t>: Results of the cost-minimisation a</w:t>
      </w:r>
      <w:r w:rsidR="00037D01">
        <w:rPr>
          <w:rFonts w:eastAsiaTheme="minorEastAsia"/>
          <w:snapToGrid w:val="0"/>
          <w:szCs w:val="16"/>
          <w:lang w:eastAsia="en-US"/>
        </w:rPr>
        <w:t>pproach</w:t>
      </w:r>
      <w:r w:rsidR="00037D01" w:rsidRPr="00301E73">
        <w:rPr>
          <w:rFonts w:eastAsiaTheme="minorEastAsia"/>
          <w:snapToGrid w:val="0"/>
          <w:szCs w:val="16"/>
          <w:lang w:eastAsia="en-US"/>
        </w:rPr>
        <w:t xml:space="preserve"> </w:t>
      </w:r>
      <w:r w:rsidR="00037D01" w:rsidRPr="00E04E19">
        <w:rPr>
          <w:rFonts w:eastAsiaTheme="minorEastAsia"/>
          <w:snapToGrid w:val="0"/>
          <w:szCs w:val="16"/>
          <w:lang w:eastAsia="en-US"/>
        </w:rPr>
        <w:t>presented in the submission</w:t>
      </w:r>
      <w:r w:rsidR="00037D01" w:rsidRPr="00301E73">
        <w:rPr>
          <w:rFonts w:eastAsiaTheme="minorEastAsia"/>
          <w:snapToGrid w:val="0"/>
          <w:szCs w:val="16"/>
          <w:lang w:eastAsia="en-US"/>
        </w:rPr>
        <w:t xml:space="preserve"> (based on </w:t>
      </w:r>
      <w:r w:rsidR="00037D01">
        <w:rPr>
          <w:rFonts w:eastAsiaTheme="minorEastAsia"/>
          <w:snapToGrid w:val="0"/>
          <w:szCs w:val="16"/>
          <w:lang w:eastAsia="en-US"/>
        </w:rPr>
        <w:t>published AEMP</w:t>
      </w:r>
      <w:r w:rsidR="00037D01" w:rsidRPr="00301E73">
        <w:rPr>
          <w:rFonts w:eastAsiaTheme="minorEastAsia"/>
          <w:snapToGrid w:val="0"/>
          <w:szCs w:val="16"/>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9"/>
        <w:gridCol w:w="954"/>
        <w:gridCol w:w="956"/>
        <w:gridCol w:w="831"/>
        <w:gridCol w:w="123"/>
        <w:gridCol w:w="956"/>
        <w:gridCol w:w="956"/>
        <w:gridCol w:w="411"/>
        <w:gridCol w:w="543"/>
        <w:gridCol w:w="956"/>
        <w:gridCol w:w="952"/>
      </w:tblGrid>
      <w:tr w:rsidR="00037D01" w:rsidRPr="004A7F12" w14:paraId="46D2083F" w14:textId="77777777" w:rsidTr="00712094">
        <w:tc>
          <w:tcPr>
            <w:tcW w:w="765" w:type="pct"/>
            <w:vMerge w:val="restart"/>
            <w:vAlign w:val="center"/>
          </w:tcPr>
          <w:p w14:paraId="29ADAE0C" w14:textId="77777777" w:rsidR="00037D01" w:rsidRPr="004A7F12" w:rsidRDefault="00037D01" w:rsidP="001C716C">
            <w:pPr>
              <w:keepNext/>
              <w:keepLines/>
              <w:jc w:val="left"/>
              <w:rPr>
                <w:rFonts w:ascii="Arial Narrow" w:eastAsiaTheme="minorEastAsia" w:hAnsi="Arial Narrow" w:cs="Times New Roman"/>
                <w:b/>
                <w:sz w:val="20"/>
                <w:szCs w:val="20"/>
                <w:lang w:eastAsia="en-US"/>
              </w:rPr>
            </w:pPr>
            <w:r w:rsidRPr="004A7F12">
              <w:rPr>
                <w:rFonts w:ascii="Arial Narrow" w:eastAsiaTheme="minorEastAsia" w:hAnsi="Arial Narrow" w:cs="Times New Roman"/>
                <w:b/>
                <w:sz w:val="20"/>
                <w:szCs w:val="20"/>
                <w:lang w:eastAsia="en-US"/>
              </w:rPr>
              <w:t>Component</w:t>
            </w:r>
          </w:p>
        </w:tc>
        <w:tc>
          <w:tcPr>
            <w:tcW w:w="1059" w:type="pct"/>
            <w:gridSpan w:val="2"/>
          </w:tcPr>
          <w:p w14:paraId="06FACD4B" w14:textId="77777777" w:rsidR="00037D01" w:rsidRPr="004A7F12" w:rsidRDefault="00037D01" w:rsidP="001C716C">
            <w:pPr>
              <w:keepNext/>
              <w:keepLines/>
              <w:jc w:val="center"/>
              <w:rPr>
                <w:rFonts w:ascii="Arial Narrow" w:eastAsiaTheme="minorEastAsia" w:hAnsi="Arial Narrow" w:cs="Times New Roman"/>
                <w:b/>
                <w:sz w:val="20"/>
                <w:szCs w:val="20"/>
                <w:lang w:eastAsia="en-US"/>
              </w:rPr>
            </w:pPr>
            <w:r w:rsidRPr="004A7F12">
              <w:rPr>
                <w:rFonts w:ascii="Arial Narrow" w:eastAsiaTheme="minorEastAsia" w:hAnsi="Arial Narrow" w:cs="Times New Roman"/>
                <w:b/>
                <w:sz w:val="20"/>
                <w:szCs w:val="20"/>
                <w:lang w:eastAsia="en-US"/>
              </w:rPr>
              <w:t>IFX IV</w:t>
            </w:r>
          </w:p>
        </w:tc>
        <w:tc>
          <w:tcPr>
            <w:tcW w:w="1589" w:type="pct"/>
            <w:gridSpan w:val="4"/>
          </w:tcPr>
          <w:p w14:paraId="5EA25BEF" w14:textId="77777777" w:rsidR="00037D01" w:rsidRPr="004A7F12" w:rsidRDefault="00037D01" w:rsidP="001C716C">
            <w:pPr>
              <w:keepNext/>
              <w:keepLines/>
              <w:jc w:val="center"/>
              <w:rPr>
                <w:rFonts w:ascii="Arial Narrow" w:eastAsiaTheme="minorEastAsia" w:hAnsi="Arial Narrow" w:cs="Times New Roman"/>
                <w:b/>
                <w:sz w:val="20"/>
                <w:szCs w:val="20"/>
                <w:lang w:eastAsia="en-US"/>
              </w:rPr>
            </w:pPr>
            <w:r w:rsidRPr="004A7F12">
              <w:rPr>
                <w:rFonts w:ascii="Arial Narrow" w:eastAsiaTheme="minorEastAsia" w:hAnsi="Arial Narrow" w:cs="Times New Roman"/>
                <w:b/>
                <w:sz w:val="20"/>
                <w:szCs w:val="20"/>
                <w:lang w:eastAsia="en-US"/>
              </w:rPr>
              <w:t>UST (Q8W)</w:t>
            </w:r>
          </w:p>
        </w:tc>
        <w:tc>
          <w:tcPr>
            <w:tcW w:w="1587" w:type="pct"/>
            <w:gridSpan w:val="4"/>
          </w:tcPr>
          <w:p w14:paraId="15ADC7AE" w14:textId="77777777" w:rsidR="00037D01" w:rsidRPr="004A7F12" w:rsidRDefault="00037D01" w:rsidP="001C716C">
            <w:pPr>
              <w:keepNext/>
              <w:keepLines/>
              <w:jc w:val="center"/>
              <w:rPr>
                <w:rFonts w:ascii="Arial Narrow" w:eastAsiaTheme="minorEastAsia" w:hAnsi="Arial Narrow" w:cs="Times New Roman"/>
                <w:b/>
                <w:sz w:val="20"/>
                <w:szCs w:val="20"/>
                <w:lang w:eastAsia="en-US"/>
              </w:rPr>
            </w:pPr>
            <w:r w:rsidRPr="004A7F12">
              <w:rPr>
                <w:rFonts w:ascii="Arial Narrow" w:eastAsiaTheme="minorEastAsia" w:hAnsi="Arial Narrow" w:cs="Times New Roman"/>
                <w:b/>
                <w:sz w:val="20"/>
                <w:szCs w:val="20"/>
                <w:lang w:eastAsia="en-US"/>
              </w:rPr>
              <w:t>UST (Q12W)</w:t>
            </w:r>
          </w:p>
        </w:tc>
      </w:tr>
      <w:tr w:rsidR="00037D01" w:rsidRPr="004A7F12" w14:paraId="226D8FDF" w14:textId="77777777" w:rsidTr="00712094">
        <w:tc>
          <w:tcPr>
            <w:tcW w:w="765" w:type="pct"/>
            <w:vMerge/>
          </w:tcPr>
          <w:p w14:paraId="02932EE9" w14:textId="77777777" w:rsidR="00037D01" w:rsidRPr="004A7F12" w:rsidRDefault="00037D01" w:rsidP="001C716C">
            <w:pPr>
              <w:keepNext/>
              <w:keepLines/>
              <w:jc w:val="left"/>
              <w:rPr>
                <w:rFonts w:ascii="Arial Narrow" w:eastAsiaTheme="minorEastAsia" w:hAnsi="Arial Narrow" w:cs="Times New Roman"/>
                <w:b/>
                <w:sz w:val="20"/>
                <w:szCs w:val="20"/>
                <w:lang w:eastAsia="en-US"/>
              </w:rPr>
            </w:pPr>
          </w:p>
        </w:tc>
        <w:tc>
          <w:tcPr>
            <w:tcW w:w="529" w:type="pct"/>
          </w:tcPr>
          <w:p w14:paraId="637B41D6" w14:textId="77777777" w:rsidR="00037D01" w:rsidRPr="004A7F12" w:rsidRDefault="00037D01" w:rsidP="001C716C">
            <w:pPr>
              <w:keepNext/>
              <w:keepLines/>
              <w:jc w:val="center"/>
              <w:rPr>
                <w:rFonts w:ascii="Arial Narrow" w:eastAsiaTheme="minorEastAsia" w:hAnsi="Arial Narrow" w:cs="Times New Roman"/>
                <w:b/>
                <w:sz w:val="20"/>
                <w:szCs w:val="20"/>
                <w:lang w:eastAsia="en-US"/>
              </w:rPr>
            </w:pPr>
            <w:r w:rsidRPr="004A7F12">
              <w:rPr>
                <w:rFonts w:ascii="Arial Narrow" w:eastAsiaTheme="minorEastAsia" w:hAnsi="Arial Narrow" w:cs="Times New Roman"/>
                <w:b/>
                <w:sz w:val="20"/>
                <w:szCs w:val="20"/>
                <w:lang w:eastAsia="en-US"/>
              </w:rPr>
              <w:t>Initial</w:t>
            </w:r>
          </w:p>
        </w:tc>
        <w:tc>
          <w:tcPr>
            <w:tcW w:w="530" w:type="pct"/>
          </w:tcPr>
          <w:p w14:paraId="0A999A7F" w14:textId="77777777" w:rsidR="00037D01" w:rsidRPr="004A7F12" w:rsidRDefault="00037D01" w:rsidP="001C716C">
            <w:pPr>
              <w:keepNext/>
              <w:keepLines/>
              <w:jc w:val="center"/>
              <w:rPr>
                <w:rFonts w:ascii="Arial Narrow" w:eastAsiaTheme="minorEastAsia" w:hAnsi="Arial Narrow" w:cs="Times New Roman"/>
                <w:b/>
                <w:sz w:val="20"/>
                <w:szCs w:val="20"/>
                <w:lang w:eastAsia="en-US"/>
              </w:rPr>
            </w:pPr>
            <w:r w:rsidRPr="004A7F12">
              <w:rPr>
                <w:rFonts w:ascii="Arial Narrow" w:eastAsiaTheme="minorEastAsia" w:hAnsi="Arial Narrow" w:cs="Times New Roman"/>
                <w:b/>
                <w:sz w:val="20"/>
                <w:szCs w:val="20"/>
                <w:lang w:eastAsia="en-US"/>
              </w:rPr>
              <w:t>Continuing</w:t>
            </w:r>
          </w:p>
        </w:tc>
        <w:tc>
          <w:tcPr>
            <w:tcW w:w="1059" w:type="pct"/>
            <w:gridSpan w:val="3"/>
          </w:tcPr>
          <w:p w14:paraId="41C8A5E5" w14:textId="77777777" w:rsidR="00037D01" w:rsidRPr="004A7F12" w:rsidRDefault="00037D01" w:rsidP="001C716C">
            <w:pPr>
              <w:keepNext/>
              <w:keepLines/>
              <w:jc w:val="center"/>
              <w:rPr>
                <w:rFonts w:ascii="Arial Narrow" w:eastAsiaTheme="minorEastAsia" w:hAnsi="Arial Narrow" w:cs="Times New Roman"/>
                <w:b/>
                <w:sz w:val="20"/>
                <w:szCs w:val="20"/>
                <w:lang w:eastAsia="en-US"/>
              </w:rPr>
            </w:pPr>
            <w:r w:rsidRPr="004A7F12">
              <w:rPr>
                <w:rFonts w:ascii="Arial Narrow" w:eastAsiaTheme="minorEastAsia" w:hAnsi="Arial Narrow" w:cs="Times New Roman"/>
                <w:b/>
                <w:sz w:val="20"/>
                <w:szCs w:val="20"/>
                <w:lang w:eastAsia="en-US"/>
              </w:rPr>
              <w:t>Initial</w:t>
            </w:r>
          </w:p>
        </w:tc>
        <w:tc>
          <w:tcPr>
            <w:tcW w:w="530" w:type="pct"/>
          </w:tcPr>
          <w:p w14:paraId="49911F07" w14:textId="77777777" w:rsidR="00037D01" w:rsidRPr="004A7F12" w:rsidDel="002D342D" w:rsidRDefault="00037D01" w:rsidP="001C716C">
            <w:pPr>
              <w:keepNext/>
              <w:keepLines/>
              <w:jc w:val="center"/>
              <w:rPr>
                <w:rFonts w:ascii="Arial Narrow" w:eastAsiaTheme="minorEastAsia" w:hAnsi="Arial Narrow" w:cs="Times New Roman"/>
                <w:b/>
                <w:sz w:val="20"/>
                <w:szCs w:val="20"/>
                <w:lang w:eastAsia="en-US"/>
              </w:rPr>
            </w:pPr>
            <w:r w:rsidRPr="004A7F12">
              <w:rPr>
                <w:rFonts w:ascii="Arial Narrow" w:eastAsiaTheme="minorEastAsia" w:hAnsi="Arial Narrow" w:cs="Times New Roman"/>
                <w:b/>
                <w:sz w:val="20"/>
                <w:szCs w:val="20"/>
                <w:lang w:eastAsia="en-US"/>
              </w:rPr>
              <w:t>Continuing</w:t>
            </w:r>
          </w:p>
        </w:tc>
        <w:tc>
          <w:tcPr>
            <w:tcW w:w="1059" w:type="pct"/>
            <w:gridSpan w:val="3"/>
          </w:tcPr>
          <w:p w14:paraId="5F602B67" w14:textId="77777777" w:rsidR="00037D01" w:rsidRPr="004A7F12" w:rsidRDefault="00037D01" w:rsidP="001C716C">
            <w:pPr>
              <w:keepNext/>
              <w:keepLines/>
              <w:jc w:val="center"/>
              <w:rPr>
                <w:rFonts w:ascii="Arial Narrow" w:eastAsiaTheme="minorEastAsia" w:hAnsi="Arial Narrow" w:cs="Times New Roman"/>
                <w:b/>
                <w:sz w:val="20"/>
                <w:szCs w:val="20"/>
                <w:lang w:eastAsia="en-US"/>
              </w:rPr>
            </w:pPr>
            <w:r w:rsidRPr="004A7F12">
              <w:rPr>
                <w:rFonts w:ascii="Arial Narrow" w:eastAsiaTheme="minorEastAsia" w:hAnsi="Arial Narrow" w:cs="Times New Roman"/>
                <w:b/>
                <w:sz w:val="20"/>
                <w:szCs w:val="20"/>
                <w:lang w:eastAsia="en-US"/>
              </w:rPr>
              <w:t>Initial</w:t>
            </w:r>
          </w:p>
        </w:tc>
        <w:tc>
          <w:tcPr>
            <w:tcW w:w="528" w:type="pct"/>
          </w:tcPr>
          <w:p w14:paraId="076E02C9" w14:textId="77777777" w:rsidR="00037D01" w:rsidRPr="004A7F12" w:rsidRDefault="00037D01" w:rsidP="001C716C">
            <w:pPr>
              <w:keepNext/>
              <w:keepLines/>
              <w:jc w:val="center"/>
              <w:rPr>
                <w:rFonts w:ascii="Arial Narrow" w:eastAsiaTheme="minorEastAsia" w:hAnsi="Arial Narrow" w:cs="Times New Roman"/>
                <w:b/>
                <w:sz w:val="20"/>
                <w:szCs w:val="20"/>
                <w:lang w:eastAsia="en-US"/>
              </w:rPr>
            </w:pPr>
            <w:r w:rsidRPr="004A7F12">
              <w:rPr>
                <w:rFonts w:ascii="Arial Narrow" w:eastAsiaTheme="minorEastAsia" w:hAnsi="Arial Narrow" w:cs="Times New Roman"/>
                <w:b/>
                <w:sz w:val="20"/>
                <w:szCs w:val="20"/>
                <w:lang w:eastAsia="en-US"/>
              </w:rPr>
              <w:t>Continuing</w:t>
            </w:r>
          </w:p>
        </w:tc>
      </w:tr>
      <w:tr w:rsidR="00037D01" w:rsidRPr="004A7F12" w14:paraId="319B2F8B" w14:textId="77777777" w:rsidTr="00712094">
        <w:tc>
          <w:tcPr>
            <w:tcW w:w="765" w:type="pct"/>
            <w:vAlign w:val="center"/>
          </w:tcPr>
          <w:p w14:paraId="60350FFD" w14:textId="77777777" w:rsidR="00037D01" w:rsidRPr="004A7F12" w:rsidRDefault="00037D01" w:rsidP="001C716C">
            <w:pPr>
              <w:keepNext/>
              <w:keepLines/>
              <w:jc w:val="left"/>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PBS item (max qty)</w:t>
            </w:r>
          </w:p>
        </w:tc>
        <w:tc>
          <w:tcPr>
            <w:tcW w:w="529" w:type="pct"/>
            <w:vAlign w:val="center"/>
          </w:tcPr>
          <w:p w14:paraId="6EB33CAA"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100 mg</w:t>
            </w:r>
          </w:p>
          <w:p w14:paraId="6D2B4B34"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vial (1)</w:t>
            </w:r>
          </w:p>
        </w:tc>
        <w:tc>
          <w:tcPr>
            <w:tcW w:w="530" w:type="pct"/>
            <w:vAlign w:val="center"/>
          </w:tcPr>
          <w:p w14:paraId="30F0F710"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100 mg</w:t>
            </w:r>
          </w:p>
          <w:p w14:paraId="2742ED51"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vial (1)</w:t>
            </w:r>
          </w:p>
        </w:tc>
        <w:tc>
          <w:tcPr>
            <w:tcW w:w="529" w:type="pct"/>
            <w:gridSpan w:val="2"/>
            <w:tcBorders>
              <w:bottom w:val="single" w:sz="4" w:space="0" w:color="auto"/>
            </w:tcBorders>
            <w:vAlign w:val="center"/>
          </w:tcPr>
          <w:p w14:paraId="4D97015C"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130 mg</w:t>
            </w:r>
          </w:p>
          <w:p w14:paraId="351C0475"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vial (1)</w:t>
            </w:r>
          </w:p>
        </w:tc>
        <w:tc>
          <w:tcPr>
            <w:tcW w:w="530" w:type="pct"/>
            <w:tcBorders>
              <w:bottom w:val="single" w:sz="4" w:space="0" w:color="auto"/>
            </w:tcBorders>
            <w:vAlign w:val="center"/>
          </w:tcPr>
          <w:p w14:paraId="0EE3D4C6"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90 mg</w:t>
            </w:r>
          </w:p>
          <w:p w14:paraId="5566625B"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PFS (1)</w:t>
            </w:r>
          </w:p>
        </w:tc>
        <w:tc>
          <w:tcPr>
            <w:tcW w:w="530" w:type="pct"/>
            <w:tcBorders>
              <w:bottom w:val="single" w:sz="4" w:space="0" w:color="auto"/>
            </w:tcBorders>
            <w:vAlign w:val="center"/>
          </w:tcPr>
          <w:p w14:paraId="53D82043"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90 mg</w:t>
            </w:r>
          </w:p>
          <w:p w14:paraId="255A9710"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PFS (1)</w:t>
            </w:r>
          </w:p>
        </w:tc>
        <w:tc>
          <w:tcPr>
            <w:tcW w:w="529" w:type="pct"/>
            <w:gridSpan w:val="2"/>
            <w:vAlign w:val="center"/>
          </w:tcPr>
          <w:p w14:paraId="1F6209CC"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130 mg</w:t>
            </w:r>
          </w:p>
          <w:p w14:paraId="0F1E8771"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vial (1)</w:t>
            </w:r>
          </w:p>
        </w:tc>
        <w:tc>
          <w:tcPr>
            <w:tcW w:w="530" w:type="pct"/>
            <w:vAlign w:val="center"/>
          </w:tcPr>
          <w:p w14:paraId="213EB399"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90 mg</w:t>
            </w:r>
          </w:p>
          <w:p w14:paraId="7D7CBB3C"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PFS (1)</w:t>
            </w:r>
          </w:p>
        </w:tc>
        <w:tc>
          <w:tcPr>
            <w:tcW w:w="528" w:type="pct"/>
            <w:vAlign w:val="center"/>
          </w:tcPr>
          <w:p w14:paraId="3527F804"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90 mg</w:t>
            </w:r>
          </w:p>
          <w:p w14:paraId="596277CF"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PFS (1)</w:t>
            </w:r>
          </w:p>
        </w:tc>
      </w:tr>
      <w:tr w:rsidR="00037D01" w:rsidRPr="004A7F12" w14:paraId="7D793FB3" w14:textId="77777777" w:rsidTr="00712094">
        <w:tc>
          <w:tcPr>
            <w:tcW w:w="765" w:type="pct"/>
          </w:tcPr>
          <w:p w14:paraId="297BBE31" w14:textId="77777777" w:rsidR="00037D01" w:rsidRPr="004A7F12" w:rsidRDefault="00037D01" w:rsidP="001C716C">
            <w:pPr>
              <w:keepNext/>
              <w:keepLines/>
              <w:jc w:val="left"/>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AEMP</w:t>
            </w:r>
          </w:p>
        </w:tc>
        <w:tc>
          <w:tcPr>
            <w:tcW w:w="529" w:type="pct"/>
            <w:vAlign w:val="center"/>
          </w:tcPr>
          <w:p w14:paraId="0B3C1759" w14:textId="09D5AAAA"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93"/>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93"/>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93"/>
                <w:lang w:eastAsia="en-US"/>
                <w14:textFill>
                  <w14:solidFill>
                    <w14:srgbClr w14:val="000000">
                      <w14:alpha w14:val="100000"/>
                    </w14:srgbClr>
                  </w14:solidFill>
                </w14:textFill>
              </w:rPr>
              <w:t xml:space="preserve">　</w:t>
            </w:r>
          </w:p>
        </w:tc>
        <w:tc>
          <w:tcPr>
            <w:tcW w:w="530" w:type="pct"/>
            <w:vAlign w:val="center"/>
          </w:tcPr>
          <w:p w14:paraId="1B5877FE" w14:textId="4EE36DE4"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92"/>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92"/>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92"/>
                <w:lang w:eastAsia="en-US"/>
                <w14:textFill>
                  <w14:solidFill>
                    <w14:srgbClr w14:val="000000">
                      <w14:alpha w14:val="100000"/>
                    </w14:srgbClr>
                  </w14:solidFill>
                </w14:textFill>
              </w:rPr>
              <w:t xml:space="preserve">　</w:t>
            </w:r>
          </w:p>
        </w:tc>
        <w:tc>
          <w:tcPr>
            <w:tcW w:w="529" w:type="pct"/>
            <w:gridSpan w:val="2"/>
            <w:tcBorders>
              <w:bottom w:val="single" w:sz="4" w:space="0" w:color="auto"/>
            </w:tcBorders>
            <w:vAlign w:val="center"/>
          </w:tcPr>
          <w:p w14:paraId="2C0009C4" w14:textId="2E82DD22"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91"/>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91"/>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91"/>
                <w:lang w:eastAsia="en-US"/>
                <w14:textFill>
                  <w14:solidFill>
                    <w14:srgbClr w14:val="000000">
                      <w14:alpha w14:val="100000"/>
                    </w14:srgbClr>
                  </w14:solidFill>
                </w14:textFill>
              </w:rPr>
              <w:t xml:space="preserve">　</w:t>
            </w:r>
          </w:p>
        </w:tc>
        <w:tc>
          <w:tcPr>
            <w:tcW w:w="530" w:type="pct"/>
            <w:tcBorders>
              <w:bottom w:val="single" w:sz="4" w:space="0" w:color="auto"/>
            </w:tcBorders>
            <w:vAlign w:val="center"/>
          </w:tcPr>
          <w:p w14:paraId="18836A6A" w14:textId="343B2D8D"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90"/>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90"/>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90"/>
                <w:lang w:eastAsia="en-US"/>
                <w14:textFill>
                  <w14:solidFill>
                    <w14:srgbClr w14:val="000000">
                      <w14:alpha w14:val="100000"/>
                    </w14:srgbClr>
                  </w14:solidFill>
                </w14:textFill>
              </w:rPr>
              <w:t xml:space="preserve">　</w:t>
            </w:r>
          </w:p>
        </w:tc>
        <w:tc>
          <w:tcPr>
            <w:tcW w:w="530" w:type="pct"/>
            <w:tcBorders>
              <w:bottom w:val="single" w:sz="4" w:space="0" w:color="auto"/>
            </w:tcBorders>
            <w:vAlign w:val="center"/>
          </w:tcPr>
          <w:p w14:paraId="04961F8E" w14:textId="239C0202"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pacing w:val="94"/>
                <w:sz w:val="20"/>
                <w:szCs w:val="20"/>
                <w:shd w:val="solid" w:color="000000" w:fill="000000"/>
                <w:fitText w:val="180" w:id="-1167920889"/>
                <w:lang w:eastAsia="en-US"/>
                <w14:textFill>
                  <w14:solidFill>
                    <w14:srgbClr w14:val="000000">
                      <w14:alpha w14:val="100000"/>
                    </w14:srgbClr>
                  </w14:solidFill>
                </w14:textFill>
              </w:rPr>
              <w:t>|</w:t>
            </w:r>
            <w:r w:rsidR="00091900" w:rsidRPr="00091900">
              <w:rPr>
                <w:rFonts w:ascii="Arial Narrow" w:eastAsiaTheme="minorEastAsia" w:hAnsi="Arial Narrow" w:cs="Times New Roman"/>
                <w:color w:val="000000"/>
                <w:spacing w:val="1"/>
                <w:sz w:val="20"/>
                <w:szCs w:val="20"/>
                <w:shd w:val="solid" w:color="000000" w:fill="000000"/>
                <w:fitText w:val="180" w:id="-1167920889"/>
                <w:lang w:eastAsia="en-US"/>
                <w14:textFill>
                  <w14:solidFill>
                    <w14:srgbClr w14:val="000000">
                      <w14:alpha w14:val="100000"/>
                    </w14:srgbClr>
                  </w14:solidFill>
                </w14:textFill>
              </w:rPr>
              <w:t>|</w:t>
            </w:r>
            <w:r w:rsidRPr="004A7F12">
              <w:rPr>
                <w:rFonts w:ascii="Arial Narrow" w:eastAsiaTheme="minorEastAsia" w:hAnsi="Arial Narrow" w:cs="Times New Roman"/>
                <w:sz w:val="20"/>
                <w:szCs w:val="20"/>
                <w:vertAlign w:val="superscript"/>
                <w:lang w:eastAsia="en-US"/>
              </w:rPr>
              <w:t>a</w:t>
            </w:r>
          </w:p>
        </w:tc>
        <w:tc>
          <w:tcPr>
            <w:tcW w:w="529" w:type="pct"/>
            <w:gridSpan w:val="2"/>
            <w:vAlign w:val="center"/>
          </w:tcPr>
          <w:p w14:paraId="0E454329" w14:textId="2933EF9B"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88"/>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88"/>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88"/>
                <w:lang w:eastAsia="en-US"/>
                <w14:textFill>
                  <w14:solidFill>
                    <w14:srgbClr w14:val="000000">
                      <w14:alpha w14:val="100000"/>
                    </w14:srgbClr>
                  </w14:solidFill>
                </w14:textFill>
              </w:rPr>
              <w:t xml:space="preserve">　</w:t>
            </w:r>
          </w:p>
        </w:tc>
        <w:tc>
          <w:tcPr>
            <w:tcW w:w="530" w:type="pct"/>
            <w:vAlign w:val="center"/>
          </w:tcPr>
          <w:p w14:paraId="122E34B1" w14:textId="03E8E92B"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87"/>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87"/>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87"/>
                <w:lang w:eastAsia="en-US"/>
                <w14:textFill>
                  <w14:solidFill>
                    <w14:srgbClr w14:val="000000">
                      <w14:alpha w14:val="100000"/>
                    </w14:srgbClr>
                  </w14:solidFill>
                </w14:textFill>
              </w:rPr>
              <w:t xml:space="preserve">　</w:t>
            </w:r>
          </w:p>
        </w:tc>
        <w:tc>
          <w:tcPr>
            <w:tcW w:w="528" w:type="pct"/>
            <w:vAlign w:val="center"/>
          </w:tcPr>
          <w:p w14:paraId="11A83801" w14:textId="7D5423B9"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pacing w:val="94"/>
                <w:sz w:val="20"/>
                <w:szCs w:val="20"/>
                <w:shd w:val="solid" w:color="000000" w:fill="000000"/>
                <w:fitText w:val="180" w:id="-1167920886"/>
                <w:lang w:eastAsia="en-US"/>
                <w14:textFill>
                  <w14:solidFill>
                    <w14:srgbClr w14:val="000000">
                      <w14:alpha w14:val="100000"/>
                    </w14:srgbClr>
                  </w14:solidFill>
                </w14:textFill>
              </w:rPr>
              <w:t>|</w:t>
            </w:r>
            <w:r w:rsidR="00091900" w:rsidRPr="00091900">
              <w:rPr>
                <w:rFonts w:ascii="Arial Narrow" w:eastAsiaTheme="minorEastAsia" w:hAnsi="Arial Narrow" w:cs="Times New Roman"/>
                <w:color w:val="000000"/>
                <w:spacing w:val="1"/>
                <w:sz w:val="20"/>
                <w:szCs w:val="20"/>
                <w:shd w:val="solid" w:color="000000" w:fill="000000"/>
                <w:fitText w:val="180" w:id="-1167920886"/>
                <w:lang w:eastAsia="en-US"/>
                <w14:textFill>
                  <w14:solidFill>
                    <w14:srgbClr w14:val="000000">
                      <w14:alpha w14:val="100000"/>
                    </w14:srgbClr>
                  </w14:solidFill>
                </w14:textFill>
              </w:rPr>
              <w:t>|</w:t>
            </w:r>
            <w:r w:rsidRPr="004A7F12">
              <w:rPr>
                <w:rFonts w:ascii="Arial Narrow" w:eastAsiaTheme="minorEastAsia" w:hAnsi="Arial Narrow" w:cs="Times New Roman"/>
                <w:sz w:val="20"/>
                <w:szCs w:val="20"/>
                <w:vertAlign w:val="superscript"/>
                <w:lang w:eastAsia="en-US"/>
              </w:rPr>
              <w:t>a</w:t>
            </w:r>
          </w:p>
        </w:tc>
      </w:tr>
      <w:tr w:rsidR="00037D01" w:rsidRPr="004A7F12" w14:paraId="05AA4F3D" w14:textId="77777777" w:rsidTr="00712094">
        <w:tc>
          <w:tcPr>
            <w:tcW w:w="765" w:type="pct"/>
          </w:tcPr>
          <w:p w14:paraId="2F8D9EDA" w14:textId="77777777" w:rsidR="00037D01" w:rsidRPr="004A7F12" w:rsidRDefault="00037D01" w:rsidP="001C716C">
            <w:pPr>
              <w:keepNext/>
              <w:keepLines/>
              <w:jc w:val="left"/>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Units /104wk</w:t>
            </w:r>
          </w:p>
        </w:tc>
        <w:tc>
          <w:tcPr>
            <w:tcW w:w="529" w:type="pct"/>
            <w:vAlign w:val="center"/>
          </w:tcPr>
          <w:p w14:paraId="6713EF87"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3 x 4.17 vials</w:t>
            </w:r>
          </w:p>
        </w:tc>
        <w:tc>
          <w:tcPr>
            <w:tcW w:w="530" w:type="pct"/>
            <w:vAlign w:val="center"/>
          </w:tcPr>
          <w:p w14:paraId="02D90230"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11.25 x 4.17</w:t>
            </w:r>
            <w:r w:rsidRPr="00322704">
              <w:rPr>
                <w:rFonts w:ascii="Arial Narrow" w:eastAsiaTheme="minorEastAsia" w:hAnsi="Arial Narrow" w:cs="Times New Roman"/>
                <w:sz w:val="20"/>
                <w:szCs w:val="20"/>
                <w:vertAlign w:val="superscript"/>
                <w:lang w:eastAsia="en-US"/>
              </w:rPr>
              <w:t>c</w:t>
            </w:r>
            <w:r w:rsidRPr="00322704">
              <w:rPr>
                <w:rFonts w:ascii="Arial Narrow" w:eastAsiaTheme="minorEastAsia" w:hAnsi="Arial Narrow" w:cs="Times New Roman"/>
                <w:sz w:val="20"/>
                <w:szCs w:val="20"/>
                <w:lang w:eastAsia="en-US"/>
              </w:rPr>
              <w:t xml:space="preserve"> vials</w:t>
            </w:r>
          </w:p>
        </w:tc>
        <w:tc>
          <w:tcPr>
            <w:tcW w:w="529" w:type="pct"/>
            <w:gridSpan w:val="2"/>
            <w:vAlign w:val="center"/>
          </w:tcPr>
          <w:p w14:paraId="5A358D61"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3</w:t>
            </w:r>
          </w:p>
        </w:tc>
        <w:tc>
          <w:tcPr>
            <w:tcW w:w="530" w:type="pct"/>
            <w:vAlign w:val="center"/>
          </w:tcPr>
          <w:p w14:paraId="537DA6F2"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1</w:t>
            </w:r>
          </w:p>
        </w:tc>
        <w:tc>
          <w:tcPr>
            <w:tcW w:w="530" w:type="pct"/>
            <w:vAlign w:val="center"/>
          </w:tcPr>
          <w:p w14:paraId="167A6131"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11</w:t>
            </w:r>
          </w:p>
        </w:tc>
        <w:tc>
          <w:tcPr>
            <w:tcW w:w="529" w:type="pct"/>
            <w:gridSpan w:val="2"/>
            <w:vAlign w:val="center"/>
          </w:tcPr>
          <w:p w14:paraId="6FEF4F04"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3</w:t>
            </w:r>
          </w:p>
        </w:tc>
        <w:tc>
          <w:tcPr>
            <w:tcW w:w="530" w:type="pct"/>
            <w:vAlign w:val="center"/>
          </w:tcPr>
          <w:p w14:paraId="4AB751D3"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1</w:t>
            </w:r>
          </w:p>
        </w:tc>
        <w:tc>
          <w:tcPr>
            <w:tcW w:w="528" w:type="pct"/>
            <w:vAlign w:val="center"/>
          </w:tcPr>
          <w:p w14:paraId="75CAF1C7"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7</w:t>
            </w:r>
          </w:p>
        </w:tc>
      </w:tr>
      <w:tr w:rsidR="00037D01" w:rsidRPr="004A7F12" w14:paraId="07E28365" w14:textId="77777777" w:rsidTr="00712094">
        <w:tc>
          <w:tcPr>
            <w:tcW w:w="765" w:type="pct"/>
          </w:tcPr>
          <w:p w14:paraId="71AE9905" w14:textId="77777777" w:rsidR="00037D01" w:rsidRPr="004A7F12" w:rsidRDefault="00037D01" w:rsidP="001C716C">
            <w:pPr>
              <w:keepNext/>
              <w:keepLines/>
              <w:jc w:val="left"/>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Drug cost /104wk</w:t>
            </w:r>
          </w:p>
        </w:tc>
        <w:tc>
          <w:tcPr>
            <w:tcW w:w="529" w:type="pct"/>
            <w:vAlign w:val="center"/>
          </w:tcPr>
          <w:p w14:paraId="5231480E" w14:textId="1203B4D0"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85"/>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85"/>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85"/>
                <w:lang w:eastAsia="en-US"/>
                <w14:textFill>
                  <w14:solidFill>
                    <w14:srgbClr w14:val="000000">
                      <w14:alpha w14:val="100000"/>
                    </w14:srgbClr>
                  </w14:solidFill>
                </w14:textFill>
              </w:rPr>
              <w:t xml:space="preserve">　</w:t>
            </w:r>
          </w:p>
        </w:tc>
        <w:tc>
          <w:tcPr>
            <w:tcW w:w="530" w:type="pct"/>
            <w:vAlign w:val="center"/>
          </w:tcPr>
          <w:p w14:paraId="47A62903" w14:textId="78FDB8F8"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84"/>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84"/>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84"/>
                <w:lang w:eastAsia="en-US"/>
                <w14:textFill>
                  <w14:solidFill>
                    <w14:srgbClr w14:val="000000">
                      <w14:alpha w14:val="100000"/>
                    </w14:srgbClr>
                  </w14:solidFill>
                </w14:textFill>
              </w:rPr>
              <w:t xml:space="preserve">　</w:t>
            </w:r>
          </w:p>
        </w:tc>
        <w:tc>
          <w:tcPr>
            <w:tcW w:w="529" w:type="pct"/>
            <w:gridSpan w:val="2"/>
            <w:vAlign w:val="center"/>
          </w:tcPr>
          <w:p w14:paraId="4C802F75" w14:textId="2813C63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pacing w:val="94"/>
                <w:sz w:val="20"/>
                <w:szCs w:val="20"/>
                <w:shd w:val="solid" w:color="000000" w:fill="000000"/>
                <w:fitText w:val="180" w:id="-1167920883"/>
                <w:lang w:eastAsia="en-US"/>
                <w14:textFill>
                  <w14:solidFill>
                    <w14:srgbClr w14:val="000000">
                      <w14:alpha w14:val="100000"/>
                    </w14:srgbClr>
                  </w14:solidFill>
                </w14:textFill>
              </w:rPr>
              <w:t>|</w:t>
            </w:r>
            <w:r w:rsidR="00091900" w:rsidRPr="00091900">
              <w:rPr>
                <w:rFonts w:ascii="Arial Narrow" w:eastAsiaTheme="minorEastAsia" w:hAnsi="Arial Narrow" w:cs="Times New Roman"/>
                <w:color w:val="000000"/>
                <w:spacing w:val="1"/>
                <w:sz w:val="20"/>
                <w:szCs w:val="20"/>
                <w:shd w:val="solid" w:color="000000" w:fill="000000"/>
                <w:fitText w:val="180" w:id="-1167920883"/>
                <w:lang w:eastAsia="en-US"/>
                <w14:textFill>
                  <w14:solidFill>
                    <w14:srgbClr w14:val="000000">
                      <w14:alpha w14:val="100000"/>
                    </w14:srgbClr>
                  </w14:solidFill>
                </w14:textFill>
              </w:rPr>
              <w:t>|</w:t>
            </w:r>
            <w:r w:rsidRPr="004A7F12">
              <w:rPr>
                <w:rFonts w:ascii="Arial Narrow" w:eastAsiaTheme="minorEastAsia" w:hAnsi="Arial Narrow" w:cs="Times New Roman"/>
                <w:sz w:val="20"/>
                <w:szCs w:val="20"/>
                <w:vertAlign w:val="superscript"/>
                <w:lang w:eastAsia="en-US"/>
              </w:rPr>
              <w:t>b</w:t>
            </w:r>
          </w:p>
        </w:tc>
        <w:tc>
          <w:tcPr>
            <w:tcW w:w="530" w:type="pct"/>
            <w:vAlign w:val="center"/>
          </w:tcPr>
          <w:p w14:paraId="6CA96D66" w14:textId="4AB5926A"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82"/>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82"/>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82"/>
                <w:lang w:eastAsia="en-US"/>
                <w14:textFill>
                  <w14:solidFill>
                    <w14:srgbClr w14:val="000000">
                      <w14:alpha w14:val="100000"/>
                    </w14:srgbClr>
                  </w14:solidFill>
                </w14:textFill>
              </w:rPr>
              <w:t xml:space="preserve">　</w:t>
            </w:r>
          </w:p>
        </w:tc>
        <w:tc>
          <w:tcPr>
            <w:tcW w:w="530" w:type="pct"/>
            <w:vAlign w:val="center"/>
          </w:tcPr>
          <w:p w14:paraId="3AD6D05A" w14:textId="02BF5390"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81"/>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81"/>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81"/>
                <w:lang w:eastAsia="en-US"/>
                <w14:textFill>
                  <w14:solidFill>
                    <w14:srgbClr w14:val="000000">
                      <w14:alpha w14:val="100000"/>
                    </w14:srgbClr>
                  </w14:solidFill>
                </w14:textFill>
              </w:rPr>
              <w:t xml:space="preserve">　</w:t>
            </w:r>
          </w:p>
        </w:tc>
        <w:tc>
          <w:tcPr>
            <w:tcW w:w="529" w:type="pct"/>
            <w:gridSpan w:val="2"/>
            <w:vAlign w:val="center"/>
          </w:tcPr>
          <w:p w14:paraId="5E03CE8E" w14:textId="598E6142"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pacing w:val="94"/>
                <w:sz w:val="20"/>
                <w:szCs w:val="20"/>
                <w:shd w:val="solid" w:color="000000" w:fill="000000"/>
                <w:fitText w:val="180" w:id="-1167920880"/>
                <w:lang w:eastAsia="en-US"/>
                <w14:textFill>
                  <w14:solidFill>
                    <w14:srgbClr w14:val="000000">
                      <w14:alpha w14:val="100000"/>
                    </w14:srgbClr>
                  </w14:solidFill>
                </w14:textFill>
              </w:rPr>
              <w:t>|</w:t>
            </w:r>
            <w:r w:rsidR="00091900" w:rsidRPr="00091900">
              <w:rPr>
                <w:rFonts w:ascii="Arial Narrow" w:eastAsiaTheme="minorEastAsia" w:hAnsi="Arial Narrow" w:cs="Times New Roman"/>
                <w:color w:val="000000"/>
                <w:spacing w:val="1"/>
                <w:sz w:val="20"/>
                <w:szCs w:val="20"/>
                <w:shd w:val="solid" w:color="000000" w:fill="000000"/>
                <w:fitText w:val="180" w:id="-1167920880"/>
                <w:lang w:eastAsia="en-US"/>
                <w14:textFill>
                  <w14:solidFill>
                    <w14:srgbClr w14:val="000000">
                      <w14:alpha w14:val="100000"/>
                    </w14:srgbClr>
                  </w14:solidFill>
                </w14:textFill>
              </w:rPr>
              <w:t>|</w:t>
            </w:r>
            <w:r w:rsidRPr="004A7F12">
              <w:rPr>
                <w:rFonts w:ascii="Arial Narrow" w:eastAsiaTheme="minorEastAsia" w:hAnsi="Arial Narrow" w:cs="Times New Roman"/>
                <w:sz w:val="20"/>
                <w:szCs w:val="20"/>
                <w:vertAlign w:val="superscript"/>
                <w:lang w:eastAsia="en-US"/>
              </w:rPr>
              <w:t>b</w:t>
            </w:r>
          </w:p>
        </w:tc>
        <w:tc>
          <w:tcPr>
            <w:tcW w:w="530" w:type="pct"/>
            <w:vAlign w:val="center"/>
          </w:tcPr>
          <w:p w14:paraId="531810D3" w14:textId="45DBCF8D"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96"/>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96"/>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96"/>
                <w:lang w:eastAsia="en-US"/>
                <w14:textFill>
                  <w14:solidFill>
                    <w14:srgbClr w14:val="000000">
                      <w14:alpha w14:val="100000"/>
                    </w14:srgbClr>
                  </w14:solidFill>
                </w14:textFill>
              </w:rPr>
              <w:t xml:space="preserve">　</w:t>
            </w:r>
          </w:p>
        </w:tc>
        <w:tc>
          <w:tcPr>
            <w:tcW w:w="528" w:type="pct"/>
            <w:vAlign w:val="center"/>
          </w:tcPr>
          <w:p w14:paraId="5D4A566D" w14:textId="7D2DDC1A"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0"/>
                <w:sz w:val="20"/>
                <w:szCs w:val="20"/>
                <w:shd w:val="solid" w:color="000000" w:fill="000000"/>
                <w:fitText w:val="135" w:id="-1167920895"/>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0"/>
                <w:sz w:val="20"/>
                <w:szCs w:val="20"/>
                <w:shd w:val="solid" w:color="000000" w:fill="000000"/>
                <w:fitText w:val="135" w:id="-1167920895"/>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3"/>
                <w:w w:val="30"/>
                <w:sz w:val="20"/>
                <w:szCs w:val="20"/>
                <w:shd w:val="solid" w:color="000000" w:fill="000000"/>
                <w:fitText w:val="135" w:id="-1167920895"/>
                <w:lang w:eastAsia="en-US"/>
                <w14:textFill>
                  <w14:solidFill>
                    <w14:srgbClr w14:val="000000">
                      <w14:alpha w14:val="100000"/>
                    </w14:srgbClr>
                  </w14:solidFill>
                </w14:textFill>
              </w:rPr>
              <w:t xml:space="preserve">　</w:t>
            </w:r>
          </w:p>
        </w:tc>
      </w:tr>
      <w:tr w:rsidR="00037D01" w:rsidRPr="004A7F12" w14:paraId="6EA85CA5" w14:textId="77777777" w:rsidTr="00712094">
        <w:tc>
          <w:tcPr>
            <w:tcW w:w="765" w:type="pct"/>
          </w:tcPr>
          <w:p w14:paraId="17D76D78" w14:textId="77777777" w:rsidR="00037D01" w:rsidRPr="004A7F12" w:rsidRDefault="00037D01" w:rsidP="001C716C">
            <w:pPr>
              <w:keepNext/>
              <w:keepLines/>
              <w:jc w:val="left"/>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IV admin. /104wk</w:t>
            </w:r>
          </w:p>
        </w:tc>
        <w:tc>
          <w:tcPr>
            <w:tcW w:w="529" w:type="pct"/>
            <w:vAlign w:val="center"/>
          </w:tcPr>
          <w:p w14:paraId="3E8F5BC7"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3</w:t>
            </w:r>
          </w:p>
        </w:tc>
        <w:tc>
          <w:tcPr>
            <w:tcW w:w="530" w:type="pct"/>
            <w:vAlign w:val="center"/>
          </w:tcPr>
          <w:p w14:paraId="1CC0AA33"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12</w:t>
            </w:r>
          </w:p>
        </w:tc>
        <w:tc>
          <w:tcPr>
            <w:tcW w:w="529" w:type="pct"/>
            <w:gridSpan w:val="2"/>
            <w:vAlign w:val="center"/>
          </w:tcPr>
          <w:p w14:paraId="264E3641"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1</w:t>
            </w:r>
          </w:p>
        </w:tc>
        <w:tc>
          <w:tcPr>
            <w:tcW w:w="530" w:type="pct"/>
            <w:vAlign w:val="center"/>
          </w:tcPr>
          <w:p w14:paraId="21841948"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0</w:t>
            </w:r>
          </w:p>
        </w:tc>
        <w:tc>
          <w:tcPr>
            <w:tcW w:w="530" w:type="pct"/>
            <w:vAlign w:val="center"/>
          </w:tcPr>
          <w:p w14:paraId="63CAA570"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0</w:t>
            </w:r>
          </w:p>
        </w:tc>
        <w:tc>
          <w:tcPr>
            <w:tcW w:w="529" w:type="pct"/>
            <w:gridSpan w:val="2"/>
            <w:vAlign w:val="center"/>
          </w:tcPr>
          <w:p w14:paraId="7039A20F"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1</w:t>
            </w:r>
          </w:p>
        </w:tc>
        <w:tc>
          <w:tcPr>
            <w:tcW w:w="530" w:type="pct"/>
            <w:vAlign w:val="center"/>
          </w:tcPr>
          <w:p w14:paraId="6E0B1AA0"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0</w:t>
            </w:r>
          </w:p>
        </w:tc>
        <w:tc>
          <w:tcPr>
            <w:tcW w:w="528" w:type="pct"/>
            <w:vAlign w:val="center"/>
          </w:tcPr>
          <w:p w14:paraId="3B094BA9"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0</w:t>
            </w:r>
          </w:p>
        </w:tc>
      </w:tr>
      <w:tr w:rsidR="00037D01" w:rsidRPr="004A7F12" w14:paraId="6F69883D" w14:textId="77777777" w:rsidTr="00712094">
        <w:trPr>
          <w:trHeight w:val="131"/>
        </w:trPr>
        <w:tc>
          <w:tcPr>
            <w:tcW w:w="765" w:type="pct"/>
          </w:tcPr>
          <w:p w14:paraId="4BF7265E" w14:textId="77777777" w:rsidR="00037D01" w:rsidRPr="004A7F12" w:rsidRDefault="00037D01" w:rsidP="001C716C">
            <w:pPr>
              <w:keepNext/>
              <w:keepLines/>
              <w:jc w:val="left"/>
              <w:rPr>
                <w:rFonts w:ascii="Arial Narrow" w:eastAsiaTheme="minorEastAsia" w:hAnsi="Arial Narrow" w:cs="Times New Roman"/>
                <w:sz w:val="20"/>
                <w:szCs w:val="20"/>
                <w:lang w:val="fr-FR" w:eastAsia="en-US"/>
              </w:rPr>
            </w:pPr>
            <w:r w:rsidRPr="004A7F12">
              <w:rPr>
                <w:rFonts w:ascii="Arial Narrow" w:eastAsiaTheme="minorEastAsia" w:hAnsi="Arial Narrow" w:cs="Times New Roman"/>
                <w:sz w:val="20"/>
                <w:szCs w:val="20"/>
                <w:lang w:val="fr-FR" w:eastAsia="en-US"/>
              </w:rPr>
              <w:t xml:space="preserve">IV admin. </w:t>
            </w:r>
            <w:r w:rsidRPr="004A7F12">
              <w:rPr>
                <w:rFonts w:ascii="Arial Narrow" w:eastAsiaTheme="minorEastAsia" w:hAnsi="Arial Narrow" w:cs="Times New Roman"/>
                <w:sz w:val="20"/>
                <w:szCs w:val="20"/>
                <w:lang w:eastAsia="en-US"/>
              </w:rPr>
              <w:t>costs</w:t>
            </w:r>
          </w:p>
        </w:tc>
        <w:tc>
          <w:tcPr>
            <w:tcW w:w="529" w:type="pct"/>
            <w:vAlign w:val="center"/>
          </w:tcPr>
          <w:p w14:paraId="6387CAE0" w14:textId="322FA06A"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94"/>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94"/>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94"/>
                <w:lang w:eastAsia="en-US"/>
                <w14:textFill>
                  <w14:solidFill>
                    <w14:srgbClr w14:val="000000">
                      <w14:alpha w14:val="100000"/>
                    </w14:srgbClr>
                  </w14:solidFill>
                </w14:textFill>
              </w:rPr>
              <w:t xml:space="preserve">　</w:t>
            </w:r>
          </w:p>
        </w:tc>
        <w:tc>
          <w:tcPr>
            <w:tcW w:w="530" w:type="pct"/>
            <w:vAlign w:val="center"/>
          </w:tcPr>
          <w:p w14:paraId="6B7ECE56" w14:textId="3DC325B3"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93"/>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93"/>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93"/>
                <w:lang w:eastAsia="en-US"/>
                <w14:textFill>
                  <w14:solidFill>
                    <w14:srgbClr w14:val="000000">
                      <w14:alpha w14:val="100000"/>
                    </w14:srgbClr>
                  </w14:solidFill>
                </w14:textFill>
              </w:rPr>
              <w:t xml:space="preserve">　</w:t>
            </w:r>
          </w:p>
        </w:tc>
        <w:tc>
          <w:tcPr>
            <w:tcW w:w="529" w:type="pct"/>
            <w:gridSpan w:val="2"/>
            <w:vAlign w:val="center"/>
          </w:tcPr>
          <w:p w14:paraId="7ABEA6B6" w14:textId="49569893"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92"/>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92"/>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92"/>
                <w:lang w:eastAsia="en-US"/>
                <w14:textFill>
                  <w14:solidFill>
                    <w14:srgbClr w14:val="000000">
                      <w14:alpha w14:val="100000"/>
                    </w14:srgbClr>
                  </w14:solidFill>
                </w14:textFill>
              </w:rPr>
              <w:t xml:space="preserve">　</w:t>
            </w:r>
          </w:p>
        </w:tc>
        <w:tc>
          <w:tcPr>
            <w:tcW w:w="530" w:type="pct"/>
            <w:vAlign w:val="center"/>
          </w:tcPr>
          <w:p w14:paraId="7F0E7C7D"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$0</w:t>
            </w:r>
          </w:p>
        </w:tc>
        <w:tc>
          <w:tcPr>
            <w:tcW w:w="530" w:type="pct"/>
            <w:vAlign w:val="center"/>
          </w:tcPr>
          <w:p w14:paraId="69CAC8A9"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$0</w:t>
            </w:r>
          </w:p>
        </w:tc>
        <w:tc>
          <w:tcPr>
            <w:tcW w:w="529" w:type="pct"/>
            <w:gridSpan w:val="2"/>
            <w:vAlign w:val="center"/>
          </w:tcPr>
          <w:p w14:paraId="2380E1F9" w14:textId="498D3BBE"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91"/>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91"/>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91"/>
                <w:lang w:eastAsia="en-US"/>
                <w14:textFill>
                  <w14:solidFill>
                    <w14:srgbClr w14:val="000000">
                      <w14:alpha w14:val="100000"/>
                    </w14:srgbClr>
                  </w14:solidFill>
                </w14:textFill>
              </w:rPr>
              <w:t xml:space="preserve">　</w:t>
            </w:r>
          </w:p>
        </w:tc>
        <w:tc>
          <w:tcPr>
            <w:tcW w:w="530" w:type="pct"/>
            <w:vAlign w:val="center"/>
          </w:tcPr>
          <w:p w14:paraId="2269DA7C"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$0</w:t>
            </w:r>
          </w:p>
        </w:tc>
        <w:tc>
          <w:tcPr>
            <w:tcW w:w="528" w:type="pct"/>
            <w:vAlign w:val="center"/>
          </w:tcPr>
          <w:p w14:paraId="51EF9665" w14:textId="7777777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$0</w:t>
            </w:r>
          </w:p>
        </w:tc>
      </w:tr>
      <w:tr w:rsidR="00037D01" w:rsidRPr="004A7F12" w14:paraId="7588991C" w14:textId="77777777" w:rsidTr="00712094">
        <w:tc>
          <w:tcPr>
            <w:tcW w:w="765" w:type="pct"/>
          </w:tcPr>
          <w:p w14:paraId="3E9C8D69" w14:textId="77777777" w:rsidR="00037D01" w:rsidRPr="004A7F12" w:rsidRDefault="00037D01" w:rsidP="001C716C">
            <w:pPr>
              <w:keepNext/>
              <w:keepLines/>
              <w:jc w:val="left"/>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Total</w:t>
            </w:r>
          </w:p>
        </w:tc>
        <w:tc>
          <w:tcPr>
            <w:tcW w:w="529" w:type="pct"/>
            <w:vAlign w:val="center"/>
          </w:tcPr>
          <w:p w14:paraId="16E9DBB9" w14:textId="2CC94A0B"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90"/>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90"/>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90"/>
                <w:lang w:eastAsia="en-US"/>
                <w14:textFill>
                  <w14:solidFill>
                    <w14:srgbClr w14:val="000000">
                      <w14:alpha w14:val="100000"/>
                    </w14:srgbClr>
                  </w14:solidFill>
                </w14:textFill>
              </w:rPr>
              <w:t xml:space="preserve">　</w:t>
            </w:r>
          </w:p>
        </w:tc>
        <w:tc>
          <w:tcPr>
            <w:tcW w:w="530" w:type="pct"/>
            <w:vAlign w:val="center"/>
          </w:tcPr>
          <w:p w14:paraId="249F153C" w14:textId="1B54570E"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89"/>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89"/>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89"/>
                <w:lang w:eastAsia="en-US"/>
                <w14:textFill>
                  <w14:solidFill>
                    <w14:srgbClr w14:val="000000">
                      <w14:alpha w14:val="100000"/>
                    </w14:srgbClr>
                  </w14:solidFill>
                </w14:textFill>
              </w:rPr>
              <w:t xml:space="preserve">　</w:t>
            </w:r>
          </w:p>
        </w:tc>
        <w:tc>
          <w:tcPr>
            <w:tcW w:w="1059" w:type="pct"/>
            <w:gridSpan w:val="3"/>
            <w:vAlign w:val="center"/>
          </w:tcPr>
          <w:p w14:paraId="05FE6E26" w14:textId="0C7B5454"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530" w:type="pct"/>
            <w:vAlign w:val="center"/>
          </w:tcPr>
          <w:p w14:paraId="0CD468FF" w14:textId="1BA95DAC"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3"/>
                <w:sz w:val="20"/>
                <w:szCs w:val="20"/>
                <w:shd w:val="solid" w:color="000000" w:fill="000000"/>
                <w:fitText w:val="150" w:id="-1167920888"/>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3"/>
                <w:sz w:val="20"/>
                <w:szCs w:val="20"/>
                <w:shd w:val="solid" w:color="000000" w:fill="000000"/>
                <w:fitText w:val="150" w:id="-1167920888"/>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4"/>
                <w:w w:val="33"/>
                <w:sz w:val="20"/>
                <w:szCs w:val="20"/>
                <w:shd w:val="solid" w:color="000000" w:fill="000000"/>
                <w:fitText w:val="150" w:id="-1167920888"/>
                <w:lang w:eastAsia="en-US"/>
                <w14:textFill>
                  <w14:solidFill>
                    <w14:srgbClr w14:val="000000">
                      <w14:alpha w14:val="100000"/>
                    </w14:srgbClr>
                  </w14:solidFill>
                </w14:textFill>
              </w:rPr>
              <w:t xml:space="preserve">　</w:t>
            </w:r>
          </w:p>
        </w:tc>
        <w:tc>
          <w:tcPr>
            <w:tcW w:w="1059" w:type="pct"/>
            <w:gridSpan w:val="3"/>
            <w:vAlign w:val="center"/>
          </w:tcPr>
          <w:p w14:paraId="4BCCB329" w14:textId="072BC31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528" w:type="pct"/>
            <w:vAlign w:val="center"/>
          </w:tcPr>
          <w:p w14:paraId="07021266" w14:textId="3949B993"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hint="eastAsia"/>
                <w:color w:val="000000"/>
                <w:w w:val="30"/>
                <w:sz w:val="20"/>
                <w:szCs w:val="20"/>
                <w:shd w:val="solid" w:color="000000" w:fill="000000"/>
                <w:fitText w:val="135" w:id="-1167920887"/>
                <w:lang w:eastAsia="en-US"/>
                <w14:textFill>
                  <w14:solidFill>
                    <w14:srgbClr w14:val="000000">
                      <w14:alpha w14:val="100000"/>
                    </w14:srgbClr>
                  </w14:solidFill>
                </w14:textFill>
              </w:rPr>
              <w:t xml:space="preserve">　</w:t>
            </w:r>
            <w:r w:rsidR="00091900" w:rsidRPr="00091900">
              <w:rPr>
                <w:rFonts w:ascii="Arial Narrow" w:eastAsiaTheme="minorEastAsia" w:hAnsi="Arial Narrow" w:cs="Times New Roman"/>
                <w:color w:val="000000"/>
                <w:w w:val="30"/>
                <w:sz w:val="20"/>
                <w:szCs w:val="20"/>
                <w:shd w:val="solid" w:color="000000" w:fill="000000"/>
                <w:fitText w:val="135" w:id="-1167920887"/>
                <w:lang w:eastAsia="en-US"/>
                <w14:textFill>
                  <w14:solidFill>
                    <w14:srgbClr w14:val="000000">
                      <w14:alpha w14:val="100000"/>
                    </w14:srgbClr>
                  </w14:solidFill>
                </w14:textFill>
              </w:rPr>
              <w:t>|</w:t>
            </w:r>
            <w:r w:rsidR="00091900" w:rsidRPr="00091900">
              <w:rPr>
                <w:rFonts w:ascii="Arial Narrow" w:eastAsiaTheme="minorEastAsia" w:hAnsi="Arial Narrow" w:cs="Times New Roman" w:hint="eastAsia"/>
                <w:color w:val="000000"/>
                <w:spacing w:val="3"/>
                <w:w w:val="30"/>
                <w:sz w:val="20"/>
                <w:szCs w:val="20"/>
                <w:shd w:val="solid" w:color="000000" w:fill="000000"/>
                <w:fitText w:val="135" w:id="-1167920887"/>
                <w:lang w:eastAsia="en-US"/>
                <w14:textFill>
                  <w14:solidFill>
                    <w14:srgbClr w14:val="000000">
                      <w14:alpha w14:val="100000"/>
                    </w14:srgbClr>
                  </w14:solidFill>
                </w14:textFill>
              </w:rPr>
              <w:t xml:space="preserve">　</w:t>
            </w:r>
          </w:p>
        </w:tc>
      </w:tr>
      <w:tr w:rsidR="00037D01" w:rsidRPr="004A7F12" w14:paraId="11A5D21E" w14:textId="77777777" w:rsidTr="00712094">
        <w:tc>
          <w:tcPr>
            <w:tcW w:w="765" w:type="pct"/>
          </w:tcPr>
          <w:p w14:paraId="1466C102" w14:textId="77777777" w:rsidR="00037D01" w:rsidRPr="004A7F12" w:rsidRDefault="00037D01" w:rsidP="001C716C">
            <w:pPr>
              <w:keepNext/>
              <w:keepLines/>
              <w:jc w:val="left"/>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Total / 104 weeks</w:t>
            </w:r>
          </w:p>
        </w:tc>
        <w:tc>
          <w:tcPr>
            <w:tcW w:w="1059" w:type="pct"/>
            <w:gridSpan w:val="2"/>
            <w:vAlign w:val="center"/>
          </w:tcPr>
          <w:p w14:paraId="45072AB0" w14:textId="754242AC"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1589" w:type="pct"/>
            <w:gridSpan w:val="4"/>
            <w:vAlign w:val="center"/>
          </w:tcPr>
          <w:p w14:paraId="3EFD8E49" w14:textId="6885A4AD"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1587" w:type="pct"/>
            <w:gridSpan w:val="4"/>
            <w:vAlign w:val="center"/>
          </w:tcPr>
          <w:p w14:paraId="20485306" w14:textId="22D783DE"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r>
      <w:tr w:rsidR="00037D01" w:rsidRPr="004A7F12" w14:paraId="73A3394D" w14:textId="77777777" w:rsidTr="00712094">
        <w:tc>
          <w:tcPr>
            <w:tcW w:w="5000" w:type="pct"/>
            <w:gridSpan w:val="11"/>
            <w:vAlign w:val="center"/>
          </w:tcPr>
          <w:p w14:paraId="217A8093" w14:textId="77777777" w:rsidR="00037D01" w:rsidRPr="004A7F12" w:rsidRDefault="00037D01" w:rsidP="001C716C">
            <w:pPr>
              <w:keepNext/>
              <w:keepLines/>
              <w:jc w:val="left"/>
              <w:rPr>
                <w:rFonts w:ascii="Arial Narrow" w:eastAsiaTheme="minorEastAsia" w:hAnsi="Arial Narrow" w:cs="Times New Roman"/>
                <w:b/>
                <w:bCs/>
                <w:sz w:val="20"/>
                <w:szCs w:val="20"/>
                <w:lang w:eastAsia="en-US"/>
              </w:rPr>
            </w:pPr>
            <w:r w:rsidRPr="004A7F12">
              <w:rPr>
                <w:rFonts w:ascii="Arial Narrow" w:eastAsiaTheme="minorEastAsia" w:hAnsi="Arial Narrow" w:cs="Times New Roman"/>
                <w:b/>
                <w:bCs/>
                <w:sz w:val="20"/>
                <w:szCs w:val="20"/>
                <w:lang w:eastAsia="en-US"/>
              </w:rPr>
              <w:t>Weighted average AEMP</w:t>
            </w:r>
          </w:p>
        </w:tc>
      </w:tr>
      <w:tr w:rsidR="00037D01" w:rsidRPr="004A7F12" w14:paraId="038D868D" w14:textId="77777777" w:rsidTr="00712094">
        <w:tc>
          <w:tcPr>
            <w:tcW w:w="765" w:type="pct"/>
            <w:vAlign w:val="center"/>
          </w:tcPr>
          <w:p w14:paraId="57DA3E20" w14:textId="77777777" w:rsidR="00037D01" w:rsidRPr="004A7F12" w:rsidRDefault="00037D01" w:rsidP="001C716C">
            <w:pPr>
              <w:keepNext/>
              <w:keepLines/>
              <w:jc w:val="left"/>
              <w:rPr>
                <w:rFonts w:ascii="Arial Narrow" w:eastAsiaTheme="minorEastAsia" w:hAnsi="Arial Narrow" w:cs="Times New Roman"/>
                <w:b/>
                <w:bCs/>
                <w:sz w:val="20"/>
                <w:szCs w:val="20"/>
                <w:lang w:eastAsia="en-US"/>
              </w:rPr>
            </w:pPr>
            <w:r w:rsidRPr="004A7F12">
              <w:rPr>
                <w:rFonts w:ascii="Arial Narrow" w:eastAsiaTheme="minorEastAsia" w:hAnsi="Arial Narrow" w:cs="Times New Roman"/>
                <w:b/>
                <w:bCs/>
                <w:sz w:val="20"/>
                <w:szCs w:val="20"/>
                <w:lang w:eastAsia="en-US"/>
              </w:rPr>
              <w:t>Dosing regimen</w:t>
            </w:r>
          </w:p>
        </w:tc>
        <w:tc>
          <w:tcPr>
            <w:tcW w:w="1520" w:type="pct"/>
            <w:gridSpan w:val="3"/>
          </w:tcPr>
          <w:p w14:paraId="6A8E34E7" w14:textId="77777777" w:rsidR="00037D01" w:rsidRPr="004A7F12" w:rsidRDefault="00037D01" w:rsidP="001C716C">
            <w:pPr>
              <w:keepNext/>
              <w:keepLines/>
              <w:jc w:val="center"/>
              <w:rPr>
                <w:rFonts w:ascii="Arial Narrow" w:eastAsiaTheme="minorEastAsia" w:hAnsi="Arial Narrow" w:cs="Times New Roman"/>
                <w:b/>
                <w:bCs/>
                <w:sz w:val="20"/>
                <w:szCs w:val="20"/>
                <w:lang w:eastAsia="en-US"/>
              </w:rPr>
            </w:pPr>
            <w:r w:rsidRPr="004A7F12">
              <w:rPr>
                <w:rFonts w:ascii="Arial Narrow" w:eastAsiaTheme="minorEastAsia" w:hAnsi="Arial Narrow" w:cs="Times New Roman"/>
                <w:b/>
                <w:bCs/>
                <w:sz w:val="20"/>
                <w:szCs w:val="20"/>
                <w:lang w:eastAsia="en-US"/>
              </w:rPr>
              <w:t>Proportional use</w:t>
            </w:r>
          </w:p>
        </w:tc>
        <w:tc>
          <w:tcPr>
            <w:tcW w:w="1356" w:type="pct"/>
            <w:gridSpan w:val="4"/>
          </w:tcPr>
          <w:p w14:paraId="6C90759B" w14:textId="70DBA8A9" w:rsidR="00037D01" w:rsidRPr="004A7F12" w:rsidRDefault="004D2275" w:rsidP="001C716C">
            <w:pPr>
              <w:keepNext/>
              <w:keepLines/>
              <w:jc w:val="center"/>
              <w:rPr>
                <w:rFonts w:ascii="Arial Narrow" w:eastAsiaTheme="minorEastAsia" w:hAnsi="Arial Narrow" w:cs="Times New Roman"/>
                <w:b/>
                <w:bCs/>
                <w:sz w:val="20"/>
                <w:szCs w:val="20"/>
                <w:lang w:eastAsia="en-US"/>
              </w:rPr>
            </w:pPr>
            <w:r w:rsidRPr="004A7F12">
              <w:rPr>
                <w:rFonts w:ascii="Arial Narrow" w:eastAsiaTheme="minorEastAsia" w:hAnsi="Arial Narrow" w:cs="Times New Roman"/>
                <w:b/>
                <w:bCs/>
                <w:sz w:val="20"/>
                <w:szCs w:val="20"/>
                <w:lang w:eastAsia="en-US"/>
              </w:rPr>
              <w:t>130</w:t>
            </w:r>
            <w:r w:rsidR="00037D01" w:rsidRPr="004A7F12">
              <w:rPr>
                <w:rFonts w:ascii="Arial Narrow" w:eastAsiaTheme="minorEastAsia" w:hAnsi="Arial Narrow" w:cs="Times New Roman"/>
                <w:b/>
                <w:bCs/>
                <w:sz w:val="20"/>
                <w:szCs w:val="20"/>
                <w:lang w:eastAsia="en-US"/>
              </w:rPr>
              <w:t xml:space="preserve"> mg vial (1)</w:t>
            </w:r>
          </w:p>
        </w:tc>
        <w:tc>
          <w:tcPr>
            <w:tcW w:w="1359" w:type="pct"/>
            <w:gridSpan w:val="3"/>
          </w:tcPr>
          <w:p w14:paraId="7CFCA687" w14:textId="77777777" w:rsidR="00037D01" w:rsidRPr="004A7F12" w:rsidRDefault="00037D01" w:rsidP="001C716C">
            <w:pPr>
              <w:keepNext/>
              <w:keepLines/>
              <w:jc w:val="center"/>
              <w:rPr>
                <w:rFonts w:ascii="Arial Narrow" w:eastAsiaTheme="minorEastAsia" w:hAnsi="Arial Narrow" w:cs="Times New Roman"/>
                <w:b/>
                <w:bCs/>
                <w:sz w:val="20"/>
                <w:szCs w:val="20"/>
                <w:lang w:eastAsia="en-US"/>
              </w:rPr>
            </w:pPr>
            <w:r w:rsidRPr="004A7F12">
              <w:rPr>
                <w:rFonts w:ascii="Arial Narrow" w:eastAsiaTheme="minorEastAsia" w:hAnsi="Arial Narrow" w:cs="Times New Roman"/>
                <w:b/>
                <w:bCs/>
                <w:sz w:val="20"/>
                <w:szCs w:val="20"/>
                <w:lang w:eastAsia="en-US"/>
              </w:rPr>
              <w:t>90 mg PFS (1)</w:t>
            </w:r>
          </w:p>
        </w:tc>
      </w:tr>
      <w:tr w:rsidR="00037D01" w:rsidRPr="004A7F12" w14:paraId="383FB711" w14:textId="77777777" w:rsidTr="00712094">
        <w:tc>
          <w:tcPr>
            <w:tcW w:w="765" w:type="pct"/>
          </w:tcPr>
          <w:p w14:paraId="676F8C4A" w14:textId="77777777" w:rsidR="00037D01" w:rsidRPr="004A7F12" w:rsidRDefault="00037D01" w:rsidP="001C716C">
            <w:pPr>
              <w:keepNext/>
              <w:keepLines/>
              <w:jc w:val="left"/>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UST Q8W</w:t>
            </w:r>
          </w:p>
        </w:tc>
        <w:tc>
          <w:tcPr>
            <w:tcW w:w="1520" w:type="pct"/>
            <w:gridSpan w:val="3"/>
          </w:tcPr>
          <w:p w14:paraId="3D65CE25"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88%</w:t>
            </w:r>
          </w:p>
        </w:tc>
        <w:tc>
          <w:tcPr>
            <w:tcW w:w="1356" w:type="pct"/>
            <w:gridSpan w:val="4"/>
            <w:vAlign w:val="bottom"/>
          </w:tcPr>
          <w:p w14:paraId="05A2446D" w14:textId="1BE95179"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1359" w:type="pct"/>
            <w:gridSpan w:val="3"/>
            <w:vAlign w:val="bottom"/>
          </w:tcPr>
          <w:p w14:paraId="3D27BB0D" w14:textId="1DD2D0BB"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r>
      <w:tr w:rsidR="00037D01" w:rsidRPr="004A7F12" w14:paraId="404BF4B1" w14:textId="77777777" w:rsidTr="00712094">
        <w:tc>
          <w:tcPr>
            <w:tcW w:w="765" w:type="pct"/>
          </w:tcPr>
          <w:p w14:paraId="7F5EDCBE" w14:textId="77777777" w:rsidR="00037D01" w:rsidRPr="004A7F12" w:rsidRDefault="00037D01" w:rsidP="001C716C">
            <w:pPr>
              <w:keepNext/>
              <w:keepLines/>
              <w:jc w:val="left"/>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UST Q12W</w:t>
            </w:r>
          </w:p>
        </w:tc>
        <w:tc>
          <w:tcPr>
            <w:tcW w:w="1520" w:type="pct"/>
            <w:gridSpan w:val="3"/>
          </w:tcPr>
          <w:p w14:paraId="75474F7E" w14:textId="77777777" w:rsidR="00037D01" w:rsidRPr="00322704" w:rsidRDefault="00037D01" w:rsidP="001C716C">
            <w:pPr>
              <w:keepNext/>
              <w:keepLines/>
              <w:jc w:val="center"/>
              <w:rPr>
                <w:rFonts w:ascii="Arial Narrow" w:eastAsiaTheme="minorEastAsia" w:hAnsi="Arial Narrow" w:cs="Times New Roman"/>
                <w:sz w:val="20"/>
                <w:szCs w:val="20"/>
                <w:lang w:eastAsia="en-US"/>
              </w:rPr>
            </w:pPr>
            <w:r w:rsidRPr="00322704">
              <w:rPr>
                <w:rFonts w:ascii="Arial Narrow" w:eastAsiaTheme="minorEastAsia" w:hAnsi="Arial Narrow" w:cs="Times New Roman"/>
                <w:sz w:val="20"/>
                <w:szCs w:val="20"/>
                <w:lang w:eastAsia="en-US"/>
              </w:rPr>
              <w:t>12%</w:t>
            </w:r>
          </w:p>
        </w:tc>
        <w:tc>
          <w:tcPr>
            <w:tcW w:w="1356" w:type="pct"/>
            <w:gridSpan w:val="4"/>
            <w:vAlign w:val="bottom"/>
          </w:tcPr>
          <w:p w14:paraId="4BC19952" w14:textId="6FFDB5D4"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1359" w:type="pct"/>
            <w:gridSpan w:val="3"/>
            <w:vAlign w:val="bottom"/>
          </w:tcPr>
          <w:p w14:paraId="5D23C511" w14:textId="4BB77307" w:rsidR="00037D01" w:rsidRPr="004A7F12" w:rsidRDefault="00037D01" w:rsidP="001C716C">
            <w:pPr>
              <w:keepNext/>
              <w:keepLines/>
              <w:jc w:val="center"/>
              <w:rPr>
                <w:rFonts w:ascii="Arial Narrow" w:eastAsiaTheme="minorEastAsia" w:hAnsi="Arial Narrow" w:cs="Times New Roman"/>
                <w:sz w:val="20"/>
                <w:szCs w:val="20"/>
                <w:lang w:eastAsia="en-US"/>
              </w:rPr>
            </w:pPr>
            <w:r w:rsidRPr="004A7F12">
              <w:rPr>
                <w:rFonts w:ascii="Arial Narrow" w:eastAsiaTheme="minorEastAsia" w:hAnsi="Arial Narrow" w:cs="Times New Roman"/>
                <w:sz w:val="20"/>
                <w:szCs w:val="20"/>
                <w:lang w:eastAsia="en-US"/>
              </w:rPr>
              <w:t>$</w:t>
            </w:r>
            <w:r w:rsidR="00091900" w:rsidRPr="00091900">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r>
      <w:tr w:rsidR="00037D01" w:rsidRPr="004A7F12" w14:paraId="23C1809A" w14:textId="77777777" w:rsidTr="00712094">
        <w:tc>
          <w:tcPr>
            <w:tcW w:w="2285" w:type="pct"/>
            <w:gridSpan w:val="4"/>
            <w:vAlign w:val="center"/>
          </w:tcPr>
          <w:p w14:paraId="3CF70A22" w14:textId="77777777" w:rsidR="00037D01" w:rsidRPr="004A7F12" w:rsidRDefault="00037D01" w:rsidP="001C716C">
            <w:pPr>
              <w:keepNext/>
              <w:keepLines/>
              <w:jc w:val="right"/>
              <w:rPr>
                <w:rFonts w:ascii="Arial Narrow" w:eastAsiaTheme="minorEastAsia" w:hAnsi="Arial Narrow" w:cs="Times New Roman"/>
                <w:b/>
                <w:bCs/>
                <w:sz w:val="20"/>
                <w:szCs w:val="20"/>
                <w:lang w:eastAsia="en-US"/>
              </w:rPr>
            </w:pPr>
            <w:r w:rsidRPr="004A7F12">
              <w:rPr>
                <w:rFonts w:ascii="Arial Narrow" w:eastAsiaTheme="minorEastAsia" w:hAnsi="Arial Narrow" w:cs="Times New Roman"/>
                <w:b/>
                <w:bCs/>
                <w:sz w:val="20"/>
                <w:szCs w:val="20"/>
                <w:lang w:eastAsia="en-US"/>
              </w:rPr>
              <w:t>Requested AEMP</w:t>
            </w:r>
          </w:p>
        </w:tc>
        <w:tc>
          <w:tcPr>
            <w:tcW w:w="1356" w:type="pct"/>
            <w:gridSpan w:val="4"/>
            <w:vAlign w:val="bottom"/>
          </w:tcPr>
          <w:p w14:paraId="6C4CA067" w14:textId="5528E4BD" w:rsidR="00037D01" w:rsidRPr="005064FE" w:rsidRDefault="00037D01" w:rsidP="001C716C">
            <w:pPr>
              <w:keepNext/>
              <w:keepLines/>
              <w:jc w:val="center"/>
              <w:rPr>
                <w:rFonts w:ascii="Arial Narrow" w:eastAsiaTheme="minorEastAsia" w:hAnsi="Arial Narrow" w:cs="Times New Roman"/>
                <w:b/>
                <w:bCs/>
                <w:sz w:val="20"/>
                <w:szCs w:val="20"/>
                <w:lang w:eastAsia="en-US"/>
              </w:rPr>
            </w:pPr>
            <w:r w:rsidRPr="005064FE">
              <w:rPr>
                <w:rFonts w:ascii="Arial Narrow" w:eastAsiaTheme="minorEastAsia" w:hAnsi="Arial Narrow" w:cs="Times New Roman"/>
                <w:b/>
                <w:bCs/>
                <w:sz w:val="20"/>
                <w:szCs w:val="20"/>
                <w:lang w:eastAsia="en-US"/>
              </w:rPr>
              <w:t>$</w:t>
            </w:r>
            <w:r w:rsidR="00091900" w:rsidRPr="00091900">
              <w:rPr>
                <w:rFonts w:ascii="Arial Narrow" w:eastAsiaTheme="minorEastAsia" w:hAnsi="Arial Narrow" w:cs="Times New Roman"/>
                <w:b/>
                <w:bCs/>
                <w:color w:val="000000"/>
                <w:sz w:val="20"/>
                <w:szCs w:val="20"/>
                <w:shd w:val="solid" w:color="000000" w:fill="000000"/>
                <w:lang w:eastAsia="en-US"/>
                <w14:textFill>
                  <w14:solidFill>
                    <w14:srgbClr w14:val="000000">
                      <w14:alpha w14:val="100000"/>
                    </w14:srgbClr>
                  </w14:solidFill>
                </w14:textFill>
              </w:rPr>
              <w:t>|</w:t>
            </w:r>
          </w:p>
        </w:tc>
        <w:tc>
          <w:tcPr>
            <w:tcW w:w="1359" w:type="pct"/>
            <w:gridSpan w:val="3"/>
            <w:vAlign w:val="bottom"/>
          </w:tcPr>
          <w:p w14:paraId="52B27864" w14:textId="4CA8A216" w:rsidR="00037D01" w:rsidRPr="005064FE" w:rsidRDefault="00037D01" w:rsidP="001C716C">
            <w:pPr>
              <w:keepNext/>
              <w:keepLines/>
              <w:jc w:val="center"/>
              <w:rPr>
                <w:rFonts w:ascii="Arial Narrow" w:eastAsiaTheme="minorEastAsia" w:hAnsi="Arial Narrow" w:cs="Times New Roman"/>
                <w:b/>
                <w:bCs/>
                <w:sz w:val="20"/>
                <w:szCs w:val="20"/>
                <w:lang w:eastAsia="en-US"/>
              </w:rPr>
            </w:pPr>
            <w:r w:rsidRPr="005064FE">
              <w:rPr>
                <w:rFonts w:ascii="Arial Narrow" w:eastAsiaTheme="minorEastAsia" w:hAnsi="Arial Narrow" w:cs="Times New Roman"/>
                <w:b/>
                <w:bCs/>
                <w:sz w:val="20"/>
                <w:szCs w:val="20"/>
                <w:lang w:eastAsia="en-US"/>
              </w:rPr>
              <w:t>$</w:t>
            </w:r>
            <w:r w:rsidR="00091900" w:rsidRPr="00091900">
              <w:rPr>
                <w:rFonts w:ascii="Arial Narrow" w:eastAsiaTheme="minorEastAsia" w:hAnsi="Arial Narrow" w:cs="Times New Roman"/>
                <w:b/>
                <w:bCs/>
                <w:color w:val="000000"/>
                <w:sz w:val="20"/>
                <w:szCs w:val="20"/>
                <w:shd w:val="solid" w:color="000000" w:fill="000000"/>
                <w:lang w:eastAsia="en-US"/>
                <w14:textFill>
                  <w14:solidFill>
                    <w14:srgbClr w14:val="000000">
                      <w14:alpha w14:val="100000"/>
                    </w14:srgbClr>
                  </w14:solidFill>
                </w14:textFill>
              </w:rPr>
              <w:t>|</w:t>
            </w:r>
          </w:p>
        </w:tc>
      </w:tr>
    </w:tbl>
    <w:p w14:paraId="516F597A" w14:textId="77777777" w:rsidR="00037D01" w:rsidRPr="00290E77" w:rsidRDefault="00037D01" w:rsidP="001C716C">
      <w:pPr>
        <w:keepNext/>
        <w:keepLines/>
        <w:rPr>
          <w:rFonts w:ascii="Arial Narrow" w:eastAsiaTheme="minorEastAsia" w:hAnsi="Arial Narrow"/>
          <w:snapToGrid w:val="0"/>
          <w:sz w:val="16"/>
          <w:szCs w:val="16"/>
          <w:lang w:eastAsia="en-US"/>
        </w:rPr>
      </w:pPr>
      <w:r w:rsidRPr="00290E77">
        <w:rPr>
          <w:rFonts w:ascii="Arial Narrow" w:eastAsiaTheme="minorEastAsia" w:hAnsi="Arial Narrow"/>
          <w:snapToGrid w:val="0"/>
          <w:sz w:val="16"/>
          <w:szCs w:val="16"/>
          <w:lang w:eastAsia="en-US"/>
        </w:rPr>
        <w:t>Source: Tables 3-3; 3-4; 3-5, pp.198-199 of the submission.</w:t>
      </w:r>
    </w:p>
    <w:p w14:paraId="37C88CBD" w14:textId="77777777" w:rsidR="00037D01" w:rsidRPr="00290E77" w:rsidRDefault="00037D01" w:rsidP="001C716C">
      <w:pPr>
        <w:pStyle w:val="TableFigureFooter"/>
        <w:keepNext/>
        <w:keepLines/>
        <w:rPr>
          <w:sz w:val="16"/>
          <w:szCs w:val="16"/>
          <w:lang w:eastAsia="en-US"/>
        </w:rPr>
      </w:pPr>
      <w:r w:rsidRPr="00290E77">
        <w:rPr>
          <w:sz w:val="16"/>
          <w:szCs w:val="16"/>
          <w:lang w:eastAsia="en-US"/>
        </w:rPr>
        <w:t>IV=intravenous; PFS = pre-filled syringe; QxW = once every 8 weeks; SC= subcutaneous; IFX = infliximab; UST=ustekinumab.</w:t>
      </w:r>
    </w:p>
    <w:p w14:paraId="23CC0C53" w14:textId="77777777" w:rsidR="00037D01" w:rsidRPr="00290E77" w:rsidRDefault="00037D01" w:rsidP="001C716C">
      <w:pPr>
        <w:pStyle w:val="TableFigureFooter"/>
        <w:keepNext/>
        <w:keepLines/>
        <w:rPr>
          <w:rFonts w:eastAsiaTheme="minorEastAsia"/>
          <w:sz w:val="16"/>
          <w:szCs w:val="16"/>
          <w:lang w:eastAsia="en-US"/>
        </w:rPr>
      </w:pPr>
      <w:r w:rsidRPr="00290E77">
        <w:rPr>
          <w:rFonts w:eastAsiaTheme="minorEastAsia"/>
          <w:sz w:val="16"/>
          <w:szCs w:val="16"/>
          <w:vertAlign w:val="superscript"/>
          <w:lang w:eastAsia="en-US"/>
        </w:rPr>
        <w:t xml:space="preserve">a </w:t>
      </w:r>
      <w:r w:rsidRPr="00290E77">
        <w:rPr>
          <w:rFonts w:eastAsiaTheme="minorEastAsia"/>
          <w:sz w:val="16"/>
          <w:szCs w:val="16"/>
          <w:vertAlign w:val="superscript"/>
          <w:lang w:eastAsia="en-US"/>
        </w:rPr>
        <w:tab/>
      </w:r>
      <w:r w:rsidRPr="00290E77">
        <w:rPr>
          <w:rFonts w:eastAsiaTheme="minorEastAsia"/>
          <w:sz w:val="16"/>
          <w:szCs w:val="16"/>
          <w:lang w:eastAsia="en-US"/>
        </w:rPr>
        <w:t>Firstly, this is derived as total PBS costs for continuing period / number of vials in continuing period.</w:t>
      </w:r>
    </w:p>
    <w:p w14:paraId="66018193" w14:textId="77777777" w:rsidR="00037D01" w:rsidRPr="00290E77" w:rsidRDefault="00037D01" w:rsidP="001C716C">
      <w:pPr>
        <w:pStyle w:val="TableFigureFooter"/>
        <w:keepNext/>
        <w:keepLines/>
        <w:rPr>
          <w:rFonts w:eastAsiaTheme="minorEastAsia"/>
          <w:sz w:val="16"/>
          <w:szCs w:val="16"/>
          <w:lang w:eastAsia="en-US"/>
        </w:rPr>
      </w:pPr>
      <w:r w:rsidRPr="00290E77">
        <w:rPr>
          <w:rFonts w:eastAsiaTheme="minorEastAsia"/>
          <w:sz w:val="16"/>
          <w:szCs w:val="16"/>
          <w:vertAlign w:val="superscript"/>
          <w:lang w:eastAsia="en-US"/>
        </w:rPr>
        <w:t>b</w:t>
      </w:r>
      <w:r w:rsidRPr="00290E77">
        <w:rPr>
          <w:rFonts w:eastAsiaTheme="minorEastAsia"/>
          <w:sz w:val="16"/>
          <w:szCs w:val="16"/>
          <w:vertAlign w:val="superscript"/>
          <w:lang w:eastAsia="en-US"/>
        </w:rPr>
        <w:tab/>
      </w:r>
      <w:r w:rsidRPr="00290E77">
        <w:rPr>
          <w:rFonts w:eastAsiaTheme="minorEastAsia"/>
          <w:sz w:val="16"/>
          <w:szCs w:val="16"/>
          <w:lang w:eastAsia="en-US"/>
        </w:rPr>
        <w:t>Secondly, this cost plus the IV infusion cost plus PBS costs for Wk 8 dose has to equal the total costs for initial period.</w:t>
      </w:r>
    </w:p>
    <w:p w14:paraId="62D4D1CC" w14:textId="1EB0661D" w:rsidR="00037D01" w:rsidRPr="00290E77" w:rsidRDefault="00037D01" w:rsidP="00B76EF2">
      <w:pPr>
        <w:pStyle w:val="TableFigureFooter"/>
        <w:ind w:left="165" w:hanging="165"/>
        <w:rPr>
          <w:rFonts w:eastAsiaTheme="minorEastAsia"/>
          <w:sz w:val="16"/>
          <w:szCs w:val="16"/>
          <w:lang w:eastAsia="en-US"/>
        </w:rPr>
      </w:pPr>
      <w:r w:rsidRPr="00290E77">
        <w:rPr>
          <w:rFonts w:eastAsiaTheme="minorEastAsia"/>
          <w:sz w:val="16"/>
          <w:szCs w:val="16"/>
          <w:vertAlign w:val="superscript"/>
          <w:lang w:eastAsia="en-US"/>
        </w:rPr>
        <w:t>c</w:t>
      </w:r>
      <w:r w:rsidRPr="00290E77">
        <w:rPr>
          <w:rFonts w:eastAsiaTheme="minorEastAsia"/>
          <w:sz w:val="16"/>
          <w:szCs w:val="16"/>
          <w:vertAlign w:val="superscript"/>
          <w:lang w:eastAsia="en-US"/>
        </w:rPr>
        <w:tab/>
      </w:r>
      <w:r w:rsidRPr="00290E77">
        <w:rPr>
          <w:rFonts w:eastAsiaTheme="minorEastAsia"/>
          <w:sz w:val="16"/>
          <w:szCs w:val="16"/>
          <w:lang w:eastAsia="en-US"/>
        </w:rPr>
        <w:t xml:space="preserve">Table 3.2 (submission) and Attachment 3.2 of the submission stated the number of IFX IV vials per script </w:t>
      </w:r>
      <w:r w:rsidRPr="00322704">
        <w:rPr>
          <w:rFonts w:eastAsiaTheme="minorEastAsia"/>
          <w:sz w:val="16"/>
          <w:szCs w:val="16"/>
          <w:lang w:eastAsia="en-US"/>
        </w:rPr>
        <w:t>was 3.91 for continuing treatment. 3.91 vials per script was implicitly calculated as the total number of vials for the infusions from Week 14 to Week 104 (2 years), assuming a quarter of the 4.17 vials per infusion for the Week 102 infusion, divided by 12 infusions (the 12</w:t>
      </w:r>
      <w:r w:rsidRPr="00322704">
        <w:rPr>
          <w:rFonts w:eastAsiaTheme="minorEastAsia"/>
          <w:sz w:val="16"/>
          <w:szCs w:val="16"/>
          <w:vertAlign w:val="superscript"/>
          <w:lang w:eastAsia="en-US"/>
        </w:rPr>
        <w:t>th</w:t>
      </w:r>
      <w:r w:rsidRPr="00322704">
        <w:rPr>
          <w:rFonts w:eastAsiaTheme="minorEastAsia"/>
          <w:sz w:val="16"/>
          <w:szCs w:val="16"/>
          <w:lang w:eastAsia="en-US"/>
        </w:rPr>
        <w:t xml:space="preserve"> infusion occurring at Week 102).</w:t>
      </w:r>
    </w:p>
    <w:p w14:paraId="78AD2B2C" w14:textId="3621567F" w:rsidR="00C25150" w:rsidRPr="00F81A33" w:rsidRDefault="00C25150" w:rsidP="00B76EF2">
      <w:pPr>
        <w:pStyle w:val="3-BodyText"/>
      </w:pPr>
      <w:bookmarkStart w:id="40" w:name="_Toc22897646"/>
      <w:bookmarkStart w:id="41" w:name="_Toc134692577"/>
      <w:r w:rsidRPr="00322704">
        <w:t xml:space="preserve">This </w:t>
      </w:r>
      <w:r w:rsidR="007641D9" w:rsidRPr="00322704">
        <w:t>assumed</w:t>
      </w:r>
      <w:r w:rsidRPr="00322704">
        <w:t xml:space="preserve"> average 3.0 x UST 130 mg vials required for the loading dose differs to the 3.12 x UST 130 mg vials calculated in the UST March 2017 submission, based on the same weight distribution used to calculate the corresponding 4.17 x IFX 100</w:t>
      </w:r>
      <w:r w:rsidR="00AB00C2">
        <w:t> </w:t>
      </w:r>
      <w:r w:rsidRPr="00322704">
        <w:t>mg vials in the current submission. The estimate also differs to the 3.27 x UST 130 mg vials (i.e. 425 mg) calculated in the risankizumab submission July 2022, which was also consistent with the average doses administered in the UNITI-1 and UNITI-2 trials (i.e. 417 mg and 431 mg, respectively) (paragraph 6.64, risankizumab PSD, July 2022). The</w:t>
      </w:r>
      <w:r w:rsidRPr="00F81A33">
        <w:t xml:space="preserve"> estimated AEMP for UST 130 mg vial decreased from </w:t>
      </w:r>
      <w:r w:rsidRPr="00F81A33">
        <w:rPr>
          <w:rFonts w:eastAsiaTheme="minorEastAsia" w:cs="Calibri"/>
          <w:lang w:eastAsia="en-US"/>
        </w:rPr>
        <w:t>$</w:t>
      </w:r>
      <w:r w:rsidR="00091900" w:rsidRPr="00522D5A">
        <w:rPr>
          <w:rFonts w:eastAsiaTheme="minorEastAsia" w:cs="Calibri"/>
          <w:color w:val="000000"/>
          <w:w w:val="15"/>
          <w:shd w:val="solid" w:color="000000" w:fill="000000"/>
          <w:fitText w:val="-20" w:id="-1167920886"/>
          <w:lang w:eastAsia="en-US"/>
          <w14:textFill>
            <w14:solidFill>
              <w14:srgbClr w14:val="000000">
                <w14:alpha w14:val="100000"/>
              </w14:srgbClr>
            </w14:solidFill>
          </w14:textFill>
        </w:rPr>
        <w:t xml:space="preserve">|  </w:t>
      </w:r>
      <w:r w:rsidR="00091900" w:rsidRPr="00522D5A">
        <w:rPr>
          <w:rFonts w:eastAsiaTheme="minorEastAsia" w:cs="Calibri"/>
          <w:color w:val="000000"/>
          <w:spacing w:val="-69"/>
          <w:w w:val="15"/>
          <w:shd w:val="solid" w:color="000000" w:fill="000000"/>
          <w:fitText w:val="-20" w:id="-1167920886"/>
          <w:lang w:eastAsia="en-US"/>
          <w14:textFill>
            <w14:solidFill>
              <w14:srgbClr w14:val="000000">
                <w14:alpha w14:val="100000"/>
              </w14:srgbClr>
            </w14:solidFill>
          </w14:textFill>
        </w:rPr>
        <w:t>|</w:t>
      </w:r>
      <w:r w:rsidRPr="00F81A33">
        <w:rPr>
          <w:rFonts w:eastAsiaTheme="minorEastAsia" w:cs="Calibri"/>
          <w:lang w:eastAsia="en-US"/>
        </w:rPr>
        <w:t xml:space="preserve"> to $</w:t>
      </w:r>
      <w:r w:rsidR="00091900" w:rsidRPr="00522D5A">
        <w:rPr>
          <w:rFonts w:eastAsiaTheme="minorEastAsia" w:cs="Calibri"/>
          <w:color w:val="000000"/>
          <w:w w:val="15"/>
          <w:shd w:val="solid" w:color="000000" w:fill="000000"/>
          <w:fitText w:val="-20" w:id="-1167920885"/>
          <w:lang w:eastAsia="en-US"/>
          <w14:textFill>
            <w14:solidFill>
              <w14:srgbClr w14:val="000000">
                <w14:alpha w14:val="100000"/>
              </w14:srgbClr>
            </w14:solidFill>
          </w14:textFill>
        </w:rPr>
        <w:t xml:space="preserve">|  </w:t>
      </w:r>
      <w:r w:rsidR="00091900" w:rsidRPr="00522D5A">
        <w:rPr>
          <w:rFonts w:eastAsiaTheme="minorEastAsia" w:cs="Calibri"/>
          <w:color w:val="000000"/>
          <w:spacing w:val="-69"/>
          <w:w w:val="15"/>
          <w:shd w:val="solid" w:color="000000" w:fill="000000"/>
          <w:fitText w:val="-20" w:id="-1167920885"/>
          <w:lang w:eastAsia="en-US"/>
          <w14:textFill>
            <w14:solidFill>
              <w14:srgbClr w14:val="000000">
                <w14:alpha w14:val="100000"/>
              </w14:srgbClr>
            </w14:solidFill>
          </w14:textFill>
        </w:rPr>
        <w:t>|</w:t>
      </w:r>
      <w:r w:rsidRPr="00F81A33">
        <w:rPr>
          <w:rFonts w:eastAsiaTheme="minorEastAsia" w:cs="Calibri"/>
          <w:lang w:eastAsia="en-US"/>
        </w:rPr>
        <w:t xml:space="preserve"> assuming an average of 3.27 vials of UST for the loading dose.</w:t>
      </w:r>
      <w:r w:rsidR="00F47DA1" w:rsidRPr="00F81A33">
        <w:rPr>
          <w:rFonts w:eastAsiaTheme="minorEastAsia" w:cs="Calibri"/>
          <w:lang w:eastAsia="en-US"/>
        </w:rPr>
        <w:t xml:space="preserve"> </w:t>
      </w:r>
    </w:p>
    <w:p w14:paraId="1B690172" w14:textId="055D8441" w:rsidR="00F47DA1" w:rsidRPr="00F81A33" w:rsidRDefault="00F47DA1" w:rsidP="00B76EF2">
      <w:pPr>
        <w:pStyle w:val="3-BodyText"/>
      </w:pPr>
      <w:r w:rsidRPr="00F81A33">
        <w:rPr>
          <w:rFonts w:eastAsiaTheme="minorEastAsia" w:cs="Calibri"/>
          <w:lang w:eastAsia="en-US"/>
        </w:rPr>
        <w:t>The ESC reiterated it considered the evidence did not strongly support a claim of non-inferior comparative effectiveness of UST and the alternative therapies, and that UST was likely inferior to ADA in the first 24-32 weeks of treatment (paragraph</w:t>
      </w:r>
      <w:r w:rsidR="004F4EEF" w:rsidRPr="00F81A33">
        <w:rPr>
          <w:rFonts w:eastAsiaTheme="minorEastAsia" w:cs="Calibri"/>
          <w:lang w:eastAsia="en-US"/>
        </w:rPr>
        <w:t xml:space="preserve"> </w:t>
      </w:r>
      <w:r w:rsidR="004F4EEF" w:rsidRPr="00F81A33">
        <w:rPr>
          <w:rFonts w:eastAsiaTheme="minorEastAsia" w:cs="Calibri"/>
          <w:lang w:eastAsia="en-US"/>
        </w:rPr>
        <w:fldChar w:fldCharType="begin"/>
      </w:r>
      <w:r w:rsidR="004F4EEF" w:rsidRPr="00F81A33">
        <w:rPr>
          <w:rFonts w:eastAsiaTheme="minorEastAsia" w:cs="Calibri"/>
          <w:lang w:eastAsia="en-US"/>
        </w:rPr>
        <w:instrText xml:space="preserve"> REF _Ref137475351 \r \h </w:instrText>
      </w:r>
      <w:r w:rsidR="00F81A33" w:rsidRPr="00F81A33">
        <w:rPr>
          <w:rFonts w:eastAsiaTheme="minorEastAsia" w:cs="Calibri"/>
          <w:lang w:eastAsia="en-US"/>
        </w:rPr>
        <w:instrText xml:space="preserve"> \* MERGEFORMAT </w:instrText>
      </w:r>
      <w:r w:rsidR="004F4EEF" w:rsidRPr="00F81A33">
        <w:rPr>
          <w:rFonts w:eastAsiaTheme="minorEastAsia" w:cs="Calibri"/>
          <w:lang w:eastAsia="en-US"/>
        </w:rPr>
      </w:r>
      <w:r w:rsidR="004F4EEF" w:rsidRPr="00F81A33">
        <w:rPr>
          <w:rFonts w:eastAsiaTheme="minorEastAsia" w:cs="Calibri"/>
          <w:lang w:eastAsia="en-US"/>
        </w:rPr>
        <w:fldChar w:fldCharType="separate"/>
      </w:r>
      <w:r w:rsidR="00522D5A">
        <w:rPr>
          <w:rFonts w:eastAsiaTheme="minorEastAsia" w:cs="Calibri"/>
          <w:lang w:eastAsia="en-US"/>
        </w:rPr>
        <w:t>6.19</w:t>
      </w:r>
      <w:r w:rsidR="004F4EEF" w:rsidRPr="00F81A33">
        <w:rPr>
          <w:rFonts w:eastAsiaTheme="minorEastAsia" w:cs="Calibri"/>
          <w:lang w:eastAsia="en-US"/>
        </w:rPr>
        <w:fldChar w:fldCharType="end"/>
      </w:r>
      <w:r w:rsidRPr="00F81A33">
        <w:rPr>
          <w:rFonts w:eastAsiaTheme="minorEastAsia" w:cs="Calibri"/>
          <w:lang w:eastAsia="en-US"/>
        </w:rPr>
        <w:t xml:space="preserve"> refers). </w:t>
      </w:r>
    </w:p>
    <w:p w14:paraId="472842D7" w14:textId="754634C6" w:rsidR="00C25D9C" w:rsidRPr="00F81A33" w:rsidRDefault="00C25D9C" w:rsidP="00F81A33">
      <w:pPr>
        <w:pStyle w:val="4-SubsectionHeading"/>
      </w:pPr>
      <w:r w:rsidRPr="00F81A33">
        <w:t>Drug cost/patien</w:t>
      </w:r>
      <w:bookmarkEnd w:id="40"/>
      <w:r w:rsidR="005935E6" w:rsidRPr="00F81A33">
        <w:t>t: $</w:t>
      </w:r>
      <w:r w:rsidR="00091900" w:rsidRPr="00AB00C2">
        <w:rPr>
          <w:color w:val="000000"/>
          <w:spacing w:val="0"/>
          <w:w w:val="49"/>
          <w:kern w:val="0"/>
          <w:shd w:val="solid" w:color="000000" w:fill="000000"/>
          <w:fitText w:val="595" w:id="-1167920884"/>
          <w14:textFill>
            <w14:solidFill>
              <w14:srgbClr w14:val="000000">
                <w14:alpha w14:val="100000"/>
              </w14:srgbClr>
            </w14:solidFill>
          </w14:textFill>
        </w:rPr>
        <w:t>||||  |||</w:t>
      </w:r>
      <w:r w:rsidR="00091900" w:rsidRPr="00AB00C2">
        <w:rPr>
          <w:color w:val="000000"/>
          <w:spacing w:val="12"/>
          <w:w w:val="49"/>
          <w:kern w:val="0"/>
          <w:shd w:val="solid" w:color="000000" w:fill="000000"/>
          <w:fitText w:val="595" w:id="-1167920884"/>
          <w14:textFill>
            <w14:solidFill>
              <w14:srgbClr w14:val="000000">
                <w14:alpha w14:val="100000"/>
              </w14:srgbClr>
            </w14:solidFill>
          </w14:textFill>
        </w:rPr>
        <w:t>|</w:t>
      </w:r>
      <w:r w:rsidR="005935E6" w:rsidRPr="00F81A33">
        <w:t xml:space="preserve"> (first two years)</w:t>
      </w:r>
      <w:bookmarkEnd w:id="41"/>
    </w:p>
    <w:p w14:paraId="2E86BF0D" w14:textId="644601D8" w:rsidR="001E26C7" w:rsidRDefault="005935E6" w:rsidP="00983E26">
      <w:pPr>
        <w:pStyle w:val="3-BodyText"/>
        <w:rPr>
          <w:snapToGrid/>
          <w:lang w:val="en-US"/>
        </w:rPr>
      </w:pPr>
      <w:bookmarkStart w:id="42" w:name="_Hlk107307804"/>
      <w:r w:rsidRPr="005D5843">
        <w:rPr>
          <w:snapToGrid/>
          <w:lang w:val="en-US"/>
        </w:rPr>
        <w:t xml:space="preserve">Based on the proposed effective AEMPs, the </w:t>
      </w:r>
      <w:r w:rsidR="004868FB">
        <w:rPr>
          <w:snapToGrid/>
          <w:lang w:val="en-US"/>
        </w:rPr>
        <w:t xml:space="preserve">average </w:t>
      </w:r>
      <w:r w:rsidRPr="005D5843">
        <w:rPr>
          <w:snapToGrid/>
          <w:lang w:val="en-US"/>
        </w:rPr>
        <w:t>drug cost for UST per patient over the first two years of treatment is $</w:t>
      </w:r>
      <w:r w:rsidR="00091900" w:rsidRPr="00522D5A">
        <w:rPr>
          <w:snapToGrid/>
          <w:color w:val="000000"/>
          <w:w w:val="15"/>
          <w:shd w:val="solid" w:color="000000" w:fill="000000"/>
          <w:fitText w:val="-20" w:id="-1167920883"/>
          <w:lang w:val="en-US"/>
          <w14:textFill>
            <w14:solidFill>
              <w14:srgbClr w14:val="000000">
                <w14:alpha w14:val="100000"/>
              </w14:srgbClr>
            </w14:solidFill>
          </w14:textFill>
        </w:rPr>
        <w:t xml:space="preserve">|  </w:t>
      </w:r>
      <w:r w:rsidR="00091900" w:rsidRPr="00522D5A">
        <w:rPr>
          <w:snapToGrid/>
          <w:color w:val="000000"/>
          <w:spacing w:val="-69"/>
          <w:w w:val="15"/>
          <w:shd w:val="solid" w:color="000000" w:fill="000000"/>
          <w:fitText w:val="-20" w:id="-1167920883"/>
          <w:lang w:val="en-US"/>
          <w14:textFill>
            <w14:solidFill>
              <w14:srgbClr w14:val="000000">
                <w14:alpha w14:val="100000"/>
              </w14:srgbClr>
            </w14:solidFill>
          </w14:textFill>
        </w:rPr>
        <w:t>|</w:t>
      </w:r>
      <w:r w:rsidR="004868FB">
        <w:rPr>
          <w:snapToGrid/>
          <w:lang w:val="en-US"/>
        </w:rPr>
        <w:t xml:space="preserve"> </w:t>
      </w:r>
      <w:r w:rsidR="00F02BE7">
        <w:rPr>
          <w:snapToGrid/>
          <w:lang w:val="en-US"/>
        </w:rPr>
        <w:t>(</w:t>
      </w:r>
      <w:r w:rsidR="00966F4F">
        <w:rPr>
          <w:snapToGrid/>
          <w:lang w:val="en-US"/>
        </w:rPr>
        <w:t xml:space="preserve">excluding </w:t>
      </w:r>
      <w:r w:rsidR="00E274A2">
        <w:rPr>
          <w:snapToGrid/>
          <w:lang w:val="en-US"/>
        </w:rPr>
        <w:t>IV administration costs</w:t>
      </w:r>
      <w:r w:rsidR="00F02BE7">
        <w:rPr>
          <w:snapToGrid/>
          <w:lang w:val="en-US"/>
        </w:rPr>
        <w:t xml:space="preserve">) </w:t>
      </w:r>
      <w:r w:rsidR="001E26C7">
        <w:rPr>
          <w:snapToGrid/>
          <w:lang w:val="en-US"/>
        </w:rPr>
        <w:t xml:space="preserve">based on the assumptions in </w:t>
      </w:r>
      <w:r w:rsidR="001E26C7">
        <w:rPr>
          <w:rFonts w:eastAsiaTheme="minorEastAsia"/>
          <w:szCs w:val="22"/>
          <w:lang w:eastAsia="en-US"/>
        </w:rPr>
        <w:fldChar w:fldCharType="begin"/>
      </w:r>
      <w:r w:rsidR="001E26C7">
        <w:rPr>
          <w:rFonts w:eastAsiaTheme="minorEastAsia"/>
          <w:szCs w:val="22"/>
          <w:lang w:eastAsia="en-US"/>
        </w:rPr>
        <w:instrText xml:space="preserve"> REF _Ref132561969 \h </w:instrText>
      </w:r>
      <w:r w:rsidR="001E26C7">
        <w:rPr>
          <w:rFonts w:eastAsiaTheme="minorEastAsia"/>
          <w:szCs w:val="22"/>
          <w:lang w:eastAsia="en-US"/>
        </w:rPr>
      </w:r>
      <w:r w:rsidR="001E26C7">
        <w:rPr>
          <w:rFonts w:eastAsiaTheme="minorEastAsia"/>
          <w:szCs w:val="22"/>
          <w:lang w:eastAsia="en-US"/>
        </w:rPr>
        <w:fldChar w:fldCharType="separate"/>
      </w:r>
      <w:r w:rsidR="00522D5A">
        <w:t xml:space="preserve">Table </w:t>
      </w:r>
      <w:r w:rsidR="00522D5A">
        <w:rPr>
          <w:noProof/>
        </w:rPr>
        <w:t>7</w:t>
      </w:r>
      <w:r w:rsidR="001E26C7">
        <w:rPr>
          <w:rFonts w:eastAsiaTheme="minorEastAsia"/>
          <w:szCs w:val="22"/>
          <w:lang w:eastAsia="en-US"/>
        </w:rPr>
        <w:fldChar w:fldCharType="end"/>
      </w:r>
      <w:r w:rsidR="001E26C7">
        <w:rPr>
          <w:rFonts w:eastAsiaTheme="minorEastAsia"/>
          <w:szCs w:val="22"/>
          <w:lang w:eastAsia="en-US"/>
        </w:rPr>
        <w:t>. For patients treated with UST Q8W regimen, drug cost over the first two years is $</w:t>
      </w:r>
      <w:r w:rsidR="00091900" w:rsidRPr="00522D5A">
        <w:rPr>
          <w:rFonts w:eastAsiaTheme="minorEastAsia"/>
          <w:color w:val="000000"/>
          <w:w w:val="15"/>
          <w:szCs w:val="22"/>
          <w:shd w:val="solid" w:color="000000" w:fill="000000"/>
          <w:fitText w:val="-20" w:id="-1167920882"/>
          <w:lang w:eastAsia="en-US"/>
          <w14:textFill>
            <w14:solidFill>
              <w14:srgbClr w14:val="000000">
                <w14:alpha w14:val="100000"/>
              </w14:srgbClr>
            </w14:solidFill>
          </w14:textFill>
        </w:rPr>
        <w:t xml:space="preserve">|  </w:t>
      </w:r>
      <w:r w:rsidR="00091900" w:rsidRPr="00522D5A">
        <w:rPr>
          <w:rFonts w:eastAsiaTheme="minorEastAsia"/>
          <w:color w:val="000000"/>
          <w:spacing w:val="-69"/>
          <w:w w:val="15"/>
          <w:szCs w:val="22"/>
          <w:shd w:val="solid" w:color="000000" w:fill="000000"/>
          <w:fitText w:val="-20" w:id="-1167920882"/>
          <w:lang w:eastAsia="en-US"/>
          <w14:textFill>
            <w14:solidFill>
              <w14:srgbClr w14:val="000000">
                <w14:alpha w14:val="100000"/>
              </w14:srgbClr>
            </w14:solidFill>
          </w14:textFill>
        </w:rPr>
        <w:t>|</w:t>
      </w:r>
      <w:r w:rsidR="001E26C7">
        <w:rPr>
          <w:rFonts w:eastAsiaTheme="minorEastAsia"/>
          <w:szCs w:val="22"/>
          <w:lang w:eastAsia="en-US"/>
        </w:rPr>
        <w:t xml:space="preserve"> </w:t>
      </w:r>
      <w:r w:rsidR="004868FB">
        <w:rPr>
          <w:rFonts w:eastAsiaTheme="minorEastAsia"/>
          <w:szCs w:val="22"/>
          <w:lang w:eastAsia="en-US"/>
        </w:rPr>
        <w:t>($</w:t>
      </w:r>
      <w:r w:rsidR="00091900" w:rsidRPr="00522D5A">
        <w:rPr>
          <w:rFonts w:eastAsiaTheme="minorEastAsia"/>
          <w:color w:val="000000"/>
          <w:w w:val="15"/>
          <w:szCs w:val="22"/>
          <w:shd w:val="solid" w:color="000000" w:fill="000000"/>
          <w:fitText w:val="-20" w:id="-1167920881"/>
          <w:lang w:eastAsia="en-US"/>
          <w14:textFill>
            <w14:solidFill>
              <w14:srgbClr w14:val="000000">
                <w14:alpha w14:val="100000"/>
              </w14:srgbClr>
            </w14:solidFill>
          </w14:textFill>
        </w:rPr>
        <w:t xml:space="preserve">|  </w:t>
      </w:r>
      <w:r w:rsidR="00091900" w:rsidRPr="00522D5A">
        <w:rPr>
          <w:rFonts w:eastAsiaTheme="minorEastAsia"/>
          <w:color w:val="000000"/>
          <w:spacing w:val="-69"/>
          <w:w w:val="15"/>
          <w:szCs w:val="22"/>
          <w:shd w:val="solid" w:color="000000" w:fill="000000"/>
          <w:fitText w:val="-20" w:id="-1167920881"/>
          <w:lang w:eastAsia="en-US"/>
          <w14:textFill>
            <w14:solidFill>
              <w14:srgbClr w14:val="000000">
                <w14:alpha w14:val="100000"/>
              </w14:srgbClr>
            </w14:solidFill>
          </w14:textFill>
        </w:rPr>
        <w:t>|</w:t>
      </w:r>
      <w:r w:rsidR="004868FB" w:rsidRPr="009C3533">
        <w:rPr>
          <w:rFonts w:eastAsiaTheme="minorEastAsia"/>
          <w:szCs w:val="22"/>
          <w:lang w:eastAsia="en-US"/>
        </w:rPr>
        <w:t>*3+$</w:t>
      </w:r>
      <w:r w:rsidR="00091900" w:rsidRPr="00522D5A">
        <w:rPr>
          <w:rFonts w:eastAsiaTheme="minorEastAsia"/>
          <w:color w:val="000000"/>
          <w:w w:val="15"/>
          <w:szCs w:val="22"/>
          <w:shd w:val="solid" w:color="000000" w:fill="000000"/>
          <w:fitText w:val="-20" w:id="-1167920880"/>
          <w:lang w:eastAsia="en-US"/>
          <w14:textFill>
            <w14:solidFill>
              <w14:srgbClr w14:val="000000">
                <w14:alpha w14:val="100000"/>
              </w14:srgbClr>
            </w14:solidFill>
          </w14:textFill>
        </w:rPr>
        <w:t xml:space="preserve">|  </w:t>
      </w:r>
      <w:r w:rsidR="00091900" w:rsidRPr="00522D5A">
        <w:rPr>
          <w:rFonts w:eastAsiaTheme="minorEastAsia"/>
          <w:color w:val="000000"/>
          <w:spacing w:val="-69"/>
          <w:w w:val="15"/>
          <w:szCs w:val="22"/>
          <w:shd w:val="solid" w:color="000000" w:fill="000000"/>
          <w:fitText w:val="-20" w:id="-1167920880"/>
          <w:lang w:eastAsia="en-US"/>
          <w14:textFill>
            <w14:solidFill>
              <w14:srgbClr w14:val="000000">
                <w14:alpha w14:val="100000"/>
              </w14:srgbClr>
            </w14:solidFill>
          </w14:textFill>
        </w:rPr>
        <w:t>|</w:t>
      </w:r>
      <w:r w:rsidR="004868FB" w:rsidRPr="009C3533">
        <w:rPr>
          <w:rFonts w:eastAsiaTheme="minorEastAsia"/>
          <w:szCs w:val="22"/>
          <w:lang w:eastAsia="en-US"/>
        </w:rPr>
        <w:t>*12</w:t>
      </w:r>
      <w:r w:rsidR="004868FB">
        <w:rPr>
          <w:rFonts w:eastAsiaTheme="minorEastAsia"/>
          <w:szCs w:val="22"/>
          <w:lang w:eastAsia="en-US"/>
        </w:rPr>
        <w:t>). For patients treated with UST Q12W, the drug cost over the first two years is $</w:t>
      </w:r>
      <w:r w:rsidR="00091900" w:rsidRPr="00522D5A">
        <w:rPr>
          <w:rFonts w:eastAsiaTheme="minorEastAsia"/>
          <w:color w:val="000000"/>
          <w:w w:val="15"/>
          <w:szCs w:val="22"/>
          <w:shd w:val="solid" w:color="000000" w:fill="000000"/>
          <w:fitText w:val="-20" w:id="-1167920896"/>
          <w:lang w:eastAsia="en-US"/>
          <w14:textFill>
            <w14:solidFill>
              <w14:srgbClr w14:val="000000">
                <w14:alpha w14:val="100000"/>
              </w14:srgbClr>
            </w14:solidFill>
          </w14:textFill>
        </w:rPr>
        <w:t xml:space="preserve">|  </w:t>
      </w:r>
      <w:r w:rsidR="00091900" w:rsidRPr="00522D5A">
        <w:rPr>
          <w:rFonts w:eastAsiaTheme="minorEastAsia"/>
          <w:color w:val="000000"/>
          <w:spacing w:val="-69"/>
          <w:w w:val="15"/>
          <w:szCs w:val="22"/>
          <w:shd w:val="solid" w:color="000000" w:fill="000000"/>
          <w:fitText w:val="-20" w:id="-1167920896"/>
          <w:lang w:eastAsia="en-US"/>
          <w14:textFill>
            <w14:solidFill>
              <w14:srgbClr w14:val="000000">
                <w14:alpha w14:val="100000"/>
              </w14:srgbClr>
            </w14:solidFill>
          </w14:textFill>
        </w:rPr>
        <w:t>|</w:t>
      </w:r>
      <w:r w:rsidR="004868FB">
        <w:rPr>
          <w:rFonts w:eastAsiaTheme="minorEastAsia"/>
          <w:szCs w:val="22"/>
          <w:lang w:eastAsia="en-US"/>
        </w:rPr>
        <w:t xml:space="preserve"> ($</w:t>
      </w:r>
      <w:r w:rsidR="00091900" w:rsidRPr="00522D5A">
        <w:rPr>
          <w:rFonts w:eastAsiaTheme="minorEastAsia"/>
          <w:color w:val="000000"/>
          <w:w w:val="15"/>
          <w:szCs w:val="22"/>
          <w:shd w:val="solid" w:color="000000" w:fill="000000"/>
          <w:fitText w:val="-20" w:id="-1167920895"/>
          <w:lang w:eastAsia="en-US"/>
          <w14:textFill>
            <w14:solidFill>
              <w14:srgbClr w14:val="000000">
                <w14:alpha w14:val="100000"/>
              </w14:srgbClr>
            </w14:solidFill>
          </w14:textFill>
        </w:rPr>
        <w:t xml:space="preserve">|  </w:t>
      </w:r>
      <w:r w:rsidR="00091900" w:rsidRPr="00522D5A">
        <w:rPr>
          <w:rFonts w:eastAsiaTheme="minorEastAsia"/>
          <w:color w:val="000000"/>
          <w:spacing w:val="-69"/>
          <w:w w:val="15"/>
          <w:szCs w:val="22"/>
          <w:shd w:val="solid" w:color="000000" w:fill="000000"/>
          <w:fitText w:val="-20" w:id="-1167920895"/>
          <w:lang w:eastAsia="en-US"/>
          <w14:textFill>
            <w14:solidFill>
              <w14:srgbClr w14:val="000000">
                <w14:alpha w14:val="100000"/>
              </w14:srgbClr>
            </w14:solidFill>
          </w14:textFill>
        </w:rPr>
        <w:t>|</w:t>
      </w:r>
      <w:r w:rsidR="004868FB" w:rsidRPr="009C3533">
        <w:rPr>
          <w:rFonts w:eastAsiaTheme="minorEastAsia"/>
          <w:szCs w:val="22"/>
          <w:lang w:eastAsia="en-US"/>
        </w:rPr>
        <w:t>*3+$</w:t>
      </w:r>
      <w:r w:rsidR="00091900" w:rsidRPr="00522D5A">
        <w:rPr>
          <w:rFonts w:eastAsiaTheme="minorEastAsia"/>
          <w:color w:val="000000"/>
          <w:w w:val="15"/>
          <w:szCs w:val="22"/>
          <w:shd w:val="solid" w:color="000000" w:fill="000000"/>
          <w:fitText w:val="-20" w:id="-1167920894"/>
          <w:lang w:eastAsia="en-US"/>
          <w14:textFill>
            <w14:solidFill>
              <w14:srgbClr w14:val="000000">
                <w14:alpha w14:val="100000"/>
              </w14:srgbClr>
            </w14:solidFill>
          </w14:textFill>
        </w:rPr>
        <w:t xml:space="preserve">|  </w:t>
      </w:r>
      <w:r w:rsidR="00091900" w:rsidRPr="00522D5A">
        <w:rPr>
          <w:rFonts w:eastAsiaTheme="minorEastAsia"/>
          <w:color w:val="000000"/>
          <w:spacing w:val="-69"/>
          <w:w w:val="15"/>
          <w:szCs w:val="22"/>
          <w:shd w:val="solid" w:color="000000" w:fill="000000"/>
          <w:fitText w:val="-20" w:id="-1167920894"/>
          <w:lang w:eastAsia="en-US"/>
          <w14:textFill>
            <w14:solidFill>
              <w14:srgbClr w14:val="000000">
                <w14:alpha w14:val="100000"/>
              </w14:srgbClr>
            </w14:solidFill>
          </w14:textFill>
        </w:rPr>
        <w:t>|</w:t>
      </w:r>
      <w:r w:rsidR="004868FB" w:rsidRPr="009C3533">
        <w:rPr>
          <w:rFonts w:eastAsiaTheme="minorEastAsia"/>
          <w:szCs w:val="22"/>
          <w:lang w:eastAsia="en-US"/>
        </w:rPr>
        <w:t>*8</w:t>
      </w:r>
      <w:r w:rsidR="004868FB">
        <w:rPr>
          <w:rFonts w:eastAsiaTheme="minorEastAsia"/>
          <w:szCs w:val="22"/>
          <w:lang w:eastAsia="en-US"/>
        </w:rPr>
        <w:t>), owing to less frequent dosing for maintenance treatment.</w:t>
      </w:r>
    </w:p>
    <w:p w14:paraId="268768EF" w14:textId="3626F292" w:rsidR="00B60939" w:rsidRPr="00C9624D" w:rsidRDefault="00B60939" w:rsidP="002B05A1">
      <w:pPr>
        <w:pStyle w:val="4-SubsectionHeading"/>
      </w:pPr>
      <w:bookmarkStart w:id="43" w:name="_Toc22897647"/>
      <w:bookmarkStart w:id="44" w:name="_Toc134692578"/>
      <w:bookmarkEnd w:id="42"/>
      <w:r w:rsidRPr="00C9624D">
        <w:lastRenderedPageBreak/>
        <w:t>Estimated PBS usage &amp; financial implications</w:t>
      </w:r>
      <w:bookmarkEnd w:id="43"/>
      <w:bookmarkEnd w:id="44"/>
    </w:p>
    <w:p w14:paraId="335F03DB" w14:textId="10AF59B3" w:rsidR="00FF13AE" w:rsidRPr="00C90A79" w:rsidRDefault="00C25D9C" w:rsidP="005D5843">
      <w:pPr>
        <w:pStyle w:val="3-BodyText"/>
        <w:rPr>
          <w:rFonts w:ascii="Calibri" w:hAnsi="Calibri" w:cs="Calibri"/>
        </w:rPr>
      </w:pPr>
      <w:r>
        <w:t xml:space="preserve">This submission </w:t>
      </w:r>
      <w:r w:rsidR="00B201A4" w:rsidRPr="00A570FE">
        <w:t>w</w:t>
      </w:r>
      <w:r w:rsidR="004B3463">
        <w:t xml:space="preserve">as </w:t>
      </w:r>
      <w:r w:rsidR="00CA0FAE" w:rsidRPr="00A570FE">
        <w:t>not</w:t>
      </w:r>
      <w:r>
        <w:t xml:space="preserve"> considered by DUSC</w:t>
      </w:r>
      <w:r w:rsidRPr="00B50DB8">
        <w:rPr>
          <w:color w:val="0070C0"/>
        </w:rPr>
        <w:t>.</w:t>
      </w:r>
      <w:r w:rsidR="00BC591F">
        <w:rPr>
          <w:color w:val="0070C0"/>
        </w:rPr>
        <w:t xml:space="preserve"> </w:t>
      </w:r>
      <w:r w:rsidR="00FF13AE" w:rsidRPr="00C26960">
        <w:t xml:space="preserve">The submission </w:t>
      </w:r>
      <w:r w:rsidR="00FF13AE">
        <w:t>used</w:t>
      </w:r>
      <w:r w:rsidR="00FF13AE" w:rsidRPr="00C26960">
        <w:t xml:space="preserve"> a market share approach to the financial estimates</w:t>
      </w:r>
      <w:r w:rsidR="00FF13AE">
        <w:t xml:space="preserve"> based on the effective prices</w:t>
      </w:r>
      <w:r w:rsidR="00FF13AE" w:rsidRPr="00C26960">
        <w:t xml:space="preserve">. </w:t>
      </w:r>
      <w:r w:rsidR="005D5843">
        <w:fldChar w:fldCharType="begin"/>
      </w:r>
      <w:r w:rsidR="005D5843">
        <w:instrText xml:space="preserve"> REF _Ref104805262 \h </w:instrText>
      </w:r>
      <w:r w:rsidR="005D5843">
        <w:fldChar w:fldCharType="separate"/>
      </w:r>
      <w:r w:rsidR="00522D5A">
        <w:t xml:space="preserve">Table </w:t>
      </w:r>
      <w:r w:rsidR="00522D5A">
        <w:rPr>
          <w:noProof/>
        </w:rPr>
        <w:t>8</w:t>
      </w:r>
      <w:r w:rsidR="005D5843">
        <w:fldChar w:fldCharType="end"/>
      </w:r>
      <w:r w:rsidR="00FF13AE">
        <w:t xml:space="preserve"> </w:t>
      </w:r>
      <w:r w:rsidR="00FF13AE" w:rsidRPr="00C90A79">
        <w:rPr>
          <w:rFonts w:ascii="Calibri" w:hAnsi="Calibri" w:cs="Calibri"/>
        </w:rPr>
        <w:t>summarises the inputs used for the financial estimates.</w:t>
      </w:r>
    </w:p>
    <w:p w14:paraId="5F23B98E" w14:textId="2F19AD7F" w:rsidR="00FF13AE" w:rsidRPr="007925DF" w:rsidRDefault="00FF13AE" w:rsidP="00FF13AE">
      <w:pPr>
        <w:pStyle w:val="Caption"/>
        <w:rPr>
          <w:rStyle w:val="CommentReference"/>
          <w:b/>
          <w:szCs w:val="24"/>
        </w:rPr>
      </w:pPr>
      <w:bookmarkStart w:id="45" w:name="_Ref104805262"/>
      <w:r>
        <w:t xml:space="preserve">Table </w:t>
      </w:r>
      <w:fldSimple w:instr=" SEQ Table \* ARABIC ">
        <w:r w:rsidR="00522D5A">
          <w:rPr>
            <w:noProof/>
          </w:rPr>
          <w:t>8</w:t>
        </w:r>
      </w:fldSimple>
      <w:bookmarkEnd w:id="45"/>
      <w:r>
        <w:t>:</w:t>
      </w:r>
      <w:r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31"/>
        <w:gridCol w:w="7286"/>
      </w:tblGrid>
      <w:tr w:rsidR="003F2548" w:rsidRPr="00290E77" w14:paraId="315CA84D" w14:textId="77777777" w:rsidTr="00240923">
        <w:trPr>
          <w:cantSplit/>
          <w:tblHeader/>
        </w:trPr>
        <w:tc>
          <w:tcPr>
            <w:tcW w:w="960" w:type="pct"/>
            <w:shd w:val="clear" w:color="auto" w:fill="auto"/>
            <w:vAlign w:val="center"/>
          </w:tcPr>
          <w:p w14:paraId="789263FC" w14:textId="77777777" w:rsidR="003F2548" w:rsidRPr="00290E77" w:rsidRDefault="003F2548" w:rsidP="00C337B6">
            <w:pPr>
              <w:pStyle w:val="In-tableHeading"/>
              <w:keepNext w:val="0"/>
              <w:rPr>
                <w:szCs w:val="20"/>
              </w:rPr>
            </w:pPr>
            <w:r w:rsidRPr="00290E77">
              <w:rPr>
                <w:szCs w:val="20"/>
              </w:rPr>
              <w:t>Parameter</w:t>
            </w:r>
          </w:p>
        </w:tc>
        <w:tc>
          <w:tcPr>
            <w:tcW w:w="4040" w:type="pct"/>
            <w:shd w:val="clear" w:color="auto" w:fill="auto"/>
            <w:vAlign w:val="center"/>
          </w:tcPr>
          <w:p w14:paraId="2312ADDD" w14:textId="77777777" w:rsidR="003F2548" w:rsidRPr="00290E77" w:rsidRDefault="003F2548" w:rsidP="00C337B6">
            <w:pPr>
              <w:pStyle w:val="In-tableHeading"/>
              <w:keepNext w:val="0"/>
              <w:rPr>
                <w:szCs w:val="20"/>
              </w:rPr>
            </w:pPr>
            <w:r w:rsidRPr="00290E77">
              <w:rPr>
                <w:szCs w:val="20"/>
              </w:rPr>
              <w:t>Value applied and source</w:t>
            </w:r>
          </w:p>
        </w:tc>
      </w:tr>
      <w:tr w:rsidR="003F2548" w:rsidRPr="00290E77" w14:paraId="544065A3" w14:textId="77777777" w:rsidTr="00240923">
        <w:trPr>
          <w:cantSplit/>
        </w:trPr>
        <w:tc>
          <w:tcPr>
            <w:tcW w:w="960" w:type="pct"/>
            <w:vAlign w:val="center"/>
          </w:tcPr>
          <w:p w14:paraId="4AB1685D" w14:textId="77777777" w:rsidR="003F2548" w:rsidRPr="00290E77" w:rsidRDefault="003F2548" w:rsidP="00C337B6">
            <w:pPr>
              <w:pStyle w:val="TableText0"/>
              <w:keepNext w:val="0"/>
              <w:rPr>
                <w:szCs w:val="20"/>
                <w:lang w:val="en-US"/>
              </w:rPr>
            </w:pPr>
            <w:r w:rsidRPr="00290E77">
              <w:rPr>
                <w:szCs w:val="20"/>
              </w:rPr>
              <w:t>Patient-weeks per comparator script.</w:t>
            </w:r>
          </w:p>
        </w:tc>
        <w:tc>
          <w:tcPr>
            <w:tcW w:w="4040" w:type="pct"/>
            <w:vAlign w:val="center"/>
          </w:tcPr>
          <w:p w14:paraId="2743BC38" w14:textId="1FCFBEB4" w:rsidR="003F2548" w:rsidRPr="00290E77" w:rsidRDefault="003F2548" w:rsidP="00983E26">
            <w:pPr>
              <w:widowControl w:val="0"/>
              <w:rPr>
                <w:rFonts w:ascii="Arial Narrow" w:hAnsi="Arial Narrow" w:cstheme="minorBidi"/>
                <w:sz w:val="20"/>
                <w:szCs w:val="20"/>
              </w:rPr>
            </w:pPr>
            <w:r w:rsidRPr="00290E77">
              <w:rPr>
                <w:rFonts w:ascii="Arial Narrow" w:hAnsi="Arial Narrow"/>
                <w:sz w:val="20"/>
                <w:szCs w:val="20"/>
              </w:rPr>
              <w:t xml:space="preserve">To convert script numbers to patient weeks on treatment, the submission estimated the </w:t>
            </w:r>
            <w:r w:rsidRPr="00290E77">
              <w:rPr>
                <w:rFonts w:ascii="Arial Narrow" w:hAnsi="Arial Narrow" w:cstheme="minorBidi"/>
                <w:sz w:val="20"/>
                <w:szCs w:val="20"/>
              </w:rPr>
              <w:t>average number of weeks of treatment per script based on the TGA approved and PBS listed dosing schedules for each agent, for the initial and continuing treatment.</w:t>
            </w:r>
            <w:r w:rsidRPr="00290E77" w:rsidDel="00155CF6">
              <w:rPr>
                <w:rFonts w:ascii="Arial Narrow" w:hAnsi="Arial Narrow" w:cstheme="minorBidi"/>
                <w:sz w:val="20"/>
                <w:szCs w:val="20"/>
              </w:rPr>
              <w:t xml:space="preserve"> </w:t>
            </w:r>
          </w:p>
          <w:p w14:paraId="6C986D55" w14:textId="77777777" w:rsidR="003F2548" w:rsidRPr="00290E77" w:rsidRDefault="003F2548" w:rsidP="00C337B6">
            <w:pPr>
              <w:pStyle w:val="TableText0"/>
              <w:keepNext w:val="0"/>
              <w:rPr>
                <w:b/>
                <w:bCs w:val="0"/>
                <w:szCs w:val="20"/>
              </w:rPr>
            </w:pPr>
            <w:r w:rsidRPr="00290E77">
              <w:rPr>
                <w:b/>
                <w:bCs w:val="0"/>
                <w:szCs w:val="20"/>
              </w:rPr>
              <w:t>Table: Average weeks of treatment per dispensed script</w:t>
            </w:r>
          </w:p>
          <w:tbl>
            <w:tblPr>
              <w:tblStyle w:val="TableGrid"/>
              <w:tblW w:w="5000" w:type="pct"/>
              <w:tblCellMar>
                <w:left w:w="28" w:type="dxa"/>
                <w:right w:w="28" w:type="dxa"/>
              </w:tblCellMar>
              <w:tblLook w:val="04A0" w:firstRow="1" w:lastRow="0" w:firstColumn="1" w:lastColumn="0" w:noHBand="0" w:noVBand="1"/>
            </w:tblPr>
            <w:tblGrid>
              <w:gridCol w:w="1663"/>
              <w:gridCol w:w="3717"/>
              <w:gridCol w:w="614"/>
              <w:gridCol w:w="614"/>
              <w:gridCol w:w="612"/>
            </w:tblGrid>
            <w:tr w:rsidR="00983E26" w:rsidRPr="00290E77" w14:paraId="01477BFA" w14:textId="77777777" w:rsidTr="00983E26">
              <w:tc>
                <w:tcPr>
                  <w:tcW w:w="1152" w:type="pct"/>
                  <w:vAlign w:val="center"/>
                </w:tcPr>
                <w:p w14:paraId="2EA7508A" w14:textId="77777777" w:rsidR="00983E26" w:rsidRPr="00290E77" w:rsidRDefault="00983E26" w:rsidP="00C337B6">
                  <w:pPr>
                    <w:jc w:val="left"/>
                    <w:rPr>
                      <w:rFonts w:ascii="Arial Narrow" w:hAnsi="Arial Narrow"/>
                      <w:b/>
                      <w:bCs/>
                      <w:sz w:val="20"/>
                      <w:szCs w:val="20"/>
                    </w:rPr>
                  </w:pPr>
                  <w:r w:rsidRPr="00290E77">
                    <w:rPr>
                      <w:rFonts w:ascii="Arial Narrow" w:hAnsi="Arial Narrow"/>
                      <w:b/>
                      <w:bCs/>
                      <w:sz w:val="20"/>
                      <w:szCs w:val="20"/>
                    </w:rPr>
                    <w:t>Comparator &amp; script type</w:t>
                  </w:r>
                </w:p>
              </w:tc>
              <w:tc>
                <w:tcPr>
                  <w:tcW w:w="2574" w:type="pct"/>
                  <w:vAlign w:val="center"/>
                </w:tcPr>
                <w:p w14:paraId="4417E853" w14:textId="437F5DD5" w:rsidR="00983E26" w:rsidRPr="00290E77" w:rsidRDefault="00983E26" w:rsidP="00C337B6">
                  <w:pPr>
                    <w:jc w:val="center"/>
                    <w:rPr>
                      <w:rFonts w:ascii="Arial Narrow" w:hAnsi="Arial Narrow"/>
                      <w:b/>
                      <w:color w:val="000000"/>
                      <w:sz w:val="20"/>
                      <w:szCs w:val="20"/>
                    </w:rPr>
                  </w:pPr>
                  <w:r w:rsidRPr="00290E77">
                    <w:rPr>
                      <w:rFonts w:ascii="Arial Narrow" w:hAnsi="Arial Narrow"/>
                      <w:b/>
                      <w:bCs/>
                      <w:sz w:val="20"/>
                      <w:szCs w:val="20"/>
                    </w:rPr>
                    <w:t>Item numbers</w:t>
                  </w:r>
                </w:p>
              </w:tc>
              <w:tc>
                <w:tcPr>
                  <w:tcW w:w="425" w:type="pct"/>
                  <w:vAlign w:val="center"/>
                </w:tcPr>
                <w:p w14:paraId="64388CE5" w14:textId="77777777" w:rsidR="00983E26" w:rsidRPr="00290E77" w:rsidRDefault="00983E26" w:rsidP="00C337B6">
                  <w:pPr>
                    <w:jc w:val="center"/>
                    <w:rPr>
                      <w:rFonts w:ascii="Arial Narrow" w:hAnsi="Arial Narrow"/>
                      <w:b/>
                      <w:color w:val="000000"/>
                      <w:sz w:val="20"/>
                      <w:szCs w:val="20"/>
                    </w:rPr>
                  </w:pPr>
                  <w:r w:rsidRPr="00290E77">
                    <w:rPr>
                      <w:rFonts w:ascii="Arial Narrow" w:hAnsi="Arial Narrow"/>
                      <w:b/>
                      <w:color w:val="000000"/>
                      <w:sz w:val="20"/>
                      <w:szCs w:val="20"/>
                    </w:rPr>
                    <w:t>Max Qty</w:t>
                  </w:r>
                </w:p>
              </w:tc>
              <w:tc>
                <w:tcPr>
                  <w:tcW w:w="425" w:type="pct"/>
                  <w:vAlign w:val="center"/>
                </w:tcPr>
                <w:p w14:paraId="688217BD" w14:textId="77777777" w:rsidR="00983E26" w:rsidRPr="00290E77" w:rsidRDefault="00983E26" w:rsidP="00C337B6">
                  <w:pPr>
                    <w:jc w:val="center"/>
                    <w:rPr>
                      <w:rFonts w:ascii="Arial Narrow" w:hAnsi="Arial Narrow"/>
                      <w:b/>
                      <w:color w:val="000000"/>
                      <w:sz w:val="20"/>
                      <w:szCs w:val="20"/>
                    </w:rPr>
                  </w:pPr>
                  <w:r w:rsidRPr="00290E77">
                    <w:rPr>
                      <w:rFonts w:ascii="Arial Narrow" w:hAnsi="Arial Narrow"/>
                      <w:b/>
                      <w:color w:val="000000"/>
                      <w:sz w:val="20"/>
                      <w:szCs w:val="20"/>
                    </w:rPr>
                    <w:t>Max Rpts</w:t>
                  </w:r>
                </w:p>
              </w:tc>
              <w:tc>
                <w:tcPr>
                  <w:tcW w:w="425" w:type="pct"/>
                  <w:vAlign w:val="center"/>
                </w:tcPr>
                <w:p w14:paraId="61D592BD" w14:textId="77777777" w:rsidR="00983E26" w:rsidRPr="00290E77" w:rsidRDefault="00983E26" w:rsidP="00C337B6">
                  <w:pPr>
                    <w:jc w:val="center"/>
                    <w:rPr>
                      <w:rFonts w:ascii="Arial Narrow" w:hAnsi="Arial Narrow"/>
                      <w:b/>
                      <w:color w:val="000000"/>
                      <w:sz w:val="20"/>
                      <w:szCs w:val="20"/>
                    </w:rPr>
                  </w:pPr>
                  <w:r w:rsidRPr="00290E77">
                    <w:rPr>
                      <w:rFonts w:ascii="Arial Narrow" w:hAnsi="Arial Narrow"/>
                      <w:b/>
                      <w:color w:val="000000"/>
                      <w:sz w:val="20"/>
                      <w:szCs w:val="20"/>
                    </w:rPr>
                    <w:t>Wks/ script</w:t>
                  </w:r>
                </w:p>
              </w:tc>
            </w:tr>
            <w:tr w:rsidR="00983E26" w:rsidRPr="00290E77" w14:paraId="058E0F16" w14:textId="77777777" w:rsidTr="00983E26">
              <w:tc>
                <w:tcPr>
                  <w:tcW w:w="1152" w:type="pct"/>
                  <w:vAlign w:val="center"/>
                </w:tcPr>
                <w:p w14:paraId="2E6BDF84" w14:textId="3B4618CE" w:rsidR="00983E26" w:rsidRPr="00290E77" w:rsidRDefault="00983E26" w:rsidP="00C337B6">
                  <w:pPr>
                    <w:jc w:val="left"/>
                    <w:rPr>
                      <w:rFonts w:ascii="Arial Narrow" w:hAnsi="Arial Narrow"/>
                      <w:bCs/>
                      <w:color w:val="000000"/>
                      <w:sz w:val="20"/>
                      <w:szCs w:val="20"/>
                    </w:rPr>
                  </w:pPr>
                  <w:r w:rsidRPr="00290E77">
                    <w:rPr>
                      <w:rFonts w:ascii="Arial Narrow" w:hAnsi="Arial Narrow"/>
                      <w:bCs/>
                      <w:sz w:val="20"/>
                      <w:szCs w:val="20"/>
                    </w:rPr>
                    <w:t>ADA, 80 mg/0.8mL</w:t>
                  </w:r>
                </w:p>
              </w:tc>
              <w:tc>
                <w:tcPr>
                  <w:tcW w:w="2574" w:type="pct"/>
                  <w:vAlign w:val="center"/>
                </w:tcPr>
                <w:p w14:paraId="4477A5F9" w14:textId="5C62D391" w:rsidR="00983E26" w:rsidRPr="00290E77" w:rsidRDefault="00983E26" w:rsidP="00983E26">
                  <w:pPr>
                    <w:jc w:val="left"/>
                    <w:rPr>
                      <w:rFonts w:ascii="Arial Narrow" w:hAnsi="Arial Narrow"/>
                      <w:bCs/>
                      <w:sz w:val="20"/>
                      <w:szCs w:val="20"/>
                    </w:rPr>
                  </w:pPr>
                  <w:r w:rsidRPr="00290E77">
                    <w:rPr>
                      <w:rFonts w:ascii="Arial Narrow" w:hAnsi="Arial Narrow"/>
                      <w:bCs/>
                      <w:sz w:val="20"/>
                      <w:szCs w:val="20"/>
                    </w:rPr>
                    <w:t>12360M, 12393G</w:t>
                  </w:r>
                </w:p>
              </w:tc>
              <w:tc>
                <w:tcPr>
                  <w:tcW w:w="425" w:type="pct"/>
                  <w:vAlign w:val="center"/>
                </w:tcPr>
                <w:p w14:paraId="3D27171A"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3</w:t>
                  </w:r>
                </w:p>
              </w:tc>
              <w:tc>
                <w:tcPr>
                  <w:tcW w:w="425" w:type="pct"/>
                  <w:vAlign w:val="center"/>
                </w:tcPr>
                <w:p w14:paraId="1FAE0B87"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0</w:t>
                  </w:r>
                </w:p>
              </w:tc>
              <w:tc>
                <w:tcPr>
                  <w:tcW w:w="425" w:type="pct"/>
                  <w:vAlign w:val="center"/>
                </w:tcPr>
                <w:p w14:paraId="72FCEDAA"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4.0</w:t>
                  </w:r>
                </w:p>
              </w:tc>
            </w:tr>
            <w:tr w:rsidR="00983E26" w:rsidRPr="00290E77" w14:paraId="4F446B53" w14:textId="77777777" w:rsidTr="00983E26">
              <w:tc>
                <w:tcPr>
                  <w:tcW w:w="1152" w:type="pct"/>
                  <w:vAlign w:val="center"/>
                </w:tcPr>
                <w:p w14:paraId="35E567AE" w14:textId="46D073ED" w:rsidR="00983E26" w:rsidRPr="00290E77" w:rsidRDefault="00983E26" w:rsidP="00C337B6">
                  <w:pPr>
                    <w:jc w:val="left"/>
                    <w:rPr>
                      <w:rFonts w:ascii="Arial Narrow" w:hAnsi="Arial Narrow"/>
                      <w:bCs/>
                      <w:sz w:val="20"/>
                      <w:szCs w:val="20"/>
                    </w:rPr>
                  </w:pPr>
                  <w:r w:rsidRPr="00290E77">
                    <w:rPr>
                      <w:rFonts w:ascii="Arial Narrow" w:hAnsi="Arial Narrow"/>
                      <w:bCs/>
                      <w:sz w:val="20"/>
                      <w:szCs w:val="20"/>
                    </w:rPr>
                    <w:t>ADA 40 mg/0.4-0.8ml</w:t>
                  </w:r>
                </w:p>
              </w:tc>
              <w:tc>
                <w:tcPr>
                  <w:tcW w:w="2574" w:type="pct"/>
                  <w:vAlign w:val="center"/>
                </w:tcPr>
                <w:p w14:paraId="446A74D6" w14:textId="362F5C46" w:rsidR="00983E26" w:rsidRPr="00290E77" w:rsidRDefault="00983E26" w:rsidP="00983E26">
                  <w:pPr>
                    <w:jc w:val="left"/>
                    <w:rPr>
                      <w:rFonts w:ascii="Arial Narrow" w:hAnsi="Arial Narrow"/>
                      <w:bCs/>
                      <w:sz w:val="20"/>
                      <w:szCs w:val="20"/>
                    </w:rPr>
                  </w:pPr>
                  <w:r w:rsidRPr="00290E77">
                    <w:rPr>
                      <w:rFonts w:ascii="Arial Narrow" w:hAnsi="Arial Narrow"/>
                      <w:bCs/>
                      <w:sz w:val="20"/>
                      <w:szCs w:val="20"/>
                    </w:rPr>
                    <w:t>12380N, 12381P, 12331B, 12386X</w:t>
                  </w:r>
                </w:p>
              </w:tc>
              <w:tc>
                <w:tcPr>
                  <w:tcW w:w="425" w:type="pct"/>
                  <w:vAlign w:val="center"/>
                </w:tcPr>
                <w:p w14:paraId="43111ABF"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6</w:t>
                  </w:r>
                </w:p>
              </w:tc>
              <w:tc>
                <w:tcPr>
                  <w:tcW w:w="425" w:type="pct"/>
                  <w:vAlign w:val="center"/>
                </w:tcPr>
                <w:p w14:paraId="023BE589"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0</w:t>
                  </w:r>
                </w:p>
              </w:tc>
              <w:tc>
                <w:tcPr>
                  <w:tcW w:w="425" w:type="pct"/>
                  <w:vAlign w:val="center"/>
                </w:tcPr>
                <w:p w14:paraId="4EE16B92"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4.0</w:t>
                  </w:r>
                </w:p>
              </w:tc>
            </w:tr>
            <w:tr w:rsidR="00983E26" w:rsidRPr="00290E77" w14:paraId="55D9F08E" w14:textId="77777777" w:rsidTr="00983E26">
              <w:tc>
                <w:tcPr>
                  <w:tcW w:w="1152" w:type="pct"/>
                  <w:vAlign w:val="center"/>
                </w:tcPr>
                <w:p w14:paraId="0ED6374E" w14:textId="75914FDA" w:rsidR="00983E26" w:rsidRPr="00290E77" w:rsidRDefault="00983E26" w:rsidP="00C337B6">
                  <w:pPr>
                    <w:jc w:val="left"/>
                    <w:rPr>
                      <w:rFonts w:ascii="Arial Narrow" w:hAnsi="Arial Narrow"/>
                      <w:bCs/>
                      <w:color w:val="000000"/>
                      <w:sz w:val="20"/>
                      <w:szCs w:val="20"/>
                    </w:rPr>
                  </w:pPr>
                  <w:r w:rsidRPr="00290E77">
                    <w:rPr>
                      <w:rFonts w:ascii="Arial Narrow" w:hAnsi="Arial Narrow"/>
                      <w:bCs/>
                      <w:sz w:val="20"/>
                      <w:szCs w:val="20"/>
                    </w:rPr>
                    <w:t>ADA 40 mg/0.4-0.8mL</w:t>
                  </w:r>
                </w:p>
              </w:tc>
              <w:tc>
                <w:tcPr>
                  <w:tcW w:w="2574" w:type="pct"/>
                  <w:vAlign w:val="center"/>
                </w:tcPr>
                <w:p w14:paraId="6A49436B" w14:textId="6148D5E3" w:rsidR="00983E26" w:rsidRPr="00290E77" w:rsidRDefault="00983E26" w:rsidP="00983E26">
                  <w:pPr>
                    <w:jc w:val="left"/>
                    <w:rPr>
                      <w:rFonts w:ascii="Arial Narrow" w:hAnsi="Arial Narrow"/>
                      <w:bCs/>
                      <w:sz w:val="20"/>
                      <w:szCs w:val="20"/>
                    </w:rPr>
                  </w:pPr>
                  <w:r w:rsidRPr="00290E77">
                    <w:rPr>
                      <w:rFonts w:ascii="Arial Narrow" w:hAnsi="Arial Narrow"/>
                      <w:bCs/>
                      <w:sz w:val="20"/>
                      <w:szCs w:val="20"/>
                    </w:rPr>
                    <w:t>12340L, 12397L, 12405X, 12446C, 8963R, 8965W, 12353E, 12367X, 8964T, 8966X</w:t>
                  </w:r>
                </w:p>
              </w:tc>
              <w:tc>
                <w:tcPr>
                  <w:tcW w:w="425" w:type="pct"/>
                  <w:vAlign w:val="center"/>
                </w:tcPr>
                <w:p w14:paraId="17AC4F4B"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2</w:t>
                  </w:r>
                </w:p>
              </w:tc>
              <w:tc>
                <w:tcPr>
                  <w:tcW w:w="425" w:type="pct"/>
                  <w:vAlign w:val="center"/>
                </w:tcPr>
                <w:p w14:paraId="486AA78B"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2/5</w:t>
                  </w:r>
                </w:p>
              </w:tc>
              <w:tc>
                <w:tcPr>
                  <w:tcW w:w="425" w:type="pct"/>
                  <w:vAlign w:val="center"/>
                </w:tcPr>
                <w:p w14:paraId="3EAA5B49"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4.0</w:t>
                  </w:r>
                </w:p>
              </w:tc>
            </w:tr>
            <w:tr w:rsidR="00983E26" w:rsidRPr="00290E77" w14:paraId="43959B45" w14:textId="77777777" w:rsidTr="00983E26">
              <w:tc>
                <w:tcPr>
                  <w:tcW w:w="1152" w:type="pct"/>
                  <w:vAlign w:val="center"/>
                </w:tcPr>
                <w:p w14:paraId="24EE4F8E" w14:textId="12404D33" w:rsidR="00983E26" w:rsidRPr="00290E77" w:rsidRDefault="00983E26" w:rsidP="00983E26">
                  <w:pPr>
                    <w:jc w:val="left"/>
                    <w:rPr>
                      <w:rFonts w:ascii="Arial Narrow" w:hAnsi="Arial Narrow"/>
                      <w:bCs/>
                      <w:color w:val="000000"/>
                      <w:sz w:val="20"/>
                      <w:szCs w:val="20"/>
                    </w:rPr>
                  </w:pPr>
                  <w:r w:rsidRPr="00290E77">
                    <w:rPr>
                      <w:rFonts w:ascii="Arial Narrow" w:hAnsi="Arial Narrow"/>
                      <w:bCs/>
                      <w:sz w:val="20"/>
                      <w:szCs w:val="20"/>
                    </w:rPr>
                    <w:t>IFX IV 100 mg</w:t>
                  </w:r>
                </w:p>
              </w:tc>
              <w:tc>
                <w:tcPr>
                  <w:tcW w:w="2574" w:type="pct"/>
                  <w:vAlign w:val="center"/>
                </w:tcPr>
                <w:p w14:paraId="63829D30" w14:textId="76476815" w:rsidR="00983E26" w:rsidRPr="00290E77" w:rsidRDefault="00983E26" w:rsidP="00983E26">
                  <w:pPr>
                    <w:jc w:val="left"/>
                    <w:rPr>
                      <w:rFonts w:ascii="Arial Narrow" w:hAnsi="Arial Narrow"/>
                      <w:bCs/>
                      <w:sz w:val="20"/>
                      <w:szCs w:val="20"/>
                    </w:rPr>
                  </w:pPr>
                  <w:r w:rsidRPr="00290E77">
                    <w:rPr>
                      <w:rFonts w:ascii="Arial Narrow" w:hAnsi="Arial Narrow"/>
                      <w:bCs/>
                      <w:sz w:val="20"/>
                      <w:szCs w:val="20"/>
                    </w:rPr>
                    <w:t>11423F</w:t>
                  </w:r>
                </w:p>
              </w:tc>
              <w:tc>
                <w:tcPr>
                  <w:tcW w:w="425" w:type="pct"/>
                  <w:vAlign w:val="center"/>
                </w:tcPr>
                <w:p w14:paraId="24D525A9"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5</w:t>
                  </w:r>
                </w:p>
              </w:tc>
              <w:tc>
                <w:tcPr>
                  <w:tcW w:w="425" w:type="pct"/>
                  <w:vAlign w:val="center"/>
                </w:tcPr>
                <w:p w14:paraId="20129B77"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2</w:t>
                  </w:r>
                </w:p>
              </w:tc>
              <w:tc>
                <w:tcPr>
                  <w:tcW w:w="425" w:type="pct"/>
                  <w:vAlign w:val="center"/>
                </w:tcPr>
                <w:p w14:paraId="04E2DA42"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8.0</w:t>
                  </w:r>
                </w:p>
              </w:tc>
            </w:tr>
            <w:tr w:rsidR="00983E26" w:rsidRPr="00290E77" w14:paraId="5BB86548" w14:textId="77777777" w:rsidTr="00983E26">
              <w:tc>
                <w:tcPr>
                  <w:tcW w:w="1152" w:type="pct"/>
                  <w:vAlign w:val="center"/>
                </w:tcPr>
                <w:p w14:paraId="5D728107" w14:textId="31F66465" w:rsidR="00983E26" w:rsidRPr="00290E77" w:rsidRDefault="00983E26" w:rsidP="00983E26">
                  <w:pPr>
                    <w:jc w:val="left"/>
                    <w:rPr>
                      <w:rFonts w:ascii="Arial Narrow" w:hAnsi="Arial Narrow"/>
                      <w:bCs/>
                      <w:color w:val="000000"/>
                      <w:sz w:val="20"/>
                      <w:szCs w:val="20"/>
                    </w:rPr>
                  </w:pPr>
                  <w:r w:rsidRPr="00290E77">
                    <w:rPr>
                      <w:rFonts w:ascii="Arial Narrow" w:hAnsi="Arial Narrow"/>
                      <w:bCs/>
                      <w:sz w:val="20"/>
                      <w:szCs w:val="20"/>
                    </w:rPr>
                    <w:t>IFX IV 100 mg</w:t>
                  </w:r>
                </w:p>
              </w:tc>
              <w:tc>
                <w:tcPr>
                  <w:tcW w:w="2574" w:type="pct"/>
                  <w:vAlign w:val="center"/>
                </w:tcPr>
                <w:p w14:paraId="29617664" w14:textId="318B93A8" w:rsidR="00983E26" w:rsidRPr="00290E77" w:rsidRDefault="00983E26" w:rsidP="00983E26">
                  <w:pPr>
                    <w:jc w:val="left"/>
                    <w:rPr>
                      <w:rFonts w:ascii="Arial Narrow" w:hAnsi="Arial Narrow"/>
                      <w:bCs/>
                      <w:sz w:val="20"/>
                      <w:szCs w:val="20"/>
                    </w:rPr>
                  </w:pPr>
                  <w:r w:rsidRPr="00290E77">
                    <w:rPr>
                      <w:rFonts w:ascii="Arial Narrow" w:hAnsi="Arial Narrow"/>
                      <w:bCs/>
                      <w:sz w:val="20"/>
                      <w:szCs w:val="20"/>
                    </w:rPr>
                    <w:t>11432Q</w:t>
                  </w:r>
                </w:p>
              </w:tc>
              <w:tc>
                <w:tcPr>
                  <w:tcW w:w="425" w:type="pct"/>
                  <w:vAlign w:val="center"/>
                </w:tcPr>
                <w:p w14:paraId="1B07AE2D"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5</w:t>
                  </w:r>
                </w:p>
              </w:tc>
              <w:tc>
                <w:tcPr>
                  <w:tcW w:w="425" w:type="pct"/>
                  <w:vAlign w:val="center"/>
                </w:tcPr>
                <w:p w14:paraId="10B1B1A4"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2</w:t>
                  </w:r>
                </w:p>
              </w:tc>
              <w:tc>
                <w:tcPr>
                  <w:tcW w:w="425" w:type="pct"/>
                  <w:vAlign w:val="center"/>
                </w:tcPr>
                <w:p w14:paraId="0BF8AA63"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8.0</w:t>
                  </w:r>
                </w:p>
              </w:tc>
            </w:tr>
            <w:tr w:rsidR="00983E26" w:rsidRPr="00290E77" w14:paraId="49833A9D" w14:textId="77777777" w:rsidTr="00983E26">
              <w:tc>
                <w:tcPr>
                  <w:tcW w:w="1152" w:type="pct"/>
                  <w:vAlign w:val="center"/>
                </w:tcPr>
                <w:p w14:paraId="4C126C4C" w14:textId="762B644B" w:rsidR="00983E26" w:rsidRPr="00290E77" w:rsidRDefault="00983E26" w:rsidP="00C337B6">
                  <w:pPr>
                    <w:jc w:val="left"/>
                    <w:rPr>
                      <w:rFonts w:ascii="Arial Narrow" w:hAnsi="Arial Narrow"/>
                      <w:bCs/>
                      <w:color w:val="000000"/>
                      <w:sz w:val="20"/>
                      <w:szCs w:val="20"/>
                    </w:rPr>
                  </w:pPr>
                  <w:r w:rsidRPr="00290E77">
                    <w:rPr>
                      <w:rFonts w:ascii="Arial Narrow" w:hAnsi="Arial Narrow"/>
                      <w:bCs/>
                      <w:sz w:val="20"/>
                      <w:szCs w:val="20"/>
                    </w:rPr>
                    <w:t>IFX IV 100 mg</w:t>
                  </w:r>
                </w:p>
              </w:tc>
              <w:tc>
                <w:tcPr>
                  <w:tcW w:w="2574" w:type="pct"/>
                  <w:vAlign w:val="center"/>
                </w:tcPr>
                <w:p w14:paraId="75C53015" w14:textId="1E2D352F" w:rsidR="00983E26" w:rsidRPr="00290E77" w:rsidRDefault="00983E26" w:rsidP="00983E26">
                  <w:pPr>
                    <w:jc w:val="left"/>
                    <w:rPr>
                      <w:rFonts w:ascii="Arial Narrow" w:hAnsi="Arial Narrow"/>
                      <w:bCs/>
                      <w:sz w:val="20"/>
                      <w:szCs w:val="20"/>
                    </w:rPr>
                  </w:pPr>
                  <w:r w:rsidRPr="00290E77">
                    <w:rPr>
                      <w:rFonts w:ascii="Arial Narrow" w:hAnsi="Arial Narrow"/>
                      <w:bCs/>
                      <w:sz w:val="20"/>
                      <w:szCs w:val="20"/>
                    </w:rPr>
                    <w:t>9654D, 11424G</w:t>
                  </w:r>
                </w:p>
              </w:tc>
              <w:tc>
                <w:tcPr>
                  <w:tcW w:w="425" w:type="pct"/>
                  <w:vAlign w:val="center"/>
                </w:tcPr>
                <w:p w14:paraId="28D28BA5"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1</w:t>
                  </w:r>
                </w:p>
              </w:tc>
              <w:tc>
                <w:tcPr>
                  <w:tcW w:w="425" w:type="pct"/>
                  <w:vAlign w:val="center"/>
                </w:tcPr>
                <w:p w14:paraId="3043EFB7"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0</w:t>
                  </w:r>
                </w:p>
              </w:tc>
              <w:tc>
                <w:tcPr>
                  <w:tcW w:w="425" w:type="pct"/>
                  <w:vAlign w:val="center"/>
                </w:tcPr>
                <w:p w14:paraId="395010DA" w14:textId="77777777" w:rsidR="00983E26" w:rsidRPr="00290E77" w:rsidRDefault="00983E26" w:rsidP="00C337B6">
                  <w:pPr>
                    <w:jc w:val="center"/>
                    <w:rPr>
                      <w:rFonts w:ascii="Arial Narrow" w:hAnsi="Arial Narrow"/>
                      <w:bCs/>
                      <w:color w:val="000000"/>
                      <w:sz w:val="20"/>
                      <w:szCs w:val="20"/>
                      <w:vertAlign w:val="superscript"/>
                    </w:rPr>
                  </w:pPr>
                  <w:r w:rsidRPr="00290E77">
                    <w:rPr>
                      <w:rFonts w:ascii="Arial Narrow" w:hAnsi="Arial Narrow"/>
                      <w:bCs/>
                      <w:sz w:val="20"/>
                      <w:szCs w:val="20"/>
                    </w:rPr>
                    <w:t>6.9^</w:t>
                  </w:r>
                </w:p>
              </w:tc>
            </w:tr>
            <w:tr w:rsidR="00983E26" w:rsidRPr="00290E77" w14:paraId="3F91F984" w14:textId="77777777" w:rsidTr="00983E26">
              <w:tc>
                <w:tcPr>
                  <w:tcW w:w="1152" w:type="pct"/>
                  <w:vAlign w:val="center"/>
                </w:tcPr>
                <w:p w14:paraId="4A6C634A" w14:textId="0F74E0C1" w:rsidR="00983E26" w:rsidRPr="00290E77" w:rsidRDefault="00983E26" w:rsidP="00C337B6">
                  <w:pPr>
                    <w:jc w:val="left"/>
                    <w:rPr>
                      <w:rFonts w:ascii="Arial Narrow" w:hAnsi="Arial Narrow"/>
                      <w:bCs/>
                      <w:color w:val="000000"/>
                      <w:sz w:val="20"/>
                      <w:szCs w:val="20"/>
                    </w:rPr>
                  </w:pPr>
                  <w:r w:rsidRPr="00290E77">
                    <w:rPr>
                      <w:rFonts w:ascii="Arial Narrow" w:hAnsi="Arial Narrow"/>
                      <w:bCs/>
                      <w:sz w:val="20"/>
                      <w:szCs w:val="20"/>
                    </w:rPr>
                    <w:t>IFX IV 100 mg</w:t>
                  </w:r>
                </w:p>
              </w:tc>
              <w:tc>
                <w:tcPr>
                  <w:tcW w:w="2574" w:type="pct"/>
                  <w:vAlign w:val="center"/>
                </w:tcPr>
                <w:p w14:paraId="51B4157D" w14:textId="642C86C8" w:rsidR="00983E26" w:rsidRPr="00290E77" w:rsidRDefault="00983E26" w:rsidP="00983E26">
                  <w:pPr>
                    <w:jc w:val="left"/>
                    <w:rPr>
                      <w:rFonts w:ascii="Arial Narrow" w:hAnsi="Arial Narrow"/>
                      <w:bCs/>
                      <w:sz w:val="20"/>
                      <w:szCs w:val="20"/>
                    </w:rPr>
                  </w:pPr>
                  <w:r w:rsidRPr="00290E77">
                    <w:rPr>
                      <w:rFonts w:ascii="Arial Narrow" w:hAnsi="Arial Narrow"/>
                      <w:bCs/>
                      <w:sz w:val="20"/>
                      <w:szCs w:val="20"/>
                    </w:rPr>
                    <w:t>9674E, 11412P</w:t>
                  </w:r>
                </w:p>
              </w:tc>
              <w:tc>
                <w:tcPr>
                  <w:tcW w:w="425" w:type="pct"/>
                  <w:vAlign w:val="center"/>
                </w:tcPr>
                <w:p w14:paraId="04A94FCE"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1</w:t>
                  </w:r>
                </w:p>
              </w:tc>
              <w:tc>
                <w:tcPr>
                  <w:tcW w:w="425" w:type="pct"/>
                  <w:vAlign w:val="center"/>
                </w:tcPr>
                <w:p w14:paraId="6E673AD2"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0</w:t>
                  </w:r>
                </w:p>
              </w:tc>
              <w:tc>
                <w:tcPr>
                  <w:tcW w:w="425" w:type="pct"/>
                  <w:vAlign w:val="center"/>
                </w:tcPr>
                <w:p w14:paraId="094871D8" w14:textId="77777777" w:rsidR="00983E26" w:rsidRPr="00290E77" w:rsidRDefault="00983E26" w:rsidP="00C337B6">
                  <w:pPr>
                    <w:jc w:val="center"/>
                    <w:rPr>
                      <w:rFonts w:ascii="Arial Narrow" w:hAnsi="Arial Narrow"/>
                      <w:bCs/>
                      <w:color w:val="000000"/>
                      <w:sz w:val="20"/>
                      <w:szCs w:val="20"/>
                    </w:rPr>
                  </w:pPr>
                  <w:r w:rsidRPr="00290E77">
                    <w:rPr>
                      <w:rFonts w:ascii="Arial Narrow" w:hAnsi="Arial Narrow"/>
                      <w:bCs/>
                      <w:sz w:val="20"/>
                      <w:szCs w:val="20"/>
                    </w:rPr>
                    <w:t>6.9^</w:t>
                  </w:r>
                </w:p>
              </w:tc>
            </w:tr>
            <w:tr w:rsidR="00983E26" w:rsidRPr="00290E77" w14:paraId="3A63E872" w14:textId="77777777" w:rsidTr="00983E26">
              <w:tc>
                <w:tcPr>
                  <w:tcW w:w="1152" w:type="pct"/>
                  <w:vAlign w:val="center"/>
                </w:tcPr>
                <w:p w14:paraId="5E1E2121" w14:textId="77777777" w:rsidR="00983E26" w:rsidRPr="00290E77" w:rsidRDefault="00983E26" w:rsidP="00C337B6">
                  <w:pPr>
                    <w:jc w:val="left"/>
                    <w:rPr>
                      <w:rFonts w:ascii="Arial Narrow" w:hAnsi="Arial Narrow"/>
                      <w:bCs/>
                      <w:sz w:val="20"/>
                      <w:szCs w:val="20"/>
                    </w:rPr>
                  </w:pPr>
                  <w:r w:rsidRPr="00290E77">
                    <w:rPr>
                      <w:rFonts w:ascii="Arial Narrow" w:hAnsi="Arial Narrow"/>
                      <w:bCs/>
                      <w:sz w:val="20"/>
                      <w:szCs w:val="20"/>
                    </w:rPr>
                    <w:t>IFX SC 120 mg</w:t>
                  </w:r>
                </w:p>
              </w:tc>
              <w:tc>
                <w:tcPr>
                  <w:tcW w:w="2574" w:type="pct"/>
                  <w:vAlign w:val="center"/>
                </w:tcPr>
                <w:p w14:paraId="5CB2662C" w14:textId="2953B8BF" w:rsidR="00983E26" w:rsidRPr="00290E77" w:rsidRDefault="00983E26" w:rsidP="00983E26">
                  <w:pPr>
                    <w:jc w:val="left"/>
                    <w:rPr>
                      <w:rFonts w:ascii="Arial Narrow" w:hAnsi="Arial Narrow"/>
                      <w:bCs/>
                      <w:sz w:val="20"/>
                      <w:szCs w:val="20"/>
                    </w:rPr>
                  </w:pPr>
                  <w:r w:rsidRPr="00290E77">
                    <w:rPr>
                      <w:rFonts w:ascii="Arial Narrow" w:hAnsi="Arial Narrow"/>
                      <w:bCs/>
                      <w:sz w:val="20"/>
                      <w:szCs w:val="20"/>
                    </w:rPr>
                    <w:t>13055D, 13061K, 13074D, 13060J, 13073</w:t>
                  </w:r>
                  <w:r w:rsidR="00240923" w:rsidRPr="00290E77">
                    <w:rPr>
                      <w:rFonts w:ascii="Arial Narrow" w:hAnsi="Arial Narrow"/>
                      <w:bCs/>
                      <w:sz w:val="20"/>
                      <w:szCs w:val="20"/>
                    </w:rPr>
                    <w:t>C, 13072</w:t>
                  </w:r>
                  <w:r w:rsidRPr="00290E77">
                    <w:rPr>
                      <w:rFonts w:ascii="Arial Narrow" w:hAnsi="Arial Narrow"/>
                      <w:bCs/>
                      <w:sz w:val="20"/>
                      <w:szCs w:val="20"/>
                    </w:rPr>
                    <w:t>B</w:t>
                  </w:r>
                </w:p>
              </w:tc>
              <w:tc>
                <w:tcPr>
                  <w:tcW w:w="425" w:type="pct"/>
                  <w:vAlign w:val="center"/>
                </w:tcPr>
                <w:p w14:paraId="4306818C" w14:textId="77777777" w:rsidR="00983E26" w:rsidRPr="00290E77" w:rsidRDefault="00983E26" w:rsidP="00C337B6">
                  <w:pPr>
                    <w:jc w:val="center"/>
                    <w:rPr>
                      <w:rFonts w:ascii="Arial Narrow" w:hAnsi="Arial Narrow"/>
                      <w:bCs/>
                      <w:sz w:val="20"/>
                      <w:szCs w:val="20"/>
                    </w:rPr>
                  </w:pPr>
                  <w:r w:rsidRPr="00290E77">
                    <w:rPr>
                      <w:rFonts w:ascii="Arial Narrow" w:hAnsi="Arial Narrow"/>
                      <w:bCs/>
                      <w:sz w:val="20"/>
                      <w:szCs w:val="20"/>
                    </w:rPr>
                    <w:t>2</w:t>
                  </w:r>
                </w:p>
              </w:tc>
              <w:tc>
                <w:tcPr>
                  <w:tcW w:w="425" w:type="pct"/>
                  <w:vAlign w:val="center"/>
                </w:tcPr>
                <w:p w14:paraId="6BA4B059" w14:textId="77777777" w:rsidR="00983E26" w:rsidRPr="00290E77" w:rsidRDefault="00983E26" w:rsidP="00C337B6">
                  <w:pPr>
                    <w:jc w:val="center"/>
                    <w:rPr>
                      <w:rFonts w:ascii="Arial Narrow" w:hAnsi="Arial Narrow"/>
                      <w:bCs/>
                      <w:sz w:val="20"/>
                      <w:szCs w:val="20"/>
                    </w:rPr>
                  </w:pPr>
                  <w:r w:rsidRPr="00290E77">
                    <w:rPr>
                      <w:rFonts w:ascii="Arial Narrow" w:hAnsi="Arial Narrow"/>
                      <w:bCs/>
                      <w:sz w:val="20"/>
                      <w:szCs w:val="20"/>
                    </w:rPr>
                    <w:t>0/5</w:t>
                  </w:r>
                </w:p>
              </w:tc>
              <w:tc>
                <w:tcPr>
                  <w:tcW w:w="425" w:type="pct"/>
                  <w:vAlign w:val="center"/>
                </w:tcPr>
                <w:p w14:paraId="280E3407" w14:textId="77777777" w:rsidR="00983E26" w:rsidRPr="00290E77" w:rsidRDefault="00983E26" w:rsidP="00C337B6">
                  <w:pPr>
                    <w:jc w:val="center"/>
                    <w:rPr>
                      <w:rFonts w:ascii="Arial Narrow" w:hAnsi="Arial Narrow"/>
                      <w:bCs/>
                      <w:sz w:val="20"/>
                      <w:szCs w:val="20"/>
                    </w:rPr>
                  </w:pPr>
                  <w:r w:rsidRPr="00290E77">
                    <w:rPr>
                      <w:rFonts w:ascii="Arial Narrow" w:hAnsi="Arial Narrow"/>
                      <w:bCs/>
                      <w:sz w:val="20"/>
                      <w:szCs w:val="20"/>
                    </w:rPr>
                    <w:t>4.0</w:t>
                  </w:r>
                </w:p>
              </w:tc>
            </w:tr>
          </w:tbl>
          <w:p w14:paraId="25D94232" w14:textId="77777777" w:rsidR="003F2548" w:rsidRPr="00290E77" w:rsidRDefault="003F2548" w:rsidP="00C337B6">
            <w:pPr>
              <w:pStyle w:val="TableText0"/>
              <w:keepNext w:val="0"/>
              <w:rPr>
                <w:szCs w:val="20"/>
              </w:rPr>
            </w:pPr>
            <w:r w:rsidRPr="00290E77">
              <w:rPr>
                <w:szCs w:val="20"/>
              </w:rPr>
              <w:t>Source: Table 4.2, p203 of the submission</w:t>
            </w:r>
          </w:p>
          <w:p w14:paraId="1ACD3768" w14:textId="77777777" w:rsidR="003F2548" w:rsidRPr="00290E77" w:rsidRDefault="003F2548" w:rsidP="00C337B6">
            <w:pPr>
              <w:pStyle w:val="TableText0"/>
              <w:keepNext w:val="0"/>
              <w:rPr>
                <w:szCs w:val="20"/>
                <w:lang w:val="en-US"/>
              </w:rPr>
            </w:pPr>
            <w:r w:rsidRPr="00290E77">
              <w:rPr>
                <w:szCs w:val="20"/>
              </w:rPr>
              <w:t>^ Average assumed because scripts cover induction and maintenance at different dosing frequencies.</w:t>
            </w:r>
          </w:p>
        </w:tc>
      </w:tr>
      <w:tr w:rsidR="003F2548" w:rsidRPr="00290E77" w14:paraId="7BD96AC8" w14:textId="77777777" w:rsidTr="00240923">
        <w:trPr>
          <w:cantSplit/>
        </w:trPr>
        <w:tc>
          <w:tcPr>
            <w:tcW w:w="960" w:type="pct"/>
            <w:shd w:val="clear" w:color="auto" w:fill="auto"/>
            <w:vAlign w:val="center"/>
          </w:tcPr>
          <w:p w14:paraId="45880085" w14:textId="77777777" w:rsidR="003F2548" w:rsidRPr="00290E77" w:rsidRDefault="003F2548" w:rsidP="00C337B6">
            <w:pPr>
              <w:pStyle w:val="TableText0"/>
              <w:keepNext w:val="0"/>
              <w:rPr>
                <w:szCs w:val="20"/>
                <w:lang w:val="en-US"/>
              </w:rPr>
            </w:pPr>
            <w:r w:rsidRPr="00290E77">
              <w:rPr>
                <w:szCs w:val="20"/>
              </w:rPr>
              <w:t>Current market and market shares</w:t>
            </w:r>
          </w:p>
        </w:tc>
        <w:tc>
          <w:tcPr>
            <w:tcW w:w="4040" w:type="pct"/>
            <w:shd w:val="clear" w:color="auto" w:fill="auto"/>
            <w:vAlign w:val="center"/>
          </w:tcPr>
          <w:p w14:paraId="0D88D426" w14:textId="5A9FE5DE" w:rsidR="00150D85" w:rsidRPr="00290E77" w:rsidRDefault="003F2548" w:rsidP="00A931C8">
            <w:pPr>
              <w:pStyle w:val="TableText0"/>
              <w:keepNext w:val="0"/>
            </w:pPr>
            <w:r w:rsidRPr="00290E77">
              <w:rPr>
                <w:rFonts w:cstheme="minorBidi"/>
                <w:szCs w:val="20"/>
              </w:rPr>
              <w:t>The submission used script data for IFX and ADA extracted from the PBS/RPBS Services Australia database 2015 to 2022, along with the averag</w:t>
            </w:r>
            <w:r w:rsidR="00722840" w:rsidRPr="00290E77">
              <w:rPr>
                <w:rFonts w:cstheme="minorBidi"/>
                <w:szCs w:val="20"/>
              </w:rPr>
              <w:t>e weeks of treatment</w:t>
            </w:r>
            <w:r w:rsidRPr="00290E77">
              <w:rPr>
                <w:rFonts w:cstheme="minorBidi"/>
                <w:szCs w:val="20"/>
              </w:rPr>
              <w:t xml:space="preserve"> to estimate patient weeks of treatment and corresponding market shares.</w:t>
            </w:r>
          </w:p>
        </w:tc>
      </w:tr>
      <w:tr w:rsidR="00150D85" w:rsidRPr="00290E77" w14:paraId="597B09D8" w14:textId="77777777" w:rsidTr="00240923">
        <w:trPr>
          <w:cantSplit/>
        </w:trPr>
        <w:tc>
          <w:tcPr>
            <w:tcW w:w="960" w:type="pct"/>
            <w:shd w:val="clear" w:color="auto" w:fill="auto"/>
            <w:vAlign w:val="center"/>
          </w:tcPr>
          <w:p w14:paraId="30E9F71A" w14:textId="775EC2BD" w:rsidR="00150D85" w:rsidRPr="00290E77" w:rsidRDefault="00150D85" w:rsidP="00C337B6">
            <w:pPr>
              <w:pStyle w:val="TableText0"/>
              <w:keepNext w:val="0"/>
              <w:rPr>
                <w:szCs w:val="20"/>
              </w:rPr>
            </w:pPr>
            <w:r w:rsidRPr="00290E77">
              <w:rPr>
                <w:szCs w:val="20"/>
              </w:rPr>
              <w:t>Market growth</w:t>
            </w:r>
          </w:p>
        </w:tc>
        <w:tc>
          <w:tcPr>
            <w:tcW w:w="4040" w:type="pct"/>
            <w:shd w:val="clear" w:color="auto" w:fill="auto"/>
            <w:vAlign w:val="center"/>
          </w:tcPr>
          <w:p w14:paraId="1AB98048" w14:textId="21C64170" w:rsidR="00150D85" w:rsidRPr="00290E77" w:rsidRDefault="00150D85" w:rsidP="00C337B6">
            <w:pPr>
              <w:pStyle w:val="TableText0"/>
              <w:keepNext w:val="0"/>
              <w:rPr>
                <w:rFonts w:cstheme="minorBidi"/>
                <w:szCs w:val="20"/>
              </w:rPr>
            </w:pPr>
            <w:r w:rsidRPr="00290E77">
              <w:rPr>
                <w:rFonts w:cstheme="minorBidi"/>
                <w:szCs w:val="20"/>
              </w:rPr>
              <w:t xml:space="preserve">For extrapolation of the market in terms of patient-weeks on treatment, the submission applied a linear function for the total market on the basis it provided the best fit to the historical data points, and a logarithmic function to derive the market shares of IFX and ADA. The submission acknowledged the volatility in market shares in 2020-2022, with the COVID-19 pandemic likely explaining the sharp decrease in use of IFX (requiring IV infusion) as patients minimised time in hospital. Given this volatility, the submission assumed that the market share of IFX would re-stabilise following the COVID-19 pandemic according to the applied function. The submission assumed the proposed listing of UST would not influence the current background rate of growth in the market. </w:t>
            </w:r>
          </w:p>
        </w:tc>
      </w:tr>
      <w:tr w:rsidR="003F2548" w:rsidRPr="00290E77" w14:paraId="7158695D" w14:textId="77777777" w:rsidTr="00240923">
        <w:trPr>
          <w:cantSplit/>
        </w:trPr>
        <w:tc>
          <w:tcPr>
            <w:tcW w:w="960" w:type="pct"/>
            <w:shd w:val="clear" w:color="auto" w:fill="auto"/>
            <w:vAlign w:val="center"/>
          </w:tcPr>
          <w:p w14:paraId="12CC76AD" w14:textId="77777777" w:rsidR="003F2548" w:rsidRPr="00290E77" w:rsidRDefault="003F2548" w:rsidP="00C337B6">
            <w:pPr>
              <w:pStyle w:val="TableText0"/>
              <w:keepNext w:val="0"/>
              <w:rPr>
                <w:szCs w:val="20"/>
                <w:lang w:val="en-US"/>
              </w:rPr>
            </w:pPr>
            <w:r w:rsidRPr="00290E77">
              <w:rPr>
                <w:szCs w:val="20"/>
                <w:lang w:val="en-US"/>
              </w:rPr>
              <w:t>Substitution rate</w:t>
            </w:r>
          </w:p>
        </w:tc>
        <w:tc>
          <w:tcPr>
            <w:tcW w:w="4040" w:type="pct"/>
            <w:shd w:val="clear" w:color="auto" w:fill="auto"/>
            <w:vAlign w:val="center"/>
          </w:tcPr>
          <w:p w14:paraId="48F19567" w14:textId="704A1F7A" w:rsidR="00150D85" w:rsidRPr="00290E77" w:rsidRDefault="003F2548" w:rsidP="00C337B6">
            <w:pPr>
              <w:widowControl w:val="0"/>
              <w:tabs>
                <w:tab w:val="left" w:pos="250"/>
              </w:tabs>
              <w:jc w:val="left"/>
              <w:rPr>
                <w:rFonts w:ascii="Arial Narrow" w:hAnsi="Arial Narrow"/>
                <w:sz w:val="20"/>
                <w:szCs w:val="20"/>
              </w:rPr>
            </w:pPr>
            <w:r w:rsidRPr="00290E77">
              <w:rPr>
                <w:rFonts w:ascii="Arial Narrow" w:hAnsi="Arial Narrow"/>
                <w:sz w:val="20"/>
                <w:szCs w:val="20"/>
              </w:rPr>
              <w:t>The submission assumed that the majority of UST scripts will be sourced from substituting ADA (30% in Year 1, increasing to 50% in Year 6) compared to IFX (10% in Year 1, increasing to 15% in Year 6). The submission argued UST would be more likely to replace ADA compared to IFX, as a second-line treatment after IFX. Overall, the market share for UST would increase from 21.2% in Year 1 to 35.3% in Year 6.</w:t>
            </w:r>
          </w:p>
        </w:tc>
      </w:tr>
      <w:tr w:rsidR="003F2548" w:rsidRPr="00290E77" w14:paraId="5DAA243C" w14:textId="77777777" w:rsidTr="00240923">
        <w:trPr>
          <w:cantSplit/>
        </w:trPr>
        <w:tc>
          <w:tcPr>
            <w:tcW w:w="960" w:type="pct"/>
            <w:shd w:val="clear" w:color="auto" w:fill="auto"/>
            <w:vAlign w:val="center"/>
          </w:tcPr>
          <w:p w14:paraId="67CF09BF" w14:textId="77777777" w:rsidR="003F2548" w:rsidRPr="00290E77" w:rsidRDefault="003F2548" w:rsidP="00C337B6">
            <w:pPr>
              <w:pStyle w:val="TableText0"/>
              <w:keepNext w:val="0"/>
              <w:rPr>
                <w:szCs w:val="20"/>
                <w:lang w:val="en-US"/>
              </w:rPr>
            </w:pPr>
            <w:r w:rsidRPr="00290E77">
              <w:rPr>
                <w:szCs w:val="20"/>
              </w:rPr>
              <w:lastRenderedPageBreak/>
              <w:t>Script equivalence</w:t>
            </w:r>
          </w:p>
        </w:tc>
        <w:tc>
          <w:tcPr>
            <w:tcW w:w="4040" w:type="pct"/>
            <w:shd w:val="clear" w:color="auto" w:fill="auto"/>
            <w:vAlign w:val="center"/>
          </w:tcPr>
          <w:p w14:paraId="366EA4CA" w14:textId="15C004BD" w:rsidR="003F2548" w:rsidRPr="009C3533" w:rsidRDefault="003F2548" w:rsidP="00C337B6">
            <w:pPr>
              <w:pStyle w:val="TableText0"/>
              <w:keepNext w:val="0"/>
              <w:rPr>
                <w:szCs w:val="20"/>
              </w:rPr>
            </w:pPr>
            <w:r w:rsidRPr="00290E77">
              <w:rPr>
                <w:szCs w:val="20"/>
              </w:rPr>
              <w:t xml:space="preserve">To estimate the number of UST scripts, the submission first estimated the reduction in comparator scripts using the assumed substitution rates then estimated the corresponding number of UST scripts based on script equivalence between UST and the comparators. </w:t>
            </w:r>
            <w:r w:rsidR="00C337B6" w:rsidRPr="00290E77">
              <w:rPr>
                <w:szCs w:val="20"/>
              </w:rPr>
              <w:t>In calculating the script equivalence ratios, the submission incorrectly assumed that each dose of ADA and IFX SC requires one script (i.e.</w:t>
            </w:r>
            <w:r w:rsidR="00815637" w:rsidRPr="00290E77">
              <w:rPr>
                <w:szCs w:val="20"/>
              </w:rPr>
              <w:t>,</w:t>
            </w:r>
            <w:r w:rsidR="00C337B6" w:rsidRPr="00290E77">
              <w:rPr>
                <w:szCs w:val="20"/>
              </w:rPr>
              <w:t xml:space="preserve"> 52 doses of ADA Q2W are required over 104 weeks). Given each script of ADA and IFX SC provides on </w:t>
            </w:r>
            <w:r w:rsidR="00C337B6" w:rsidRPr="009C3533">
              <w:rPr>
                <w:szCs w:val="20"/>
              </w:rPr>
              <w:t>average 4 weeks of treatment (see patient-weeks per comparator script above), patients only require 26 scripts of ADA or IFX SC over 104 weeks, corresponding to a script equivalence of 1:0.48.</w:t>
            </w:r>
          </w:p>
          <w:p w14:paraId="4DB4B804" w14:textId="77777777" w:rsidR="003F2548" w:rsidRPr="009C3533" w:rsidRDefault="003F2548" w:rsidP="00C337B6">
            <w:pPr>
              <w:pStyle w:val="TableText0"/>
              <w:keepNext w:val="0"/>
              <w:rPr>
                <w:b/>
                <w:bCs w:val="0"/>
                <w:szCs w:val="20"/>
              </w:rPr>
            </w:pPr>
            <w:r w:rsidRPr="009C3533">
              <w:rPr>
                <w:b/>
                <w:bCs w:val="0"/>
                <w:szCs w:val="20"/>
              </w:rPr>
              <w:t>Table: Estimate script equivalence between UST and comparators</w:t>
            </w:r>
          </w:p>
          <w:tbl>
            <w:tblPr>
              <w:tblStyle w:val="TableGrid"/>
              <w:tblW w:w="5000" w:type="pct"/>
              <w:tblCellMar>
                <w:left w:w="28" w:type="dxa"/>
                <w:right w:w="28" w:type="dxa"/>
              </w:tblCellMar>
              <w:tblLook w:val="04A0" w:firstRow="1" w:lastRow="0" w:firstColumn="1" w:lastColumn="0" w:noHBand="0" w:noVBand="1"/>
            </w:tblPr>
            <w:tblGrid>
              <w:gridCol w:w="1170"/>
              <w:gridCol w:w="3025"/>
              <w:gridCol w:w="3025"/>
            </w:tblGrid>
            <w:tr w:rsidR="003F2548" w:rsidRPr="009C3533" w14:paraId="48CC66D9" w14:textId="77777777" w:rsidTr="00966F4F">
              <w:tc>
                <w:tcPr>
                  <w:tcW w:w="810" w:type="pct"/>
                </w:tcPr>
                <w:p w14:paraId="29045B1B" w14:textId="77777777" w:rsidR="003F2548" w:rsidRPr="009C3533" w:rsidRDefault="003F2548" w:rsidP="00C337B6">
                  <w:pPr>
                    <w:rPr>
                      <w:rFonts w:ascii="Arial Narrow" w:hAnsi="Arial Narrow"/>
                      <w:sz w:val="20"/>
                      <w:szCs w:val="20"/>
                    </w:rPr>
                  </w:pPr>
                </w:p>
              </w:tc>
              <w:tc>
                <w:tcPr>
                  <w:tcW w:w="2095" w:type="pct"/>
                  <w:vAlign w:val="center"/>
                </w:tcPr>
                <w:p w14:paraId="2727D2A2" w14:textId="77777777" w:rsidR="003F2548" w:rsidRPr="009C3533" w:rsidRDefault="003F2548" w:rsidP="00C337B6">
                  <w:pPr>
                    <w:jc w:val="center"/>
                    <w:rPr>
                      <w:rFonts w:ascii="Arial Narrow" w:hAnsi="Arial Narrow"/>
                      <w:b/>
                      <w:bCs/>
                      <w:sz w:val="20"/>
                      <w:szCs w:val="20"/>
                    </w:rPr>
                  </w:pPr>
                  <w:r w:rsidRPr="009C3533">
                    <w:rPr>
                      <w:rFonts w:ascii="Arial Narrow" w:hAnsi="Arial Narrow"/>
                      <w:b/>
                      <w:bCs/>
                      <w:sz w:val="20"/>
                      <w:szCs w:val="20"/>
                    </w:rPr>
                    <w:t>Scripts / 104 weeks</w:t>
                  </w:r>
                </w:p>
              </w:tc>
              <w:tc>
                <w:tcPr>
                  <w:tcW w:w="2095" w:type="pct"/>
                  <w:vAlign w:val="center"/>
                </w:tcPr>
                <w:p w14:paraId="3DC850B1" w14:textId="77777777" w:rsidR="003F2548" w:rsidRPr="009C3533" w:rsidRDefault="003F2548" w:rsidP="00C337B6">
                  <w:pPr>
                    <w:jc w:val="center"/>
                    <w:rPr>
                      <w:rFonts w:ascii="Arial Narrow" w:hAnsi="Arial Narrow"/>
                      <w:b/>
                      <w:bCs/>
                      <w:sz w:val="20"/>
                      <w:szCs w:val="20"/>
                    </w:rPr>
                  </w:pPr>
                  <w:r w:rsidRPr="009C3533">
                    <w:rPr>
                      <w:rFonts w:ascii="Arial Narrow" w:hAnsi="Arial Narrow"/>
                      <w:b/>
                      <w:bCs/>
                      <w:sz w:val="20"/>
                      <w:szCs w:val="20"/>
                    </w:rPr>
                    <w:t>Script equivalence to UST</w:t>
                  </w:r>
                </w:p>
              </w:tc>
            </w:tr>
            <w:tr w:rsidR="003F2548" w:rsidRPr="009C3533" w14:paraId="10F20656" w14:textId="77777777" w:rsidTr="00966F4F">
              <w:tc>
                <w:tcPr>
                  <w:tcW w:w="810" w:type="pct"/>
                </w:tcPr>
                <w:p w14:paraId="649276C9" w14:textId="77777777" w:rsidR="003F2548" w:rsidRPr="009C3533" w:rsidRDefault="003F2548" w:rsidP="00C337B6">
                  <w:pPr>
                    <w:rPr>
                      <w:rFonts w:ascii="Arial Narrow" w:hAnsi="Arial Narrow"/>
                      <w:sz w:val="20"/>
                      <w:szCs w:val="20"/>
                    </w:rPr>
                  </w:pPr>
                  <w:r w:rsidRPr="009C3533">
                    <w:rPr>
                      <w:rFonts w:ascii="Arial Narrow" w:hAnsi="Arial Narrow"/>
                      <w:sz w:val="20"/>
                      <w:szCs w:val="20"/>
                    </w:rPr>
                    <w:t>ADA</w:t>
                  </w:r>
                </w:p>
              </w:tc>
              <w:tc>
                <w:tcPr>
                  <w:tcW w:w="2095" w:type="pct"/>
                  <w:vAlign w:val="center"/>
                </w:tcPr>
                <w:p w14:paraId="61E3E2B2" w14:textId="77777777" w:rsidR="003F2548" w:rsidRPr="009C3533" w:rsidRDefault="003F2548" w:rsidP="00C337B6">
                  <w:pPr>
                    <w:jc w:val="center"/>
                    <w:rPr>
                      <w:rFonts w:ascii="Arial Narrow" w:hAnsi="Arial Narrow"/>
                      <w:sz w:val="20"/>
                      <w:szCs w:val="20"/>
                    </w:rPr>
                  </w:pPr>
                  <w:r w:rsidRPr="009C3533">
                    <w:rPr>
                      <w:rFonts w:ascii="Arial Narrow" w:hAnsi="Arial Narrow"/>
                      <w:sz w:val="20"/>
                      <w:szCs w:val="20"/>
                    </w:rPr>
                    <w:t>52 scripts</w:t>
                  </w:r>
                </w:p>
              </w:tc>
              <w:tc>
                <w:tcPr>
                  <w:tcW w:w="2095" w:type="pct"/>
                  <w:vAlign w:val="center"/>
                </w:tcPr>
                <w:p w14:paraId="7E7CB328" w14:textId="77777777" w:rsidR="003F2548" w:rsidRPr="009C3533" w:rsidRDefault="003F2548" w:rsidP="00C337B6">
                  <w:pPr>
                    <w:jc w:val="center"/>
                    <w:rPr>
                      <w:rFonts w:ascii="Arial Narrow" w:hAnsi="Arial Narrow"/>
                      <w:sz w:val="20"/>
                      <w:szCs w:val="20"/>
                    </w:rPr>
                  </w:pPr>
                  <w:r w:rsidRPr="009C3533">
                    <w:rPr>
                      <w:rFonts w:ascii="Arial Narrow" w:hAnsi="Arial Narrow"/>
                      <w:sz w:val="20"/>
                      <w:szCs w:val="20"/>
                    </w:rPr>
                    <w:t>1 : 0.24</w:t>
                  </w:r>
                </w:p>
              </w:tc>
            </w:tr>
            <w:tr w:rsidR="003F2548" w:rsidRPr="009C3533" w14:paraId="440CAC56" w14:textId="77777777" w:rsidTr="00966F4F">
              <w:tc>
                <w:tcPr>
                  <w:tcW w:w="810" w:type="pct"/>
                </w:tcPr>
                <w:p w14:paraId="2FE9CE03" w14:textId="77777777" w:rsidR="003F2548" w:rsidRPr="009C3533" w:rsidRDefault="003F2548" w:rsidP="00C337B6">
                  <w:pPr>
                    <w:rPr>
                      <w:rFonts w:ascii="Arial Narrow" w:hAnsi="Arial Narrow"/>
                      <w:sz w:val="20"/>
                      <w:szCs w:val="20"/>
                    </w:rPr>
                  </w:pPr>
                  <w:r w:rsidRPr="009C3533">
                    <w:rPr>
                      <w:rFonts w:ascii="Arial Narrow" w:hAnsi="Arial Narrow"/>
                      <w:sz w:val="20"/>
                      <w:szCs w:val="20"/>
                    </w:rPr>
                    <w:t>IFX IV</w:t>
                  </w:r>
                </w:p>
              </w:tc>
              <w:tc>
                <w:tcPr>
                  <w:tcW w:w="2095" w:type="pct"/>
                  <w:vAlign w:val="center"/>
                </w:tcPr>
                <w:p w14:paraId="3791087B" w14:textId="77777777" w:rsidR="003F2548" w:rsidRPr="009C3533" w:rsidRDefault="003F2548" w:rsidP="00C337B6">
                  <w:pPr>
                    <w:jc w:val="center"/>
                    <w:rPr>
                      <w:rFonts w:ascii="Arial Narrow" w:hAnsi="Arial Narrow"/>
                      <w:sz w:val="20"/>
                      <w:szCs w:val="20"/>
                    </w:rPr>
                  </w:pPr>
                  <w:r w:rsidRPr="009C3533">
                    <w:rPr>
                      <w:rFonts w:ascii="Arial Narrow" w:hAnsi="Arial Narrow"/>
                      <w:sz w:val="20"/>
                      <w:szCs w:val="20"/>
                    </w:rPr>
                    <w:t>15 scripts</w:t>
                  </w:r>
                </w:p>
              </w:tc>
              <w:tc>
                <w:tcPr>
                  <w:tcW w:w="2095" w:type="pct"/>
                  <w:vAlign w:val="center"/>
                </w:tcPr>
                <w:p w14:paraId="51FF23C9" w14:textId="77777777" w:rsidR="003F2548" w:rsidRPr="009C3533" w:rsidRDefault="003F2548" w:rsidP="00C337B6">
                  <w:pPr>
                    <w:jc w:val="center"/>
                    <w:rPr>
                      <w:rFonts w:ascii="Arial Narrow" w:hAnsi="Arial Narrow"/>
                      <w:sz w:val="20"/>
                      <w:szCs w:val="20"/>
                    </w:rPr>
                  </w:pPr>
                  <w:r w:rsidRPr="009C3533">
                    <w:rPr>
                      <w:rFonts w:ascii="Arial Narrow" w:hAnsi="Arial Narrow"/>
                      <w:sz w:val="20"/>
                      <w:szCs w:val="20"/>
                    </w:rPr>
                    <w:t>1 : 0.83</w:t>
                  </w:r>
                </w:p>
              </w:tc>
            </w:tr>
            <w:tr w:rsidR="003F2548" w:rsidRPr="00290E77" w14:paraId="1B69DAF8" w14:textId="77777777" w:rsidTr="00966F4F">
              <w:tc>
                <w:tcPr>
                  <w:tcW w:w="810" w:type="pct"/>
                </w:tcPr>
                <w:p w14:paraId="353C42AC" w14:textId="77777777" w:rsidR="003F2548" w:rsidRPr="009C3533" w:rsidRDefault="003F2548" w:rsidP="00C337B6">
                  <w:pPr>
                    <w:rPr>
                      <w:rFonts w:ascii="Arial Narrow" w:hAnsi="Arial Narrow"/>
                      <w:sz w:val="20"/>
                      <w:szCs w:val="20"/>
                    </w:rPr>
                  </w:pPr>
                  <w:r w:rsidRPr="009C3533">
                    <w:rPr>
                      <w:rFonts w:ascii="Arial Narrow" w:hAnsi="Arial Narrow"/>
                      <w:sz w:val="20"/>
                      <w:szCs w:val="20"/>
                    </w:rPr>
                    <w:t>IFX SC</w:t>
                  </w:r>
                </w:p>
              </w:tc>
              <w:tc>
                <w:tcPr>
                  <w:tcW w:w="2095" w:type="pct"/>
                  <w:vAlign w:val="center"/>
                </w:tcPr>
                <w:p w14:paraId="63D69BBF" w14:textId="77777777" w:rsidR="003F2548" w:rsidRPr="009C3533" w:rsidRDefault="003F2548" w:rsidP="00C337B6">
                  <w:pPr>
                    <w:jc w:val="center"/>
                    <w:rPr>
                      <w:rFonts w:ascii="Arial Narrow" w:hAnsi="Arial Narrow"/>
                      <w:sz w:val="20"/>
                      <w:szCs w:val="20"/>
                    </w:rPr>
                  </w:pPr>
                  <w:r w:rsidRPr="009C3533">
                    <w:rPr>
                      <w:rFonts w:ascii="Arial Narrow" w:hAnsi="Arial Narrow"/>
                      <w:sz w:val="20"/>
                      <w:szCs w:val="20"/>
                    </w:rPr>
                    <w:t>51 scripts</w:t>
                  </w:r>
                </w:p>
              </w:tc>
              <w:tc>
                <w:tcPr>
                  <w:tcW w:w="2095" w:type="pct"/>
                  <w:vAlign w:val="center"/>
                </w:tcPr>
                <w:p w14:paraId="3B21D15E" w14:textId="77777777" w:rsidR="003F2548" w:rsidRPr="00290E77" w:rsidRDefault="003F2548" w:rsidP="00C337B6">
                  <w:pPr>
                    <w:jc w:val="center"/>
                    <w:rPr>
                      <w:rFonts w:ascii="Arial Narrow" w:hAnsi="Arial Narrow"/>
                      <w:sz w:val="20"/>
                      <w:szCs w:val="20"/>
                    </w:rPr>
                  </w:pPr>
                  <w:r w:rsidRPr="009C3533">
                    <w:rPr>
                      <w:rFonts w:ascii="Arial Narrow" w:hAnsi="Arial Narrow"/>
                      <w:sz w:val="20"/>
                      <w:szCs w:val="20"/>
                    </w:rPr>
                    <w:t>1 : 0.23</w:t>
                  </w:r>
                </w:p>
              </w:tc>
            </w:tr>
            <w:tr w:rsidR="003F2548" w:rsidRPr="00290E77" w14:paraId="3CD4CD49" w14:textId="77777777" w:rsidTr="00966F4F">
              <w:tc>
                <w:tcPr>
                  <w:tcW w:w="810" w:type="pct"/>
                </w:tcPr>
                <w:p w14:paraId="47020B13" w14:textId="77777777" w:rsidR="003F2548" w:rsidRPr="00290E77" w:rsidRDefault="003F2548" w:rsidP="00C337B6">
                  <w:pPr>
                    <w:rPr>
                      <w:rFonts w:ascii="Arial Narrow" w:hAnsi="Arial Narrow"/>
                      <w:sz w:val="20"/>
                      <w:szCs w:val="20"/>
                    </w:rPr>
                  </w:pPr>
                  <w:r w:rsidRPr="00290E77">
                    <w:rPr>
                      <w:rFonts w:ascii="Arial Narrow" w:hAnsi="Arial Narrow"/>
                      <w:sz w:val="20"/>
                      <w:szCs w:val="20"/>
                    </w:rPr>
                    <w:t>UST</w:t>
                  </w:r>
                </w:p>
              </w:tc>
              <w:tc>
                <w:tcPr>
                  <w:tcW w:w="2095" w:type="pct"/>
                  <w:vAlign w:val="center"/>
                </w:tcPr>
                <w:p w14:paraId="346FAD79" w14:textId="77777777" w:rsidR="003F2548" w:rsidRPr="00290E77" w:rsidRDefault="003F2548" w:rsidP="00C337B6">
                  <w:pPr>
                    <w:jc w:val="center"/>
                    <w:rPr>
                      <w:rFonts w:ascii="Arial Narrow" w:hAnsi="Arial Narrow"/>
                      <w:sz w:val="20"/>
                      <w:szCs w:val="20"/>
                    </w:rPr>
                  </w:pPr>
                  <w:r w:rsidRPr="00290E77">
                    <w:rPr>
                      <w:rFonts w:ascii="Arial Narrow" w:hAnsi="Arial Narrow"/>
                      <w:sz w:val="20"/>
                      <w:szCs w:val="20"/>
                    </w:rPr>
                    <w:t>12.52 scripts, weighted 88%*13 (Q8W) + 12%*9 (Q12W)</w:t>
                  </w:r>
                </w:p>
              </w:tc>
              <w:tc>
                <w:tcPr>
                  <w:tcW w:w="2095" w:type="pct"/>
                  <w:vAlign w:val="center"/>
                </w:tcPr>
                <w:p w14:paraId="3B5EBF11" w14:textId="77777777" w:rsidR="003F2548" w:rsidRPr="00290E77" w:rsidRDefault="003F2548" w:rsidP="00C337B6">
                  <w:pPr>
                    <w:jc w:val="center"/>
                    <w:rPr>
                      <w:rFonts w:ascii="Arial Narrow" w:hAnsi="Arial Narrow"/>
                      <w:sz w:val="20"/>
                      <w:szCs w:val="20"/>
                    </w:rPr>
                  </w:pPr>
                  <w:r w:rsidRPr="00290E77">
                    <w:rPr>
                      <w:rFonts w:ascii="Arial Narrow" w:hAnsi="Arial Narrow"/>
                      <w:sz w:val="20"/>
                      <w:szCs w:val="20"/>
                    </w:rPr>
                    <w:t>NA</w:t>
                  </w:r>
                </w:p>
              </w:tc>
            </w:tr>
          </w:tbl>
          <w:p w14:paraId="4AD448C1" w14:textId="77777777" w:rsidR="003F2548" w:rsidRPr="00290E77" w:rsidRDefault="003F2548" w:rsidP="00C337B6">
            <w:pPr>
              <w:pStyle w:val="TableText0"/>
              <w:keepNext w:val="0"/>
              <w:rPr>
                <w:szCs w:val="20"/>
                <w:lang w:val="en-US"/>
              </w:rPr>
            </w:pPr>
            <w:r w:rsidRPr="00290E77">
              <w:rPr>
                <w:szCs w:val="20"/>
              </w:rPr>
              <w:t>Source: Text on p207 of the submission; ‘Attachment 4.1 Stelara fCD UCM March 2023 (BASE).xlsx’</w:t>
            </w:r>
          </w:p>
        </w:tc>
      </w:tr>
      <w:tr w:rsidR="003F2548" w:rsidRPr="00290E77" w14:paraId="3B875AD4" w14:textId="77777777" w:rsidTr="00240923">
        <w:trPr>
          <w:cantSplit/>
        </w:trPr>
        <w:tc>
          <w:tcPr>
            <w:tcW w:w="960" w:type="pct"/>
            <w:shd w:val="clear" w:color="auto" w:fill="auto"/>
            <w:vAlign w:val="center"/>
          </w:tcPr>
          <w:p w14:paraId="633CFAFF" w14:textId="77777777" w:rsidR="003F2548" w:rsidRPr="00290E77" w:rsidRDefault="003F2548" w:rsidP="00C337B6">
            <w:pPr>
              <w:pStyle w:val="TableText0"/>
              <w:keepNext w:val="0"/>
              <w:rPr>
                <w:szCs w:val="20"/>
                <w:lang w:val="en-US"/>
              </w:rPr>
            </w:pPr>
            <w:r w:rsidRPr="00290E77">
              <w:rPr>
                <w:szCs w:val="20"/>
                <w:lang w:val="en-US"/>
              </w:rPr>
              <w:t>Drug costs for UST and comparators</w:t>
            </w:r>
          </w:p>
        </w:tc>
        <w:tc>
          <w:tcPr>
            <w:tcW w:w="4040" w:type="pct"/>
            <w:shd w:val="clear" w:color="auto" w:fill="auto"/>
            <w:vAlign w:val="center"/>
          </w:tcPr>
          <w:p w14:paraId="3575E360" w14:textId="4FE572E7" w:rsidR="003F2548" w:rsidRPr="00290E77" w:rsidRDefault="003F2548" w:rsidP="00C337B6">
            <w:pPr>
              <w:pStyle w:val="TableText0"/>
              <w:keepNext w:val="0"/>
              <w:jc w:val="both"/>
              <w:rPr>
                <w:szCs w:val="20"/>
              </w:rPr>
            </w:pPr>
            <w:r w:rsidRPr="00290E77">
              <w:rPr>
                <w:szCs w:val="20"/>
              </w:rPr>
              <w:t>The submission applied the ‘effective’ DPMQ prices to the estimated change in UST and comparator scripts. The submission stated both comparators (ADA, IFX) are F2 drugs; therefore, the effective price is the published price.</w:t>
            </w:r>
          </w:p>
          <w:p w14:paraId="06A0B272" w14:textId="2D0DAA10" w:rsidR="003F2548" w:rsidRPr="00290E77" w:rsidRDefault="00150D85" w:rsidP="00D55746">
            <w:pPr>
              <w:pStyle w:val="TableText0"/>
              <w:keepNext w:val="0"/>
              <w:jc w:val="both"/>
              <w:rPr>
                <w:szCs w:val="20"/>
              </w:rPr>
            </w:pPr>
            <w:r w:rsidRPr="00290E77">
              <w:rPr>
                <w:szCs w:val="20"/>
              </w:rPr>
              <w:t xml:space="preserve">The submission’s approach to costing variable dose scripts may not be reasonable, given the maximum quantity (corresponding to the DPMQ) may not reflect the average quantity of drug dispensed per script. This approach </w:t>
            </w:r>
            <w:r w:rsidR="00815637" w:rsidRPr="00290E77">
              <w:rPr>
                <w:szCs w:val="20"/>
              </w:rPr>
              <w:t>wa</w:t>
            </w:r>
            <w:r w:rsidRPr="00290E77">
              <w:rPr>
                <w:szCs w:val="20"/>
              </w:rPr>
              <w:t>s also inconsistent with the cost-minimisation approach presented in Section 3 (based on average number of vials per dose for UST IV and IFX IV) as well as other assumptions in Section 4.</w:t>
            </w:r>
            <w:r w:rsidR="00D55746" w:rsidRPr="00290E77">
              <w:rPr>
                <w:szCs w:val="20"/>
              </w:rPr>
              <w:t xml:space="preserve"> In addition, the published prices applied for ADA scripts in the submission are higher than the current prices, owing to a statutory price reduction in April 2023 (note, there is now a different price for different brands of ADA).</w:t>
            </w:r>
          </w:p>
        </w:tc>
      </w:tr>
      <w:tr w:rsidR="003F2548" w:rsidRPr="00290E77" w14:paraId="3CCA905B" w14:textId="77777777" w:rsidTr="00240923">
        <w:trPr>
          <w:cantSplit/>
        </w:trPr>
        <w:tc>
          <w:tcPr>
            <w:tcW w:w="960" w:type="pct"/>
            <w:shd w:val="clear" w:color="auto" w:fill="auto"/>
            <w:vAlign w:val="center"/>
          </w:tcPr>
          <w:p w14:paraId="52B4482A" w14:textId="77777777" w:rsidR="003F2548" w:rsidRPr="00290E77" w:rsidRDefault="003F2548" w:rsidP="00C337B6">
            <w:pPr>
              <w:pStyle w:val="TableText0"/>
              <w:keepNext w:val="0"/>
              <w:rPr>
                <w:szCs w:val="20"/>
                <w:lang w:val="en-US"/>
              </w:rPr>
            </w:pPr>
            <w:r w:rsidRPr="00290E77">
              <w:rPr>
                <w:szCs w:val="20"/>
                <w:lang w:val="en-US"/>
              </w:rPr>
              <w:t>MBS costs</w:t>
            </w:r>
          </w:p>
        </w:tc>
        <w:tc>
          <w:tcPr>
            <w:tcW w:w="4040" w:type="pct"/>
            <w:shd w:val="clear" w:color="auto" w:fill="auto"/>
            <w:vAlign w:val="center"/>
          </w:tcPr>
          <w:p w14:paraId="6941423B" w14:textId="5C5E2C35" w:rsidR="003F2548" w:rsidRPr="00290E77" w:rsidRDefault="003F2548" w:rsidP="00C337B6">
            <w:pPr>
              <w:pStyle w:val="TableText0"/>
              <w:keepNext w:val="0"/>
              <w:rPr>
                <w:szCs w:val="20"/>
                <w:lang w:val="en-US"/>
              </w:rPr>
            </w:pPr>
            <w:r w:rsidRPr="009C3533">
              <w:rPr>
                <w:rFonts w:cstheme="minorBidi"/>
                <w:szCs w:val="20"/>
                <w:lang w:eastAsia="en-GB"/>
              </w:rPr>
              <w:t>The submission indicated that the IV formulations of IFX and UST require MBS-funded administration and costed these services using MBS item 14245 for IV infusion, at 85% benefit ($88.05).</w:t>
            </w:r>
            <w:r w:rsidR="00BD0A7B" w:rsidRPr="009C3533">
              <w:rPr>
                <w:rFonts w:cstheme="minorBidi"/>
                <w:szCs w:val="20"/>
                <w:lang w:eastAsia="en-GB"/>
              </w:rPr>
              <w:t xml:space="preserve"> At time of PBAC consideration, the MBS schedule fee for item 14245 was $91.25.</w:t>
            </w:r>
            <w:r w:rsidRPr="009C3533">
              <w:rPr>
                <w:rFonts w:cstheme="minorBidi"/>
                <w:szCs w:val="20"/>
                <w:lang w:eastAsia="en-GB"/>
              </w:rPr>
              <w:t xml:space="preserve"> The financial estimates spreadsheet costed one IV administration per IFX IV script but only </w:t>
            </w:r>
            <w:r w:rsidRPr="009C3533">
              <w:rPr>
                <w:rFonts w:cstheme="minorBidi"/>
                <w:szCs w:val="20"/>
                <w:u w:val="single"/>
                <w:lang w:eastAsia="en-GB"/>
              </w:rPr>
              <w:t>half</w:t>
            </w:r>
            <w:r w:rsidRPr="009C3533">
              <w:rPr>
                <w:rFonts w:cstheme="minorBidi"/>
                <w:szCs w:val="20"/>
                <w:lang w:eastAsia="en-GB"/>
              </w:rPr>
              <w:t xml:space="preserve"> an IV administration per UST IV script</w:t>
            </w:r>
            <w:r w:rsidR="005B656C" w:rsidRPr="009C3533">
              <w:rPr>
                <w:rFonts w:cstheme="minorBidi"/>
                <w:szCs w:val="20"/>
                <w:lang w:eastAsia="en-GB"/>
              </w:rPr>
              <w:t>.</w:t>
            </w:r>
            <w:r w:rsidRPr="009C3533">
              <w:rPr>
                <w:rFonts w:cstheme="minorBidi"/>
                <w:szCs w:val="20"/>
                <w:lang w:eastAsia="en-GB"/>
              </w:rPr>
              <w:t xml:space="preserve"> Estimates were updated </w:t>
            </w:r>
            <w:r w:rsidR="00723B57" w:rsidRPr="009C3533">
              <w:rPr>
                <w:rFonts w:cstheme="minorBidi"/>
                <w:szCs w:val="20"/>
                <w:lang w:eastAsia="en-GB"/>
              </w:rPr>
              <w:t xml:space="preserve">during evaluation </w:t>
            </w:r>
            <w:r w:rsidRPr="009C3533">
              <w:rPr>
                <w:rFonts w:cstheme="minorBidi"/>
                <w:szCs w:val="20"/>
                <w:lang w:eastAsia="en-GB"/>
              </w:rPr>
              <w:t>assuming one IV administration per UST IV script.</w:t>
            </w:r>
          </w:p>
        </w:tc>
      </w:tr>
    </w:tbl>
    <w:p w14:paraId="1B2F529B" w14:textId="77777777" w:rsidR="00FF13AE" w:rsidRDefault="00FF13AE" w:rsidP="00FF13AE">
      <w:pPr>
        <w:pStyle w:val="TableFigureFooter"/>
        <w:rPr>
          <w:rStyle w:val="CommentReference"/>
          <w:b w:val="0"/>
          <w:sz w:val="18"/>
          <w:szCs w:val="18"/>
        </w:rPr>
      </w:pPr>
      <w:r w:rsidRPr="00607B0D">
        <w:rPr>
          <w:rStyle w:val="CommentReference"/>
          <w:b w:val="0"/>
          <w:sz w:val="18"/>
          <w:szCs w:val="18"/>
        </w:rPr>
        <w:t>Source: pp203-207 of the submission.</w:t>
      </w:r>
    </w:p>
    <w:p w14:paraId="0180CBB8" w14:textId="77777777" w:rsidR="00FF13AE" w:rsidRPr="00047565" w:rsidRDefault="00FF13AE" w:rsidP="00FF13AE">
      <w:pPr>
        <w:pStyle w:val="TableFigureFooter"/>
        <w:rPr>
          <w:szCs w:val="18"/>
        </w:rPr>
      </w:pPr>
      <w:r>
        <w:t>ADA = adalimumab; IFX = infliximab; IV = intravenous; SC = subcutaneous; UST = ustekinumab.</w:t>
      </w:r>
    </w:p>
    <w:p w14:paraId="0B80342C" w14:textId="32915B79" w:rsidR="00D36B1A" w:rsidRPr="00290E77" w:rsidRDefault="00EB03A7" w:rsidP="00D36B1A">
      <w:pPr>
        <w:pStyle w:val="3-BodyText"/>
      </w:pPr>
      <w:bookmarkStart w:id="46" w:name="_Ref137477784"/>
      <w:r w:rsidRPr="00290E77">
        <w:t>Overall, the estimated net cost savings to the PBS/RPBS</w:t>
      </w:r>
      <w:r w:rsidR="00761972">
        <w:t xml:space="preserve"> </w:t>
      </w:r>
      <w:r w:rsidR="00761972" w:rsidRPr="00723B57">
        <w:t>in the submission</w:t>
      </w:r>
      <w:r w:rsidRPr="00290E77">
        <w:t xml:space="preserve"> was unreliable for the following reasons:</w:t>
      </w:r>
      <w:bookmarkEnd w:id="46"/>
    </w:p>
    <w:p w14:paraId="44E3DDFA" w14:textId="6EB6E103" w:rsidR="00D36B1A" w:rsidRPr="00290E77" w:rsidRDefault="00D36B1A" w:rsidP="00F81A33">
      <w:pPr>
        <w:pStyle w:val="3-BodyText"/>
        <w:numPr>
          <w:ilvl w:val="0"/>
          <w:numId w:val="15"/>
        </w:numPr>
        <w:ind w:left="1134"/>
      </w:pPr>
      <w:r w:rsidRPr="00290E77">
        <w:t>The submission’s approach to costing IFX IV scripts based on the maximum quantity rather than average quantity of vials per dose, likely underestimated the cost-offsets associated with IFX. Given the submission assumed each IFX IV script (maximum quantity 1) provided one dose (i.e.</w:t>
      </w:r>
      <w:r w:rsidR="00815637" w:rsidRPr="00290E77">
        <w:t>,</w:t>
      </w:r>
      <w:r w:rsidRPr="00290E77">
        <w:t xml:space="preserve"> one IV infusion and 6.9 weeks of treatment on average), then the costs should reflect the average number of vials per dose (4 vials) rather than the maximum quantity (1 vials). Disaggregated results show</w:t>
      </w:r>
      <w:r w:rsidR="00815637" w:rsidRPr="00290E77">
        <w:t>ed</w:t>
      </w:r>
      <w:r w:rsidRPr="00290E77">
        <w:t xml:space="preserve"> that the proposed substitution of IFX explain</w:t>
      </w:r>
      <w:r w:rsidR="00815637" w:rsidRPr="00290E77">
        <w:t>ed the</w:t>
      </w:r>
      <w:r w:rsidRPr="00290E77">
        <w:t xml:space="preserve"> </w:t>
      </w:r>
      <w:r w:rsidR="00BB1B74" w:rsidRPr="00BB1B74">
        <w:t>$10</w:t>
      </w:r>
      <w:r w:rsidR="00427FF6">
        <w:t> </w:t>
      </w:r>
      <w:r w:rsidR="00BB1B74" w:rsidRPr="00BB1B74">
        <w:t>million</w:t>
      </w:r>
      <w:r w:rsidR="00427FF6">
        <w:t> </w:t>
      </w:r>
      <w:r w:rsidR="00BB1B74" w:rsidRPr="00BB1B74">
        <w:t>to</w:t>
      </w:r>
      <w:r w:rsidR="00427FF6">
        <w:t> </w:t>
      </w:r>
      <w:r w:rsidR="00BB1B74" w:rsidRPr="00BB1B74">
        <w:t>&lt;</w:t>
      </w:r>
      <w:r w:rsidR="00427FF6">
        <w:t xml:space="preserve"> </w:t>
      </w:r>
      <w:r w:rsidR="00BB1B74" w:rsidRPr="00BB1B74">
        <w:t>$20 million</w:t>
      </w:r>
      <w:r w:rsidR="00BB1B74">
        <w:t xml:space="preserve"> </w:t>
      </w:r>
      <w:r w:rsidRPr="00290E77">
        <w:t xml:space="preserve">of the total cost for UST but only </w:t>
      </w:r>
      <w:r w:rsidR="00BB1B74" w:rsidRPr="00BB1B74">
        <w:t>$0</w:t>
      </w:r>
      <w:r w:rsidR="00427FF6">
        <w:t> </w:t>
      </w:r>
      <w:r w:rsidR="00BB1B74" w:rsidRPr="00BB1B74">
        <w:t>to</w:t>
      </w:r>
      <w:r w:rsidR="00427FF6">
        <w:t> </w:t>
      </w:r>
      <w:r w:rsidR="00BB1B74" w:rsidRPr="00BB1B74">
        <w:t>&lt;</w:t>
      </w:r>
      <w:r w:rsidR="00427FF6">
        <w:t> </w:t>
      </w:r>
      <w:r w:rsidR="00BB1B74" w:rsidRPr="00BB1B74">
        <w:t>$10</w:t>
      </w:r>
      <w:r w:rsidR="00AB00C2">
        <w:t> </w:t>
      </w:r>
      <w:r w:rsidR="00BB1B74" w:rsidRPr="00BB1B74">
        <w:t>million</w:t>
      </w:r>
      <w:r w:rsidR="00BB1B74">
        <w:t xml:space="preserve"> </w:t>
      </w:r>
      <w:r w:rsidRPr="00290E77">
        <w:t xml:space="preserve">of the cost offsets over the first six years. </w:t>
      </w:r>
      <w:r w:rsidRPr="00B10D70">
        <w:t>Given the cost-minimisation approach presented, the</w:t>
      </w:r>
      <w:r w:rsidRPr="00290E77">
        <w:t xml:space="preserve"> substitution of IFX for UST would likely be (approximately) cost neutral.</w:t>
      </w:r>
    </w:p>
    <w:p w14:paraId="78BDFE67" w14:textId="05CAA1FB" w:rsidR="00D36B1A" w:rsidRPr="00290E77" w:rsidRDefault="00D36B1A" w:rsidP="00F81A33">
      <w:pPr>
        <w:pStyle w:val="3-BodyText"/>
        <w:numPr>
          <w:ilvl w:val="0"/>
          <w:numId w:val="15"/>
        </w:numPr>
        <w:ind w:left="1134"/>
      </w:pPr>
      <w:r w:rsidRPr="00290E77">
        <w:lastRenderedPageBreak/>
        <w:t xml:space="preserve">The submission’s approach to costing UST IV scripts based on the maximum quantity of 4 vials rather than average quantity </w:t>
      </w:r>
      <w:r w:rsidRPr="00322704">
        <w:t>of 3 vials per</w:t>
      </w:r>
      <w:r w:rsidRPr="00290E77">
        <w:t xml:space="preserve"> dose used in the cost-minimisation approach, likely overestimated the cost </w:t>
      </w:r>
      <w:r w:rsidR="00815637" w:rsidRPr="00290E77">
        <w:t xml:space="preserve">of </w:t>
      </w:r>
      <w:r w:rsidRPr="00290E77">
        <w:t>UST IV scripts. However, the overall impact of this assumption on the financial estimates was likely to be small given the proportional use of UST IV formulation (i.e.</w:t>
      </w:r>
      <w:r w:rsidR="00815637" w:rsidRPr="00290E77">
        <w:t>,</w:t>
      </w:r>
      <w:r w:rsidRPr="00290E77">
        <w:t xml:space="preserve"> the loading dose only) </w:t>
      </w:r>
      <w:r w:rsidR="00815637" w:rsidRPr="00290E77">
        <w:t>wa</w:t>
      </w:r>
      <w:r w:rsidRPr="00290E77">
        <w:t>s low.</w:t>
      </w:r>
    </w:p>
    <w:p w14:paraId="6FE525DD" w14:textId="18ED91EA" w:rsidR="00C337B6" w:rsidRPr="00290E77" w:rsidRDefault="00C337B6" w:rsidP="00F81A33">
      <w:pPr>
        <w:pStyle w:val="ListParagraph"/>
        <w:numPr>
          <w:ilvl w:val="0"/>
          <w:numId w:val="15"/>
        </w:numPr>
        <w:ind w:left="1134"/>
      </w:pPr>
      <w:r w:rsidRPr="00290E77">
        <w:t>The submission’s approach to estimating script equivalence appear</w:t>
      </w:r>
      <w:r w:rsidR="00C97EED" w:rsidRPr="00290E77">
        <w:t>ed to confuse</w:t>
      </w:r>
      <w:r w:rsidRPr="00290E77">
        <w:t xml:space="preserve"> the number of doses of ADA and IFX SC required over 104</w:t>
      </w:r>
      <w:r w:rsidR="00D82227" w:rsidRPr="00290E77">
        <w:t xml:space="preserve"> weeks</w:t>
      </w:r>
      <w:r w:rsidRPr="00290E77">
        <w:t xml:space="preserve"> (i.e.</w:t>
      </w:r>
      <w:r w:rsidR="00815637" w:rsidRPr="00290E77">
        <w:t>,</w:t>
      </w:r>
      <w:r w:rsidRPr="00290E77">
        <w:t xml:space="preserve"> 52 doses) with the number of scripts of ADA and IFX SC required over 104 weeks (i.e.</w:t>
      </w:r>
      <w:r w:rsidR="005C5CCE" w:rsidRPr="00290E77">
        <w:t>,</w:t>
      </w:r>
      <w:r w:rsidRPr="00290E77">
        <w:t xml:space="preserve"> </w:t>
      </w:r>
      <w:r w:rsidR="00385543" w:rsidRPr="00290E77">
        <w:t>26</w:t>
      </w:r>
      <w:r w:rsidR="00385543">
        <w:t> </w:t>
      </w:r>
      <w:r w:rsidRPr="00290E77">
        <w:t>scripts). The submission had correctly noted that 1 script provided 4 weeks of treatment with ADA and IFX SC when estimating patient-weeks on treatment, but then inconsistently assumed 1 script provided only 2 weeks of treatment when estimating script equivalence. This error likely considerably overestimated the cost savings as a result of substitution with ADA. A sensitivity analysis assuming each ADA script provided 4 weeks of treatment (i.e.</w:t>
      </w:r>
      <w:r w:rsidR="005C5CCE" w:rsidRPr="00290E77">
        <w:t>,</w:t>
      </w:r>
      <w:r w:rsidRPr="00290E77">
        <w:t xml:space="preserve"> a script equivalence with UST of 1:0.48) reduced the estimated net cost savings to the PBS/RPBS from </w:t>
      </w:r>
      <w:r w:rsidR="00BB1B74" w:rsidRPr="00BB1B74">
        <w:t>$</w:t>
      </w:r>
      <w:r w:rsidR="009C3533">
        <w:t>2</w:t>
      </w:r>
      <w:r w:rsidR="00BB1B74" w:rsidRPr="00BB1B74">
        <w:t>0</w:t>
      </w:r>
      <w:r w:rsidR="00385543">
        <w:t> </w:t>
      </w:r>
      <w:r w:rsidR="00BB1B74" w:rsidRPr="00BB1B74">
        <w:t>million</w:t>
      </w:r>
      <w:r w:rsidR="00427FF6">
        <w:t> </w:t>
      </w:r>
      <w:r w:rsidR="00BB1B74" w:rsidRPr="00BB1B74">
        <w:t>to</w:t>
      </w:r>
      <w:r w:rsidR="00427FF6">
        <w:t> </w:t>
      </w:r>
      <w:r w:rsidR="00BB1B74" w:rsidRPr="00BB1B74">
        <w:t>&lt;</w:t>
      </w:r>
      <w:r w:rsidR="00427FF6">
        <w:t> </w:t>
      </w:r>
      <w:r w:rsidR="00BB1B74" w:rsidRPr="00BB1B74">
        <w:t>$</w:t>
      </w:r>
      <w:r w:rsidR="009C3533">
        <w:t>3</w:t>
      </w:r>
      <w:r w:rsidR="00BB1B74" w:rsidRPr="00BB1B74">
        <w:t>0 million</w:t>
      </w:r>
      <w:r w:rsidR="00BB1B74">
        <w:t xml:space="preserve"> </w:t>
      </w:r>
      <w:r w:rsidRPr="00290E77">
        <w:t xml:space="preserve">to </w:t>
      </w:r>
      <w:r w:rsidR="00BB1B74" w:rsidRPr="00BB1B74">
        <w:t>$0</w:t>
      </w:r>
      <w:r w:rsidR="00427FF6">
        <w:t> </w:t>
      </w:r>
      <w:r w:rsidR="00BB1B74" w:rsidRPr="00BB1B74">
        <w:t>to</w:t>
      </w:r>
      <w:r w:rsidR="00427FF6">
        <w:t> </w:t>
      </w:r>
      <w:r w:rsidR="00BB1B74" w:rsidRPr="00BB1B74">
        <w:t>&lt;</w:t>
      </w:r>
      <w:r w:rsidR="00427FF6">
        <w:t> </w:t>
      </w:r>
      <w:r w:rsidR="00BB1B74" w:rsidRPr="00BB1B74">
        <w:t>$10 million</w:t>
      </w:r>
      <w:r w:rsidR="00BB1B74">
        <w:t xml:space="preserve"> </w:t>
      </w:r>
      <w:r w:rsidRPr="00290E77">
        <w:t>over six years.</w:t>
      </w:r>
    </w:p>
    <w:p w14:paraId="536B7ECD" w14:textId="7B136507" w:rsidR="005A523D" w:rsidRPr="00F81A33" w:rsidRDefault="004F4EEF" w:rsidP="005A523D">
      <w:pPr>
        <w:pStyle w:val="3-BodyText"/>
      </w:pPr>
      <w:r w:rsidRPr="00F81A33">
        <w:t>The PSCR</w:t>
      </w:r>
      <w:r w:rsidR="000B1CFF" w:rsidRPr="00F81A33">
        <w:t xml:space="preserve"> </w:t>
      </w:r>
      <w:r w:rsidRPr="00F81A33">
        <w:t>acknowledged the issues raised in the evaluation and provided updated utilisation and financial estimates accounting for different script equivalence for ADA and IFX, amended maximum quantities, an updated price for ADA based on the 1</w:t>
      </w:r>
      <w:r w:rsidR="00322704">
        <w:t> </w:t>
      </w:r>
      <w:r w:rsidRPr="00F81A33">
        <w:t>April</w:t>
      </w:r>
      <w:r w:rsidR="00322704">
        <w:t> </w:t>
      </w:r>
      <w:r w:rsidRPr="00F81A33">
        <w:t xml:space="preserve">2023 price of the Humira/reference brand and changes to MBS services associated with UST administration outlined in paragraph </w:t>
      </w:r>
      <w:r w:rsidRPr="00F81A33">
        <w:fldChar w:fldCharType="begin"/>
      </w:r>
      <w:r w:rsidRPr="00F81A33">
        <w:instrText xml:space="preserve"> REF _Ref137477784 \r \h </w:instrText>
      </w:r>
      <w:r w:rsidR="00F81A33">
        <w:instrText xml:space="preserve"> \* MERGEFORMAT </w:instrText>
      </w:r>
      <w:r w:rsidRPr="00F81A33">
        <w:fldChar w:fldCharType="separate"/>
      </w:r>
      <w:r w:rsidR="00522D5A">
        <w:t>6.43</w:t>
      </w:r>
      <w:r w:rsidRPr="00F81A33">
        <w:fldChar w:fldCharType="end"/>
      </w:r>
      <w:r w:rsidRPr="00F81A33">
        <w:t xml:space="preserve"> above.</w:t>
      </w:r>
      <w:r w:rsidR="005A523D" w:rsidRPr="00F81A33">
        <w:t xml:space="preserve"> </w:t>
      </w:r>
      <w:r w:rsidR="00761972" w:rsidRPr="00F81A33">
        <w:t>The revised utilisation and financial estimates are presented in the table below.</w:t>
      </w:r>
    </w:p>
    <w:p w14:paraId="632C6362" w14:textId="2504A56C" w:rsidR="005A523D" w:rsidRPr="00606FBA" w:rsidRDefault="005A523D" w:rsidP="00385543">
      <w:pPr>
        <w:pStyle w:val="Caption"/>
      </w:pPr>
      <w:r>
        <w:lastRenderedPageBreak/>
        <w:t xml:space="preserve">Table </w:t>
      </w:r>
      <w:fldSimple w:instr=" SEQ Table \* ARABIC ">
        <w:r w:rsidR="00522D5A">
          <w:rPr>
            <w:noProof/>
          </w:rPr>
          <w:t>9</w:t>
        </w:r>
      </w:fldSimple>
      <w:r>
        <w:t>:</w:t>
      </w:r>
      <w:r w:rsidRPr="00606FBA">
        <w:rPr>
          <w:rStyle w:val="CommentReference"/>
          <w:b/>
          <w:szCs w:val="24"/>
        </w:rPr>
        <w:t xml:space="preserve"> Estimated use and financial implications</w:t>
      </w:r>
      <w:r>
        <w:rPr>
          <w:rStyle w:val="CommentReference"/>
          <w:b/>
          <w:szCs w:val="24"/>
        </w:rPr>
        <w:t xml:space="preserve"> (PSCR updated)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5A523D" w:rsidRPr="00240923" w14:paraId="5FCDF9FE" w14:textId="77777777" w:rsidTr="00C67964">
        <w:trPr>
          <w:tblHeader/>
        </w:trPr>
        <w:tc>
          <w:tcPr>
            <w:tcW w:w="1334" w:type="pct"/>
            <w:shd w:val="clear" w:color="auto" w:fill="auto"/>
            <w:vAlign w:val="center"/>
          </w:tcPr>
          <w:p w14:paraId="38ED9A71" w14:textId="77777777" w:rsidR="005A523D" w:rsidRPr="00240923" w:rsidRDefault="005A523D" w:rsidP="00385543">
            <w:pPr>
              <w:pStyle w:val="In-tableHeading"/>
              <w:keepLines/>
              <w:jc w:val="center"/>
              <w:rPr>
                <w:szCs w:val="20"/>
              </w:rPr>
            </w:pPr>
          </w:p>
        </w:tc>
        <w:tc>
          <w:tcPr>
            <w:tcW w:w="611" w:type="pct"/>
            <w:shd w:val="clear" w:color="auto" w:fill="auto"/>
            <w:vAlign w:val="center"/>
          </w:tcPr>
          <w:p w14:paraId="0E4AB3DA" w14:textId="77777777" w:rsidR="005A523D" w:rsidRPr="00240923" w:rsidRDefault="005A523D" w:rsidP="00385543">
            <w:pPr>
              <w:pStyle w:val="In-tableHeading"/>
              <w:keepLines/>
              <w:jc w:val="center"/>
              <w:rPr>
                <w:szCs w:val="20"/>
              </w:rPr>
            </w:pPr>
            <w:r w:rsidRPr="00240923">
              <w:rPr>
                <w:szCs w:val="20"/>
              </w:rPr>
              <w:t>Year 1</w:t>
            </w:r>
          </w:p>
        </w:tc>
        <w:tc>
          <w:tcPr>
            <w:tcW w:w="611" w:type="pct"/>
            <w:shd w:val="clear" w:color="auto" w:fill="auto"/>
            <w:vAlign w:val="center"/>
          </w:tcPr>
          <w:p w14:paraId="62E25AA8" w14:textId="77777777" w:rsidR="005A523D" w:rsidRPr="00240923" w:rsidRDefault="005A523D" w:rsidP="00385543">
            <w:pPr>
              <w:pStyle w:val="In-tableHeading"/>
              <w:keepLines/>
              <w:jc w:val="center"/>
              <w:rPr>
                <w:szCs w:val="20"/>
              </w:rPr>
            </w:pPr>
            <w:r w:rsidRPr="00240923">
              <w:rPr>
                <w:szCs w:val="20"/>
              </w:rPr>
              <w:t>Year 2</w:t>
            </w:r>
          </w:p>
        </w:tc>
        <w:tc>
          <w:tcPr>
            <w:tcW w:w="611" w:type="pct"/>
            <w:shd w:val="clear" w:color="auto" w:fill="auto"/>
            <w:vAlign w:val="center"/>
          </w:tcPr>
          <w:p w14:paraId="20BCBC2B" w14:textId="77777777" w:rsidR="005A523D" w:rsidRPr="00240923" w:rsidRDefault="005A523D" w:rsidP="00385543">
            <w:pPr>
              <w:pStyle w:val="In-tableHeading"/>
              <w:keepLines/>
              <w:jc w:val="center"/>
              <w:rPr>
                <w:szCs w:val="20"/>
              </w:rPr>
            </w:pPr>
            <w:r w:rsidRPr="00240923">
              <w:rPr>
                <w:szCs w:val="20"/>
              </w:rPr>
              <w:t>Year 3</w:t>
            </w:r>
          </w:p>
        </w:tc>
        <w:tc>
          <w:tcPr>
            <w:tcW w:w="611" w:type="pct"/>
            <w:shd w:val="clear" w:color="auto" w:fill="auto"/>
            <w:vAlign w:val="center"/>
          </w:tcPr>
          <w:p w14:paraId="038B8EFF" w14:textId="77777777" w:rsidR="005A523D" w:rsidRPr="00240923" w:rsidRDefault="005A523D" w:rsidP="00385543">
            <w:pPr>
              <w:pStyle w:val="In-tableHeading"/>
              <w:keepLines/>
              <w:jc w:val="center"/>
              <w:rPr>
                <w:szCs w:val="20"/>
              </w:rPr>
            </w:pPr>
            <w:r w:rsidRPr="00240923">
              <w:rPr>
                <w:szCs w:val="20"/>
              </w:rPr>
              <w:t>Year 4</w:t>
            </w:r>
          </w:p>
        </w:tc>
        <w:tc>
          <w:tcPr>
            <w:tcW w:w="611" w:type="pct"/>
            <w:shd w:val="clear" w:color="auto" w:fill="auto"/>
            <w:vAlign w:val="center"/>
          </w:tcPr>
          <w:p w14:paraId="1BF98A28" w14:textId="77777777" w:rsidR="005A523D" w:rsidRPr="00240923" w:rsidRDefault="005A523D" w:rsidP="00385543">
            <w:pPr>
              <w:pStyle w:val="In-tableHeading"/>
              <w:keepLines/>
              <w:jc w:val="center"/>
              <w:rPr>
                <w:szCs w:val="20"/>
              </w:rPr>
            </w:pPr>
            <w:r w:rsidRPr="00240923">
              <w:rPr>
                <w:szCs w:val="20"/>
              </w:rPr>
              <w:t>Year 5</w:t>
            </w:r>
          </w:p>
        </w:tc>
        <w:tc>
          <w:tcPr>
            <w:tcW w:w="611" w:type="pct"/>
          </w:tcPr>
          <w:p w14:paraId="4F35D8E0" w14:textId="77777777" w:rsidR="005A523D" w:rsidRPr="00240923" w:rsidRDefault="005A523D" w:rsidP="00385543">
            <w:pPr>
              <w:pStyle w:val="In-tableHeading"/>
              <w:keepLines/>
              <w:jc w:val="center"/>
              <w:rPr>
                <w:szCs w:val="20"/>
              </w:rPr>
            </w:pPr>
            <w:r w:rsidRPr="00240923">
              <w:rPr>
                <w:szCs w:val="20"/>
              </w:rPr>
              <w:t>Year 6</w:t>
            </w:r>
          </w:p>
        </w:tc>
      </w:tr>
      <w:tr w:rsidR="005A523D" w:rsidRPr="00240923" w14:paraId="1BE24CD2" w14:textId="77777777" w:rsidTr="00C67964">
        <w:tc>
          <w:tcPr>
            <w:tcW w:w="5000" w:type="pct"/>
            <w:gridSpan w:val="7"/>
            <w:shd w:val="clear" w:color="auto" w:fill="auto"/>
            <w:vAlign w:val="center"/>
          </w:tcPr>
          <w:p w14:paraId="7BFC5F55" w14:textId="77777777" w:rsidR="005A523D" w:rsidRPr="00240923" w:rsidRDefault="005A523D" w:rsidP="00385543">
            <w:pPr>
              <w:pStyle w:val="In-tableHeading"/>
              <w:keepLines/>
              <w:rPr>
                <w:bCs/>
                <w:color w:val="000000"/>
                <w:szCs w:val="20"/>
              </w:rPr>
            </w:pPr>
            <w:r w:rsidRPr="00240923">
              <w:rPr>
                <w:bCs/>
                <w:color w:val="000000"/>
                <w:szCs w:val="20"/>
              </w:rPr>
              <w:t>Estimated extent of use</w:t>
            </w:r>
          </w:p>
        </w:tc>
      </w:tr>
      <w:tr w:rsidR="0062137A" w:rsidRPr="00240923" w14:paraId="28741030" w14:textId="77777777" w:rsidTr="0062137A">
        <w:trPr>
          <w:trHeight w:val="60"/>
        </w:trPr>
        <w:tc>
          <w:tcPr>
            <w:tcW w:w="1334" w:type="pct"/>
            <w:tcBorders>
              <w:bottom w:val="single" w:sz="4" w:space="0" w:color="auto"/>
            </w:tcBorders>
            <w:shd w:val="clear" w:color="auto" w:fill="auto"/>
          </w:tcPr>
          <w:p w14:paraId="53A9E164" w14:textId="77777777" w:rsidR="0062137A" w:rsidRPr="00240923" w:rsidRDefault="0062137A" w:rsidP="00385543">
            <w:pPr>
              <w:pStyle w:val="TableText0"/>
              <w:keepLines/>
              <w:rPr>
                <w:szCs w:val="20"/>
              </w:rPr>
            </w:pPr>
            <w:r w:rsidRPr="00240923">
              <w:rPr>
                <w:szCs w:val="20"/>
              </w:rPr>
              <w:t>UST IV</w:t>
            </w:r>
          </w:p>
        </w:tc>
        <w:tc>
          <w:tcPr>
            <w:tcW w:w="611" w:type="pct"/>
            <w:tcBorders>
              <w:top w:val="single" w:sz="4" w:space="0" w:color="auto"/>
              <w:bottom w:val="single" w:sz="4" w:space="0" w:color="auto"/>
            </w:tcBorders>
          </w:tcPr>
          <w:p w14:paraId="37388FA5" w14:textId="3B76CBE4"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893"/>
                <w14:textFill>
                  <w14:solidFill>
                    <w14:srgbClr w14:val="000000">
                      <w14:alpha w14:val="100000"/>
                    </w14:srgbClr>
                  </w14:solidFill>
                </w14:textFill>
              </w:rPr>
              <w:t xml:space="preserve">　</w:t>
            </w:r>
            <w:r w:rsidRPr="00091900">
              <w:rPr>
                <w:color w:val="000000"/>
                <w:w w:val="15"/>
                <w:shd w:val="solid" w:color="000000" w:fill="000000"/>
                <w:fitText w:val="45" w:id="-1167920893"/>
                <w14:textFill>
                  <w14:solidFill>
                    <w14:srgbClr w14:val="000000">
                      <w14:alpha w14:val="100000"/>
                    </w14:srgbClr>
                  </w14:solidFill>
                </w14:textFill>
              </w:rPr>
              <w:t>|</w:t>
            </w:r>
            <w:r w:rsidRPr="00091900">
              <w:rPr>
                <w:rFonts w:hint="eastAsia"/>
                <w:color w:val="000000"/>
                <w:spacing w:val="-30"/>
                <w:w w:val="15"/>
                <w:shd w:val="solid" w:color="000000" w:fill="000000"/>
                <w:fitText w:val="45" w:id="-1167920893"/>
                <w14:textFill>
                  <w14:solidFill>
                    <w14:srgbClr w14:val="000000">
                      <w14:alpha w14:val="100000"/>
                    </w14:srgbClr>
                  </w14:solidFill>
                </w14:textFill>
              </w:rPr>
              <w:t xml:space="preserve">　</w:t>
            </w:r>
            <w:r w:rsidR="009376B9">
              <w:rPr>
                <w:vertAlign w:val="superscript"/>
              </w:rPr>
              <w:t>2</w:t>
            </w:r>
          </w:p>
        </w:tc>
        <w:tc>
          <w:tcPr>
            <w:tcW w:w="611" w:type="pct"/>
            <w:tcBorders>
              <w:top w:val="single" w:sz="4" w:space="0" w:color="auto"/>
              <w:bottom w:val="single" w:sz="4" w:space="0" w:color="auto"/>
            </w:tcBorders>
          </w:tcPr>
          <w:p w14:paraId="0FEB9060" w14:textId="602CEB20"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892"/>
                <w14:textFill>
                  <w14:solidFill>
                    <w14:srgbClr w14:val="000000">
                      <w14:alpha w14:val="100000"/>
                    </w14:srgbClr>
                  </w14:solidFill>
                </w14:textFill>
              </w:rPr>
              <w:t xml:space="preserve">　</w:t>
            </w:r>
            <w:r w:rsidRPr="00091900">
              <w:rPr>
                <w:color w:val="000000"/>
                <w:w w:val="15"/>
                <w:shd w:val="solid" w:color="000000" w:fill="000000"/>
                <w:fitText w:val="45" w:id="-1167920892"/>
                <w14:textFill>
                  <w14:solidFill>
                    <w14:srgbClr w14:val="000000">
                      <w14:alpha w14:val="100000"/>
                    </w14:srgbClr>
                  </w14:solidFill>
                </w14:textFill>
              </w:rPr>
              <w:t>|</w:t>
            </w:r>
            <w:r w:rsidRPr="00091900">
              <w:rPr>
                <w:rFonts w:hint="eastAsia"/>
                <w:color w:val="000000"/>
                <w:spacing w:val="-30"/>
                <w:w w:val="15"/>
                <w:shd w:val="solid" w:color="000000" w:fill="000000"/>
                <w:fitText w:val="45" w:id="-1167920892"/>
                <w14:textFill>
                  <w14:solidFill>
                    <w14:srgbClr w14:val="000000">
                      <w14:alpha w14:val="100000"/>
                    </w14:srgbClr>
                  </w14:solidFill>
                </w14:textFill>
              </w:rPr>
              <w:t xml:space="preserve">　</w:t>
            </w:r>
            <w:r w:rsidR="009376B9">
              <w:rPr>
                <w:vertAlign w:val="superscript"/>
              </w:rPr>
              <w:t>2</w:t>
            </w:r>
          </w:p>
        </w:tc>
        <w:tc>
          <w:tcPr>
            <w:tcW w:w="611" w:type="pct"/>
            <w:tcBorders>
              <w:top w:val="single" w:sz="4" w:space="0" w:color="auto"/>
              <w:bottom w:val="single" w:sz="4" w:space="0" w:color="auto"/>
            </w:tcBorders>
          </w:tcPr>
          <w:p w14:paraId="5B0E67C6" w14:textId="34B92B78"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891"/>
                <w14:textFill>
                  <w14:solidFill>
                    <w14:srgbClr w14:val="000000">
                      <w14:alpha w14:val="100000"/>
                    </w14:srgbClr>
                  </w14:solidFill>
                </w14:textFill>
              </w:rPr>
              <w:t xml:space="preserve">　</w:t>
            </w:r>
            <w:r w:rsidRPr="00091900">
              <w:rPr>
                <w:color w:val="000000"/>
                <w:w w:val="15"/>
                <w:shd w:val="solid" w:color="000000" w:fill="000000"/>
                <w:fitText w:val="45" w:id="-1167920891"/>
                <w14:textFill>
                  <w14:solidFill>
                    <w14:srgbClr w14:val="000000">
                      <w14:alpha w14:val="100000"/>
                    </w14:srgbClr>
                  </w14:solidFill>
                </w14:textFill>
              </w:rPr>
              <w:t>|</w:t>
            </w:r>
            <w:r w:rsidRPr="00091900">
              <w:rPr>
                <w:rFonts w:hint="eastAsia"/>
                <w:color w:val="000000"/>
                <w:spacing w:val="-30"/>
                <w:w w:val="15"/>
                <w:shd w:val="solid" w:color="000000" w:fill="000000"/>
                <w:fitText w:val="45" w:id="-1167920891"/>
                <w14:textFill>
                  <w14:solidFill>
                    <w14:srgbClr w14:val="000000">
                      <w14:alpha w14:val="100000"/>
                    </w14:srgbClr>
                  </w14:solidFill>
                </w14:textFill>
              </w:rPr>
              <w:t xml:space="preserve">　</w:t>
            </w:r>
            <w:r w:rsidR="00604032" w:rsidRPr="00604032">
              <w:rPr>
                <w:vertAlign w:val="superscript"/>
              </w:rPr>
              <w:t>1</w:t>
            </w:r>
          </w:p>
        </w:tc>
        <w:tc>
          <w:tcPr>
            <w:tcW w:w="611" w:type="pct"/>
            <w:tcBorders>
              <w:top w:val="single" w:sz="4" w:space="0" w:color="auto"/>
              <w:bottom w:val="single" w:sz="4" w:space="0" w:color="auto"/>
            </w:tcBorders>
          </w:tcPr>
          <w:p w14:paraId="52AFF9E9" w14:textId="3B08FF34"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40"/>
                <w14:textFill>
                  <w14:solidFill>
                    <w14:srgbClr w14:val="000000">
                      <w14:alpha w14:val="100000"/>
                    </w14:srgbClr>
                  </w14:solidFill>
                </w14:textFill>
              </w:rPr>
              <w:t xml:space="preserve">　</w:t>
            </w:r>
            <w:r w:rsidRPr="00091900">
              <w:rPr>
                <w:color w:val="000000"/>
                <w:w w:val="15"/>
                <w:shd w:val="solid" w:color="000000" w:fill="000000"/>
                <w:fitText w:val="45" w:id="-1167920640"/>
                <w14:textFill>
                  <w14:solidFill>
                    <w14:srgbClr w14:val="000000">
                      <w14:alpha w14:val="100000"/>
                    </w14:srgbClr>
                  </w14:solidFill>
                </w14:textFill>
              </w:rPr>
              <w:t>|</w:t>
            </w:r>
            <w:r w:rsidRPr="00091900">
              <w:rPr>
                <w:rFonts w:hint="eastAsia"/>
                <w:color w:val="000000"/>
                <w:spacing w:val="-30"/>
                <w:w w:val="15"/>
                <w:shd w:val="solid" w:color="000000" w:fill="000000"/>
                <w:fitText w:val="45" w:id="-1167920640"/>
                <w14:textFill>
                  <w14:solidFill>
                    <w14:srgbClr w14:val="000000">
                      <w14:alpha w14:val="100000"/>
                    </w14:srgbClr>
                  </w14:solidFill>
                </w14:textFill>
              </w:rPr>
              <w:t xml:space="preserve">　</w:t>
            </w:r>
            <w:r w:rsidR="009376B9">
              <w:rPr>
                <w:vertAlign w:val="superscript"/>
              </w:rPr>
              <w:t>2</w:t>
            </w:r>
          </w:p>
        </w:tc>
        <w:tc>
          <w:tcPr>
            <w:tcW w:w="611" w:type="pct"/>
            <w:tcBorders>
              <w:top w:val="single" w:sz="4" w:space="0" w:color="auto"/>
              <w:bottom w:val="single" w:sz="4" w:space="0" w:color="auto"/>
            </w:tcBorders>
          </w:tcPr>
          <w:p w14:paraId="44133776" w14:textId="3EE6B9AA" w:rsidR="0062137A" w:rsidRPr="00604032" w:rsidRDefault="00091900" w:rsidP="00385543">
            <w:pPr>
              <w:pStyle w:val="TableText0"/>
              <w:keepLines/>
              <w:jc w:val="center"/>
              <w:rPr>
                <w:color w:val="000000"/>
                <w:szCs w:val="20"/>
                <w:highlight w:val="lightGray"/>
                <w:vertAlign w:val="superscript"/>
              </w:rPr>
            </w:pPr>
            <w:r w:rsidRPr="00091900">
              <w:rPr>
                <w:rFonts w:hint="eastAsia"/>
                <w:color w:val="000000"/>
                <w:w w:val="15"/>
                <w:shd w:val="solid" w:color="000000" w:fill="000000"/>
                <w:fitText w:val="45" w:id="-1167920639"/>
                <w14:textFill>
                  <w14:solidFill>
                    <w14:srgbClr w14:val="000000">
                      <w14:alpha w14:val="100000"/>
                    </w14:srgbClr>
                  </w14:solidFill>
                </w14:textFill>
              </w:rPr>
              <w:t xml:space="preserve">　</w:t>
            </w:r>
            <w:r w:rsidRPr="00091900">
              <w:rPr>
                <w:color w:val="000000"/>
                <w:w w:val="15"/>
                <w:shd w:val="solid" w:color="000000" w:fill="000000"/>
                <w:fitText w:val="45" w:id="-1167920639"/>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9"/>
                <w14:textFill>
                  <w14:solidFill>
                    <w14:srgbClr w14:val="000000">
                      <w14:alpha w14:val="100000"/>
                    </w14:srgbClr>
                  </w14:solidFill>
                </w14:textFill>
              </w:rPr>
              <w:t xml:space="preserve">　</w:t>
            </w:r>
            <w:r w:rsidR="00604032" w:rsidRPr="00604032">
              <w:rPr>
                <w:vertAlign w:val="superscript"/>
              </w:rPr>
              <w:t>1</w:t>
            </w:r>
          </w:p>
        </w:tc>
        <w:tc>
          <w:tcPr>
            <w:tcW w:w="611" w:type="pct"/>
            <w:tcBorders>
              <w:top w:val="single" w:sz="4" w:space="0" w:color="auto"/>
              <w:bottom w:val="single" w:sz="4" w:space="0" w:color="auto"/>
            </w:tcBorders>
          </w:tcPr>
          <w:p w14:paraId="30437F36" w14:textId="2E4CD54F"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38"/>
                <w14:textFill>
                  <w14:solidFill>
                    <w14:srgbClr w14:val="000000">
                      <w14:alpha w14:val="100000"/>
                    </w14:srgbClr>
                  </w14:solidFill>
                </w14:textFill>
              </w:rPr>
              <w:t xml:space="preserve">　</w:t>
            </w:r>
            <w:r w:rsidRPr="00091900">
              <w:rPr>
                <w:color w:val="000000"/>
                <w:w w:val="15"/>
                <w:shd w:val="solid" w:color="000000" w:fill="000000"/>
                <w:fitText w:val="45" w:id="-1167920638"/>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8"/>
                <w14:textFill>
                  <w14:solidFill>
                    <w14:srgbClr w14:val="000000">
                      <w14:alpha w14:val="100000"/>
                    </w14:srgbClr>
                  </w14:solidFill>
                </w14:textFill>
              </w:rPr>
              <w:t xml:space="preserve">　</w:t>
            </w:r>
            <w:r w:rsidR="009376B9">
              <w:rPr>
                <w:vertAlign w:val="superscript"/>
              </w:rPr>
              <w:t>2</w:t>
            </w:r>
          </w:p>
        </w:tc>
      </w:tr>
      <w:tr w:rsidR="0062137A" w:rsidRPr="00240923" w14:paraId="31E4CFF0" w14:textId="77777777" w:rsidTr="00091900">
        <w:tc>
          <w:tcPr>
            <w:tcW w:w="1334" w:type="pct"/>
            <w:tcBorders>
              <w:bottom w:val="single" w:sz="4" w:space="0" w:color="auto"/>
            </w:tcBorders>
            <w:shd w:val="clear" w:color="auto" w:fill="auto"/>
          </w:tcPr>
          <w:p w14:paraId="079DC58D" w14:textId="77777777" w:rsidR="0062137A" w:rsidRPr="00240923" w:rsidRDefault="0062137A" w:rsidP="00385543">
            <w:pPr>
              <w:pStyle w:val="TableText0"/>
              <w:keepLines/>
              <w:rPr>
                <w:rFonts w:ascii="Times" w:hAnsi="Times"/>
                <w:szCs w:val="20"/>
              </w:rPr>
            </w:pPr>
            <w:r w:rsidRPr="00240923">
              <w:rPr>
                <w:szCs w:val="20"/>
              </w:rPr>
              <w:t xml:space="preserve">UST SC </w:t>
            </w:r>
          </w:p>
        </w:tc>
        <w:tc>
          <w:tcPr>
            <w:tcW w:w="611" w:type="pct"/>
            <w:tcBorders>
              <w:top w:val="single" w:sz="4" w:space="0" w:color="auto"/>
              <w:bottom w:val="single" w:sz="4" w:space="0" w:color="auto"/>
            </w:tcBorders>
          </w:tcPr>
          <w:p w14:paraId="4AB069F8" w14:textId="55E35807"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37"/>
                <w14:textFill>
                  <w14:solidFill>
                    <w14:srgbClr w14:val="000000">
                      <w14:alpha w14:val="100000"/>
                    </w14:srgbClr>
                  </w14:solidFill>
                </w14:textFill>
              </w:rPr>
              <w:t xml:space="preserve">　</w:t>
            </w:r>
            <w:r w:rsidRPr="00091900">
              <w:rPr>
                <w:color w:val="000000"/>
                <w:w w:val="15"/>
                <w:shd w:val="solid" w:color="000000" w:fill="000000"/>
                <w:fitText w:val="45" w:id="-1167920637"/>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7"/>
                <w14:textFill>
                  <w14:solidFill>
                    <w14:srgbClr w14:val="000000">
                      <w14:alpha w14:val="100000"/>
                    </w14:srgbClr>
                  </w14:solidFill>
                </w14:textFill>
              </w:rPr>
              <w:t xml:space="preserve">　</w:t>
            </w:r>
            <w:r w:rsidR="009376B9">
              <w:rPr>
                <w:vertAlign w:val="superscript"/>
              </w:rPr>
              <w:t>2</w:t>
            </w:r>
          </w:p>
        </w:tc>
        <w:tc>
          <w:tcPr>
            <w:tcW w:w="611" w:type="pct"/>
            <w:tcBorders>
              <w:top w:val="single" w:sz="4" w:space="0" w:color="auto"/>
              <w:bottom w:val="single" w:sz="4" w:space="0" w:color="auto"/>
            </w:tcBorders>
          </w:tcPr>
          <w:p w14:paraId="6CDE2E53" w14:textId="45C53525"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36"/>
                <w14:textFill>
                  <w14:solidFill>
                    <w14:srgbClr w14:val="000000">
                      <w14:alpha w14:val="100000"/>
                    </w14:srgbClr>
                  </w14:solidFill>
                </w14:textFill>
              </w:rPr>
              <w:t xml:space="preserve">　</w:t>
            </w:r>
            <w:r w:rsidRPr="00091900">
              <w:rPr>
                <w:color w:val="000000"/>
                <w:w w:val="15"/>
                <w:shd w:val="solid" w:color="000000" w:fill="000000"/>
                <w:fitText w:val="45" w:id="-1167920636"/>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6"/>
                <w14:textFill>
                  <w14:solidFill>
                    <w14:srgbClr w14:val="000000">
                      <w14:alpha w14:val="100000"/>
                    </w14:srgbClr>
                  </w14:solidFill>
                </w14:textFill>
              </w:rPr>
              <w:t xml:space="preserve">　</w:t>
            </w:r>
            <w:r w:rsidR="009376B9">
              <w:rPr>
                <w:vertAlign w:val="superscript"/>
              </w:rPr>
              <w:t>2</w:t>
            </w:r>
          </w:p>
        </w:tc>
        <w:tc>
          <w:tcPr>
            <w:tcW w:w="611" w:type="pct"/>
            <w:tcBorders>
              <w:top w:val="single" w:sz="4" w:space="0" w:color="auto"/>
              <w:bottom w:val="single" w:sz="4" w:space="0" w:color="auto"/>
            </w:tcBorders>
          </w:tcPr>
          <w:p w14:paraId="22A42130" w14:textId="59C03776"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35"/>
                <w14:textFill>
                  <w14:solidFill>
                    <w14:srgbClr w14:val="000000">
                      <w14:alpha w14:val="100000"/>
                    </w14:srgbClr>
                  </w14:solidFill>
                </w14:textFill>
              </w:rPr>
              <w:t xml:space="preserve">　</w:t>
            </w:r>
            <w:r w:rsidRPr="00091900">
              <w:rPr>
                <w:color w:val="000000"/>
                <w:w w:val="15"/>
                <w:shd w:val="solid" w:color="000000" w:fill="000000"/>
                <w:fitText w:val="45" w:id="-1167920635"/>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5"/>
                <w14:textFill>
                  <w14:solidFill>
                    <w14:srgbClr w14:val="000000">
                      <w14:alpha w14:val="100000"/>
                    </w14:srgbClr>
                  </w14:solidFill>
                </w14:textFill>
              </w:rPr>
              <w:t xml:space="preserve">　</w:t>
            </w:r>
            <w:r w:rsidR="009376B9">
              <w:rPr>
                <w:vertAlign w:val="superscript"/>
              </w:rPr>
              <w:t>3</w:t>
            </w:r>
          </w:p>
        </w:tc>
        <w:tc>
          <w:tcPr>
            <w:tcW w:w="611" w:type="pct"/>
            <w:tcBorders>
              <w:top w:val="single" w:sz="4" w:space="0" w:color="auto"/>
              <w:bottom w:val="single" w:sz="4" w:space="0" w:color="auto"/>
            </w:tcBorders>
          </w:tcPr>
          <w:p w14:paraId="0D99EBCF" w14:textId="23B06BCE"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34"/>
                <w14:textFill>
                  <w14:solidFill>
                    <w14:srgbClr w14:val="000000">
                      <w14:alpha w14:val="100000"/>
                    </w14:srgbClr>
                  </w14:solidFill>
                </w14:textFill>
              </w:rPr>
              <w:t xml:space="preserve">　</w:t>
            </w:r>
            <w:r w:rsidRPr="00091900">
              <w:rPr>
                <w:color w:val="000000"/>
                <w:w w:val="15"/>
                <w:shd w:val="solid" w:color="000000" w:fill="000000"/>
                <w:fitText w:val="45" w:id="-1167920634"/>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4"/>
                <w14:textFill>
                  <w14:solidFill>
                    <w14:srgbClr w14:val="000000">
                      <w14:alpha w14:val="100000"/>
                    </w14:srgbClr>
                  </w14:solidFill>
                </w14:textFill>
              </w:rPr>
              <w:t xml:space="preserve">　</w:t>
            </w:r>
            <w:r w:rsidR="009376B9">
              <w:rPr>
                <w:vertAlign w:val="superscript"/>
              </w:rPr>
              <w:t>3</w:t>
            </w:r>
          </w:p>
        </w:tc>
        <w:tc>
          <w:tcPr>
            <w:tcW w:w="611" w:type="pct"/>
            <w:tcBorders>
              <w:top w:val="single" w:sz="4" w:space="0" w:color="auto"/>
              <w:bottom w:val="single" w:sz="4" w:space="0" w:color="auto"/>
            </w:tcBorders>
          </w:tcPr>
          <w:p w14:paraId="64F80E9B" w14:textId="2E1960F8"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33"/>
                <w14:textFill>
                  <w14:solidFill>
                    <w14:srgbClr w14:val="000000">
                      <w14:alpha w14:val="100000"/>
                    </w14:srgbClr>
                  </w14:solidFill>
                </w14:textFill>
              </w:rPr>
              <w:t xml:space="preserve">　</w:t>
            </w:r>
            <w:r w:rsidRPr="00091900">
              <w:rPr>
                <w:color w:val="000000"/>
                <w:w w:val="15"/>
                <w:shd w:val="solid" w:color="000000" w:fill="000000"/>
                <w:fitText w:val="45" w:id="-1167920633"/>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3"/>
                <w14:textFill>
                  <w14:solidFill>
                    <w14:srgbClr w14:val="000000">
                      <w14:alpha w14:val="100000"/>
                    </w14:srgbClr>
                  </w14:solidFill>
                </w14:textFill>
              </w:rPr>
              <w:t xml:space="preserve">　</w:t>
            </w:r>
            <w:r w:rsidR="009376B9">
              <w:rPr>
                <w:vertAlign w:val="superscript"/>
              </w:rPr>
              <w:t>3</w:t>
            </w:r>
          </w:p>
        </w:tc>
        <w:tc>
          <w:tcPr>
            <w:tcW w:w="611" w:type="pct"/>
            <w:tcBorders>
              <w:top w:val="single" w:sz="4" w:space="0" w:color="auto"/>
              <w:bottom w:val="single" w:sz="4" w:space="0" w:color="auto"/>
            </w:tcBorders>
          </w:tcPr>
          <w:p w14:paraId="1B55492C" w14:textId="49143B8F"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32"/>
                <w14:textFill>
                  <w14:solidFill>
                    <w14:srgbClr w14:val="000000">
                      <w14:alpha w14:val="100000"/>
                    </w14:srgbClr>
                  </w14:solidFill>
                </w14:textFill>
              </w:rPr>
              <w:t xml:space="preserve">　</w:t>
            </w:r>
            <w:r w:rsidRPr="00091900">
              <w:rPr>
                <w:color w:val="000000"/>
                <w:w w:val="15"/>
                <w:shd w:val="solid" w:color="000000" w:fill="000000"/>
                <w:fitText w:val="45" w:id="-1167920632"/>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2"/>
                <w14:textFill>
                  <w14:solidFill>
                    <w14:srgbClr w14:val="000000">
                      <w14:alpha w14:val="100000"/>
                    </w14:srgbClr>
                  </w14:solidFill>
                </w14:textFill>
              </w:rPr>
              <w:t xml:space="preserve">　</w:t>
            </w:r>
            <w:r w:rsidR="009376B9">
              <w:rPr>
                <w:vertAlign w:val="superscript"/>
              </w:rPr>
              <w:t>3</w:t>
            </w:r>
          </w:p>
        </w:tc>
      </w:tr>
      <w:tr w:rsidR="0062137A" w:rsidRPr="00240923" w14:paraId="7751261F" w14:textId="77777777" w:rsidTr="00091900">
        <w:tc>
          <w:tcPr>
            <w:tcW w:w="1334" w:type="pct"/>
            <w:shd w:val="clear" w:color="auto" w:fill="auto"/>
            <w:vAlign w:val="center"/>
          </w:tcPr>
          <w:p w14:paraId="3209F172" w14:textId="7D63D1AA" w:rsidR="0062137A" w:rsidRPr="00240923" w:rsidRDefault="0062137A" w:rsidP="00385543">
            <w:pPr>
              <w:pStyle w:val="TableText0"/>
              <w:keepLines/>
              <w:rPr>
                <w:rFonts w:ascii="Times" w:hAnsi="Times"/>
                <w:szCs w:val="20"/>
              </w:rPr>
            </w:pPr>
            <w:r w:rsidRPr="00240923">
              <w:rPr>
                <w:szCs w:val="20"/>
              </w:rPr>
              <w:t>Total UST scripts</w:t>
            </w:r>
          </w:p>
        </w:tc>
        <w:tc>
          <w:tcPr>
            <w:tcW w:w="611" w:type="pct"/>
            <w:tcBorders>
              <w:bottom w:val="nil"/>
            </w:tcBorders>
          </w:tcPr>
          <w:p w14:paraId="4280724A" w14:textId="76B51F04"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31"/>
                <w14:textFill>
                  <w14:solidFill>
                    <w14:srgbClr w14:val="000000">
                      <w14:alpha w14:val="100000"/>
                    </w14:srgbClr>
                  </w14:solidFill>
                </w14:textFill>
              </w:rPr>
              <w:t xml:space="preserve">　</w:t>
            </w:r>
            <w:r w:rsidRPr="00091900">
              <w:rPr>
                <w:color w:val="000000"/>
                <w:w w:val="15"/>
                <w:shd w:val="solid" w:color="000000" w:fill="000000"/>
                <w:fitText w:val="45" w:id="-1167920631"/>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1"/>
                <w14:textFill>
                  <w14:solidFill>
                    <w14:srgbClr w14:val="000000">
                      <w14:alpha w14:val="100000"/>
                    </w14:srgbClr>
                  </w14:solidFill>
                </w14:textFill>
              </w:rPr>
              <w:t xml:space="preserve">　</w:t>
            </w:r>
            <w:r w:rsidR="009376B9">
              <w:rPr>
                <w:vertAlign w:val="superscript"/>
              </w:rPr>
              <w:t>2</w:t>
            </w:r>
          </w:p>
        </w:tc>
        <w:tc>
          <w:tcPr>
            <w:tcW w:w="611" w:type="pct"/>
            <w:tcBorders>
              <w:bottom w:val="nil"/>
            </w:tcBorders>
          </w:tcPr>
          <w:p w14:paraId="54AD4C7C" w14:textId="52749DEF"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30"/>
                <w14:textFill>
                  <w14:solidFill>
                    <w14:srgbClr w14:val="000000">
                      <w14:alpha w14:val="100000"/>
                    </w14:srgbClr>
                  </w14:solidFill>
                </w14:textFill>
              </w:rPr>
              <w:t xml:space="preserve">　</w:t>
            </w:r>
            <w:r w:rsidRPr="00091900">
              <w:rPr>
                <w:color w:val="000000"/>
                <w:w w:val="15"/>
                <w:shd w:val="solid" w:color="000000" w:fill="000000"/>
                <w:fitText w:val="45" w:id="-1167920630"/>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0"/>
                <w14:textFill>
                  <w14:solidFill>
                    <w14:srgbClr w14:val="000000">
                      <w14:alpha w14:val="100000"/>
                    </w14:srgbClr>
                  </w14:solidFill>
                </w14:textFill>
              </w:rPr>
              <w:t xml:space="preserve">　</w:t>
            </w:r>
            <w:r w:rsidR="009376B9">
              <w:rPr>
                <w:vertAlign w:val="superscript"/>
              </w:rPr>
              <w:t>2</w:t>
            </w:r>
          </w:p>
        </w:tc>
        <w:tc>
          <w:tcPr>
            <w:tcW w:w="611" w:type="pct"/>
            <w:tcBorders>
              <w:bottom w:val="nil"/>
            </w:tcBorders>
          </w:tcPr>
          <w:p w14:paraId="175C1574" w14:textId="5F5CFDE4"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29"/>
                <w14:textFill>
                  <w14:solidFill>
                    <w14:srgbClr w14:val="000000">
                      <w14:alpha w14:val="100000"/>
                    </w14:srgbClr>
                  </w14:solidFill>
                </w14:textFill>
              </w:rPr>
              <w:t xml:space="preserve">　</w:t>
            </w:r>
            <w:r w:rsidRPr="00091900">
              <w:rPr>
                <w:color w:val="000000"/>
                <w:w w:val="15"/>
                <w:shd w:val="solid" w:color="000000" w:fill="000000"/>
                <w:fitText w:val="45" w:id="-1167920629"/>
                <w14:textFill>
                  <w14:solidFill>
                    <w14:srgbClr w14:val="000000">
                      <w14:alpha w14:val="100000"/>
                    </w14:srgbClr>
                  </w14:solidFill>
                </w14:textFill>
              </w:rPr>
              <w:t>|</w:t>
            </w:r>
            <w:r w:rsidRPr="00091900">
              <w:rPr>
                <w:rFonts w:hint="eastAsia"/>
                <w:color w:val="000000"/>
                <w:spacing w:val="-30"/>
                <w:w w:val="15"/>
                <w:shd w:val="solid" w:color="000000" w:fill="000000"/>
                <w:fitText w:val="45" w:id="-1167920629"/>
                <w14:textFill>
                  <w14:solidFill>
                    <w14:srgbClr w14:val="000000">
                      <w14:alpha w14:val="100000"/>
                    </w14:srgbClr>
                  </w14:solidFill>
                </w14:textFill>
              </w:rPr>
              <w:t xml:space="preserve">　</w:t>
            </w:r>
            <w:r w:rsidR="009376B9">
              <w:rPr>
                <w:vertAlign w:val="superscript"/>
              </w:rPr>
              <w:t>3</w:t>
            </w:r>
          </w:p>
        </w:tc>
        <w:tc>
          <w:tcPr>
            <w:tcW w:w="611" w:type="pct"/>
            <w:tcBorders>
              <w:bottom w:val="nil"/>
            </w:tcBorders>
          </w:tcPr>
          <w:p w14:paraId="42AFC5E7" w14:textId="2A373B48"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28"/>
                <w14:textFill>
                  <w14:solidFill>
                    <w14:srgbClr w14:val="000000">
                      <w14:alpha w14:val="100000"/>
                    </w14:srgbClr>
                  </w14:solidFill>
                </w14:textFill>
              </w:rPr>
              <w:t xml:space="preserve">　</w:t>
            </w:r>
            <w:r w:rsidRPr="00091900">
              <w:rPr>
                <w:color w:val="000000"/>
                <w:w w:val="15"/>
                <w:shd w:val="solid" w:color="000000" w:fill="000000"/>
                <w:fitText w:val="45" w:id="-1167920628"/>
                <w14:textFill>
                  <w14:solidFill>
                    <w14:srgbClr w14:val="000000">
                      <w14:alpha w14:val="100000"/>
                    </w14:srgbClr>
                  </w14:solidFill>
                </w14:textFill>
              </w:rPr>
              <w:t>|</w:t>
            </w:r>
            <w:r w:rsidRPr="00091900">
              <w:rPr>
                <w:rFonts w:hint="eastAsia"/>
                <w:color w:val="000000"/>
                <w:spacing w:val="-30"/>
                <w:w w:val="15"/>
                <w:shd w:val="solid" w:color="000000" w:fill="000000"/>
                <w:fitText w:val="45" w:id="-1167920628"/>
                <w14:textFill>
                  <w14:solidFill>
                    <w14:srgbClr w14:val="000000">
                      <w14:alpha w14:val="100000"/>
                    </w14:srgbClr>
                  </w14:solidFill>
                </w14:textFill>
              </w:rPr>
              <w:t xml:space="preserve">　</w:t>
            </w:r>
            <w:r w:rsidR="009376B9">
              <w:rPr>
                <w:vertAlign w:val="superscript"/>
              </w:rPr>
              <w:t>3</w:t>
            </w:r>
          </w:p>
        </w:tc>
        <w:tc>
          <w:tcPr>
            <w:tcW w:w="611" w:type="pct"/>
            <w:tcBorders>
              <w:bottom w:val="nil"/>
            </w:tcBorders>
            <w:shd w:val="solid" w:color="000000" w:fill="000000"/>
          </w:tcPr>
          <w:p w14:paraId="6C4802AF" w14:textId="59ED7729" w:rsidR="0062137A" w:rsidRPr="00604032" w:rsidRDefault="00091900" w:rsidP="00385543">
            <w:pPr>
              <w:pStyle w:val="TableText0"/>
              <w:keepLines/>
              <w:jc w:val="center"/>
              <w:rPr>
                <w:color w:val="000000"/>
                <w:szCs w:val="20"/>
                <w:highlight w:val="lightGray"/>
              </w:rPr>
            </w:pPr>
            <w:r w:rsidRPr="00522D5A">
              <w:rPr>
                <w:rFonts w:hint="eastAsia"/>
                <w:color w:val="000000"/>
                <w:w w:val="15"/>
                <w:fitText w:val="15" w:id="-1167920627"/>
                <w14:textFill>
                  <w14:solidFill>
                    <w14:srgbClr w14:val="000000">
                      <w14:alpha w14:val="100000"/>
                    </w14:srgbClr>
                  </w14:solidFill>
                </w14:textFill>
              </w:rPr>
              <w:t xml:space="preserve">　</w:t>
            </w:r>
            <w:r w:rsidRPr="00522D5A">
              <w:rPr>
                <w:color w:val="000000"/>
                <w:w w:val="15"/>
                <w:fitText w:val="15" w:id="-1167920627"/>
                <w14:textFill>
                  <w14:solidFill>
                    <w14:srgbClr w14:val="000000">
                      <w14:alpha w14:val="100000"/>
                    </w14:srgbClr>
                  </w14:solidFill>
                </w14:textFill>
              </w:rPr>
              <w:t>|</w:t>
            </w:r>
            <w:r w:rsidRPr="00522D5A">
              <w:rPr>
                <w:rFonts w:hint="eastAsia"/>
                <w:color w:val="000000"/>
                <w:spacing w:val="-50"/>
                <w:w w:val="15"/>
                <w:fitText w:val="15" w:id="-1167920627"/>
                <w14:textFill>
                  <w14:solidFill>
                    <w14:srgbClr w14:val="000000">
                      <w14:alpha w14:val="100000"/>
                    </w14:srgbClr>
                  </w14:solidFill>
                </w14:textFill>
              </w:rPr>
              <w:t xml:space="preserve">　</w:t>
            </w:r>
          </w:p>
        </w:tc>
        <w:tc>
          <w:tcPr>
            <w:tcW w:w="611" w:type="pct"/>
            <w:tcBorders>
              <w:bottom w:val="nil"/>
            </w:tcBorders>
          </w:tcPr>
          <w:p w14:paraId="219BF6A0" w14:textId="68D4D3F8" w:rsidR="0062137A"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26"/>
                <w14:textFill>
                  <w14:solidFill>
                    <w14:srgbClr w14:val="000000">
                      <w14:alpha w14:val="100000"/>
                    </w14:srgbClr>
                  </w14:solidFill>
                </w14:textFill>
              </w:rPr>
              <w:t xml:space="preserve">　</w:t>
            </w:r>
            <w:r w:rsidRPr="00091900">
              <w:rPr>
                <w:color w:val="000000"/>
                <w:w w:val="15"/>
                <w:shd w:val="solid" w:color="000000" w:fill="000000"/>
                <w:fitText w:val="45" w:id="-1167920626"/>
                <w14:textFill>
                  <w14:solidFill>
                    <w14:srgbClr w14:val="000000">
                      <w14:alpha w14:val="100000"/>
                    </w14:srgbClr>
                  </w14:solidFill>
                </w14:textFill>
              </w:rPr>
              <w:t>|</w:t>
            </w:r>
            <w:r w:rsidRPr="00091900">
              <w:rPr>
                <w:rFonts w:hint="eastAsia"/>
                <w:color w:val="000000"/>
                <w:spacing w:val="-30"/>
                <w:w w:val="15"/>
                <w:shd w:val="solid" w:color="000000" w:fill="000000"/>
                <w:fitText w:val="45" w:id="-1167920626"/>
                <w14:textFill>
                  <w14:solidFill>
                    <w14:srgbClr w14:val="000000">
                      <w14:alpha w14:val="100000"/>
                    </w14:srgbClr>
                  </w14:solidFill>
                </w14:textFill>
              </w:rPr>
              <w:t xml:space="preserve">　</w:t>
            </w:r>
            <w:r w:rsidR="009376B9">
              <w:rPr>
                <w:vertAlign w:val="superscript"/>
              </w:rPr>
              <w:t>3</w:t>
            </w:r>
          </w:p>
        </w:tc>
      </w:tr>
      <w:tr w:rsidR="005A523D" w:rsidRPr="00240923" w14:paraId="014BC816" w14:textId="77777777" w:rsidTr="00C67964">
        <w:tc>
          <w:tcPr>
            <w:tcW w:w="5000" w:type="pct"/>
            <w:gridSpan w:val="7"/>
            <w:shd w:val="clear" w:color="auto" w:fill="auto"/>
            <w:vAlign w:val="center"/>
          </w:tcPr>
          <w:p w14:paraId="7F3076D5" w14:textId="77777777" w:rsidR="005A523D" w:rsidRPr="00240923" w:rsidRDefault="005A523D" w:rsidP="00385543">
            <w:pPr>
              <w:pStyle w:val="In-tableHeading"/>
              <w:keepLines/>
              <w:rPr>
                <w:szCs w:val="20"/>
              </w:rPr>
            </w:pPr>
            <w:r w:rsidRPr="00240923">
              <w:rPr>
                <w:szCs w:val="20"/>
              </w:rPr>
              <w:t>Estimated financial implications of UST for fistulising CD</w:t>
            </w:r>
          </w:p>
        </w:tc>
      </w:tr>
      <w:tr w:rsidR="0062137A" w:rsidRPr="00240923" w14:paraId="06C4A786" w14:textId="77777777" w:rsidTr="0062137A">
        <w:tc>
          <w:tcPr>
            <w:tcW w:w="1334" w:type="pct"/>
            <w:shd w:val="clear" w:color="auto" w:fill="auto"/>
            <w:vAlign w:val="center"/>
          </w:tcPr>
          <w:p w14:paraId="5347AD76" w14:textId="77777777" w:rsidR="0062137A" w:rsidRPr="00240923" w:rsidRDefault="0062137A" w:rsidP="00385543">
            <w:pPr>
              <w:pStyle w:val="TableText0"/>
              <w:keepLines/>
              <w:rPr>
                <w:szCs w:val="20"/>
              </w:rPr>
            </w:pPr>
            <w:r w:rsidRPr="00240923">
              <w:rPr>
                <w:szCs w:val="20"/>
              </w:rPr>
              <w:t>Cost to PBS/RPBS less copay</w:t>
            </w:r>
          </w:p>
        </w:tc>
        <w:tc>
          <w:tcPr>
            <w:tcW w:w="611" w:type="pct"/>
            <w:tcBorders>
              <w:top w:val="nil"/>
            </w:tcBorders>
          </w:tcPr>
          <w:p w14:paraId="7FD66DEB" w14:textId="4F63598D" w:rsidR="0062137A" w:rsidRPr="00604032" w:rsidRDefault="00091900" w:rsidP="00385543">
            <w:pPr>
              <w:pStyle w:val="TableText0"/>
              <w:keepLines/>
              <w:jc w:val="center"/>
              <w:rPr>
                <w:szCs w:val="20"/>
                <w:highlight w:val="lightGray"/>
              </w:rPr>
            </w:pPr>
            <w:r w:rsidRPr="00091900">
              <w:t xml:space="preserve"> </w:t>
            </w:r>
            <w:r w:rsidRPr="00091900">
              <w:rPr>
                <w:rFonts w:hint="eastAsia"/>
                <w:color w:val="000000"/>
                <w:w w:val="20"/>
                <w:shd w:val="solid" w:color="000000" w:fill="000000"/>
                <w:fitText w:val="90" w:id="-1167920625"/>
                <w14:textFill>
                  <w14:solidFill>
                    <w14:srgbClr w14:val="000000">
                      <w14:alpha w14:val="100000"/>
                    </w14:srgbClr>
                  </w14:solidFill>
                </w14:textFill>
              </w:rPr>
              <w:t xml:space="preserve">　</w:t>
            </w:r>
            <w:r w:rsidRPr="00091900">
              <w:rPr>
                <w:color w:val="000000"/>
                <w:w w:val="20"/>
                <w:shd w:val="solid" w:color="000000" w:fill="000000"/>
                <w:fitText w:val="90" w:id="-1167920625"/>
                <w14:textFill>
                  <w14:solidFill>
                    <w14:srgbClr w14:val="000000">
                      <w14:alpha w14:val="100000"/>
                    </w14:srgbClr>
                  </w14:solidFill>
                </w14:textFill>
              </w:rPr>
              <w:t>|</w:t>
            </w:r>
            <w:r w:rsidRPr="00091900">
              <w:rPr>
                <w:rFonts w:hint="eastAsia"/>
                <w:color w:val="000000"/>
                <w:spacing w:val="2"/>
                <w:w w:val="20"/>
                <w:shd w:val="solid" w:color="000000" w:fill="000000"/>
                <w:fitText w:val="90" w:id="-1167920625"/>
                <w14:textFill>
                  <w14:solidFill>
                    <w14:srgbClr w14:val="000000">
                      <w14:alpha w14:val="100000"/>
                    </w14:srgbClr>
                  </w14:solidFill>
                </w14:textFill>
              </w:rPr>
              <w:t xml:space="preserve">　</w:t>
            </w:r>
            <w:r w:rsidRPr="00091900">
              <w:t xml:space="preserve"> </w:t>
            </w:r>
            <w:r w:rsidR="009376B9" w:rsidRPr="009376B9">
              <w:rPr>
                <w:vertAlign w:val="superscript"/>
              </w:rPr>
              <w:t>4</w:t>
            </w:r>
          </w:p>
        </w:tc>
        <w:tc>
          <w:tcPr>
            <w:tcW w:w="611" w:type="pct"/>
            <w:tcBorders>
              <w:top w:val="nil"/>
            </w:tcBorders>
          </w:tcPr>
          <w:p w14:paraId="6043C4CF" w14:textId="055C2E4F" w:rsidR="0062137A" w:rsidRPr="00604032" w:rsidRDefault="00091900" w:rsidP="00385543">
            <w:pPr>
              <w:pStyle w:val="TableText0"/>
              <w:keepLines/>
              <w:jc w:val="center"/>
              <w:rPr>
                <w:szCs w:val="20"/>
                <w:highlight w:val="lightGray"/>
              </w:rPr>
            </w:pPr>
            <w:r w:rsidRPr="00091900">
              <w:t xml:space="preserve"> </w:t>
            </w:r>
            <w:r w:rsidRPr="00091900">
              <w:rPr>
                <w:rFonts w:hint="eastAsia"/>
                <w:color w:val="000000"/>
                <w:w w:val="16"/>
                <w:shd w:val="solid" w:color="000000" w:fill="000000"/>
                <w:fitText w:val="75" w:id="-1167920624"/>
                <w14:textFill>
                  <w14:solidFill>
                    <w14:srgbClr w14:val="000000">
                      <w14:alpha w14:val="100000"/>
                    </w14:srgbClr>
                  </w14:solidFill>
                </w14:textFill>
              </w:rPr>
              <w:t xml:space="preserve">　</w:t>
            </w:r>
            <w:r w:rsidRPr="00091900">
              <w:rPr>
                <w:color w:val="000000"/>
                <w:w w:val="16"/>
                <w:shd w:val="solid" w:color="000000" w:fill="000000"/>
                <w:fitText w:val="75" w:id="-1167920624"/>
                <w14:textFill>
                  <w14:solidFill>
                    <w14:srgbClr w14:val="000000">
                      <w14:alpha w14:val="100000"/>
                    </w14:srgbClr>
                  </w14:solidFill>
                </w14:textFill>
              </w:rPr>
              <w:t>|</w:t>
            </w:r>
            <w:r w:rsidRPr="00091900">
              <w:rPr>
                <w:rFonts w:hint="eastAsia"/>
                <w:color w:val="000000"/>
                <w:spacing w:val="5"/>
                <w:w w:val="16"/>
                <w:shd w:val="solid" w:color="000000" w:fill="000000"/>
                <w:fitText w:val="75" w:id="-1167920624"/>
                <w14:textFill>
                  <w14:solidFill>
                    <w14:srgbClr w14:val="000000">
                      <w14:alpha w14:val="100000"/>
                    </w14:srgbClr>
                  </w14:solidFill>
                </w14:textFill>
              </w:rPr>
              <w:t xml:space="preserve">　</w:t>
            </w:r>
            <w:r w:rsidR="009376B9" w:rsidRPr="009376B9">
              <w:rPr>
                <w:vertAlign w:val="superscript"/>
              </w:rPr>
              <w:t>4</w:t>
            </w:r>
            <w:r w:rsidRPr="00091900">
              <w:t xml:space="preserve"> </w:t>
            </w:r>
          </w:p>
        </w:tc>
        <w:tc>
          <w:tcPr>
            <w:tcW w:w="611" w:type="pct"/>
            <w:tcBorders>
              <w:top w:val="nil"/>
            </w:tcBorders>
          </w:tcPr>
          <w:p w14:paraId="22E21D88" w14:textId="021BDA68" w:rsidR="0062137A" w:rsidRPr="00604032" w:rsidRDefault="00091900" w:rsidP="00385543">
            <w:pPr>
              <w:pStyle w:val="TableText0"/>
              <w:keepLines/>
              <w:jc w:val="center"/>
              <w:rPr>
                <w:szCs w:val="20"/>
                <w:highlight w:val="lightGray"/>
              </w:rPr>
            </w:pPr>
            <w:r w:rsidRPr="00091900">
              <w:t xml:space="preserve"> </w:t>
            </w:r>
            <w:r w:rsidRPr="00091900">
              <w:rPr>
                <w:rFonts w:hint="eastAsia"/>
                <w:color w:val="000000"/>
                <w:w w:val="20"/>
                <w:shd w:val="solid" w:color="000000" w:fill="000000"/>
                <w:fitText w:val="90" w:id="-1167920640"/>
                <w14:textFill>
                  <w14:solidFill>
                    <w14:srgbClr w14:val="000000">
                      <w14:alpha w14:val="100000"/>
                    </w14:srgbClr>
                  </w14:solidFill>
                </w14:textFill>
              </w:rPr>
              <w:t xml:space="preserve">　</w:t>
            </w:r>
            <w:r w:rsidRPr="00091900">
              <w:rPr>
                <w:color w:val="000000"/>
                <w:w w:val="20"/>
                <w:shd w:val="solid" w:color="000000" w:fill="000000"/>
                <w:fitText w:val="90" w:id="-1167920640"/>
                <w14:textFill>
                  <w14:solidFill>
                    <w14:srgbClr w14:val="000000">
                      <w14:alpha w14:val="100000"/>
                    </w14:srgbClr>
                  </w14:solidFill>
                </w14:textFill>
              </w:rPr>
              <w:t>|</w:t>
            </w:r>
            <w:r w:rsidRPr="00091900">
              <w:rPr>
                <w:rFonts w:hint="eastAsia"/>
                <w:color w:val="000000"/>
                <w:spacing w:val="2"/>
                <w:w w:val="20"/>
                <w:shd w:val="solid" w:color="000000" w:fill="000000"/>
                <w:fitText w:val="90" w:id="-1167920640"/>
                <w14:textFill>
                  <w14:solidFill>
                    <w14:srgbClr w14:val="000000">
                      <w14:alpha w14:val="100000"/>
                    </w14:srgbClr>
                  </w14:solidFill>
                </w14:textFill>
              </w:rPr>
              <w:t xml:space="preserve">　</w:t>
            </w:r>
            <w:r w:rsidRPr="00091900">
              <w:t xml:space="preserve"> </w:t>
            </w:r>
            <w:r w:rsidR="009376B9" w:rsidRPr="009376B9">
              <w:rPr>
                <w:vertAlign w:val="superscript"/>
              </w:rPr>
              <w:t>4</w:t>
            </w:r>
          </w:p>
        </w:tc>
        <w:tc>
          <w:tcPr>
            <w:tcW w:w="611" w:type="pct"/>
            <w:tcBorders>
              <w:top w:val="nil"/>
            </w:tcBorders>
          </w:tcPr>
          <w:p w14:paraId="5793A633" w14:textId="6AAF958B" w:rsidR="0062137A" w:rsidRPr="00604032" w:rsidRDefault="00091900" w:rsidP="00385543">
            <w:pPr>
              <w:pStyle w:val="TableText0"/>
              <w:keepLines/>
              <w:jc w:val="center"/>
              <w:rPr>
                <w:szCs w:val="20"/>
                <w:highlight w:val="lightGray"/>
              </w:rPr>
            </w:pPr>
            <w:r w:rsidRPr="00091900">
              <w:t xml:space="preserve"> </w:t>
            </w:r>
            <w:r w:rsidRPr="00091900">
              <w:rPr>
                <w:rFonts w:hint="eastAsia"/>
                <w:color w:val="000000"/>
                <w:w w:val="16"/>
                <w:shd w:val="solid" w:color="000000" w:fill="000000"/>
                <w:fitText w:val="75" w:id="-1167920639"/>
                <w14:textFill>
                  <w14:solidFill>
                    <w14:srgbClr w14:val="000000">
                      <w14:alpha w14:val="100000"/>
                    </w14:srgbClr>
                  </w14:solidFill>
                </w14:textFill>
              </w:rPr>
              <w:t xml:space="preserve">　</w:t>
            </w:r>
            <w:r w:rsidRPr="00091900">
              <w:rPr>
                <w:color w:val="000000"/>
                <w:w w:val="16"/>
                <w:shd w:val="solid" w:color="000000" w:fill="000000"/>
                <w:fitText w:val="75" w:id="-1167920639"/>
                <w14:textFill>
                  <w14:solidFill>
                    <w14:srgbClr w14:val="000000">
                      <w14:alpha w14:val="100000"/>
                    </w14:srgbClr>
                  </w14:solidFill>
                </w14:textFill>
              </w:rPr>
              <w:t>|</w:t>
            </w:r>
            <w:r w:rsidRPr="00091900">
              <w:rPr>
                <w:rFonts w:hint="eastAsia"/>
                <w:color w:val="000000"/>
                <w:spacing w:val="5"/>
                <w:w w:val="16"/>
                <w:shd w:val="solid" w:color="000000" w:fill="000000"/>
                <w:fitText w:val="75" w:id="-1167920639"/>
                <w14:textFill>
                  <w14:solidFill>
                    <w14:srgbClr w14:val="000000">
                      <w14:alpha w14:val="100000"/>
                    </w14:srgbClr>
                  </w14:solidFill>
                </w14:textFill>
              </w:rPr>
              <w:t xml:space="preserve">　</w:t>
            </w:r>
            <w:r w:rsidR="009376B9" w:rsidRPr="009376B9">
              <w:rPr>
                <w:vertAlign w:val="superscript"/>
              </w:rPr>
              <w:t>4</w:t>
            </w:r>
            <w:r w:rsidRPr="00091900">
              <w:t xml:space="preserve"> </w:t>
            </w:r>
          </w:p>
        </w:tc>
        <w:tc>
          <w:tcPr>
            <w:tcW w:w="611" w:type="pct"/>
            <w:tcBorders>
              <w:top w:val="nil"/>
            </w:tcBorders>
          </w:tcPr>
          <w:p w14:paraId="565BCA6B" w14:textId="68DF77E5" w:rsidR="0062137A" w:rsidRPr="00604032" w:rsidRDefault="00091900" w:rsidP="00385543">
            <w:pPr>
              <w:pStyle w:val="TableText0"/>
              <w:keepLines/>
              <w:jc w:val="center"/>
              <w:rPr>
                <w:szCs w:val="20"/>
                <w:highlight w:val="lightGray"/>
              </w:rPr>
            </w:pPr>
            <w:r w:rsidRPr="00091900">
              <w:t xml:space="preserve"> </w:t>
            </w:r>
            <w:r w:rsidRPr="00091900">
              <w:rPr>
                <w:rFonts w:hint="eastAsia"/>
                <w:color w:val="000000"/>
                <w:w w:val="16"/>
                <w:shd w:val="solid" w:color="000000" w:fill="000000"/>
                <w:fitText w:val="75" w:id="-1167920638"/>
                <w14:textFill>
                  <w14:solidFill>
                    <w14:srgbClr w14:val="000000">
                      <w14:alpha w14:val="100000"/>
                    </w14:srgbClr>
                  </w14:solidFill>
                </w14:textFill>
              </w:rPr>
              <w:t xml:space="preserve">　</w:t>
            </w:r>
            <w:r w:rsidRPr="00091900">
              <w:rPr>
                <w:color w:val="000000"/>
                <w:w w:val="16"/>
                <w:shd w:val="solid" w:color="000000" w:fill="000000"/>
                <w:fitText w:val="75" w:id="-1167920638"/>
                <w14:textFill>
                  <w14:solidFill>
                    <w14:srgbClr w14:val="000000">
                      <w14:alpha w14:val="100000"/>
                    </w14:srgbClr>
                  </w14:solidFill>
                </w14:textFill>
              </w:rPr>
              <w:t>|</w:t>
            </w:r>
            <w:r w:rsidRPr="00091900">
              <w:rPr>
                <w:rFonts w:hint="eastAsia"/>
                <w:color w:val="000000"/>
                <w:spacing w:val="5"/>
                <w:w w:val="16"/>
                <w:shd w:val="solid" w:color="000000" w:fill="000000"/>
                <w:fitText w:val="75" w:id="-1167920638"/>
                <w14:textFill>
                  <w14:solidFill>
                    <w14:srgbClr w14:val="000000">
                      <w14:alpha w14:val="100000"/>
                    </w14:srgbClr>
                  </w14:solidFill>
                </w14:textFill>
              </w:rPr>
              <w:t xml:space="preserve">　</w:t>
            </w:r>
            <w:r w:rsidR="009376B9">
              <w:rPr>
                <w:vertAlign w:val="superscript"/>
              </w:rPr>
              <w:t>5</w:t>
            </w:r>
            <w:r w:rsidRPr="00091900">
              <w:t xml:space="preserve"> </w:t>
            </w:r>
          </w:p>
        </w:tc>
        <w:tc>
          <w:tcPr>
            <w:tcW w:w="611" w:type="pct"/>
            <w:tcBorders>
              <w:top w:val="nil"/>
            </w:tcBorders>
          </w:tcPr>
          <w:p w14:paraId="1A71472F" w14:textId="01D38B23" w:rsidR="0062137A" w:rsidRPr="00604032" w:rsidRDefault="00091900" w:rsidP="00385543">
            <w:pPr>
              <w:pStyle w:val="TableText0"/>
              <w:keepLines/>
              <w:jc w:val="center"/>
              <w:rPr>
                <w:szCs w:val="20"/>
                <w:highlight w:val="lightGray"/>
              </w:rPr>
            </w:pPr>
            <w:r w:rsidRPr="00091900">
              <w:t xml:space="preserve"> </w:t>
            </w:r>
            <w:r w:rsidRPr="00091900">
              <w:rPr>
                <w:rFonts w:hint="eastAsia"/>
                <w:color w:val="000000"/>
                <w:w w:val="16"/>
                <w:shd w:val="solid" w:color="000000" w:fill="000000"/>
                <w:fitText w:val="75" w:id="-1167920637"/>
                <w14:textFill>
                  <w14:solidFill>
                    <w14:srgbClr w14:val="000000">
                      <w14:alpha w14:val="100000"/>
                    </w14:srgbClr>
                  </w14:solidFill>
                </w14:textFill>
              </w:rPr>
              <w:t xml:space="preserve">　</w:t>
            </w:r>
            <w:r w:rsidRPr="00091900">
              <w:rPr>
                <w:color w:val="000000"/>
                <w:w w:val="16"/>
                <w:shd w:val="solid" w:color="000000" w:fill="000000"/>
                <w:fitText w:val="75" w:id="-1167920637"/>
                <w14:textFill>
                  <w14:solidFill>
                    <w14:srgbClr w14:val="000000">
                      <w14:alpha w14:val="100000"/>
                    </w14:srgbClr>
                  </w14:solidFill>
                </w14:textFill>
              </w:rPr>
              <w:t>|</w:t>
            </w:r>
            <w:r w:rsidRPr="00091900">
              <w:rPr>
                <w:rFonts w:hint="eastAsia"/>
                <w:color w:val="000000"/>
                <w:spacing w:val="5"/>
                <w:w w:val="16"/>
                <w:shd w:val="solid" w:color="000000" w:fill="000000"/>
                <w:fitText w:val="75" w:id="-1167920637"/>
                <w14:textFill>
                  <w14:solidFill>
                    <w14:srgbClr w14:val="000000">
                      <w14:alpha w14:val="100000"/>
                    </w14:srgbClr>
                  </w14:solidFill>
                </w14:textFill>
              </w:rPr>
              <w:t xml:space="preserve">　</w:t>
            </w:r>
            <w:r w:rsidR="009376B9">
              <w:rPr>
                <w:vertAlign w:val="superscript"/>
              </w:rPr>
              <w:t>5</w:t>
            </w:r>
            <w:r w:rsidRPr="00091900">
              <w:t xml:space="preserve"> </w:t>
            </w:r>
          </w:p>
        </w:tc>
      </w:tr>
      <w:tr w:rsidR="005A523D" w:rsidRPr="00240923" w14:paraId="6EEA19D8" w14:textId="77777777" w:rsidTr="00C67964">
        <w:tc>
          <w:tcPr>
            <w:tcW w:w="5000" w:type="pct"/>
            <w:gridSpan w:val="7"/>
            <w:shd w:val="clear" w:color="auto" w:fill="auto"/>
            <w:vAlign w:val="center"/>
          </w:tcPr>
          <w:p w14:paraId="415B842A" w14:textId="77777777" w:rsidR="005A523D" w:rsidRPr="00240923" w:rsidRDefault="005A523D" w:rsidP="00385543">
            <w:pPr>
              <w:pStyle w:val="TableText0"/>
              <w:keepLines/>
              <w:rPr>
                <w:b/>
                <w:bCs w:val="0"/>
                <w:szCs w:val="20"/>
              </w:rPr>
            </w:pPr>
            <w:r w:rsidRPr="00240923">
              <w:rPr>
                <w:b/>
                <w:bCs w:val="0"/>
                <w:szCs w:val="20"/>
              </w:rPr>
              <w:t>Estimated financial implications for ADA, IFX</w:t>
            </w:r>
          </w:p>
        </w:tc>
      </w:tr>
      <w:tr w:rsidR="0062137A" w:rsidRPr="00240923" w14:paraId="68C39F46" w14:textId="77777777" w:rsidTr="00761972">
        <w:tc>
          <w:tcPr>
            <w:tcW w:w="1334" w:type="pct"/>
            <w:shd w:val="clear" w:color="auto" w:fill="auto"/>
            <w:vAlign w:val="center"/>
          </w:tcPr>
          <w:p w14:paraId="25EE6476" w14:textId="77777777" w:rsidR="0062137A" w:rsidRPr="00240923" w:rsidRDefault="0062137A" w:rsidP="00385543">
            <w:pPr>
              <w:pStyle w:val="TableText0"/>
              <w:keepLines/>
              <w:rPr>
                <w:szCs w:val="20"/>
              </w:rPr>
            </w:pPr>
            <w:r w:rsidRPr="00240923">
              <w:rPr>
                <w:szCs w:val="20"/>
              </w:rPr>
              <w:t>Cost to PBS/RPBS less copay</w:t>
            </w:r>
          </w:p>
        </w:tc>
        <w:tc>
          <w:tcPr>
            <w:tcW w:w="611" w:type="pct"/>
            <w:tcBorders>
              <w:top w:val="nil"/>
              <w:bottom w:val="single" w:sz="4" w:space="0" w:color="auto"/>
            </w:tcBorders>
          </w:tcPr>
          <w:p w14:paraId="4590D969" w14:textId="32CED862" w:rsidR="0062137A"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6"/>
                <w14:textFill>
                  <w14:solidFill>
                    <w14:srgbClr w14:val="000000">
                      <w14:alpha w14:val="100000"/>
                    </w14:srgbClr>
                  </w14:solidFill>
                </w14:textFill>
              </w:rPr>
              <w:t xml:space="preserve">　</w:t>
            </w:r>
            <w:r w:rsidRPr="00091900">
              <w:rPr>
                <w:color w:val="000000"/>
                <w:w w:val="15"/>
                <w:shd w:val="solid" w:color="000000" w:fill="000000"/>
                <w:fitText w:val="45" w:id="-1167920636"/>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6"/>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nil"/>
              <w:bottom w:val="single" w:sz="4" w:space="0" w:color="auto"/>
            </w:tcBorders>
          </w:tcPr>
          <w:p w14:paraId="60F1631D" w14:textId="06483BE8" w:rsidR="0062137A"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5"/>
                <w14:textFill>
                  <w14:solidFill>
                    <w14:srgbClr w14:val="000000">
                      <w14:alpha w14:val="100000"/>
                    </w14:srgbClr>
                  </w14:solidFill>
                </w14:textFill>
              </w:rPr>
              <w:t xml:space="preserve">　</w:t>
            </w:r>
            <w:r w:rsidRPr="00091900">
              <w:rPr>
                <w:color w:val="000000"/>
                <w:w w:val="15"/>
                <w:shd w:val="solid" w:color="000000" w:fill="000000"/>
                <w:fitText w:val="45" w:id="-1167920635"/>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5"/>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nil"/>
              <w:bottom w:val="single" w:sz="4" w:space="0" w:color="auto"/>
            </w:tcBorders>
          </w:tcPr>
          <w:p w14:paraId="277444CD" w14:textId="51EA9953" w:rsidR="0062137A"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34"/>
                <w14:textFill>
                  <w14:solidFill>
                    <w14:srgbClr w14:val="000000">
                      <w14:alpha w14:val="100000"/>
                    </w14:srgbClr>
                  </w14:solidFill>
                </w14:textFill>
              </w:rPr>
              <w:t xml:space="preserve">　</w:t>
            </w:r>
            <w:r w:rsidRPr="00091900">
              <w:rPr>
                <w:color w:val="000000"/>
                <w:w w:val="16"/>
                <w:shd w:val="solid" w:color="000000" w:fill="000000"/>
                <w:fitText w:val="75" w:id="-1167920634"/>
                <w14:textFill>
                  <w14:solidFill>
                    <w14:srgbClr w14:val="000000">
                      <w14:alpha w14:val="100000"/>
                    </w14:srgbClr>
                  </w14:solidFill>
                </w14:textFill>
              </w:rPr>
              <w:t>|</w:t>
            </w:r>
            <w:r w:rsidRPr="00091900">
              <w:rPr>
                <w:rFonts w:hint="eastAsia"/>
                <w:color w:val="000000"/>
                <w:spacing w:val="5"/>
                <w:w w:val="16"/>
                <w:shd w:val="solid" w:color="000000" w:fill="000000"/>
                <w:fitText w:val="75" w:id="-1167920634"/>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nil"/>
              <w:bottom w:val="single" w:sz="4" w:space="0" w:color="auto"/>
            </w:tcBorders>
          </w:tcPr>
          <w:p w14:paraId="32802A37" w14:textId="0CCF1CB7" w:rsidR="0062137A"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3"/>
                <w14:textFill>
                  <w14:solidFill>
                    <w14:srgbClr w14:val="000000">
                      <w14:alpha w14:val="100000"/>
                    </w14:srgbClr>
                  </w14:solidFill>
                </w14:textFill>
              </w:rPr>
              <w:t xml:space="preserve">　</w:t>
            </w:r>
            <w:r w:rsidRPr="00091900">
              <w:rPr>
                <w:color w:val="000000"/>
                <w:w w:val="15"/>
                <w:shd w:val="solid" w:color="000000" w:fill="000000"/>
                <w:fitText w:val="45" w:id="-1167920633"/>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3"/>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nil"/>
              <w:bottom w:val="single" w:sz="4" w:space="0" w:color="auto"/>
            </w:tcBorders>
          </w:tcPr>
          <w:p w14:paraId="79E04D3A" w14:textId="12A8B395" w:rsidR="0062137A"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32"/>
                <w14:textFill>
                  <w14:solidFill>
                    <w14:srgbClr w14:val="000000">
                      <w14:alpha w14:val="100000"/>
                    </w14:srgbClr>
                  </w14:solidFill>
                </w14:textFill>
              </w:rPr>
              <w:t xml:space="preserve">　</w:t>
            </w:r>
            <w:r w:rsidRPr="00091900">
              <w:rPr>
                <w:color w:val="000000"/>
                <w:w w:val="16"/>
                <w:shd w:val="solid" w:color="000000" w:fill="000000"/>
                <w:fitText w:val="75" w:id="-1167920632"/>
                <w14:textFill>
                  <w14:solidFill>
                    <w14:srgbClr w14:val="000000">
                      <w14:alpha w14:val="100000"/>
                    </w14:srgbClr>
                  </w14:solidFill>
                </w14:textFill>
              </w:rPr>
              <w:t>|</w:t>
            </w:r>
            <w:r w:rsidRPr="00091900">
              <w:rPr>
                <w:rFonts w:hint="eastAsia"/>
                <w:color w:val="000000"/>
                <w:spacing w:val="5"/>
                <w:w w:val="16"/>
                <w:shd w:val="solid" w:color="000000" w:fill="000000"/>
                <w:fitText w:val="75" w:id="-1167920632"/>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nil"/>
              <w:bottom w:val="single" w:sz="4" w:space="0" w:color="auto"/>
            </w:tcBorders>
          </w:tcPr>
          <w:p w14:paraId="2CFFB4B0" w14:textId="7702C2AD" w:rsidR="0062137A"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1"/>
                <w14:textFill>
                  <w14:solidFill>
                    <w14:srgbClr w14:val="000000">
                      <w14:alpha w14:val="100000"/>
                    </w14:srgbClr>
                  </w14:solidFill>
                </w14:textFill>
              </w:rPr>
              <w:t xml:space="preserve">　</w:t>
            </w:r>
            <w:r w:rsidRPr="00091900">
              <w:rPr>
                <w:color w:val="000000"/>
                <w:w w:val="15"/>
                <w:shd w:val="solid" w:color="000000" w:fill="000000"/>
                <w:fitText w:val="45" w:id="-1167920631"/>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1"/>
                <w14:textFill>
                  <w14:solidFill>
                    <w14:srgbClr w14:val="000000">
                      <w14:alpha w14:val="100000"/>
                    </w14:srgbClr>
                  </w14:solidFill>
                </w14:textFill>
              </w:rPr>
              <w:t xml:space="preserve">　</w:t>
            </w:r>
            <w:r w:rsidR="00495A60">
              <w:rPr>
                <w:vertAlign w:val="superscript"/>
              </w:rPr>
              <w:t>6</w:t>
            </w:r>
            <w:r w:rsidRPr="00091900">
              <w:t xml:space="preserve"> </w:t>
            </w:r>
          </w:p>
        </w:tc>
      </w:tr>
      <w:tr w:rsidR="00761972" w:rsidRPr="00240923" w14:paraId="38A4BA68" w14:textId="77777777" w:rsidTr="00761972">
        <w:trPr>
          <w:trHeight w:val="60"/>
        </w:trPr>
        <w:tc>
          <w:tcPr>
            <w:tcW w:w="1334" w:type="pct"/>
            <w:shd w:val="clear" w:color="auto" w:fill="auto"/>
            <w:vAlign w:val="center"/>
          </w:tcPr>
          <w:p w14:paraId="33C22A61" w14:textId="77777777" w:rsidR="00761972" w:rsidRPr="00240923" w:rsidRDefault="00761972" w:rsidP="00385543">
            <w:pPr>
              <w:pStyle w:val="TableText0"/>
              <w:keepLines/>
              <w:ind w:left="104"/>
              <w:rPr>
                <w:szCs w:val="20"/>
              </w:rPr>
            </w:pPr>
            <w:r w:rsidRPr="00240923">
              <w:rPr>
                <w:szCs w:val="20"/>
              </w:rPr>
              <w:t>ADA</w:t>
            </w:r>
          </w:p>
        </w:tc>
        <w:tc>
          <w:tcPr>
            <w:tcW w:w="611" w:type="pct"/>
            <w:tcBorders>
              <w:top w:val="single" w:sz="4" w:space="0" w:color="auto"/>
              <w:bottom w:val="single" w:sz="4" w:space="0" w:color="auto"/>
            </w:tcBorders>
          </w:tcPr>
          <w:p w14:paraId="3AE09EEF" w14:textId="159FD84A" w:rsidR="00761972" w:rsidRPr="00604032" w:rsidRDefault="00091900" w:rsidP="00385543">
            <w:pPr>
              <w:pStyle w:val="TableText0"/>
              <w:keepLines/>
              <w:jc w:val="center"/>
              <w:rPr>
                <w:color w:val="000000"/>
                <w:szCs w:val="20"/>
                <w:highlight w:val="lightGray"/>
              </w:rPr>
            </w:pPr>
            <w:r w:rsidRPr="00091900">
              <w:rPr>
                <w:rFonts w:hint="eastAsia"/>
                <w:color w:val="000000"/>
                <w:w w:val="16"/>
                <w:shd w:val="solid" w:color="000000" w:fill="000000"/>
                <w:fitText w:val="75" w:id="-1167920630"/>
                <w14:textFill>
                  <w14:solidFill>
                    <w14:srgbClr w14:val="000000">
                      <w14:alpha w14:val="100000"/>
                    </w14:srgbClr>
                  </w14:solidFill>
                </w14:textFill>
              </w:rPr>
              <w:t xml:space="preserve">　</w:t>
            </w:r>
            <w:r w:rsidRPr="00091900">
              <w:rPr>
                <w:color w:val="000000"/>
                <w:w w:val="16"/>
                <w:shd w:val="solid" w:color="000000" w:fill="000000"/>
                <w:fitText w:val="75" w:id="-1167920630"/>
                <w14:textFill>
                  <w14:solidFill>
                    <w14:srgbClr w14:val="000000">
                      <w14:alpha w14:val="100000"/>
                    </w14:srgbClr>
                  </w14:solidFill>
                </w14:textFill>
              </w:rPr>
              <w:t>|</w:t>
            </w:r>
            <w:r w:rsidRPr="00091900">
              <w:rPr>
                <w:rFonts w:hint="eastAsia"/>
                <w:color w:val="000000"/>
                <w:spacing w:val="5"/>
                <w:w w:val="16"/>
                <w:shd w:val="solid" w:color="000000" w:fill="000000"/>
                <w:fitText w:val="75" w:id="-1167920630"/>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single" w:sz="4" w:space="0" w:color="auto"/>
            </w:tcBorders>
          </w:tcPr>
          <w:p w14:paraId="563E0C8B" w14:textId="486664CD" w:rsidR="00761972" w:rsidRPr="00604032" w:rsidRDefault="00091900" w:rsidP="00385543">
            <w:pPr>
              <w:pStyle w:val="TableText0"/>
              <w:keepLines/>
              <w:jc w:val="center"/>
              <w:rPr>
                <w:color w:val="000000"/>
                <w:szCs w:val="20"/>
                <w:highlight w:val="lightGray"/>
              </w:rPr>
            </w:pPr>
            <w:r w:rsidRPr="00091900">
              <w:rPr>
                <w:rFonts w:hint="eastAsia"/>
                <w:color w:val="000000"/>
                <w:w w:val="16"/>
                <w:shd w:val="solid" w:color="000000" w:fill="000000"/>
                <w:fitText w:val="75" w:id="-1167920629"/>
                <w14:textFill>
                  <w14:solidFill>
                    <w14:srgbClr w14:val="000000">
                      <w14:alpha w14:val="100000"/>
                    </w14:srgbClr>
                  </w14:solidFill>
                </w14:textFill>
              </w:rPr>
              <w:t xml:space="preserve">　</w:t>
            </w:r>
            <w:r w:rsidRPr="00091900">
              <w:rPr>
                <w:color w:val="000000"/>
                <w:w w:val="16"/>
                <w:shd w:val="solid" w:color="000000" w:fill="000000"/>
                <w:fitText w:val="75" w:id="-1167920629"/>
                <w14:textFill>
                  <w14:solidFill>
                    <w14:srgbClr w14:val="000000">
                      <w14:alpha w14:val="100000"/>
                    </w14:srgbClr>
                  </w14:solidFill>
                </w14:textFill>
              </w:rPr>
              <w:t>|</w:t>
            </w:r>
            <w:r w:rsidRPr="00091900">
              <w:rPr>
                <w:rFonts w:hint="eastAsia"/>
                <w:color w:val="000000"/>
                <w:spacing w:val="5"/>
                <w:w w:val="16"/>
                <w:shd w:val="solid" w:color="000000" w:fill="000000"/>
                <w:fitText w:val="75" w:id="-1167920629"/>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single" w:sz="4" w:space="0" w:color="auto"/>
            </w:tcBorders>
          </w:tcPr>
          <w:p w14:paraId="2574028B" w14:textId="4E2B28BE" w:rsidR="00761972" w:rsidRPr="00604032" w:rsidRDefault="00091900" w:rsidP="00385543">
            <w:pPr>
              <w:pStyle w:val="TableText0"/>
              <w:keepLines/>
              <w:jc w:val="center"/>
              <w:rPr>
                <w:color w:val="000000"/>
                <w:szCs w:val="20"/>
                <w:highlight w:val="lightGray"/>
              </w:rPr>
            </w:pPr>
            <w:r w:rsidRPr="00091900">
              <w:rPr>
                <w:rFonts w:hint="eastAsia"/>
                <w:color w:val="000000"/>
                <w:w w:val="16"/>
                <w:shd w:val="solid" w:color="000000" w:fill="000000"/>
                <w:fitText w:val="75" w:id="-1167920628"/>
                <w14:textFill>
                  <w14:solidFill>
                    <w14:srgbClr w14:val="000000">
                      <w14:alpha w14:val="100000"/>
                    </w14:srgbClr>
                  </w14:solidFill>
                </w14:textFill>
              </w:rPr>
              <w:t xml:space="preserve">　</w:t>
            </w:r>
            <w:r w:rsidRPr="00091900">
              <w:rPr>
                <w:color w:val="000000"/>
                <w:w w:val="16"/>
                <w:shd w:val="solid" w:color="000000" w:fill="000000"/>
                <w:fitText w:val="75" w:id="-1167920628"/>
                <w14:textFill>
                  <w14:solidFill>
                    <w14:srgbClr w14:val="000000">
                      <w14:alpha w14:val="100000"/>
                    </w14:srgbClr>
                  </w14:solidFill>
                </w14:textFill>
              </w:rPr>
              <w:t>|</w:t>
            </w:r>
            <w:r w:rsidRPr="00091900">
              <w:rPr>
                <w:rFonts w:hint="eastAsia"/>
                <w:color w:val="000000"/>
                <w:spacing w:val="5"/>
                <w:w w:val="16"/>
                <w:shd w:val="solid" w:color="000000" w:fill="000000"/>
                <w:fitText w:val="75" w:id="-1167920628"/>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single" w:sz="4" w:space="0" w:color="auto"/>
            </w:tcBorders>
          </w:tcPr>
          <w:p w14:paraId="6E92645D" w14:textId="37DC80EB" w:rsidR="00761972" w:rsidRPr="00604032" w:rsidRDefault="00091900" w:rsidP="00385543">
            <w:pPr>
              <w:pStyle w:val="TableText0"/>
              <w:keepLines/>
              <w:jc w:val="center"/>
              <w:rPr>
                <w:color w:val="000000"/>
                <w:szCs w:val="20"/>
                <w:highlight w:val="lightGray"/>
              </w:rPr>
            </w:pPr>
            <w:r w:rsidRPr="00091900">
              <w:rPr>
                <w:rFonts w:hint="eastAsia"/>
                <w:color w:val="000000"/>
                <w:w w:val="16"/>
                <w:shd w:val="solid" w:color="000000" w:fill="000000"/>
                <w:fitText w:val="75" w:id="-1167920627"/>
                <w14:textFill>
                  <w14:solidFill>
                    <w14:srgbClr w14:val="000000">
                      <w14:alpha w14:val="100000"/>
                    </w14:srgbClr>
                  </w14:solidFill>
                </w14:textFill>
              </w:rPr>
              <w:t xml:space="preserve">　</w:t>
            </w:r>
            <w:r w:rsidRPr="00091900">
              <w:rPr>
                <w:color w:val="000000"/>
                <w:w w:val="16"/>
                <w:shd w:val="solid" w:color="000000" w:fill="000000"/>
                <w:fitText w:val="75" w:id="-1167920627"/>
                <w14:textFill>
                  <w14:solidFill>
                    <w14:srgbClr w14:val="000000">
                      <w14:alpha w14:val="100000"/>
                    </w14:srgbClr>
                  </w14:solidFill>
                </w14:textFill>
              </w:rPr>
              <w:t>|</w:t>
            </w:r>
            <w:r w:rsidRPr="00091900">
              <w:rPr>
                <w:rFonts w:hint="eastAsia"/>
                <w:color w:val="000000"/>
                <w:spacing w:val="5"/>
                <w:w w:val="16"/>
                <w:shd w:val="solid" w:color="000000" w:fill="000000"/>
                <w:fitText w:val="75" w:id="-1167920627"/>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single" w:sz="4" w:space="0" w:color="auto"/>
            </w:tcBorders>
          </w:tcPr>
          <w:p w14:paraId="012123C6" w14:textId="3A535AB0" w:rsidR="00761972"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26"/>
                <w14:textFill>
                  <w14:solidFill>
                    <w14:srgbClr w14:val="000000">
                      <w14:alpha w14:val="100000"/>
                    </w14:srgbClr>
                  </w14:solidFill>
                </w14:textFill>
              </w:rPr>
              <w:t xml:space="preserve">　</w:t>
            </w:r>
            <w:r w:rsidRPr="00091900">
              <w:rPr>
                <w:color w:val="000000"/>
                <w:w w:val="15"/>
                <w:shd w:val="solid" w:color="000000" w:fill="000000"/>
                <w:fitText w:val="45" w:id="-1167920626"/>
                <w14:textFill>
                  <w14:solidFill>
                    <w14:srgbClr w14:val="000000">
                      <w14:alpha w14:val="100000"/>
                    </w14:srgbClr>
                  </w14:solidFill>
                </w14:textFill>
              </w:rPr>
              <w:t>|</w:t>
            </w:r>
            <w:r w:rsidRPr="00091900">
              <w:rPr>
                <w:rFonts w:hint="eastAsia"/>
                <w:color w:val="000000"/>
                <w:spacing w:val="-30"/>
                <w:w w:val="15"/>
                <w:shd w:val="solid" w:color="000000" w:fill="000000"/>
                <w:fitText w:val="45" w:id="-1167920626"/>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single" w:sz="4" w:space="0" w:color="auto"/>
              <w:bottom w:val="single" w:sz="4" w:space="0" w:color="auto"/>
            </w:tcBorders>
          </w:tcPr>
          <w:p w14:paraId="6F660A44" w14:textId="1AAB24E2" w:rsidR="00761972"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25"/>
                <w14:textFill>
                  <w14:solidFill>
                    <w14:srgbClr w14:val="000000">
                      <w14:alpha w14:val="100000"/>
                    </w14:srgbClr>
                  </w14:solidFill>
                </w14:textFill>
              </w:rPr>
              <w:t xml:space="preserve">　</w:t>
            </w:r>
            <w:r w:rsidRPr="00091900">
              <w:rPr>
                <w:color w:val="000000"/>
                <w:w w:val="15"/>
                <w:shd w:val="solid" w:color="000000" w:fill="000000"/>
                <w:fitText w:val="45" w:id="-1167920625"/>
                <w14:textFill>
                  <w14:solidFill>
                    <w14:srgbClr w14:val="000000">
                      <w14:alpha w14:val="100000"/>
                    </w14:srgbClr>
                  </w14:solidFill>
                </w14:textFill>
              </w:rPr>
              <w:t>|</w:t>
            </w:r>
            <w:r w:rsidRPr="00091900">
              <w:rPr>
                <w:rFonts w:hint="eastAsia"/>
                <w:color w:val="000000"/>
                <w:spacing w:val="-30"/>
                <w:w w:val="15"/>
                <w:shd w:val="solid" w:color="000000" w:fill="000000"/>
                <w:fitText w:val="45" w:id="-1167920625"/>
                <w14:textFill>
                  <w14:solidFill>
                    <w14:srgbClr w14:val="000000">
                      <w14:alpha w14:val="100000"/>
                    </w14:srgbClr>
                  </w14:solidFill>
                </w14:textFill>
              </w:rPr>
              <w:t xml:space="preserve">　</w:t>
            </w:r>
            <w:r w:rsidR="00495A60">
              <w:rPr>
                <w:vertAlign w:val="superscript"/>
              </w:rPr>
              <w:t>6</w:t>
            </w:r>
            <w:r w:rsidRPr="00091900">
              <w:t xml:space="preserve"> </w:t>
            </w:r>
          </w:p>
        </w:tc>
      </w:tr>
      <w:tr w:rsidR="00761972" w:rsidRPr="00240923" w14:paraId="1313A69A" w14:textId="77777777" w:rsidTr="00761972">
        <w:tc>
          <w:tcPr>
            <w:tcW w:w="1334" w:type="pct"/>
            <w:shd w:val="clear" w:color="auto" w:fill="auto"/>
            <w:vAlign w:val="center"/>
          </w:tcPr>
          <w:p w14:paraId="228FF5C9" w14:textId="77777777" w:rsidR="00761972" w:rsidRPr="00240923" w:rsidRDefault="00761972" w:rsidP="00385543">
            <w:pPr>
              <w:pStyle w:val="TableText0"/>
              <w:keepLines/>
              <w:ind w:left="104"/>
              <w:rPr>
                <w:szCs w:val="20"/>
              </w:rPr>
            </w:pPr>
            <w:r w:rsidRPr="00240923">
              <w:rPr>
                <w:szCs w:val="20"/>
              </w:rPr>
              <w:t>IFX</w:t>
            </w:r>
          </w:p>
        </w:tc>
        <w:tc>
          <w:tcPr>
            <w:tcW w:w="611" w:type="pct"/>
            <w:tcBorders>
              <w:top w:val="single" w:sz="4" w:space="0" w:color="auto"/>
              <w:bottom w:val="nil"/>
            </w:tcBorders>
          </w:tcPr>
          <w:p w14:paraId="07D4D6DF" w14:textId="10389D53" w:rsidR="00761972" w:rsidRPr="00604032" w:rsidRDefault="00091900" w:rsidP="00385543">
            <w:pPr>
              <w:pStyle w:val="TableText0"/>
              <w:keepLines/>
              <w:jc w:val="center"/>
              <w:rPr>
                <w:color w:val="000000"/>
                <w:szCs w:val="20"/>
                <w:highlight w:val="lightGray"/>
              </w:rPr>
            </w:pPr>
            <w:r w:rsidRPr="00091900">
              <w:rPr>
                <w:rFonts w:hint="eastAsia"/>
                <w:color w:val="000000"/>
                <w:w w:val="16"/>
                <w:shd w:val="solid" w:color="000000" w:fill="000000"/>
                <w:fitText w:val="75" w:id="-1167920624"/>
                <w14:textFill>
                  <w14:solidFill>
                    <w14:srgbClr w14:val="000000">
                      <w14:alpha w14:val="100000"/>
                    </w14:srgbClr>
                  </w14:solidFill>
                </w14:textFill>
              </w:rPr>
              <w:t xml:space="preserve">　</w:t>
            </w:r>
            <w:r w:rsidRPr="00091900">
              <w:rPr>
                <w:color w:val="000000"/>
                <w:w w:val="16"/>
                <w:shd w:val="solid" w:color="000000" w:fill="000000"/>
                <w:fitText w:val="75" w:id="-1167920624"/>
                <w14:textFill>
                  <w14:solidFill>
                    <w14:srgbClr w14:val="000000">
                      <w14:alpha w14:val="100000"/>
                    </w14:srgbClr>
                  </w14:solidFill>
                </w14:textFill>
              </w:rPr>
              <w:t>|</w:t>
            </w:r>
            <w:r w:rsidRPr="00091900">
              <w:rPr>
                <w:rFonts w:hint="eastAsia"/>
                <w:color w:val="000000"/>
                <w:spacing w:val="5"/>
                <w:w w:val="16"/>
                <w:shd w:val="solid" w:color="000000" w:fill="000000"/>
                <w:fitText w:val="75" w:id="-1167920624"/>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nil"/>
            </w:tcBorders>
          </w:tcPr>
          <w:p w14:paraId="0B43DAFE" w14:textId="76D56A88" w:rsidR="00761972" w:rsidRPr="00604032" w:rsidRDefault="00091900" w:rsidP="00385543">
            <w:pPr>
              <w:pStyle w:val="TableText0"/>
              <w:keepLines/>
              <w:jc w:val="center"/>
              <w:rPr>
                <w:color w:val="000000"/>
                <w:szCs w:val="20"/>
                <w:highlight w:val="lightGray"/>
              </w:rPr>
            </w:pPr>
            <w:r w:rsidRPr="00091900">
              <w:rPr>
                <w:rFonts w:hint="eastAsia"/>
                <w:color w:val="000000"/>
                <w:w w:val="16"/>
                <w:shd w:val="solid" w:color="000000" w:fill="000000"/>
                <w:fitText w:val="75" w:id="-1167920640"/>
                <w14:textFill>
                  <w14:solidFill>
                    <w14:srgbClr w14:val="000000">
                      <w14:alpha w14:val="100000"/>
                    </w14:srgbClr>
                  </w14:solidFill>
                </w14:textFill>
              </w:rPr>
              <w:t xml:space="preserve">　</w:t>
            </w:r>
            <w:r w:rsidRPr="00091900">
              <w:rPr>
                <w:color w:val="000000"/>
                <w:w w:val="16"/>
                <w:shd w:val="solid" w:color="000000" w:fill="000000"/>
                <w:fitText w:val="75" w:id="-1167920640"/>
                <w14:textFill>
                  <w14:solidFill>
                    <w14:srgbClr w14:val="000000">
                      <w14:alpha w14:val="100000"/>
                    </w14:srgbClr>
                  </w14:solidFill>
                </w14:textFill>
              </w:rPr>
              <w:t>|</w:t>
            </w:r>
            <w:r w:rsidRPr="00091900">
              <w:rPr>
                <w:rFonts w:hint="eastAsia"/>
                <w:color w:val="000000"/>
                <w:spacing w:val="5"/>
                <w:w w:val="16"/>
                <w:shd w:val="solid" w:color="000000" w:fill="000000"/>
                <w:fitText w:val="75" w:id="-1167920640"/>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nil"/>
            </w:tcBorders>
          </w:tcPr>
          <w:p w14:paraId="4534FBAB" w14:textId="3434280E" w:rsidR="00761972" w:rsidRPr="00604032" w:rsidRDefault="00091900" w:rsidP="00385543">
            <w:pPr>
              <w:pStyle w:val="TableText0"/>
              <w:keepLines/>
              <w:jc w:val="center"/>
              <w:rPr>
                <w:color w:val="000000"/>
                <w:szCs w:val="20"/>
                <w:highlight w:val="lightGray"/>
              </w:rPr>
            </w:pPr>
            <w:r w:rsidRPr="00091900">
              <w:rPr>
                <w:rFonts w:hint="eastAsia"/>
                <w:color w:val="000000"/>
                <w:w w:val="15"/>
                <w:shd w:val="solid" w:color="000000" w:fill="000000"/>
                <w:fitText w:val="45" w:id="-1167920639"/>
                <w14:textFill>
                  <w14:solidFill>
                    <w14:srgbClr w14:val="000000">
                      <w14:alpha w14:val="100000"/>
                    </w14:srgbClr>
                  </w14:solidFill>
                </w14:textFill>
              </w:rPr>
              <w:t xml:space="preserve">　</w:t>
            </w:r>
            <w:r w:rsidRPr="00091900">
              <w:rPr>
                <w:color w:val="000000"/>
                <w:w w:val="15"/>
                <w:shd w:val="solid" w:color="000000" w:fill="000000"/>
                <w:fitText w:val="45" w:id="-1167920639"/>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9"/>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single" w:sz="4" w:space="0" w:color="auto"/>
              <w:bottom w:val="nil"/>
            </w:tcBorders>
          </w:tcPr>
          <w:p w14:paraId="1CA7AE35" w14:textId="00F3FAC3" w:rsidR="00761972" w:rsidRPr="00604032" w:rsidRDefault="00091900" w:rsidP="00385543">
            <w:pPr>
              <w:pStyle w:val="TableText0"/>
              <w:keepLines/>
              <w:jc w:val="center"/>
              <w:rPr>
                <w:color w:val="000000"/>
                <w:szCs w:val="20"/>
                <w:highlight w:val="lightGray"/>
              </w:rPr>
            </w:pPr>
            <w:r w:rsidRPr="00091900">
              <w:rPr>
                <w:rFonts w:hint="eastAsia"/>
                <w:color w:val="000000"/>
                <w:w w:val="16"/>
                <w:shd w:val="solid" w:color="000000" w:fill="000000"/>
                <w:fitText w:val="75" w:id="-1167920638"/>
                <w14:textFill>
                  <w14:solidFill>
                    <w14:srgbClr w14:val="000000">
                      <w14:alpha w14:val="100000"/>
                    </w14:srgbClr>
                  </w14:solidFill>
                </w14:textFill>
              </w:rPr>
              <w:t xml:space="preserve">　</w:t>
            </w:r>
            <w:r w:rsidRPr="00091900">
              <w:rPr>
                <w:color w:val="000000"/>
                <w:w w:val="16"/>
                <w:shd w:val="solid" w:color="000000" w:fill="000000"/>
                <w:fitText w:val="75" w:id="-1167920638"/>
                <w14:textFill>
                  <w14:solidFill>
                    <w14:srgbClr w14:val="000000">
                      <w14:alpha w14:val="100000"/>
                    </w14:srgbClr>
                  </w14:solidFill>
                </w14:textFill>
              </w:rPr>
              <w:t>|</w:t>
            </w:r>
            <w:r w:rsidRPr="00091900">
              <w:rPr>
                <w:rFonts w:hint="eastAsia"/>
                <w:color w:val="000000"/>
                <w:spacing w:val="5"/>
                <w:w w:val="16"/>
                <w:shd w:val="solid" w:color="000000" w:fill="000000"/>
                <w:fitText w:val="75" w:id="-1167920638"/>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nil"/>
            </w:tcBorders>
          </w:tcPr>
          <w:p w14:paraId="67D2EDFC" w14:textId="4E2DBD62" w:rsidR="00761972" w:rsidRPr="00604032" w:rsidRDefault="00091900" w:rsidP="00385543">
            <w:pPr>
              <w:pStyle w:val="TableText0"/>
              <w:keepLines/>
              <w:jc w:val="center"/>
              <w:rPr>
                <w:color w:val="000000"/>
                <w:szCs w:val="20"/>
                <w:highlight w:val="lightGray"/>
              </w:rPr>
            </w:pPr>
            <w:r w:rsidRPr="00091900">
              <w:rPr>
                <w:rFonts w:hint="eastAsia"/>
                <w:color w:val="000000"/>
                <w:w w:val="16"/>
                <w:shd w:val="solid" w:color="000000" w:fill="000000"/>
                <w:fitText w:val="75" w:id="-1167920637"/>
                <w14:textFill>
                  <w14:solidFill>
                    <w14:srgbClr w14:val="000000">
                      <w14:alpha w14:val="100000"/>
                    </w14:srgbClr>
                  </w14:solidFill>
                </w14:textFill>
              </w:rPr>
              <w:t xml:space="preserve">　</w:t>
            </w:r>
            <w:r w:rsidRPr="00091900">
              <w:rPr>
                <w:color w:val="000000"/>
                <w:w w:val="16"/>
                <w:shd w:val="solid" w:color="000000" w:fill="000000"/>
                <w:fitText w:val="75" w:id="-1167920637"/>
                <w14:textFill>
                  <w14:solidFill>
                    <w14:srgbClr w14:val="000000">
                      <w14:alpha w14:val="100000"/>
                    </w14:srgbClr>
                  </w14:solidFill>
                </w14:textFill>
              </w:rPr>
              <w:t>|</w:t>
            </w:r>
            <w:r w:rsidRPr="00091900">
              <w:rPr>
                <w:rFonts w:hint="eastAsia"/>
                <w:color w:val="000000"/>
                <w:spacing w:val="5"/>
                <w:w w:val="16"/>
                <w:shd w:val="solid" w:color="000000" w:fill="000000"/>
                <w:fitText w:val="75" w:id="-1167920637"/>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nil"/>
            </w:tcBorders>
          </w:tcPr>
          <w:p w14:paraId="2200C85F" w14:textId="02B7631F" w:rsidR="00761972" w:rsidRPr="00604032" w:rsidRDefault="00091900" w:rsidP="00385543">
            <w:pPr>
              <w:pStyle w:val="TableText0"/>
              <w:keepLines/>
              <w:jc w:val="center"/>
              <w:rPr>
                <w:color w:val="000000"/>
                <w:szCs w:val="20"/>
                <w:highlight w:val="lightGray"/>
              </w:rPr>
            </w:pPr>
            <w:r w:rsidRPr="00091900">
              <w:rPr>
                <w:rFonts w:hint="eastAsia"/>
                <w:color w:val="000000"/>
                <w:w w:val="16"/>
                <w:shd w:val="solid" w:color="000000" w:fill="000000"/>
                <w:fitText w:val="75" w:id="-1167920636"/>
                <w14:textFill>
                  <w14:solidFill>
                    <w14:srgbClr w14:val="000000">
                      <w14:alpha w14:val="100000"/>
                    </w14:srgbClr>
                  </w14:solidFill>
                </w14:textFill>
              </w:rPr>
              <w:t xml:space="preserve">　</w:t>
            </w:r>
            <w:r w:rsidRPr="00091900">
              <w:rPr>
                <w:color w:val="000000"/>
                <w:w w:val="16"/>
                <w:shd w:val="solid" w:color="000000" w:fill="000000"/>
                <w:fitText w:val="75" w:id="-1167920636"/>
                <w14:textFill>
                  <w14:solidFill>
                    <w14:srgbClr w14:val="000000">
                      <w14:alpha w14:val="100000"/>
                    </w14:srgbClr>
                  </w14:solidFill>
                </w14:textFill>
              </w:rPr>
              <w:t>|</w:t>
            </w:r>
            <w:r w:rsidRPr="00091900">
              <w:rPr>
                <w:rFonts w:hint="eastAsia"/>
                <w:color w:val="000000"/>
                <w:spacing w:val="5"/>
                <w:w w:val="16"/>
                <w:shd w:val="solid" w:color="000000" w:fill="000000"/>
                <w:fitText w:val="75" w:id="-1167920636"/>
                <w14:textFill>
                  <w14:solidFill>
                    <w14:srgbClr w14:val="000000">
                      <w14:alpha w14:val="100000"/>
                    </w14:srgbClr>
                  </w14:solidFill>
                </w14:textFill>
              </w:rPr>
              <w:t xml:space="preserve">　</w:t>
            </w:r>
            <w:r w:rsidRPr="00091900">
              <w:t xml:space="preserve"> </w:t>
            </w:r>
            <w:r w:rsidR="00495A60">
              <w:rPr>
                <w:vertAlign w:val="superscript"/>
              </w:rPr>
              <w:t>6</w:t>
            </w:r>
          </w:p>
        </w:tc>
      </w:tr>
      <w:tr w:rsidR="005A523D" w:rsidRPr="00240923" w14:paraId="1DD25433" w14:textId="77777777" w:rsidTr="00C67964">
        <w:tc>
          <w:tcPr>
            <w:tcW w:w="5000" w:type="pct"/>
            <w:gridSpan w:val="7"/>
            <w:shd w:val="clear" w:color="auto" w:fill="auto"/>
            <w:vAlign w:val="center"/>
          </w:tcPr>
          <w:p w14:paraId="73EB1D5C" w14:textId="77777777" w:rsidR="005A523D" w:rsidRPr="00240923" w:rsidRDefault="005A523D" w:rsidP="00385543">
            <w:pPr>
              <w:pStyle w:val="In-tableHeading"/>
              <w:keepLines/>
              <w:rPr>
                <w:szCs w:val="20"/>
              </w:rPr>
            </w:pPr>
            <w:r w:rsidRPr="00240923">
              <w:rPr>
                <w:szCs w:val="20"/>
              </w:rPr>
              <w:t>Net financial implications</w:t>
            </w:r>
          </w:p>
        </w:tc>
      </w:tr>
      <w:tr w:rsidR="00761972" w:rsidRPr="00240923" w14:paraId="3E4694E1" w14:textId="77777777" w:rsidTr="00761972">
        <w:tc>
          <w:tcPr>
            <w:tcW w:w="1334" w:type="pct"/>
            <w:shd w:val="clear" w:color="auto" w:fill="auto"/>
            <w:vAlign w:val="center"/>
          </w:tcPr>
          <w:p w14:paraId="28F4F315" w14:textId="77777777" w:rsidR="00761972" w:rsidRPr="00240923" w:rsidRDefault="00761972" w:rsidP="00385543">
            <w:pPr>
              <w:pStyle w:val="TableText0"/>
              <w:keepLines/>
              <w:rPr>
                <w:szCs w:val="20"/>
              </w:rPr>
            </w:pPr>
            <w:r w:rsidRPr="00240923">
              <w:rPr>
                <w:szCs w:val="20"/>
              </w:rPr>
              <w:t>Net cost to PBS/RPBS</w:t>
            </w:r>
          </w:p>
        </w:tc>
        <w:tc>
          <w:tcPr>
            <w:tcW w:w="611" w:type="pct"/>
            <w:tcBorders>
              <w:top w:val="nil"/>
              <w:bottom w:val="nil"/>
            </w:tcBorders>
          </w:tcPr>
          <w:p w14:paraId="581E3C34" w14:textId="3217237F" w:rsidR="00761972"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35"/>
                <w14:textFill>
                  <w14:solidFill>
                    <w14:srgbClr w14:val="000000">
                      <w14:alpha w14:val="100000"/>
                    </w14:srgbClr>
                  </w14:solidFill>
                </w14:textFill>
              </w:rPr>
              <w:t xml:space="preserve">　</w:t>
            </w:r>
            <w:r w:rsidRPr="00091900">
              <w:rPr>
                <w:color w:val="000000"/>
                <w:w w:val="16"/>
                <w:shd w:val="solid" w:color="000000" w:fill="000000"/>
                <w:fitText w:val="75" w:id="-1167920635"/>
                <w14:textFill>
                  <w14:solidFill>
                    <w14:srgbClr w14:val="000000">
                      <w14:alpha w14:val="100000"/>
                    </w14:srgbClr>
                  </w14:solidFill>
                </w14:textFill>
              </w:rPr>
              <w:t>|</w:t>
            </w:r>
            <w:r w:rsidRPr="00091900">
              <w:rPr>
                <w:rFonts w:hint="eastAsia"/>
                <w:color w:val="000000"/>
                <w:spacing w:val="5"/>
                <w:w w:val="16"/>
                <w:shd w:val="solid" w:color="000000" w:fill="000000"/>
                <w:fitText w:val="75" w:id="-1167920635"/>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nil"/>
              <w:bottom w:val="nil"/>
            </w:tcBorders>
          </w:tcPr>
          <w:p w14:paraId="1AF86CFC" w14:textId="3D927234" w:rsidR="00761972"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4"/>
                <w14:textFill>
                  <w14:solidFill>
                    <w14:srgbClr w14:val="000000">
                      <w14:alpha w14:val="100000"/>
                    </w14:srgbClr>
                  </w14:solidFill>
                </w14:textFill>
              </w:rPr>
              <w:t xml:space="preserve">　</w:t>
            </w:r>
            <w:r w:rsidRPr="00091900">
              <w:rPr>
                <w:color w:val="000000"/>
                <w:w w:val="15"/>
                <w:shd w:val="solid" w:color="000000" w:fill="000000"/>
                <w:fitText w:val="45" w:id="-1167920634"/>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4"/>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nil"/>
              <w:bottom w:val="nil"/>
            </w:tcBorders>
          </w:tcPr>
          <w:p w14:paraId="4779CE12" w14:textId="608FAAD3" w:rsidR="00761972"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3"/>
                <w14:textFill>
                  <w14:solidFill>
                    <w14:srgbClr w14:val="000000">
                      <w14:alpha w14:val="100000"/>
                    </w14:srgbClr>
                  </w14:solidFill>
                </w14:textFill>
              </w:rPr>
              <w:t xml:space="preserve">　</w:t>
            </w:r>
            <w:r w:rsidRPr="00091900">
              <w:rPr>
                <w:color w:val="000000"/>
                <w:w w:val="15"/>
                <w:shd w:val="solid" w:color="000000" w:fill="000000"/>
                <w:fitText w:val="45" w:id="-1167920633"/>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3"/>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nil"/>
              <w:bottom w:val="nil"/>
            </w:tcBorders>
          </w:tcPr>
          <w:p w14:paraId="26E3702B" w14:textId="72427DF1" w:rsidR="00761972"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32"/>
                <w14:textFill>
                  <w14:solidFill>
                    <w14:srgbClr w14:val="000000">
                      <w14:alpha w14:val="100000"/>
                    </w14:srgbClr>
                  </w14:solidFill>
                </w14:textFill>
              </w:rPr>
              <w:t xml:space="preserve">　</w:t>
            </w:r>
            <w:r w:rsidRPr="00091900">
              <w:rPr>
                <w:color w:val="000000"/>
                <w:w w:val="16"/>
                <w:shd w:val="solid" w:color="000000" w:fill="000000"/>
                <w:fitText w:val="75" w:id="-1167920632"/>
                <w14:textFill>
                  <w14:solidFill>
                    <w14:srgbClr w14:val="000000">
                      <w14:alpha w14:val="100000"/>
                    </w14:srgbClr>
                  </w14:solidFill>
                </w14:textFill>
              </w:rPr>
              <w:t>|</w:t>
            </w:r>
            <w:r w:rsidRPr="00091900">
              <w:rPr>
                <w:rFonts w:hint="eastAsia"/>
                <w:color w:val="000000"/>
                <w:spacing w:val="5"/>
                <w:w w:val="16"/>
                <w:shd w:val="solid" w:color="000000" w:fill="000000"/>
                <w:fitText w:val="75" w:id="-1167920632"/>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nil"/>
              <w:bottom w:val="nil"/>
            </w:tcBorders>
          </w:tcPr>
          <w:p w14:paraId="7E52DD1C" w14:textId="5744DD4B" w:rsidR="00761972"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1"/>
                <w14:textFill>
                  <w14:solidFill>
                    <w14:srgbClr w14:val="000000">
                      <w14:alpha w14:val="100000"/>
                    </w14:srgbClr>
                  </w14:solidFill>
                </w14:textFill>
              </w:rPr>
              <w:t xml:space="preserve">　</w:t>
            </w:r>
            <w:r w:rsidRPr="00091900">
              <w:rPr>
                <w:color w:val="000000"/>
                <w:w w:val="15"/>
                <w:shd w:val="solid" w:color="000000" w:fill="000000"/>
                <w:fitText w:val="45" w:id="-1167920631"/>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1"/>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nil"/>
              <w:bottom w:val="nil"/>
            </w:tcBorders>
          </w:tcPr>
          <w:p w14:paraId="4BF983EA" w14:textId="5AEDB942" w:rsidR="00761972"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30"/>
                <w14:textFill>
                  <w14:solidFill>
                    <w14:srgbClr w14:val="000000">
                      <w14:alpha w14:val="100000"/>
                    </w14:srgbClr>
                  </w14:solidFill>
                </w14:textFill>
              </w:rPr>
              <w:t xml:space="preserve">　</w:t>
            </w:r>
            <w:r w:rsidRPr="00091900">
              <w:rPr>
                <w:color w:val="000000"/>
                <w:w w:val="16"/>
                <w:shd w:val="solid" w:color="000000" w:fill="000000"/>
                <w:fitText w:val="75" w:id="-1167920630"/>
                <w14:textFill>
                  <w14:solidFill>
                    <w14:srgbClr w14:val="000000">
                      <w14:alpha w14:val="100000"/>
                    </w14:srgbClr>
                  </w14:solidFill>
                </w14:textFill>
              </w:rPr>
              <w:t>|</w:t>
            </w:r>
            <w:r w:rsidRPr="00091900">
              <w:rPr>
                <w:rFonts w:hint="eastAsia"/>
                <w:color w:val="000000"/>
                <w:spacing w:val="5"/>
                <w:w w:val="16"/>
                <w:shd w:val="solid" w:color="000000" w:fill="000000"/>
                <w:fitText w:val="75" w:id="-1167920630"/>
                <w14:textFill>
                  <w14:solidFill>
                    <w14:srgbClr w14:val="000000">
                      <w14:alpha w14:val="100000"/>
                    </w14:srgbClr>
                  </w14:solidFill>
                </w14:textFill>
              </w:rPr>
              <w:t xml:space="preserve">　</w:t>
            </w:r>
            <w:r w:rsidRPr="00091900">
              <w:t xml:space="preserve"> </w:t>
            </w:r>
            <w:r w:rsidR="00495A60">
              <w:rPr>
                <w:vertAlign w:val="superscript"/>
              </w:rPr>
              <w:t>6</w:t>
            </w:r>
          </w:p>
        </w:tc>
      </w:tr>
      <w:tr w:rsidR="00761972" w:rsidRPr="00240923" w14:paraId="2D91666B" w14:textId="77777777" w:rsidTr="00761972">
        <w:tc>
          <w:tcPr>
            <w:tcW w:w="1334" w:type="pct"/>
            <w:shd w:val="clear" w:color="auto" w:fill="auto"/>
            <w:vAlign w:val="center"/>
          </w:tcPr>
          <w:p w14:paraId="34CA52A8" w14:textId="796F5DAA" w:rsidR="00761972" w:rsidRPr="00240923" w:rsidRDefault="00761972" w:rsidP="00385543">
            <w:pPr>
              <w:pStyle w:val="TableText0"/>
              <w:keepLines/>
              <w:rPr>
                <w:rFonts w:ascii="Times" w:hAnsi="Times"/>
                <w:szCs w:val="20"/>
              </w:rPr>
            </w:pPr>
            <w:r w:rsidRPr="00240923">
              <w:rPr>
                <w:szCs w:val="20"/>
              </w:rPr>
              <w:t>Net cost to MBS</w:t>
            </w:r>
          </w:p>
        </w:tc>
        <w:tc>
          <w:tcPr>
            <w:tcW w:w="611" w:type="pct"/>
            <w:tcBorders>
              <w:top w:val="single" w:sz="4" w:space="0" w:color="auto"/>
              <w:bottom w:val="single" w:sz="4" w:space="0" w:color="auto"/>
            </w:tcBorders>
          </w:tcPr>
          <w:p w14:paraId="50D1C57B" w14:textId="6997DD89" w:rsidR="00761972"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29"/>
                <w14:textFill>
                  <w14:solidFill>
                    <w14:srgbClr w14:val="000000">
                      <w14:alpha w14:val="100000"/>
                    </w14:srgbClr>
                  </w14:solidFill>
                </w14:textFill>
              </w:rPr>
              <w:t xml:space="preserve">　</w:t>
            </w:r>
            <w:r w:rsidRPr="00091900">
              <w:rPr>
                <w:color w:val="000000"/>
                <w:w w:val="16"/>
                <w:shd w:val="solid" w:color="000000" w:fill="000000"/>
                <w:fitText w:val="75" w:id="-1167920629"/>
                <w14:textFill>
                  <w14:solidFill>
                    <w14:srgbClr w14:val="000000">
                      <w14:alpha w14:val="100000"/>
                    </w14:srgbClr>
                  </w14:solidFill>
                </w14:textFill>
              </w:rPr>
              <w:t>|</w:t>
            </w:r>
            <w:r w:rsidRPr="00091900">
              <w:rPr>
                <w:rFonts w:hint="eastAsia"/>
                <w:color w:val="000000"/>
                <w:spacing w:val="5"/>
                <w:w w:val="16"/>
                <w:shd w:val="solid" w:color="000000" w:fill="000000"/>
                <w:fitText w:val="75" w:id="-1167920629"/>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single" w:sz="4" w:space="0" w:color="auto"/>
            </w:tcBorders>
          </w:tcPr>
          <w:p w14:paraId="1A91E058" w14:textId="5C6F467C" w:rsidR="00761972"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28"/>
                <w14:textFill>
                  <w14:solidFill>
                    <w14:srgbClr w14:val="000000">
                      <w14:alpha w14:val="100000"/>
                    </w14:srgbClr>
                  </w14:solidFill>
                </w14:textFill>
              </w:rPr>
              <w:t xml:space="preserve">　</w:t>
            </w:r>
            <w:r w:rsidRPr="00091900">
              <w:rPr>
                <w:color w:val="000000"/>
                <w:w w:val="16"/>
                <w:shd w:val="solid" w:color="000000" w:fill="000000"/>
                <w:fitText w:val="75" w:id="-1167920628"/>
                <w14:textFill>
                  <w14:solidFill>
                    <w14:srgbClr w14:val="000000">
                      <w14:alpha w14:val="100000"/>
                    </w14:srgbClr>
                  </w14:solidFill>
                </w14:textFill>
              </w:rPr>
              <w:t>|</w:t>
            </w:r>
            <w:r w:rsidRPr="00091900">
              <w:rPr>
                <w:rFonts w:hint="eastAsia"/>
                <w:color w:val="000000"/>
                <w:spacing w:val="5"/>
                <w:w w:val="16"/>
                <w:shd w:val="solid" w:color="000000" w:fill="000000"/>
                <w:fitText w:val="75" w:id="-1167920628"/>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single" w:sz="4" w:space="0" w:color="auto"/>
            </w:tcBorders>
          </w:tcPr>
          <w:p w14:paraId="69584F95" w14:textId="07162429" w:rsidR="00761972"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27"/>
                <w14:textFill>
                  <w14:solidFill>
                    <w14:srgbClr w14:val="000000">
                      <w14:alpha w14:val="100000"/>
                    </w14:srgbClr>
                  </w14:solidFill>
                </w14:textFill>
              </w:rPr>
              <w:t xml:space="preserve">　</w:t>
            </w:r>
            <w:r w:rsidRPr="00091900">
              <w:rPr>
                <w:color w:val="000000"/>
                <w:w w:val="16"/>
                <w:shd w:val="solid" w:color="000000" w:fill="000000"/>
                <w:fitText w:val="75" w:id="-1167920627"/>
                <w14:textFill>
                  <w14:solidFill>
                    <w14:srgbClr w14:val="000000">
                      <w14:alpha w14:val="100000"/>
                    </w14:srgbClr>
                  </w14:solidFill>
                </w14:textFill>
              </w:rPr>
              <w:t>|</w:t>
            </w:r>
            <w:r w:rsidRPr="00091900">
              <w:rPr>
                <w:rFonts w:hint="eastAsia"/>
                <w:color w:val="000000"/>
                <w:spacing w:val="5"/>
                <w:w w:val="16"/>
                <w:shd w:val="solid" w:color="000000" w:fill="000000"/>
                <w:fitText w:val="75" w:id="-1167920627"/>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single" w:sz="4" w:space="0" w:color="auto"/>
            </w:tcBorders>
          </w:tcPr>
          <w:p w14:paraId="7BF1E922" w14:textId="14E0DAE6" w:rsidR="00761972"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26"/>
                <w14:textFill>
                  <w14:solidFill>
                    <w14:srgbClr w14:val="000000">
                      <w14:alpha w14:val="100000"/>
                    </w14:srgbClr>
                  </w14:solidFill>
                </w14:textFill>
              </w:rPr>
              <w:t xml:space="preserve">　</w:t>
            </w:r>
            <w:r w:rsidRPr="00091900">
              <w:rPr>
                <w:color w:val="000000"/>
                <w:w w:val="16"/>
                <w:shd w:val="solid" w:color="000000" w:fill="000000"/>
                <w:fitText w:val="75" w:id="-1167920626"/>
                <w14:textFill>
                  <w14:solidFill>
                    <w14:srgbClr w14:val="000000">
                      <w14:alpha w14:val="100000"/>
                    </w14:srgbClr>
                  </w14:solidFill>
                </w14:textFill>
              </w:rPr>
              <w:t>|</w:t>
            </w:r>
            <w:r w:rsidRPr="00091900">
              <w:rPr>
                <w:rFonts w:hint="eastAsia"/>
                <w:color w:val="000000"/>
                <w:spacing w:val="5"/>
                <w:w w:val="16"/>
                <w:shd w:val="solid" w:color="000000" w:fill="000000"/>
                <w:fitText w:val="75" w:id="-1167920626"/>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single" w:sz="4" w:space="0" w:color="auto"/>
            </w:tcBorders>
          </w:tcPr>
          <w:p w14:paraId="0A89ADAC" w14:textId="4DA8E2E8" w:rsidR="00761972"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25"/>
                <w14:textFill>
                  <w14:solidFill>
                    <w14:srgbClr w14:val="000000">
                      <w14:alpha w14:val="100000"/>
                    </w14:srgbClr>
                  </w14:solidFill>
                </w14:textFill>
              </w:rPr>
              <w:t xml:space="preserve">　</w:t>
            </w:r>
            <w:r w:rsidRPr="00091900">
              <w:rPr>
                <w:color w:val="000000"/>
                <w:w w:val="16"/>
                <w:shd w:val="solid" w:color="000000" w:fill="000000"/>
                <w:fitText w:val="75" w:id="-1167920625"/>
                <w14:textFill>
                  <w14:solidFill>
                    <w14:srgbClr w14:val="000000">
                      <w14:alpha w14:val="100000"/>
                    </w14:srgbClr>
                  </w14:solidFill>
                </w14:textFill>
              </w:rPr>
              <w:t>|</w:t>
            </w:r>
            <w:r w:rsidRPr="00091900">
              <w:rPr>
                <w:rFonts w:hint="eastAsia"/>
                <w:color w:val="000000"/>
                <w:spacing w:val="5"/>
                <w:w w:val="16"/>
                <w:shd w:val="solid" w:color="000000" w:fill="000000"/>
                <w:fitText w:val="75" w:id="-1167920625"/>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bottom w:val="single" w:sz="4" w:space="0" w:color="auto"/>
            </w:tcBorders>
          </w:tcPr>
          <w:p w14:paraId="5ED85DC0" w14:textId="6081F5DF" w:rsidR="00761972"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24"/>
                <w14:textFill>
                  <w14:solidFill>
                    <w14:srgbClr w14:val="000000">
                      <w14:alpha w14:val="100000"/>
                    </w14:srgbClr>
                  </w14:solidFill>
                </w14:textFill>
              </w:rPr>
              <w:t xml:space="preserve">　</w:t>
            </w:r>
            <w:r w:rsidRPr="00091900">
              <w:rPr>
                <w:color w:val="000000"/>
                <w:w w:val="16"/>
                <w:shd w:val="solid" w:color="000000" w:fill="000000"/>
                <w:fitText w:val="75" w:id="-1167920624"/>
                <w14:textFill>
                  <w14:solidFill>
                    <w14:srgbClr w14:val="000000">
                      <w14:alpha w14:val="100000"/>
                    </w14:srgbClr>
                  </w14:solidFill>
                </w14:textFill>
              </w:rPr>
              <w:t>|</w:t>
            </w:r>
            <w:r w:rsidRPr="00091900">
              <w:rPr>
                <w:rFonts w:hint="eastAsia"/>
                <w:color w:val="000000"/>
                <w:spacing w:val="5"/>
                <w:w w:val="16"/>
                <w:shd w:val="solid" w:color="000000" w:fill="000000"/>
                <w:fitText w:val="75" w:id="-1167920624"/>
                <w14:textFill>
                  <w14:solidFill>
                    <w14:srgbClr w14:val="000000">
                      <w14:alpha w14:val="100000"/>
                    </w14:srgbClr>
                  </w14:solidFill>
                </w14:textFill>
              </w:rPr>
              <w:t xml:space="preserve">　</w:t>
            </w:r>
            <w:r w:rsidRPr="00091900">
              <w:t xml:space="preserve"> </w:t>
            </w:r>
            <w:r w:rsidR="00495A60">
              <w:rPr>
                <w:vertAlign w:val="superscript"/>
              </w:rPr>
              <w:t>6</w:t>
            </w:r>
          </w:p>
        </w:tc>
      </w:tr>
      <w:tr w:rsidR="00761972" w:rsidRPr="00240923" w14:paraId="3056C29F" w14:textId="77777777" w:rsidTr="00761972">
        <w:tc>
          <w:tcPr>
            <w:tcW w:w="1334" w:type="pct"/>
            <w:shd w:val="clear" w:color="auto" w:fill="auto"/>
            <w:vAlign w:val="center"/>
          </w:tcPr>
          <w:p w14:paraId="3E12DE47" w14:textId="77777777" w:rsidR="00761972" w:rsidRPr="00240923" w:rsidRDefault="00761972" w:rsidP="00385543">
            <w:pPr>
              <w:pStyle w:val="TableText0"/>
              <w:keepLines/>
              <w:rPr>
                <w:szCs w:val="20"/>
              </w:rPr>
            </w:pPr>
            <w:r w:rsidRPr="00240923">
              <w:rPr>
                <w:szCs w:val="20"/>
              </w:rPr>
              <w:t>Net cost to health budget</w:t>
            </w:r>
          </w:p>
        </w:tc>
        <w:tc>
          <w:tcPr>
            <w:tcW w:w="611" w:type="pct"/>
            <w:tcBorders>
              <w:top w:val="single" w:sz="4" w:space="0" w:color="auto"/>
            </w:tcBorders>
          </w:tcPr>
          <w:p w14:paraId="74E6279A" w14:textId="66BF930A" w:rsidR="00761972"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40"/>
                <w14:textFill>
                  <w14:solidFill>
                    <w14:srgbClr w14:val="000000">
                      <w14:alpha w14:val="100000"/>
                    </w14:srgbClr>
                  </w14:solidFill>
                </w14:textFill>
              </w:rPr>
              <w:t xml:space="preserve">　</w:t>
            </w:r>
            <w:r w:rsidRPr="00091900">
              <w:rPr>
                <w:color w:val="000000"/>
                <w:w w:val="15"/>
                <w:shd w:val="solid" w:color="000000" w:fill="000000"/>
                <w:fitText w:val="45" w:id="-1167920640"/>
                <w14:textFill>
                  <w14:solidFill>
                    <w14:srgbClr w14:val="000000">
                      <w14:alpha w14:val="100000"/>
                    </w14:srgbClr>
                  </w14:solidFill>
                </w14:textFill>
              </w:rPr>
              <w:t>|</w:t>
            </w:r>
            <w:r w:rsidRPr="00091900">
              <w:rPr>
                <w:rFonts w:hint="eastAsia"/>
                <w:color w:val="000000"/>
                <w:spacing w:val="-30"/>
                <w:w w:val="15"/>
                <w:shd w:val="solid" w:color="000000" w:fill="000000"/>
                <w:fitText w:val="45" w:id="-1167920640"/>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single" w:sz="4" w:space="0" w:color="auto"/>
            </w:tcBorders>
          </w:tcPr>
          <w:p w14:paraId="3C8A28AB" w14:textId="7F50447E" w:rsidR="00761972"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9"/>
                <w14:textFill>
                  <w14:solidFill>
                    <w14:srgbClr w14:val="000000">
                      <w14:alpha w14:val="100000"/>
                    </w14:srgbClr>
                  </w14:solidFill>
                </w14:textFill>
              </w:rPr>
              <w:t xml:space="preserve">　</w:t>
            </w:r>
            <w:r w:rsidRPr="00091900">
              <w:rPr>
                <w:color w:val="000000"/>
                <w:w w:val="15"/>
                <w:shd w:val="solid" w:color="000000" w:fill="000000"/>
                <w:fitText w:val="45" w:id="-1167920639"/>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9"/>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single" w:sz="4" w:space="0" w:color="auto"/>
            </w:tcBorders>
          </w:tcPr>
          <w:p w14:paraId="1B470D5A" w14:textId="46976500" w:rsidR="00761972" w:rsidRPr="00604032" w:rsidRDefault="00091900" w:rsidP="00385543">
            <w:pPr>
              <w:pStyle w:val="TableText0"/>
              <w:keepLines/>
              <w:jc w:val="center"/>
              <w:rPr>
                <w:szCs w:val="20"/>
                <w:highlight w:val="lightGray"/>
              </w:rPr>
            </w:pPr>
            <w:r w:rsidRPr="00091900">
              <w:rPr>
                <w:rFonts w:hint="eastAsia"/>
                <w:color w:val="000000"/>
                <w:w w:val="16"/>
                <w:shd w:val="solid" w:color="000000" w:fill="000000"/>
                <w:fitText w:val="75" w:id="-1167920638"/>
                <w14:textFill>
                  <w14:solidFill>
                    <w14:srgbClr w14:val="000000">
                      <w14:alpha w14:val="100000"/>
                    </w14:srgbClr>
                  </w14:solidFill>
                </w14:textFill>
              </w:rPr>
              <w:t xml:space="preserve">　</w:t>
            </w:r>
            <w:r w:rsidRPr="00091900">
              <w:rPr>
                <w:color w:val="000000"/>
                <w:w w:val="16"/>
                <w:shd w:val="solid" w:color="000000" w:fill="000000"/>
                <w:fitText w:val="75" w:id="-1167920638"/>
                <w14:textFill>
                  <w14:solidFill>
                    <w14:srgbClr w14:val="000000">
                      <w14:alpha w14:val="100000"/>
                    </w14:srgbClr>
                  </w14:solidFill>
                </w14:textFill>
              </w:rPr>
              <w:t>|</w:t>
            </w:r>
            <w:r w:rsidRPr="00091900">
              <w:rPr>
                <w:rFonts w:hint="eastAsia"/>
                <w:color w:val="000000"/>
                <w:spacing w:val="5"/>
                <w:w w:val="16"/>
                <w:shd w:val="solid" w:color="000000" w:fill="000000"/>
                <w:fitText w:val="75" w:id="-1167920638"/>
                <w14:textFill>
                  <w14:solidFill>
                    <w14:srgbClr w14:val="000000">
                      <w14:alpha w14:val="100000"/>
                    </w14:srgbClr>
                  </w14:solidFill>
                </w14:textFill>
              </w:rPr>
              <w:t xml:space="preserve">　</w:t>
            </w:r>
            <w:r w:rsidRPr="00091900">
              <w:t xml:space="preserve"> </w:t>
            </w:r>
            <w:r w:rsidR="00495A60">
              <w:rPr>
                <w:vertAlign w:val="superscript"/>
              </w:rPr>
              <w:t>6</w:t>
            </w:r>
          </w:p>
        </w:tc>
        <w:tc>
          <w:tcPr>
            <w:tcW w:w="611" w:type="pct"/>
            <w:tcBorders>
              <w:top w:val="single" w:sz="4" w:space="0" w:color="auto"/>
            </w:tcBorders>
          </w:tcPr>
          <w:p w14:paraId="0FD7F862" w14:textId="2894096F" w:rsidR="00761972"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7"/>
                <w14:textFill>
                  <w14:solidFill>
                    <w14:srgbClr w14:val="000000">
                      <w14:alpha w14:val="100000"/>
                    </w14:srgbClr>
                  </w14:solidFill>
                </w14:textFill>
              </w:rPr>
              <w:t xml:space="preserve">　</w:t>
            </w:r>
            <w:r w:rsidRPr="00091900">
              <w:rPr>
                <w:color w:val="000000"/>
                <w:w w:val="15"/>
                <w:shd w:val="solid" w:color="000000" w:fill="000000"/>
                <w:fitText w:val="45" w:id="-1167920637"/>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7"/>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single" w:sz="4" w:space="0" w:color="auto"/>
            </w:tcBorders>
          </w:tcPr>
          <w:p w14:paraId="6B609467" w14:textId="35080DE6" w:rsidR="00761972"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6"/>
                <w14:textFill>
                  <w14:solidFill>
                    <w14:srgbClr w14:val="000000">
                      <w14:alpha w14:val="100000"/>
                    </w14:srgbClr>
                  </w14:solidFill>
                </w14:textFill>
              </w:rPr>
              <w:t xml:space="preserve">　</w:t>
            </w:r>
            <w:r w:rsidRPr="00091900">
              <w:rPr>
                <w:color w:val="000000"/>
                <w:w w:val="15"/>
                <w:shd w:val="solid" w:color="000000" w:fill="000000"/>
                <w:fitText w:val="45" w:id="-1167920636"/>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6"/>
                <w14:textFill>
                  <w14:solidFill>
                    <w14:srgbClr w14:val="000000">
                      <w14:alpha w14:val="100000"/>
                    </w14:srgbClr>
                  </w14:solidFill>
                </w14:textFill>
              </w:rPr>
              <w:t xml:space="preserve">　</w:t>
            </w:r>
            <w:r w:rsidR="00495A60">
              <w:rPr>
                <w:vertAlign w:val="superscript"/>
              </w:rPr>
              <w:t>6</w:t>
            </w:r>
            <w:r w:rsidRPr="00091900">
              <w:t xml:space="preserve"> </w:t>
            </w:r>
          </w:p>
        </w:tc>
        <w:tc>
          <w:tcPr>
            <w:tcW w:w="611" w:type="pct"/>
            <w:tcBorders>
              <w:top w:val="single" w:sz="4" w:space="0" w:color="auto"/>
            </w:tcBorders>
          </w:tcPr>
          <w:p w14:paraId="732A1439" w14:textId="4B91C3EA" w:rsidR="00761972" w:rsidRPr="00604032" w:rsidRDefault="00091900" w:rsidP="00385543">
            <w:pPr>
              <w:pStyle w:val="TableText0"/>
              <w:keepLines/>
              <w:jc w:val="center"/>
              <w:rPr>
                <w:szCs w:val="20"/>
                <w:highlight w:val="lightGray"/>
              </w:rPr>
            </w:pPr>
            <w:r w:rsidRPr="00091900">
              <w:rPr>
                <w:rFonts w:hint="eastAsia"/>
                <w:color w:val="000000"/>
                <w:w w:val="15"/>
                <w:shd w:val="solid" w:color="000000" w:fill="000000"/>
                <w:fitText w:val="45" w:id="-1167920635"/>
                <w14:textFill>
                  <w14:solidFill>
                    <w14:srgbClr w14:val="000000">
                      <w14:alpha w14:val="100000"/>
                    </w14:srgbClr>
                  </w14:solidFill>
                </w14:textFill>
              </w:rPr>
              <w:t xml:space="preserve">　</w:t>
            </w:r>
            <w:r w:rsidRPr="00091900">
              <w:rPr>
                <w:color w:val="000000"/>
                <w:w w:val="15"/>
                <w:shd w:val="solid" w:color="000000" w:fill="000000"/>
                <w:fitText w:val="45" w:id="-1167920635"/>
                <w14:textFill>
                  <w14:solidFill>
                    <w14:srgbClr w14:val="000000">
                      <w14:alpha w14:val="100000"/>
                    </w14:srgbClr>
                  </w14:solidFill>
                </w14:textFill>
              </w:rPr>
              <w:t>|</w:t>
            </w:r>
            <w:r w:rsidRPr="00091900">
              <w:rPr>
                <w:rFonts w:hint="eastAsia"/>
                <w:color w:val="000000"/>
                <w:spacing w:val="-30"/>
                <w:w w:val="15"/>
                <w:shd w:val="solid" w:color="000000" w:fill="000000"/>
                <w:fitText w:val="45" w:id="-1167920635"/>
                <w14:textFill>
                  <w14:solidFill>
                    <w14:srgbClr w14:val="000000">
                      <w14:alpha w14:val="100000"/>
                    </w14:srgbClr>
                  </w14:solidFill>
                </w14:textFill>
              </w:rPr>
              <w:t xml:space="preserve">　</w:t>
            </w:r>
            <w:r w:rsidR="00495A60">
              <w:rPr>
                <w:vertAlign w:val="superscript"/>
              </w:rPr>
              <w:t>6</w:t>
            </w:r>
            <w:r w:rsidRPr="00091900">
              <w:t xml:space="preserve"> </w:t>
            </w:r>
          </w:p>
        </w:tc>
      </w:tr>
    </w:tbl>
    <w:p w14:paraId="0B75279B" w14:textId="0F9D7B1E" w:rsidR="005A523D" w:rsidRDefault="005A523D" w:rsidP="00385543">
      <w:pPr>
        <w:keepNext/>
        <w:keepLines/>
        <w:rPr>
          <w:rFonts w:ascii="Arial Narrow" w:hAnsi="Arial Narrow"/>
          <w:sz w:val="18"/>
          <w:szCs w:val="18"/>
        </w:rPr>
      </w:pPr>
      <w:r w:rsidRPr="00563A15">
        <w:rPr>
          <w:rFonts w:ascii="Arial Narrow" w:hAnsi="Arial Narrow"/>
          <w:sz w:val="18"/>
          <w:szCs w:val="18"/>
        </w:rPr>
        <w:t xml:space="preserve">Source: </w:t>
      </w:r>
      <w:r w:rsidR="00761972">
        <w:rPr>
          <w:rFonts w:ascii="Arial Narrow" w:hAnsi="Arial Narrow"/>
          <w:sz w:val="18"/>
          <w:szCs w:val="18"/>
        </w:rPr>
        <w:t>Derived from PSCR updated utilisation and financial estimates (Stelara fCD UCM March 2023 (PSCR submitted).xlsx</w:t>
      </w:r>
    </w:p>
    <w:p w14:paraId="287D109E" w14:textId="5F2B6748" w:rsidR="005A523D" w:rsidRDefault="005A523D" w:rsidP="00385543">
      <w:pPr>
        <w:pStyle w:val="TableFigureFooter"/>
        <w:keepNext/>
        <w:keepLines/>
        <w:spacing w:after="0"/>
      </w:pPr>
      <w:r>
        <w:t>CD = ADA = adalimumab; IFX = infliximab; IV = intravenous; SC = subcutaneous; UST = ustekinumab.</w:t>
      </w:r>
    </w:p>
    <w:p w14:paraId="35DC328B" w14:textId="77777777" w:rsidR="00604032" w:rsidRPr="009A6D58" w:rsidRDefault="00604032" w:rsidP="00385543">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B8BDF87" w14:textId="1C20D6B5" w:rsidR="00604032" w:rsidRPr="009A6D58" w:rsidRDefault="00604032" w:rsidP="00385543">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&lt;500</w:t>
      </w:r>
    </w:p>
    <w:p w14:paraId="200B2080" w14:textId="7F2D043B" w:rsidR="00604032" w:rsidRPr="009A6D58" w:rsidRDefault="00604032" w:rsidP="00385543">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604032">
        <w:rPr>
          <w:rFonts w:ascii="Arial Narrow" w:hAnsi="Arial Narrow"/>
          <w:i/>
          <w:sz w:val="18"/>
          <w:szCs w:val="18"/>
        </w:rPr>
        <w:t>500 to &lt; 5,000</w:t>
      </w:r>
    </w:p>
    <w:p w14:paraId="65EA9BE6" w14:textId="626E2F17" w:rsidR="00604032" w:rsidRDefault="00604032" w:rsidP="00385543">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9376B9">
        <w:rPr>
          <w:rFonts w:ascii="Arial Narrow" w:hAnsi="Arial Narrow"/>
          <w:i/>
          <w:sz w:val="18"/>
          <w:szCs w:val="18"/>
        </w:rPr>
        <w:t>5,000 to &lt;10,000</w:t>
      </w:r>
    </w:p>
    <w:p w14:paraId="746BB8BE" w14:textId="34206209" w:rsidR="00604032" w:rsidRDefault="00604032" w:rsidP="00385543">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9376B9" w:rsidRPr="009376B9">
        <w:rPr>
          <w:rFonts w:ascii="Arial Narrow" w:hAnsi="Arial Narrow"/>
          <w:i/>
          <w:sz w:val="18"/>
          <w:szCs w:val="18"/>
        </w:rPr>
        <w:t>$0 to &lt; $10 million</w:t>
      </w:r>
    </w:p>
    <w:p w14:paraId="639B4A55" w14:textId="22AD2C51" w:rsidR="00604032" w:rsidRDefault="00604032" w:rsidP="00385543">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9376B9" w:rsidRPr="009376B9">
        <w:rPr>
          <w:rFonts w:ascii="Arial Narrow" w:hAnsi="Arial Narrow"/>
          <w:i/>
          <w:sz w:val="18"/>
          <w:szCs w:val="18"/>
        </w:rPr>
        <w:t>$10 million to &lt; $20 million</w:t>
      </w:r>
    </w:p>
    <w:p w14:paraId="1F26203B" w14:textId="533F579C" w:rsidR="00604032" w:rsidRDefault="00604032" w:rsidP="00385543">
      <w:pPr>
        <w:spacing w:after="120"/>
      </w:pPr>
      <w:r>
        <w:rPr>
          <w:rFonts w:ascii="Arial Narrow" w:hAnsi="Arial Narrow"/>
          <w:i/>
          <w:sz w:val="18"/>
          <w:szCs w:val="18"/>
          <w:vertAlign w:val="superscript"/>
        </w:rPr>
        <w:t>6</w:t>
      </w:r>
      <w:r>
        <w:rPr>
          <w:rFonts w:ascii="Arial Narrow" w:hAnsi="Arial Narrow"/>
          <w:i/>
          <w:sz w:val="18"/>
          <w:szCs w:val="18"/>
        </w:rPr>
        <w:t xml:space="preserve"> </w:t>
      </w:r>
      <w:r w:rsidR="00194BDA">
        <w:rPr>
          <w:rFonts w:ascii="Arial Narrow" w:hAnsi="Arial Narrow"/>
          <w:i/>
          <w:sz w:val="18"/>
          <w:szCs w:val="18"/>
        </w:rPr>
        <w:t>net cost saving</w:t>
      </w:r>
    </w:p>
    <w:p w14:paraId="0DC66C32" w14:textId="77421237" w:rsidR="00761972" w:rsidRPr="00F81A33" w:rsidRDefault="00761972" w:rsidP="00761972">
      <w:pPr>
        <w:pStyle w:val="3-BodyText"/>
      </w:pPr>
      <w:r w:rsidRPr="00F81A33">
        <w:t xml:space="preserve">Based on the revised estimates in the PSCR, the total net cost savings to the PBS/RPBS of listing UST for fistulising CD was estimated to be approximately </w:t>
      </w:r>
      <w:r w:rsidR="00194BDA" w:rsidRPr="00194BDA">
        <w:t>$0</w:t>
      </w:r>
      <w:r w:rsidR="00A91B65">
        <w:t> </w:t>
      </w:r>
      <w:r w:rsidR="00194BDA" w:rsidRPr="00194BDA">
        <w:t>to</w:t>
      </w:r>
      <w:r w:rsidR="00A91B65">
        <w:t> </w:t>
      </w:r>
      <w:r w:rsidR="00194BDA" w:rsidRPr="00194BDA">
        <w:t>&lt;</w:t>
      </w:r>
      <w:r w:rsidR="00A91B65">
        <w:t> </w:t>
      </w:r>
      <w:r w:rsidR="00194BDA" w:rsidRPr="00194BDA">
        <w:t>$10</w:t>
      </w:r>
      <w:r w:rsidR="00AB00C2">
        <w:t> </w:t>
      </w:r>
      <w:r w:rsidR="00194BDA" w:rsidRPr="00194BDA">
        <w:t>million</w:t>
      </w:r>
      <w:r w:rsidR="00194BDA">
        <w:t xml:space="preserve"> </w:t>
      </w:r>
      <w:r w:rsidRPr="00F81A33">
        <w:t xml:space="preserve">in Year 6, and a total of approximately </w:t>
      </w:r>
      <w:r w:rsidR="00194BDA" w:rsidRPr="00194BDA">
        <w:t>$0</w:t>
      </w:r>
      <w:r w:rsidR="00A91B65">
        <w:t> </w:t>
      </w:r>
      <w:r w:rsidR="00194BDA" w:rsidRPr="00194BDA">
        <w:t>to</w:t>
      </w:r>
      <w:r w:rsidR="00A91B65">
        <w:t> </w:t>
      </w:r>
      <w:r w:rsidR="00194BDA" w:rsidRPr="00194BDA">
        <w:t>&lt;</w:t>
      </w:r>
      <w:r w:rsidR="00A91B65">
        <w:t> </w:t>
      </w:r>
      <w:r w:rsidR="00194BDA" w:rsidRPr="00194BDA">
        <w:t>$10 million</w:t>
      </w:r>
      <w:r w:rsidR="00194BDA">
        <w:t xml:space="preserve"> </w:t>
      </w:r>
      <w:r w:rsidRPr="00F81A33">
        <w:t xml:space="preserve">in the first 6 years of listing. </w:t>
      </w:r>
    </w:p>
    <w:p w14:paraId="54239AC9" w14:textId="2F57252B" w:rsidR="00D36B1A" w:rsidRPr="00F81A33" w:rsidRDefault="0062137A" w:rsidP="008D07F4">
      <w:pPr>
        <w:pStyle w:val="3-BodyText"/>
      </w:pPr>
      <w:r w:rsidRPr="00F81A33">
        <w:t>Updates to the estimates provided in the PSCR notwithstanding, a</w:t>
      </w:r>
      <w:r w:rsidR="00D36B1A" w:rsidRPr="00F81A33">
        <w:t>ssuming UST were to be listed on a cost-minimisation basis to the least costly alternative therapy and current market growth was unchanged, the</w:t>
      </w:r>
      <w:r w:rsidR="004F4EEF" w:rsidRPr="00F81A33">
        <w:t xml:space="preserve"> evaluation and ESC considered</w:t>
      </w:r>
      <w:r w:rsidR="00D36B1A" w:rsidRPr="00F81A33">
        <w:t xml:space="preserve"> the requested listing would be expected to </w:t>
      </w:r>
      <w:r w:rsidR="008D07F4" w:rsidRPr="00F81A33">
        <w:t xml:space="preserve">be cost neutral to </w:t>
      </w:r>
      <w:r w:rsidR="00D36B1A" w:rsidRPr="00F81A33">
        <w:t>the PBS/RPBS (</w:t>
      </w:r>
      <w:r w:rsidR="008D07F4" w:rsidRPr="00F81A33">
        <w:t xml:space="preserve">and </w:t>
      </w:r>
      <w:r w:rsidR="00D36B1A" w:rsidRPr="00F81A33">
        <w:t xml:space="preserve">potentially </w:t>
      </w:r>
      <w:r w:rsidR="008D07F4" w:rsidRPr="00F81A33">
        <w:t xml:space="preserve">a </w:t>
      </w:r>
      <w:r w:rsidR="00D36B1A" w:rsidRPr="00F81A33">
        <w:t>slight cost saving</w:t>
      </w:r>
      <w:r w:rsidR="004F4EEF" w:rsidRPr="00F81A33">
        <w:t xml:space="preserve"> as it would only replace therapies that are the same cost or more expensive</w:t>
      </w:r>
      <w:r w:rsidR="00D36B1A" w:rsidRPr="00F81A33">
        <w:t>).</w:t>
      </w:r>
    </w:p>
    <w:p w14:paraId="6FB96674" w14:textId="77777777" w:rsidR="00F81A33" w:rsidRPr="00C33D30" w:rsidRDefault="00F81A33" w:rsidP="00F81A33">
      <w:pPr>
        <w:ind w:firstLine="709"/>
        <w:rPr>
          <w:rFonts w:asciiTheme="minorHAnsi" w:hAnsiTheme="minorHAnsi"/>
          <w:i/>
        </w:rPr>
      </w:pPr>
      <w:bookmarkStart w:id="47" w:name="_Toc134463923"/>
      <w:r w:rsidRPr="00C33D30">
        <w:rPr>
          <w:rFonts w:asciiTheme="minorHAnsi" w:hAnsiTheme="minorHAnsi"/>
          <w:i/>
        </w:rPr>
        <w:t>For more detail on PBAC’s view, see section 7 PBAC outcome.</w:t>
      </w:r>
    </w:p>
    <w:p w14:paraId="416886A3" w14:textId="77777777" w:rsidR="00F81A33" w:rsidRPr="0090150D" w:rsidRDefault="00F81A33" w:rsidP="00EB57EC">
      <w:pPr>
        <w:pStyle w:val="2-SectionHeading"/>
      </w:pPr>
      <w:bookmarkStart w:id="48" w:name="_Hlk76381249"/>
      <w:bookmarkStart w:id="49" w:name="_Hlk76377955"/>
      <w:bookmarkStart w:id="50" w:name="_Hlk138321418"/>
      <w:r w:rsidRPr="0090150D">
        <w:t>PBAC Outcome</w:t>
      </w:r>
    </w:p>
    <w:p w14:paraId="3C32CAC6" w14:textId="3DB3BF8E" w:rsidR="00F81A33" w:rsidRPr="00CE42B4" w:rsidRDefault="00DE7062" w:rsidP="00F81A33">
      <w:pPr>
        <w:widowControl w:val="0"/>
        <w:numPr>
          <w:ilvl w:val="1"/>
          <w:numId w:val="1"/>
        </w:numPr>
        <w:spacing w:after="120"/>
        <w:rPr>
          <w:rFonts w:asciiTheme="minorHAnsi" w:hAnsiTheme="minorHAnsi"/>
          <w:snapToGrid w:val="0"/>
          <w:lang w:val="en-GB"/>
        </w:rPr>
      </w:pPr>
      <w:r w:rsidRPr="00DE7062">
        <w:rPr>
          <w:rFonts w:asciiTheme="minorHAnsi" w:hAnsiTheme="minorHAnsi"/>
          <w:snapToGrid w:val="0"/>
          <w:lang w:val="en-GB"/>
        </w:rPr>
        <w:t>The PBAC recommended the Section 100 (Highly Specialised Drugs Program) and General Schedule listings of ustekinumab (UST) for the tre</w:t>
      </w:r>
      <w:r>
        <w:rPr>
          <w:rFonts w:asciiTheme="minorHAnsi" w:hAnsiTheme="minorHAnsi"/>
          <w:snapToGrid w:val="0"/>
          <w:lang w:val="en-GB"/>
        </w:rPr>
        <w:t>atment of fistulising Crohn’s disease (CD)</w:t>
      </w:r>
      <w:r w:rsidRPr="00DE7062">
        <w:rPr>
          <w:rFonts w:asciiTheme="minorHAnsi" w:hAnsiTheme="minorHAnsi"/>
          <w:snapToGrid w:val="0"/>
          <w:lang w:val="en-GB"/>
        </w:rPr>
        <w:t xml:space="preserve">. The recommendation for </w:t>
      </w:r>
      <w:r w:rsidR="00114025">
        <w:rPr>
          <w:rFonts w:asciiTheme="minorHAnsi" w:hAnsiTheme="minorHAnsi"/>
          <w:snapToGrid w:val="0"/>
          <w:lang w:val="en-GB"/>
        </w:rPr>
        <w:t xml:space="preserve">the </w:t>
      </w:r>
      <w:r w:rsidRPr="00DE7062">
        <w:rPr>
          <w:rFonts w:asciiTheme="minorHAnsi" w:hAnsiTheme="minorHAnsi"/>
          <w:snapToGrid w:val="0"/>
          <w:lang w:val="en-GB"/>
        </w:rPr>
        <w:t xml:space="preserve">Section 100 </w:t>
      </w:r>
      <w:r w:rsidR="00114025">
        <w:rPr>
          <w:rFonts w:asciiTheme="minorHAnsi" w:hAnsiTheme="minorHAnsi"/>
          <w:snapToGrid w:val="0"/>
          <w:lang w:val="en-GB"/>
        </w:rPr>
        <w:t xml:space="preserve">listing </w:t>
      </w:r>
      <w:r w:rsidRPr="00DE7062">
        <w:rPr>
          <w:rFonts w:asciiTheme="minorHAnsi" w:hAnsiTheme="minorHAnsi"/>
          <w:snapToGrid w:val="0"/>
          <w:lang w:val="en-GB"/>
        </w:rPr>
        <w:t xml:space="preserve">was for </w:t>
      </w:r>
      <w:r w:rsidR="00114025">
        <w:rPr>
          <w:rFonts w:asciiTheme="minorHAnsi" w:hAnsiTheme="minorHAnsi"/>
          <w:snapToGrid w:val="0"/>
          <w:lang w:val="en-GB"/>
        </w:rPr>
        <w:t xml:space="preserve">the </w:t>
      </w:r>
      <w:r w:rsidRPr="00DE7062">
        <w:rPr>
          <w:rFonts w:asciiTheme="minorHAnsi" w:hAnsiTheme="minorHAnsi"/>
          <w:snapToGrid w:val="0"/>
          <w:lang w:val="en-GB"/>
        </w:rPr>
        <w:t xml:space="preserve">intravenous (IV) induction dosing at initiation, and </w:t>
      </w:r>
      <w:r w:rsidR="00114025">
        <w:rPr>
          <w:rFonts w:asciiTheme="minorHAnsi" w:hAnsiTheme="minorHAnsi"/>
          <w:snapToGrid w:val="0"/>
          <w:lang w:val="en-GB"/>
        </w:rPr>
        <w:t xml:space="preserve">the </w:t>
      </w:r>
      <w:r w:rsidRPr="00DE7062">
        <w:rPr>
          <w:rFonts w:asciiTheme="minorHAnsi" w:hAnsiTheme="minorHAnsi"/>
          <w:snapToGrid w:val="0"/>
          <w:lang w:val="en-GB"/>
        </w:rPr>
        <w:t xml:space="preserve">General Schedule listing was for </w:t>
      </w:r>
      <w:r w:rsidR="009C4790">
        <w:rPr>
          <w:rFonts w:asciiTheme="minorHAnsi" w:hAnsiTheme="minorHAnsi"/>
          <w:snapToGrid w:val="0"/>
          <w:lang w:val="en-GB"/>
        </w:rPr>
        <w:t xml:space="preserve">the </w:t>
      </w:r>
      <w:r w:rsidRPr="00DE7062">
        <w:rPr>
          <w:rFonts w:asciiTheme="minorHAnsi" w:hAnsiTheme="minorHAnsi"/>
          <w:snapToGrid w:val="0"/>
          <w:lang w:val="en-GB"/>
        </w:rPr>
        <w:t xml:space="preserve">subcutaneous injection for subsequent dosing. </w:t>
      </w:r>
      <w:r w:rsidR="001E21A7" w:rsidRPr="001E21A7">
        <w:rPr>
          <w:rFonts w:asciiTheme="minorHAnsi" w:hAnsiTheme="minorHAnsi"/>
          <w:snapToGrid w:val="0"/>
          <w:lang w:val="en-GB"/>
        </w:rPr>
        <w:t>The PBAC’s recommendation for listing was based on, among other matters, its assessment that the cost-effectiveness of UST would be acceptable if it were cost minimised to the least costly alternative therapy of infliximab (IFX)</w:t>
      </w:r>
      <w:r w:rsidR="001E21A7">
        <w:rPr>
          <w:rFonts w:asciiTheme="minorHAnsi" w:hAnsiTheme="minorHAnsi"/>
          <w:snapToGrid w:val="0"/>
          <w:lang w:val="en-GB"/>
        </w:rPr>
        <w:t xml:space="preserve"> and adalimumab (ADA).</w:t>
      </w:r>
      <w:r w:rsidR="00F16424">
        <w:rPr>
          <w:rFonts w:asciiTheme="minorHAnsi" w:hAnsiTheme="minorHAnsi"/>
          <w:snapToGrid w:val="0"/>
          <w:lang w:val="en-GB"/>
        </w:rPr>
        <w:t xml:space="preserve"> The PBAC considered that while the evidence supporting the clinical claims </w:t>
      </w:r>
      <w:r w:rsidR="00114025">
        <w:rPr>
          <w:rFonts w:asciiTheme="minorHAnsi" w:hAnsiTheme="minorHAnsi"/>
          <w:snapToGrid w:val="0"/>
          <w:lang w:val="en-GB"/>
        </w:rPr>
        <w:t xml:space="preserve">of non-inferior efficacy and safety </w:t>
      </w:r>
      <w:r w:rsidR="005C0759">
        <w:rPr>
          <w:rFonts w:asciiTheme="minorHAnsi" w:hAnsiTheme="minorHAnsi"/>
          <w:snapToGrid w:val="0"/>
          <w:lang w:val="en-GB"/>
        </w:rPr>
        <w:t xml:space="preserve">versus the nominated comparators </w:t>
      </w:r>
      <w:proofErr w:type="gramStart"/>
      <w:r w:rsidR="00F16424">
        <w:rPr>
          <w:rFonts w:asciiTheme="minorHAnsi" w:hAnsiTheme="minorHAnsi"/>
          <w:snapToGrid w:val="0"/>
          <w:lang w:val="en-GB"/>
        </w:rPr>
        <w:t>was limited</w:t>
      </w:r>
      <w:proofErr w:type="gramEnd"/>
      <w:r w:rsidR="00F16424">
        <w:rPr>
          <w:rFonts w:asciiTheme="minorHAnsi" w:hAnsiTheme="minorHAnsi"/>
          <w:snapToGrid w:val="0"/>
          <w:lang w:val="en-GB"/>
        </w:rPr>
        <w:t xml:space="preserve">, on balance when considering the clinical need </w:t>
      </w:r>
      <w:r w:rsidR="00F16424">
        <w:rPr>
          <w:rFonts w:asciiTheme="minorHAnsi" w:hAnsiTheme="minorHAnsi"/>
          <w:snapToGrid w:val="0"/>
          <w:lang w:val="en-GB"/>
        </w:rPr>
        <w:lastRenderedPageBreak/>
        <w:t xml:space="preserve">for additional therapies for fistulising CD, </w:t>
      </w:r>
      <w:r w:rsidR="009C4790">
        <w:rPr>
          <w:rFonts w:asciiTheme="minorHAnsi" w:hAnsiTheme="minorHAnsi"/>
          <w:snapToGrid w:val="0"/>
          <w:lang w:val="en-GB"/>
        </w:rPr>
        <w:t>the claims</w:t>
      </w:r>
      <w:r w:rsidR="00D0075D">
        <w:rPr>
          <w:rFonts w:asciiTheme="minorHAnsi" w:hAnsiTheme="minorHAnsi"/>
          <w:snapToGrid w:val="0"/>
          <w:lang w:val="en-GB"/>
        </w:rPr>
        <w:t xml:space="preserve"> </w:t>
      </w:r>
      <w:r w:rsidR="00C67964">
        <w:rPr>
          <w:rFonts w:asciiTheme="minorHAnsi" w:hAnsiTheme="minorHAnsi"/>
          <w:snapToGrid w:val="0"/>
          <w:lang w:val="en-GB"/>
        </w:rPr>
        <w:t xml:space="preserve">versus </w:t>
      </w:r>
      <w:r w:rsidR="005C0759">
        <w:rPr>
          <w:rFonts w:asciiTheme="minorHAnsi" w:hAnsiTheme="minorHAnsi"/>
          <w:snapToGrid w:val="0"/>
          <w:lang w:val="en-GB"/>
        </w:rPr>
        <w:t xml:space="preserve">IFX and </w:t>
      </w:r>
      <w:r w:rsidR="00C67964">
        <w:rPr>
          <w:rFonts w:asciiTheme="minorHAnsi" w:hAnsiTheme="minorHAnsi"/>
          <w:snapToGrid w:val="0"/>
          <w:lang w:val="en-GB"/>
        </w:rPr>
        <w:t>ADA were likely to be reasonable</w:t>
      </w:r>
      <w:r w:rsidR="007570F4">
        <w:rPr>
          <w:rFonts w:asciiTheme="minorHAnsi" w:hAnsiTheme="minorHAnsi"/>
          <w:snapToGrid w:val="0"/>
          <w:lang w:val="en-GB"/>
        </w:rPr>
        <w:t xml:space="preserve">. </w:t>
      </w:r>
    </w:p>
    <w:p w14:paraId="4FD586B0" w14:textId="6724C4DB" w:rsidR="00F81A33" w:rsidRPr="00FA442B" w:rsidRDefault="00F16424" w:rsidP="00FA442B">
      <w:pPr>
        <w:pStyle w:val="3-BodyText"/>
        <w:rPr>
          <w:lang w:val="en-GB"/>
        </w:rPr>
      </w:pPr>
      <w:bookmarkStart w:id="51" w:name="_Ref140654089"/>
      <w:r w:rsidRPr="00F16424">
        <w:rPr>
          <w:lang w:val="en-GB"/>
        </w:rPr>
        <w:t>The PBAC considered the equi-effective doses of UST and the alternative therapies could be derived with reference to the therapeutic relativity sheets and relevant Product Information documents, noting the UST equi-effective dose component includes an IV dose at week 0 (</w:t>
      </w:r>
      <w:r>
        <w:rPr>
          <w:lang w:val="en-GB"/>
        </w:rPr>
        <w:t>based on a tiered weight-based regimen</w:t>
      </w:r>
      <w:r w:rsidRPr="00F16424">
        <w:rPr>
          <w:lang w:val="en-GB"/>
        </w:rPr>
        <w:t>), followed by 90 mg SC dosing at Week 8 and every 8 or 12 weeks thereafter</w:t>
      </w:r>
      <w:r w:rsidR="00D0075D">
        <w:rPr>
          <w:lang w:val="en-GB"/>
        </w:rPr>
        <w:t xml:space="preserve">, with a split of use of </w:t>
      </w:r>
      <w:r w:rsidR="00D0075D" w:rsidRPr="00322704">
        <w:rPr>
          <w:lang w:val="en-GB"/>
        </w:rPr>
        <w:t xml:space="preserve">88% receiving a 8 weekly regimen and 12% receiving a 12 weekly regimen </w:t>
      </w:r>
      <w:r w:rsidR="00D0075D">
        <w:rPr>
          <w:lang w:val="en-GB"/>
        </w:rPr>
        <w:t xml:space="preserve">(see </w:t>
      </w:r>
      <w:r w:rsidR="00322704">
        <w:rPr>
          <w:lang w:val="en-GB"/>
        </w:rPr>
        <w:t>Table </w:t>
      </w:r>
      <w:r w:rsidR="00D0075D">
        <w:rPr>
          <w:lang w:val="en-GB"/>
        </w:rPr>
        <w:t>8)</w:t>
      </w:r>
      <w:r w:rsidRPr="00F16424">
        <w:rPr>
          <w:lang w:val="en-GB"/>
        </w:rPr>
        <w:t>.</w:t>
      </w:r>
      <w:r w:rsidR="00F81A33" w:rsidRPr="00FA442B">
        <w:rPr>
          <w:lang w:val="en-GB"/>
        </w:rPr>
        <w:t xml:space="preserve"> </w:t>
      </w:r>
      <w:bookmarkEnd w:id="51"/>
    </w:p>
    <w:p w14:paraId="4D9CF0EB" w14:textId="4E00F96C" w:rsidR="00F81A33" w:rsidRDefault="001021CF" w:rsidP="00F81A3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there was a high clinical need for additional effective therapies for the treatment of fistulising CD for patients who do not otherwise meet the criteria for PBS-subsidised treatment for severe CD, where more biologic or targeted synthetic disease modifying anti-rheumatic drugs (bDMARDs/tsDMARDs) are available. The PBAC </w:t>
      </w:r>
      <w:r w:rsidR="009C4790">
        <w:rPr>
          <w:rFonts w:asciiTheme="minorHAnsi" w:hAnsiTheme="minorHAnsi"/>
          <w:snapToGrid w:val="0"/>
          <w:lang w:val="en-GB"/>
        </w:rPr>
        <w:t xml:space="preserve">noted that </w:t>
      </w:r>
      <w:r>
        <w:rPr>
          <w:rFonts w:asciiTheme="minorHAnsi" w:hAnsiTheme="minorHAnsi"/>
          <w:snapToGrid w:val="0"/>
          <w:lang w:val="en-GB"/>
        </w:rPr>
        <w:t xml:space="preserve">fistulising CD has </w:t>
      </w:r>
      <w:r w:rsidR="009C4790">
        <w:rPr>
          <w:rFonts w:asciiTheme="minorHAnsi" w:hAnsiTheme="minorHAnsi"/>
          <w:snapToGrid w:val="0"/>
          <w:lang w:val="en-GB"/>
        </w:rPr>
        <w:t xml:space="preserve">a severe </w:t>
      </w:r>
      <w:r>
        <w:rPr>
          <w:rFonts w:asciiTheme="minorHAnsi" w:hAnsiTheme="minorHAnsi"/>
          <w:snapToGrid w:val="0"/>
          <w:lang w:val="en-GB"/>
        </w:rPr>
        <w:t xml:space="preserve">impact on </w:t>
      </w:r>
      <w:r w:rsidR="009C4790">
        <w:rPr>
          <w:rFonts w:asciiTheme="minorHAnsi" w:hAnsiTheme="minorHAnsi"/>
          <w:snapToGrid w:val="0"/>
          <w:lang w:val="en-GB"/>
        </w:rPr>
        <w:t>patients’</w:t>
      </w:r>
      <w:r>
        <w:rPr>
          <w:rFonts w:asciiTheme="minorHAnsi" w:hAnsiTheme="minorHAnsi"/>
          <w:snapToGrid w:val="0"/>
          <w:lang w:val="en-GB"/>
        </w:rPr>
        <w:t xml:space="preserve"> quality of life and </w:t>
      </w:r>
      <w:r w:rsidR="009C4790">
        <w:rPr>
          <w:rFonts w:asciiTheme="minorHAnsi" w:hAnsiTheme="minorHAnsi"/>
          <w:snapToGrid w:val="0"/>
          <w:lang w:val="en-GB"/>
        </w:rPr>
        <w:t xml:space="preserve">that </w:t>
      </w:r>
      <w:r>
        <w:rPr>
          <w:rFonts w:asciiTheme="minorHAnsi" w:hAnsiTheme="minorHAnsi"/>
          <w:snapToGrid w:val="0"/>
          <w:lang w:val="en-GB"/>
        </w:rPr>
        <w:t>only two bDMARD/tsDMARD options were currently available for the requested population, with both IFX and ADA being tumour necrosis factor alfa (TNF-</w:t>
      </w:r>
      <w:r>
        <w:rPr>
          <w:rFonts w:asciiTheme="minorHAnsi" w:hAnsiTheme="minorHAnsi" w:cstheme="minorHAnsi"/>
          <w:snapToGrid w:val="0"/>
          <w:lang w:val="en-GB"/>
        </w:rPr>
        <w:t>α</w:t>
      </w:r>
      <w:r>
        <w:rPr>
          <w:rFonts w:asciiTheme="minorHAnsi" w:hAnsiTheme="minorHAnsi"/>
          <w:snapToGrid w:val="0"/>
          <w:lang w:val="en-GB"/>
        </w:rPr>
        <w:t>) inhibitors.</w:t>
      </w:r>
      <w:r w:rsidR="00FA442B">
        <w:rPr>
          <w:rFonts w:asciiTheme="minorHAnsi" w:hAnsiTheme="minorHAnsi"/>
          <w:snapToGrid w:val="0"/>
          <w:lang w:val="en-GB"/>
        </w:rPr>
        <w:t xml:space="preserve"> </w:t>
      </w:r>
    </w:p>
    <w:p w14:paraId="6C075E2A" w14:textId="011A559F" w:rsidR="00FA442B" w:rsidRPr="00CE42B4" w:rsidRDefault="00FA442B" w:rsidP="00F81A33">
      <w:pPr>
        <w:widowControl w:val="0"/>
        <w:numPr>
          <w:ilvl w:val="1"/>
          <w:numId w:val="1"/>
        </w:numPr>
        <w:spacing w:after="120"/>
        <w:rPr>
          <w:rFonts w:asciiTheme="minorHAnsi" w:hAnsiTheme="minorHAnsi"/>
          <w:snapToGrid w:val="0"/>
          <w:lang w:val="en-GB"/>
        </w:rPr>
      </w:pPr>
      <w:r w:rsidRPr="00FA442B">
        <w:rPr>
          <w:rFonts w:asciiTheme="minorHAnsi" w:hAnsiTheme="minorHAnsi"/>
          <w:snapToGrid w:val="0"/>
          <w:lang w:val="en-GB"/>
        </w:rPr>
        <w:t>The PBAC</w:t>
      </w:r>
      <w:r>
        <w:rPr>
          <w:rFonts w:asciiTheme="minorHAnsi" w:hAnsiTheme="minorHAnsi"/>
          <w:snapToGrid w:val="0"/>
          <w:lang w:val="en-GB"/>
        </w:rPr>
        <w:t xml:space="preserve"> </w:t>
      </w:r>
      <w:r w:rsidRPr="00FA442B">
        <w:rPr>
          <w:rFonts w:asciiTheme="minorHAnsi" w:hAnsiTheme="minorHAnsi"/>
          <w:snapToGrid w:val="0"/>
          <w:lang w:val="en-GB"/>
        </w:rPr>
        <w:t>noted the comments received from health professionals and organisations highlighted the severe impacts of fistulising CD on quality of life and the risks of repeat surgeries, which can often end in proctectomy and the need for a permanent stoma, and the need for additional therapeutic options</w:t>
      </w:r>
      <w:r w:rsidR="00B60301">
        <w:rPr>
          <w:rFonts w:asciiTheme="minorHAnsi" w:hAnsiTheme="minorHAnsi"/>
          <w:snapToGrid w:val="0"/>
          <w:lang w:val="en-GB"/>
        </w:rPr>
        <w:t>.</w:t>
      </w:r>
      <w:r w:rsidRPr="00FA442B">
        <w:rPr>
          <w:rFonts w:asciiTheme="minorHAnsi" w:hAnsiTheme="minorHAnsi"/>
          <w:snapToGrid w:val="0"/>
          <w:lang w:val="en-GB"/>
        </w:rPr>
        <w:t xml:space="preserve"> The Committee also noted the comments highlighted the current TNF inhibitors lose efficacy over time and considered </w:t>
      </w:r>
      <w:r w:rsidR="0000373C">
        <w:rPr>
          <w:rFonts w:asciiTheme="minorHAnsi" w:hAnsiTheme="minorHAnsi"/>
          <w:snapToGrid w:val="0"/>
          <w:lang w:val="en-GB"/>
        </w:rPr>
        <w:t xml:space="preserve">that </w:t>
      </w:r>
      <w:r w:rsidRPr="00FA442B">
        <w:rPr>
          <w:rFonts w:asciiTheme="minorHAnsi" w:hAnsiTheme="minorHAnsi"/>
          <w:snapToGrid w:val="0"/>
          <w:lang w:val="en-GB"/>
        </w:rPr>
        <w:t>the listing of UST, as the first non-TNF inhibitor bDMARD/tsDMARD for fistulising CD</w:t>
      </w:r>
      <w:r w:rsidR="004E7F25">
        <w:rPr>
          <w:rFonts w:asciiTheme="minorHAnsi" w:hAnsiTheme="minorHAnsi"/>
          <w:snapToGrid w:val="0"/>
          <w:lang w:val="en-GB"/>
        </w:rPr>
        <w:t>,</w:t>
      </w:r>
      <w:r w:rsidRPr="00FA442B">
        <w:rPr>
          <w:rFonts w:asciiTheme="minorHAnsi" w:hAnsiTheme="minorHAnsi"/>
          <w:snapToGrid w:val="0"/>
          <w:lang w:val="en-GB"/>
        </w:rPr>
        <w:t xml:space="preserve"> would be beneficial to patients both as a first line option or for patient</w:t>
      </w:r>
      <w:r w:rsidR="004E7F25">
        <w:rPr>
          <w:rFonts w:asciiTheme="minorHAnsi" w:hAnsiTheme="minorHAnsi"/>
          <w:snapToGrid w:val="0"/>
          <w:lang w:val="en-GB"/>
        </w:rPr>
        <w:t>s</w:t>
      </w:r>
      <w:r w:rsidRPr="00FA442B">
        <w:rPr>
          <w:rFonts w:asciiTheme="minorHAnsi" w:hAnsiTheme="minorHAnsi"/>
          <w:snapToGrid w:val="0"/>
          <w:lang w:val="en-GB"/>
        </w:rPr>
        <w:t xml:space="preserve"> who did not achieve or had lost response to the currently available PBS-subsidised options.</w:t>
      </w:r>
    </w:p>
    <w:p w14:paraId="18D33F31" w14:textId="14C3D1AF" w:rsidR="00F81A33" w:rsidRDefault="009D7ACF" w:rsidP="006C50E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it was reasonable for the listing of UST to be consistent with other bDMARDs/tsDMARDs for the treatment of fistulising CD, with prescribing limited to eligible medical practitioners, an initial treatment period of </w:t>
      </w:r>
      <w:r w:rsidR="0097100C">
        <w:rPr>
          <w:rFonts w:asciiTheme="minorHAnsi" w:hAnsiTheme="minorHAnsi"/>
          <w:snapToGrid w:val="0"/>
          <w:lang w:val="en-GB"/>
        </w:rPr>
        <w:t xml:space="preserve">16 weeks followed by maintenance therapy with re-assessment at </w:t>
      </w:r>
      <w:r w:rsidR="006C50E1">
        <w:rPr>
          <w:rFonts w:asciiTheme="minorHAnsi" w:hAnsiTheme="minorHAnsi"/>
          <w:snapToGrid w:val="0"/>
          <w:lang w:val="en-GB"/>
        </w:rPr>
        <w:t>24-week</w:t>
      </w:r>
      <w:r w:rsidR="0097100C">
        <w:rPr>
          <w:rFonts w:asciiTheme="minorHAnsi" w:hAnsiTheme="minorHAnsi"/>
          <w:snapToGrid w:val="0"/>
          <w:lang w:val="en-GB"/>
        </w:rPr>
        <w:t xml:space="preserve"> intervals, with maintenance dose regimens once every 8 or 12 weeks.</w:t>
      </w:r>
      <w:r w:rsidR="00C7797B">
        <w:rPr>
          <w:rFonts w:asciiTheme="minorHAnsi" w:hAnsiTheme="minorHAnsi"/>
          <w:snapToGrid w:val="0"/>
          <w:lang w:val="en-GB"/>
        </w:rPr>
        <w:t xml:space="preserve"> </w:t>
      </w:r>
      <w:r w:rsidR="00C7797B" w:rsidRPr="00C7797B">
        <w:rPr>
          <w:rFonts w:asciiTheme="minorHAnsi" w:hAnsiTheme="minorHAnsi"/>
          <w:snapToGrid w:val="0"/>
          <w:lang w:val="en-GB"/>
        </w:rPr>
        <w:t>The PBAC</w:t>
      </w:r>
      <w:r w:rsidR="00C7797B">
        <w:rPr>
          <w:rFonts w:asciiTheme="minorHAnsi" w:hAnsiTheme="minorHAnsi"/>
          <w:snapToGrid w:val="0"/>
          <w:lang w:val="en-GB"/>
        </w:rPr>
        <w:t xml:space="preserve"> also</w:t>
      </w:r>
      <w:r w:rsidR="00C7797B" w:rsidRPr="00C7797B">
        <w:rPr>
          <w:rFonts w:asciiTheme="minorHAnsi" w:hAnsiTheme="minorHAnsi"/>
          <w:snapToGrid w:val="0"/>
          <w:lang w:val="en-GB"/>
        </w:rPr>
        <w:t xml:space="preserve"> considered it was reasonable to allow patients who are currently or have </w:t>
      </w:r>
      <w:proofErr w:type="gramStart"/>
      <w:r w:rsidR="00C7797B" w:rsidRPr="00C7797B">
        <w:rPr>
          <w:rFonts w:asciiTheme="minorHAnsi" w:hAnsiTheme="minorHAnsi"/>
          <w:snapToGrid w:val="0"/>
          <w:lang w:val="en-GB"/>
        </w:rPr>
        <w:t>been treated</w:t>
      </w:r>
      <w:proofErr w:type="gramEnd"/>
      <w:r w:rsidR="00C7797B" w:rsidRPr="00C7797B">
        <w:rPr>
          <w:rFonts w:asciiTheme="minorHAnsi" w:hAnsiTheme="minorHAnsi"/>
          <w:snapToGrid w:val="0"/>
          <w:lang w:val="en-GB"/>
        </w:rPr>
        <w:t xml:space="preserve"> with ADA and/or IFX to also use UST prior to requiring a treatment break, given patients currently have few treatment options and UST was the first therapy in over 10 years and first non-TNF inhibitor to be recommended for fistulising CD</w:t>
      </w:r>
      <w:r w:rsidR="00C7797B">
        <w:rPr>
          <w:rFonts w:asciiTheme="minorHAnsi" w:hAnsiTheme="minorHAnsi"/>
          <w:snapToGrid w:val="0"/>
          <w:lang w:val="en-GB"/>
        </w:rPr>
        <w:t>.</w:t>
      </w:r>
      <w:r w:rsidR="0097100C">
        <w:rPr>
          <w:rFonts w:asciiTheme="minorHAnsi" w:hAnsiTheme="minorHAnsi"/>
          <w:snapToGrid w:val="0"/>
          <w:lang w:val="en-GB"/>
        </w:rPr>
        <w:t xml:space="preserve"> </w:t>
      </w:r>
      <w:r w:rsidR="006C50E1">
        <w:rPr>
          <w:rFonts w:asciiTheme="minorHAnsi" w:hAnsiTheme="minorHAnsi"/>
          <w:snapToGrid w:val="0"/>
          <w:lang w:val="en-GB"/>
        </w:rPr>
        <w:t>The Committee noted the flow-on changes to other fistulising CD listings to included UST in the list of eligible therapies.</w:t>
      </w:r>
    </w:p>
    <w:p w14:paraId="31E6A2C2" w14:textId="1219ED2A" w:rsidR="00F81A33" w:rsidRPr="00CE42B4" w:rsidRDefault="00FA442B" w:rsidP="00F81A3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the nominated comparators of ADA (primary) and IFX (secondary) were reasonable.</w:t>
      </w:r>
    </w:p>
    <w:p w14:paraId="3EB649EE" w14:textId="371F084E" w:rsidR="00FA442B" w:rsidRDefault="00FA442B" w:rsidP="00F81A33">
      <w:pPr>
        <w:widowControl w:val="0"/>
        <w:numPr>
          <w:ilvl w:val="1"/>
          <w:numId w:val="1"/>
        </w:numPr>
        <w:spacing w:after="120"/>
        <w:rPr>
          <w:rFonts w:asciiTheme="minorHAnsi" w:hAnsiTheme="minorHAnsi"/>
          <w:snapToGrid w:val="0"/>
          <w:lang w:val="en-GB"/>
        </w:rPr>
      </w:pPr>
      <w:r w:rsidRPr="00FA442B">
        <w:rPr>
          <w:rFonts w:asciiTheme="minorHAnsi" w:hAnsiTheme="minorHAnsi"/>
          <w:snapToGrid w:val="0"/>
          <w:lang w:val="en-GB"/>
        </w:rPr>
        <w:t xml:space="preserve">The PBAC noted the submission presented information from </w:t>
      </w:r>
      <w:r w:rsidR="0000373C">
        <w:rPr>
          <w:rFonts w:asciiTheme="minorHAnsi" w:hAnsiTheme="minorHAnsi"/>
          <w:snapToGrid w:val="0"/>
          <w:lang w:val="en-GB"/>
        </w:rPr>
        <w:t xml:space="preserve">the </w:t>
      </w:r>
      <w:r w:rsidRPr="00FA442B">
        <w:rPr>
          <w:rFonts w:asciiTheme="minorHAnsi" w:hAnsiTheme="minorHAnsi"/>
          <w:snapToGrid w:val="0"/>
          <w:lang w:val="en-GB"/>
        </w:rPr>
        <w:t>SEAVUE and STARDUST</w:t>
      </w:r>
      <w:r w:rsidR="0000373C">
        <w:rPr>
          <w:rFonts w:asciiTheme="minorHAnsi" w:hAnsiTheme="minorHAnsi"/>
          <w:snapToGrid w:val="0"/>
          <w:lang w:val="en-GB"/>
        </w:rPr>
        <w:t xml:space="preserve"> UST trials</w:t>
      </w:r>
      <w:r w:rsidRPr="00FA442B">
        <w:rPr>
          <w:rFonts w:asciiTheme="minorHAnsi" w:hAnsiTheme="minorHAnsi"/>
          <w:snapToGrid w:val="0"/>
          <w:lang w:val="en-GB"/>
        </w:rPr>
        <w:t xml:space="preserve">, in addition to the three UST, three ADA and two IFX trials </w:t>
      </w:r>
      <w:r w:rsidRPr="00FA442B">
        <w:rPr>
          <w:rFonts w:asciiTheme="minorHAnsi" w:hAnsiTheme="minorHAnsi"/>
          <w:snapToGrid w:val="0"/>
          <w:lang w:val="en-GB"/>
        </w:rPr>
        <w:lastRenderedPageBreak/>
        <w:t xml:space="preserve">presented </w:t>
      </w:r>
      <w:r w:rsidR="0000373C">
        <w:rPr>
          <w:rFonts w:asciiTheme="minorHAnsi" w:hAnsiTheme="minorHAnsi"/>
          <w:snapToGrid w:val="0"/>
          <w:lang w:val="en-GB"/>
        </w:rPr>
        <w:t>in the 2017 submission for</w:t>
      </w:r>
      <w:r w:rsidRPr="00FA442B">
        <w:rPr>
          <w:rFonts w:asciiTheme="minorHAnsi" w:hAnsiTheme="minorHAnsi"/>
          <w:snapToGrid w:val="0"/>
          <w:lang w:val="en-GB"/>
        </w:rPr>
        <w:t xml:space="preserve"> fistulising CD. The Committee noted the two additional trials </w:t>
      </w:r>
      <w:proofErr w:type="gramStart"/>
      <w:r w:rsidRPr="00FA442B">
        <w:rPr>
          <w:rFonts w:asciiTheme="minorHAnsi" w:hAnsiTheme="minorHAnsi"/>
          <w:snapToGrid w:val="0"/>
          <w:lang w:val="en-GB"/>
        </w:rPr>
        <w:t xml:space="preserve">were </w:t>
      </w:r>
      <w:r w:rsidR="00913AE3">
        <w:rPr>
          <w:rFonts w:asciiTheme="minorHAnsi" w:hAnsiTheme="minorHAnsi"/>
          <w:snapToGrid w:val="0"/>
          <w:lang w:val="en-GB"/>
        </w:rPr>
        <w:t>conducted</w:t>
      </w:r>
      <w:proofErr w:type="gramEnd"/>
      <w:r w:rsidR="00913AE3">
        <w:rPr>
          <w:rFonts w:asciiTheme="minorHAnsi" w:hAnsiTheme="minorHAnsi"/>
          <w:snapToGrid w:val="0"/>
          <w:lang w:val="en-GB"/>
        </w:rPr>
        <w:t xml:space="preserve"> </w:t>
      </w:r>
      <w:r w:rsidRPr="00FA442B">
        <w:rPr>
          <w:rFonts w:asciiTheme="minorHAnsi" w:hAnsiTheme="minorHAnsi"/>
          <w:snapToGrid w:val="0"/>
          <w:lang w:val="en-GB"/>
        </w:rPr>
        <w:t>in a broader CD population (similar to the original evidence base considered in 2017) and the fistulising CD evidence remained limited to small subgroups of these broader trials.</w:t>
      </w:r>
      <w:r w:rsidR="00913AE3">
        <w:rPr>
          <w:rFonts w:asciiTheme="minorHAnsi" w:hAnsiTheme="minorHAnsi"/>
          <w:snapToGrid w:val="0"/>
          <w:lang w:val="en-GB"/>
        </w:rPr>
        <w:t xml:space="preserve"> W</w:t>
      </w:r>
      <w:r w:rsidRPr="00FA442B">
        <w:rPr>
          <w:rFonts w:asciiTheme="minorHAnsi" w:hAnsiTheme="minorHAnsi"/>
          <w:snapToGrid w:val="0"/>
          <w:lang w:val="en-GB"/>
        </w:rPr>
        <w:t xml:space="preserve">hile the PBAC considered the STARDUST trial to be of limited usefulness to assess the claims (as a comparison of UST 'routine care' or 'treat to target' regimens), the Committee noted the SEAVUE trial was a </w:t>
      </w:r>
      <w:r w:rsidR="004E7F25" w:rsidRPr="00FA442B">
        <w:rPr>
          <w:rFonts w:asciiTheme="minorHAnsi" w:hAnsiTheme="minorHAnsi"/>
          <w:snapToGrid w:val="0"/>
          <w:lang w:val="en-GB"/>
        </w:rPr>
        <w:t>head-to-head</w:t>
      </w:r>
      <w:r w:rsidRPr="00FA442B">
        <w:rPr>
          <w:rFonts w:asciiTheme="minorHAnsi" w:hAnsiTheme="minorHAnsi"/>
          <w:snapToGrid w:val="0"/>
          <w:lang w:val="en-GB"/>
        </w:rPr>
        <w:t xml:space="preserve"> trial vs ADA and considered that </w:t>
      </w:r>
      <w:r w:rsidR="0000373C">
        <w:rPr>
          <w:rFonts w:asciiTheme="minorHAnsi" w:hAnsiTheme="minorHAnsi"/>
          <w:snapToGrid w:val="0"/>
          <w:lang w:val="en-GB"/>
        </w:rPr>
        <w:t>although</w:t>
      </w:r>
      <w:r w:rsidR="0000373C" w:rsidRPr="00FA442B">
        <w:rPr>
          <w:rFonts w:asciiTheme="minorHAnsi" w:hAnsiTheme="minorHAnsi"/>
          <w:snapToGrid w:val="0"/>
          <w:lang w:val="en-GB"/>
        </w:rPr>
        <w:t xml:space="preserve"> </w:t>
      </w:r>
      <w:r w:rsidRPr="00FA442B">
        <w:rPr>
          <w:rFonts w:asciiTheme="minorHAnsi" w:hAnsiTheme="minorHAnsi"/>
          <w:snapToGrid w:val="0"/>
          <w:lang w:val="en-GB"/>
        </w:rPr>
        <w:t>limited by small patient numbers, provided direct evidence to assess the comparative effectiveness of UST and ADA.</w:t>
      </w:r>
      <w:r>
        <w:rPr>
          <w:rFonts w:asciiTheme="minorHAnsi" w:hAnsiTheme="minorHAnsi"/>
          <w:snapToGrid w:val="0"/>
          <w:lang w:val="en-GB"/>
        </w:rPr>
        <w:t xml:space="preserve"> </w:t>
      </w:r>
    </w:p>
    <w:p w14:paraId="6A3AC0F2" w14:textId="638B2DC2" w:rsidR="00FA442B" w:rsidRDefault="00FA442B" w:rsidP="00F81A33">
      <w:pPr>
        <w:widowControl w:val="0"/>
        <w:numPr>
          <w:ilvl w:val="1"/>
          <w:numId w:val="1"/>
        </w:numPr>
        <w:spacing w:after="120"/>
        <w:rPr>
          <w:rFonts w:asciiTheme="minorHAnsi" w:hAnsiTheme="minorHAnsi"/>
          <w:snapToGrid w:val="0"/>
          <w:lang w:val="en-GB"/>
        </w:rPr>
      </w:pPr>
      <w:r w:rsidRPr="00FA442B">
        <w:rPr>
          <w:rFonts w:asciiTheme="minorHAnsi" w:hAnsiTheme="minorHAnsi"/>
          <w:snapToGrid w:val="0"/>
          <w:lang w:val="en-GB"/>
        </w:rPr>
        <w:t xml:space="preserve">The PBAC noted the available evidence versus placebo, which included small subgroup data from the same trials as previously presented in the 2017 submission (UNITI-1, UNITI-2 and IM-UNITI) did not show any statistically significant difference between UST and placebo on key fistula outcomes for either induction </w:t>
      </w:r>
      <w:r>
        <w:rPr>
          <w:rFonts w:asciiTheme="minorHAnsi" w:hAnsiTheme="minorHAnsi"/>
          <w:snapToGrid w:val="0"/>
          <w:lang w:val="en-GB"/>
        </w:rPr>
        <w:t>or</w:t>
      </w:r>
      <w:r w:rsidRPr="00FA442B">
        <w:rPr>
          <w:rFonts w:asciiTheme="minorHAnsi" w:hAnsiTheme="minorHAnsi"/>
          <w:snapToGrid w:val="0"/>
          <w:lang w:val="en-GB"/>
        </w:rPr>
        <w:t xml:space="preserve"> maintenance treatment, however also noted a numerical trend in favour of UST over placebo. Overall, the PBAC considered the very small size of the fistulising CD subgroups in the placebo-controlled trials, with less than 50 UST patients in induction (pooled UNITI-1/2) and less than 20 in maintenance (IM-UNITI),</w:t>
      </w:r>
      <w:r>
        <w:rPr>
          <w:rFonts w:asciiTheme="minorHAnsi" w:hAnsiTheme="minorHAnsi"/>
          <w:snapToGrid w:val="0"/>
          <w:lang w:val="en-GB"/>
        </w:rPr>
        <w:t xml:space="preserve"> led to substantial uncertainty and</w:t>
      </w:r>
      <w:r w:rsidRPr="00FA442B">
        <w:rPr>
          <w:rFonts w:asciiTheme="minorHAnsi" w:hAnsiTheme="minorHAnsi"/>
          <w:snapToGrid w:val="0"/>
          <w:lang w:val="en-GB"/>
        </w:rPr>
        <w:t xml:space="preserve"> complicated assessment of the clinical claim. The PBAC noted the indirect treatment comparisons based on this data did not show a statistically significant difference between UST and ADA, but did favour IFX over UST</w:t>
      </w:r>
      <w:r w:rsidR="004E7F25">
        <w:rPr>
          <w:rFonts w:asciiTheme="minorHAnsi" w:hAnsiTheme="minorHAnsi"/>
          <w:snapToGrid w:val="0"/>
          <w:lang w:val="en-GB"/>
        </w:rPr>
        <w:t>;</w:t>
      </w:r>
      <w:r w:rsidRPr="00FA442B">
        <w:rPr>
          <w:rFonts w:asciiTheme="minorHAnsi" w:hAnsiTheme="minorHAnsi"/>
          <w:snapToGrid w:val="0"/>
          <w:lang w:val="en-GB"/>
        </w:rPr>
        <w:t xml:space="preserve"> </w:t>
      </w:r>
      <w:r w:rsidR="004E7F25" w:rsidRPr="00FA442B">
        <w:rPr>
          <w:rFonts w:asciiTheme="minorHAnsi" w:hAnsiTheme="minorHAnsi"/>
          <w:snapToGrid w:val="0"/>
          <w:lang w:val="en-GB"/>
        </w:rPr>
        <w:t>however,</w:t>
      </w:r>
      <w:r w:rsidRPr="00FA442B">
        <w:rPr>
          <w:rFonts w:asciiTheme="minorHAnsi" w:hAnsiTheme="minorHAnsi"/>
          <w:snapToGrid w:val="0"/>
          <w:lang w:val="en-GB"/>
        </w:rPr>
        <w:t xml:space="preserve"> considered these comparisons </w:t>
      </w:r>
      <w:proofErr w:type="gramStart"/>
      <w:r w:rsidRPr="00FA442B">
        <w:rPr>
          <w:rFonts w:asciiTheme="minorHAnsi" w:hAnsiTheme="minorHAnsi"/>
          <w:snapToGrid w:val="0"/>
          <w:lang w:val="en-GB"/>
        </w:rPr>
        <w:t>were similarly limited</w:t>
      </w:r>
      <w:proofErr w:type="gramEnd"/>
      <w:r w:rsidRPr="00FA442B">
        <w:rPr>
          <w:rFonts w:asciiTheme="minorHAnsi" w:hAnsiTheme="minorHAnsi"/>
          <w:snapToGrid w:val="0"/>
          <w:lang w:val="en-GB"/>
        </w:rPr>
        <w:t xml:space="preserve"> by the </w:t>
      </w:r>
      <w:r>
        <w:rPr>
          <w:rFonts w:asciiTheme="minorHAnsi" w:hAnsiTheme="minorHAnsi"/>
          <w:snapToGrid w:val="0"/>
          <w:lang w:val="en-GB"/>
        </w:rPr>
        <w:t>available data</w:t>
      </w:r>
      <w:r w:rsidRPr="00FA442B">
        <w:rPr>
          <w:rFonts w:asciiTheme="minorHAnsi" w:hAnsiTheme="minorHAnsi"/>
          <w:snapToGrid w:val="0"/>
          <w:lang w:val="en-GB"/>
        </w:rPr>
        <w:t>.</w:t>
      </w:r>
      <w:r>
        <w:rPr>
          <w:rFonts w:asciiTheme="minorHAnsi" w:hAnsiTheme="minorHAnsi"/>
          <w:snapToGrid w:val="0"/>
          <w:lang w:val="en-GB"/>
        </w:rPr>
        <w:t xml:space="preserve"> </w:t>
      </w:r>
    </w:p>
    <w:p w14:paraId="5199F679" w14:textId="42E64EBC" w:rsidR="00FA442B" w:rsidRDefault="00FA442B" w:rsidP="00F81A33">
      <w:pPr>
        <w:widowControl w:val="0"/>
        <w:numPr>
          <w:ilvl w:val="1"/>
          <w:numId w:val="1"/>
        </w:numPr>
        <w:spacing w:after="120"/>
        <w:rPr>
          <w:rFonts w:asciiTheme="minorHAnsi" w:hAnsiTheme="minorHAnsi"/>
          <w:snapToGrid w:val="0"/>
          <w:lang w:val="en-GB"/>
        </w:rPr>
      </w:pPr>
      <w:r w:rsidRPr="00FA442B">
        <w:rPr>
          <w:rFonts w:asciiTheme="minorHAnsi" w:hAnsiTheme="minorHAnsi"/>
          <w:snapToGrid w:val="0"/>
          <w:lang w:val="en-GB"/>
        </w:rPr>
        <w:t xml:space="preserve">The PBAC considered the results of the subgroup analysis from SEAVUE, while also limited, indicated </w:t>
      </w:r>
      <w:r w:rsidR="004E7F25">
        <w:rPr>
          <w:rFonts w:asciiTheme="minorHAnsi" w:hAnsiTheme="minorHAnsi"/>
          <w:snapToGrid w:val="0"/>
          <w:lang w:val="en-GB"/>
        </w:rPr>
        <w:t xml:space="preserve">UST </w:t>
      </w:r>
      <w:r w:rsidRPr="00FA442B">
        <w:rPr>
          <w:rFonts w:asciiTheme="minorHAnsi" w:hAnsiTheme="minorHAnsi"/>
          <w:snapToGrid w:val="0"/>
          <w:lang w:val="en-GB"/>
        </w:rPr>
        <w:t xml:space="preserve">may be similarly effective to </w:t>
      </w:r>
      <w:r w:rsidR="0000373C">
        <w:rPr>
          <w:rFonts w:asciiTheme="minorHAnsi" w:hAnsiTheme="minorHAnsi"/>
          <w:snapToGrid w:val="0"/>
          <w:lang w:val="en-GB"/>
        </w:rPr>
        <w:t>ADA</w:t>
      </w:r>
      <w:r w:rsidR="0000373C" w:rsidRPr="00FA442B">
        <w:rPr>
          <w:rFonts w:asciiTheme="minorHAnsi" w:hAnsiTheme="minorHAnsi"/>
          <w:snapToGrid w:val="0"/>
          <w:lang w:val="en-GB"/>
        </w:rPr>
        <w:t xml:space="preserve"> </w:t>
      </w:r>
      <w:r w:rsidRPr="00FA442B">
        <w:rPr>
          <w:rFonts w:asciiTheme="minorHAnsi" w:hAnsiTheme="minorHAnsi"/>
          <w:snapToGrid w:val="0"/>
          <w:lang w:val="en-GB"/>
        </w:rPr>
        <w:t>over the longer term (beyond 24 weeks). The PBAC noted UST appeared to be less effective than ADA in early treatment, with a lower proportion achieving response and</w:t>
      </w:r>
      <w:r w:rsidR="00927756">
        <w:rPr>
          <w:rFonts w:asciiTheme="minorHAnsi" w:hAnsiTheme="minorHAnsi"/>
          <w:snapToGrid w:val="0"/>
          <w:lang w:val="en-GB"/>
        </w:rPr>
        <w:t>/or</w:t>
      </w:r>
      <w:r w:rsidRPr="00FA442B">
        <w:rPr>
          <w:rFonts w:asciiTheme="minorHAnsi" w:hAnsiTheme="minorHAnsi"/>
          <w:snapToGrid w:val="0"/>
          <w:lang w:val="en-GB"/>
        </w:rPr>
        <w:t xml:space="preserve"> remission out to week </w:t>
      </w:r>
      <w:proofErr w:type="gramStart"/>
      <w:r w:rsidR="004E7F25" w:rsidRPr="00FA442B">
        <w:rPr>
          <w:rFonts w:asciiTheme="minorHAnsi" w:hAnsiTheme="minorHAnsi"/>
          <w:snapToGrid w:val="0"/>
          <w:lang w:val="en-GB"/>
        </w:rPr>
        <w:t>24</w:t>
      </w:r>
      <w:proofErr w:type="gramEnd"/>
      <w:r w:rsidR="004E7F25">
        <w:rPr>
          <w:rFonts w:asciiTheme="minorHAnsi" w:hAnsiTheme="minorHAnsi"/>
          <w:snapToGrid w:val="0"/>
          <w:lang w:val="en-GB"/>
        </w:rPr>
        <w:t xml:space="preserve"> but</w:t>
      </w:r>
      <w:r w:rsidRPr="00FA442B">
        <w:rPr>
          <w:rFonts w:asciiTheme="minorHAnsi" w:hAnsiTheme="minorHAnsi"/>
          <w:snapToGrid w:val="0"/>
          <w:lang w:val="en-GB"/>
        </w:rPr>
        <w:t xml:space="preserve"> converging by week 32. The Committee considered the pharmacological profile of UST, as an IL-12/23 inhibitor, was </w:t>
      </w:r>
      <w:proofErr w:type="gramStart"/>
      <w:r w:rsidRPr="00FA442B">
        <w:rPr>
          <w:rFonts w:asciiTheme="minorHAnsi" w:hAnsiTheme="minorHAnsi"/>
          <w:snapToGrid w:val="0"/>
          <w:lang w:val="en-GB"/>
        </w:rPr>
        <w:t>generally well</w:t>
      </w:r>
      <w:proofErr w:type="gramEnd"/>
      <w:r w:rsidRPr="00FA442B">
        <w:rPr>
          <w:rFonts w:asciiTheme="minorHAnsi" w:hAnsiTheme="minorHAnsi"/>
          <w:snapToGrid w:val="0"/>
          <w:lang w:val="en-GB"/>
        </w:rPr>
        <w:t xml:space="preserve"> understood and its effects on the underlying inflammatory pathway resulted in a longer time to achieve similar effectiveness </w:t>
      </w:r>
      <w:r w:rsidR="00927756">
        <w:rPr>
          <w:rFonts w:asciiTheme="minorHAnsi" w:hAnsiTheme="minorHAnsi"/>
          <w:snapToGrid w:val="0"/>
          <w:lang w:val="en-GB"/>
        </w:rPr>
        <w:t>than the</w:t>
      </w:r>
      <w:r w:rsidRPr="00FA442B">
        <w:rPr>
          <w:rFonts w:asciiTheme="minorHAnsi" w:hAnsiTheme="minorHAnsi"/>
          <w:snapToGrid w:val="0"/>
          <w:lang w:val="en-GB"/>
        </w:rPr>
        <w:t xml:space="preserve"> </w:t>
      </w:r>
      <w:r w:rsidR="00927756">
        <w:rPr>
          <w:rFonts w:asciiTheme="minorHAnsi" w:hAnsiTheme="minorHAnsi"/>
          <w:snapToGrid w:val="0"/>
          <w:lang w:val="en-GB"/>
        </w:rPr>
        <w:t xml:space="preserve">TNF </w:t>
      </w:r>
      <w:r w:rsidRPr="00FA442B">
        <w:rPr>
          <w:rFonts w:asciiTheme="minorHAnsi" w:hAnsiTheme="minorHAnsi"/>
          <w:snapToGrid w:val="0"/>
          <w:lang w:val="en-GB"/>
        </w:rPr>
        <w:t>inhibitors, with a longer tail of effec</w:t>
      </w:r>
      <w:r w:rsidR="00927756">
        <w:rPr>
          <w:rFonts w:asciiTheme="minorHAnsi" w:hAnsiTheme="minorHAnsi"/>
          <w:snapToGrid w:val="0"/>
          <w:lang w:val="en-GB"/>
        </w:rPr>
        <w:t>t</w:t>
      </w:r>
      <w:r w:rsidRPr="00FA442B">
        <w:rPr>
          <w:rFonts w:asciiTheme="minorHAnsi" w:hAnsiTheme="minorHAnsi"/>
          <w:snapToGrid w:val="0"/>
          <w:lang w:val="en-GB"/>
        </w:rPr>
        <w:t xml:space="preserve"> post-cessation of treatment. While it agreed with the ESC that a higher proportion of patients who responded to treatment would continue to experience worse symptoms associated with their disease for a longer period, was of the view that on balance, UST was likely to be similarly effective to ADA for the treatment of fistulising CD</w:t>
      </w:r>
      <w:r w:rsidR="00555EF0">
        <w:rPr>
          <w:rFonts w:asciiTheme="minorHAnsi" w:hAnsiTheme="minorHAnsi"/>
          <w:snapToGrid w:val="0"/>
          <w:lang w:val="en-GB"/>
        </w:rPr>
        <w:t xml:space="preserve"> over the longer term</w:t>
      </w:r>
      <w:r w:rsidRPr="00FA442B">
        <w:rPr>
          <w:rFonts w:asciiTheme="minorHAnsi" w:hAnsiTheme="minorHAnsi"/>
          <w:snapToGrid w:val="0"/>
          <w:lang w:val="en-GB"/>
        </w:rPr>
        <w:t>.</w:t>
      </w:r>
      <w:r w:rsidR="00D0075D">
        <w:rPr>
          <w:rFonts w:asciiTheme="minorHAnsi" w:hAnsiTheme="minorHAnsi"/>
          <w:snapToGrid w:val="0"/>
          <w:lang w:val="en-GB"/>
        </w:rPr>
        <w:t xml:space="preserve"> </w:t>
      </w:r>
      <w:r w:rsidR="005C0759" w:rsidRPr="005C0759">
        <w:rPr>
          <w:rFonts w:asciiTheme="minorHAnsi" w:hAnsiTheme="minorHAnsi"/>
          <w:snapToGrid w:val="0"/>
          <w:lang w:val="en-GB"/>
        </w:rPr>
        <w:t>With regards to the claims versus IFX, the PBAC recalled it had recommended ADA on a cost minimisation basis with IFX with a similar level of data to what was currently available for UST and considered there remained a high clinical need for additional therapies for the treatment of fistulising CD. On balance, the PBAC considered a claim of non-inferior comparative effectiveness between UST and IFX was also likely to be reasonable.</w:t>
      </w:r>
    </w:p>
    <w:p w14:paraId="643B2806" w14:textId="36015BD6" w:rsidR="00F81A33" w:rsidRPr="00CE42B4" w:rsidRDefault="00927756" w:rsidP="00F81A3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submission claims for comparative safety</w:t>
      </w:r>
      <w:r w:rsidR="00D0075D">
        <w:rPr>
          <w:rFonts w:asciiTheme="minorHAnsi" w:hAnsiTheme="minorHAnsi"/>
          <w:snapToGrid w:val="0"/>
          <w:lang w:val="en-GB"/>
        </w:rPr>
        <w:t xml:space="preserve"> versus ADA and IFX</w:t>
      </w:r>
      <w:r>
        <w:rPr>
          <w:rFonts w:asciiTheme="minorHAnsi" w:hAnsiTheme="minorHAnsi"/>
          <w:snapToGrid w:val="0"/>
          <w:lang w:val="en-GB"/>
        </w:rPr>
        <w:t xml:space="preserve"> were based upon the ITT populations of the UST trials for severe CD, on the basis there was no reason to expect a difference in safety between severe CD and fistulising CD and considered this was reasonable. The Committee also noted the new trials found </w:t>
      </w:r>
      <w:r>
        <w:rPr>
          <w:rFonts w:asciiTheme="minorHAnsi" w:hAnsiTheme="minorHAnsi"/>
          <w:snapToGrid w:val="0"/>
          <w:lang w:val="en-GB"/>
        </w:rPr>
        <w:lastRenderedPageBreak/>
        <w:t>no difference in safety between the routine care and treat to target regimens (STARDUST) and found ADA was associated with higher rates of injection site reactions and treatment discontinuations</w:t>
      </w:r>
      <w:r w:rsidR="0000373C">
        <w:rPr>
          <w:rFonts w:asciiTheme="minorHAnsi" w:hAnsiTheme="minorHAnsi"/>
          <w:snapToGrid w:val="0"/>
          <w:lang w:val="en-GB"/>
        </w:rPr>
        <w:t xml:space="preserve"> compared with UST</w:t>
      </w:r>
      <w:r>
        <w:rPr>
          <w:rFonts w:asciiTheme="minorHAnsi" w:hAnsiTheme="minorHAnsi"/>
          <w:snapToGrid w:val="0"/>
          <w:lang w:val="en-GB"/>
        </w:rPr>
        <w:t xml:space="preserve"> in SEAVUE. Overall, the PBAC considered there were no new safety signals in the data and given the safety profile of </w:t>
      </w:r>
      <w:r w:rsidR="0000373C">
        <w:rPr>
          <w:rFonts w:asciiTheme="minorHAnsi" w:hAnsiTheme="minorHAnsi"/>
          <w:snapToGrid w:val="0"/>
          <w:lang w:val="en-GB"/>
        </w:rPr>
        <w:t xml:space="preserve">UST </w:t>
      </w:r>
      <w:r>
        <w:rPr>
          <w:rFonts w:asciiTheme="minorHAnsi" w:hAnsiTheme="minorHAnsi"/>
          <w:snapToGrid w:val="0"/>
          <w:lang w:val="en-GB"/>
        </w:rPr>
        <w:t xml:space="preserve">is well established, also considered the claim of non-inferior comparative safety </w:t>
      </w:r>
      <w:r w:rsidR="0000373C">
        <w:rPr>
          <w:rFonts w:asciiTheme="minorHAnsi" w:hAnsiTheme="minorHAnsi"/>
          <w:snapToGrid w:val="0"/>
          <w:lang w:val="en-GB"/>
        </w:rPr>
        <w:t>to ADA</w:t>
      </w:r>
      <w:r w:rsidR="00D0075D">
        <w:rPr>
          <w:rFonts w:asciiTheme="minorHAnsi" w:hAnsiTheme="minorHAnsi"/>
          <w:snapToGrid w:val="0"/>
          <w:lang w:val="en-GB"/>
        </w:rPr>
        <w:t xml:space="preserve"> and IFX</w:t>
      </w:r>
      <w:r w:rsidR="0000373C">
        <w:rPr>
          <w:rFonts w:asciiTheme="minorHAnsi" w:hAnsiTheme="minorHAnsi"/>
          <w:snapToGrid w:val="0"/>
          <w:lang w:val="en-GB"/>
        </w:rPr>
        <w:t xml:space="preserve"> </w:t>
      </w:r>
      <w:r>
        <w:rPr>
          <w:rFonts w:asciiTheme="minorHAnsi" w:hAnsiTheme="minorHAnsi"/>
          <w:snapToGrid w:val="0"/>
          <w:lang w:val="en-GB"/>
        </w:rPr>
        <w:t>was reasonable.</w:t>
      </w:r>
    </w:p>
    <w:p w14:paraId="4C7B50CA" w14:textId="5B93F1A7" w:rsidR="00F81A33" w:rsidRPr="00CE42B4" w:rsidRDefault="00927756" w:rsidP="00F81A3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Given its view on the comparative effectiveness of UST </w:t>
      </w:r>
      <w:r w:rsidR="00C67964">
        <w:rPr>
          <w:rFonts w:asciiTheme="minorHAnsi" w:hAnsiTheme="minorHAnsi"/>
          <w:snapToGrid w:val="0"/>
          <w:lang w:val="en-GB"/>
        </w:rPr>
        <w:t xml:space="preserve">to ADA </w:t>
      </w:r>
      <w:r w:rsidR="005C0759">
        <w:rPr>
          <w:rFonts w:asciiTheme="minorHAnsi" w:hAnsiTheme="minorHAnsi"/>
          <w:snapToGrid w:val="0"/>
          <w:lang w:val="en-GB"/>
        </w:rPr>
        <w:t>and IFX</w:t>
      </w:r>
      <w:r>
        <w:rPr>
          <w:rFonts w:asciiTheme="minorHAnsi" w:hAnsiTheme="minorHAnsi"/>
          <w:snapToGrid w:val="0"/>
          <w:lang w:val="en-GB"/>
        </w:rPr>
        <w:t>, the PBAC considered that listing based on a cost minimisation approach with costs over two years, consistent with the approach previously used for bDMARDs/tsDMARDs, was appropriate to determine the cost minimised price of UST. The PBAC considered the cost of UST should be no greater than the alternative therapies</w:t>
      </w:r>
      <w:r w:rsidR="00C67964">
        <w:rPr>
          <w:rFonts w:asciiTheme="minorHAnsi" w:hAnsiTheme="minorHAnsi"/>
          <w:snapToGrid w:val="0"/>
          <w:lang w:val="en-GB"/>
        </w:rPr>
        <w:t xml:space="preserve">, accounting for the split of maintenance regimens of </w:t>
      </w:r>
      <w:r w:rsidR="00C67964" w:rsidRPr="00322704">
        <w:rPr>
          <w:rFonts w:asciiTheme="minorHAnsi" w:hAnsiTheme="minorHAnsi"/>
          <w:snapToGrid w:val="0"/>
          <w:lang w:val="en-GB"/>
        </w:rPr>
        <w:t>88% at 8-weekly and 12</w:t>
      </w:r>
      <w:r w:rsidR="00C67964">
        <w:rPr>
          <w:rFonts w:asciiTheme="minorHAnsi" w:hAnsiTheme="minorHAnsi"/>
          <w:snapToGrid w:val="0"/>
          <w:lang w:val="en-GB"/>
        </w:rPr>
        <w:t xml:space="preserve">% at 12-weekly dosing (paragraph </w:t>
      </w:r>
      <w:r w:rsidR="00C67964">
        <w:rPr>
          <w:rFonts w:asciiTheme="minorHAnsi" w:hAnsiTheme="minorHAnsi"/>
          <w:snapToGrid w:val="0"/>
          <w:lang w:val="en-GB"/>
        </w:rPr>
        <w:fldChar w:fldCharType="begin"/>
      </w:r>
      <w:r w:rsidR="00C67964">
        <w:rPr>
          <w:rFonts w:asciiTheme="minorHAnsi" w:hAnsiTheme="minorHAnsi"/>
          <w:snapToGrid w:val="0"/>
          <w:lang w:val="en-GB"/>
        </w:rPr>
        <w:instrText xml:space="preserve"> REF _Ref140654089 \r \h </w:instrText>
      </w:r>
      <w:r w:rsidR="00C67964">
        <w:rPr>
          <w:rFonts w:asciiTheme="minorHAnsi" w:hAnsiTheme="minorHAnsi"/>
          <w:snapToGrid w:val="0"/>
          <w:lang w:val="en-GB"/>
        </w:rPr>
      </w:r>
      <w:r w:rsidR="00C67964">
        <w:rPr>
          <w:rFonts w:asciiTheme="minorHAnsi" w:hAnsiTheme="minorHAnsi"/>
          <w:snapToGrid w:val="0"/>
          <w:lang w:val="en-GB"/>
        </w:rPr>
        <w:fldChar w:fldCharType="separate"/>
      </w:r>
      <w:r w:rsidR="00522D5A">
        <w:rPr>
          <w:rFonts w:asciiTheme="minorHAnsi" w:hAnsiTheme="minorHAnsi"/>
          <w:snapToGrid w:val="0"/>
          <w:lang w:val="en-GB"/>
        </w:rPr>
        <w:t>7.2</w:t>
      </w:r>
      <w:r w:rsidR="00C67964">
        <w:rPr>
          <w:rFonts w:asciiTheme="minorHAnsi" w:hAnsiTheme="minorHAnsi"/>
          <w:snapToGrid w:val="0"/>
          <w:lang w:val="en-GB"/>
        </w:rPr>
        <w:fldChar w:fldCharType="end"/>
      </w:r>
      <w:r w:rsidR="00C67964">
        <w:rPr>
          <w:rFonts w:asciiTheme="minorHAnsi" w:hAnsiTheme="minorHAnsi"/>
          <w:snapToGrid w:val="0"/>
          <w:lang w:val="en-GB"/>
        </w:rPr>
        <w:t xml:space="preserve"> refers)</w:t>
      </w:r>
      <w:r>
        <w:rPr>
          <w:rFonts w:asciiTheme="minorHAnsi" w:hAnsiTheme="minorHAnsi"/>
          <w:snapToGrid w:val="0"/>
          <w:lang w:val="en-GB"/>
        </w:rPr>
        <w:t>.</w:t>
      </w:r>
    </w:p>
    <w:p w14:paraId="31D7215C" w14:textId="0FB4777A" w:rsidR="00F81A33" w:rsidRPr="00CE42B4" w:rsidRDefault="00555EF0" w:rsidP="00F81A33">
      <w:pPr>
        <w:widowControl w:val="0"/>
        <w:numPr>
          <w:ilvl w:val="1"/>
          <w:numId w:val="1"/>
        </w:numPr>
        <w:spacing w:after="120"/>
      </w:pPr>
      <w:r>
        <w:rPr>
          <w:rFonts w:asciiTheme="minorHAnsi" w:hAnsiTheme="minorHAnsi"/>
          <w:snapToGrid w:val="0"/>
          <w:lang w:val="en-GB"/>
        </w:rPr>
        <w:t>The PBAC considered that, under the parameters of its recommended listing on a cost minimisation basis with the least costly of ADA and IFX, the listing of UST would most likely be cost neutral to the PBS or result in a modest save as it will only replace therapies that are either of equivalent cost or more expensive.</w:t>
      </w:r>
    </w:p>
    <w:p w14:paraId="71576102" w14:textId="151FB28E" w:rsidR="00555EF0" w:rsidRPr="00555EF0" w:rsidRDefault="00555EF0" w:rsidP="00555EF0">
      <w:pPr>
        <w:widowControl w:val="0"/>
        <w:numPr>
          <w:ilvl w:val="1"/>
          <w:numId w:val="1"/>
        </w:numPr>
        <w:spacing w:after="120"/>
        <w:rPr>
          <w:rFonts w:asciiTheme="minorHAnsi" w:hAnsiTheme="minorHAnsi"/>
          <w:snapToGrid w:val="0"/>
          <w:lang w:val="en-GB"/>
        </w:rPr>
      </w:pPr>
      <w:r w:rsidRPr="00A90D04">
        <w:rPr>
          <w:rFonts w:asciiTheme="minorHAnsi" w:hAnsiTheme="minorHAnsi"/>
          <w:snapToGrid w:val="0"/>
          <w:lang w:val="en-GB"/>
        </w:rPr>
        <w:t xml:space="preserve">The PBAC noted that its recommendation was on a cost-minimisation basis and advised that, because UST is not expected to provide a substantial and clinically relevant improvement in efficacy, or reduction of toxicity, over the alternative therapies, or not expected to address a high and urgent unmet clinical need given the presence of an alternative therapy, the criteria prescribed by the </w:t>
      </w:r>
      <w:r w:rsidRPr="0047761E">
        <w:rPr>
          <w:rFonts w:asciiTheme="minorHAnsi" w:hAnsiTheme="minorHAnsi"/>
          <w:i/>
          <w:iCs/>
          <w:snapToGrid w:val="0"/>
          <w:lang w:val="en-GB"/>
        </w:rPr>
        <w:t>National Health (Pharmaceuticals and Vaccines – Cost Recovery) Regulations 2022</w:t>
      </w:r>
      <w:r w:rsidRPr="00A90D04">
        <w:rPr>
          <w:rFonts w:asciiTheme="minorHAnsi" w:hAnsiTheme="minorHAnsi"/>
          <w:snapToGrid w:val="0"/>
          <w:lang w:val="en-GB"/>
        </w:rPr>
        <w:t xml:space="preserve"> for Pricing Pathway A were not met.</w:t>
      </w:r>
    </w:p>
    <w:p w14:paraId="7237F44E" w14:textId="40D07A13" w:rsidR="00F81A33" w:rsidRPr="00555EF0" w:rsidRDefault="00F81A33" w:rsidP="00555EF0">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sidR="00555EF0">
        <w:rPr>
          <w:rFonts w:asciiTheme="minorHAnsi" w:hAnsiTheme="minorHAnsi"/>
          <w:bCs/>
          <w:snapToGrid w:val="0"/>
          <w:lang w:val="en-GB"/>
        </w:rPr>
        <w:t>, as it received a positive recommendation</w:t>
      </w:r>
      <w:r w:rsidRPr="00525B39">
        <w:rPr>
          <w:rFonts w:asciiTheme="minorHAnsi" w:hAnsiTheme="minorHAnsi"/>
          <w:bCs/>
          <w:snapToGrid w:val="0"/>
          <w:lang w:val="en-GB"/>
        </w:rPr>
        <w:t xml:space="preserve">. </w:t>
      </w:r>
    </w:p>
    <w:p w14:paraId="67A44BB2" w14:textId="77777777" w:rsidR="00F81A33" w:rsidRPr="00525B39" w:rsidRDefault="00F81A33" w:rsidP="00F81A33">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8C8DFFF" w14:textId="0597FEFB" w:rsidR="00F81A33" w:rsidRPr="00240923" w:rsidRDefault="00F81A33" w:rsidP="00240923">
      <w:pPr>
        <w:rPr>
          <w:rFonts w:asciiTheme="minorHAnsi" w:hAnsiTheme="minorHAnsi"/>
          <w:bCs/>
          <w:snapToGrid w:val="0"/>
          <w:lang w:val="en-GB"/>
        </w:rPr>
      </w:pPr>
      <w:r w:rsidRPr="00525B39">
        <w:rPr>
          <w:rFonts w:asciiTheme="minorHAnsi" w:hAnsiTheme="minorHAnsi"/>
          <w:bCs/>
          <w:snapToGrid w:val="0"/>
          <w:lang w:val="en-GB"/>
        </w:rPr>
        <w:t>Recommended</w:t>
      </w:r>
    </w:p>
    <w:bookmarkEnd w:id="48"/>
    <w:p w14:paraId="660CBCB2" w14:textId="08CCD52E" w:rsidR="00F81A33" w:rsidRPr="00F237A4" w:rsidRDefault="00F81A33" w:rsidP="00EB57EC">
      <w:pPr>
        <w:pStyle w:val="2-SectionHeading"/>
        <w:rPr>
          <w:iCs/>
          <w:lang w:val="en-GB"/>
        </w:rPr>
      </w:pPr>
      <w:r w:rsidRPr="00525B39">
        <w:rPr>
          <w:lang w:val="en-GB"/>
        </w:rPr>
        <w:t>Recommended listing</w:t>
      </w:r>
    </w:p>
    <w:p w14:paraId="7B55F01C" w14:textId="3C49C530" w:rsidR="00F81A33" w:rsidRPr="00817DB7" w:rsidRDefault="00F81A33" w:rsidP="00F81A33">
      <w:pPr>
        <w:widowControl w:val="0"/>
        <w:numPr>
          <w:ilvl w:val="1"/>
          <w:numId w:val="1"/>
        </w:numPr>
        <w:spacing w:after="120"/>
        <w:contextualSpacing/>
        <w:rPr>
          <w:rFonts w:asciiTheme="minorHAnsi" w:hAnsiTheme="minorHAnsi"/>
          <w:b/>
          <w:bCs/>
          <w:snapToGrid w:val="0"/>
        </w:rPr>
      </w:pPr>
      <w:r w:rsidRPr="00817DB7">
        <w:rPr>
          <w:rFonts w:asciiTheme="minorHAnsi" w:hAnsiTheme="minorHAnsi"/>
          <w:bCs/>
          <w:snapToGrid w:val="0"/>
        </w:rPr>
        <w:t>Add new item</w:t>
      </w:r>
      <w:r w:rsidR="00817DB7">
        <w:rPr>
          <w:rFonts w:asciiTheme="minorHAnsi" w:hAnsiTheme="minorHAnsi"/>
          <w:bCs/>
          <w:snapToGrid w:val="0"/>
        </w:rPr>
        <w:t>s</w:t>
      </w:r>
      <w:r w:rsidRPr="00817DB7">
        <w:rPr>
          <w:rFonts w:asciiTheme="minorHAnsi" w:hAnsiTheme="minorHAnsi"/>
          <w:bCs/>
          <w:snapToGrid w:val="0"/>
        </w:rPr>
        <w:t>:</w:t>
      </w:r>
      <w:bookmarkEnd w:id="49"/>
    </w:p>
    <w:bookmarkEnd w:id="50"/>
    <w:bookmarkEnd w:id="47"/>
    <w:p w14:paraId="638E5A81" w14:textId="77777777" w:rsidR="00ED2D72" w:rsidRDefault="00ED2D72" w:rsidP="001A56FA"/>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211"/>
        <w:gridCol w:w="6"/>
        <w:gridCol w:w="322"/>
        <w:gridCol w:w="2631"/>
        <w:gridCol w:w="811"/>
        <w:gridCol w:w="812"/>
        <w:gridCol w:w="811"/>
        <w:gridCol w:w="812"/>
        <w:gridCol w:w="1809"/>
      </w:tblGrid>
      <w:tr w:rsidR="00ED2D72" w:rsidRPr="005E7DE4" w14:paraId="767A2D85" w14:textId="77777777" w:rsidTr="00240923">
        <w:trPr>
          <w:cantSplit/>
          <w:trHeight w:val="20"/>
        </w:trPr>
        <w:tc>
          <w:tcPr>
            <w:tcW w:w="3940" w:type="dxa"/>
            <w:gridSpan w:val="5"/>
            <w:vAlign w:val="center"/>
          </w:tcPr>
          <w:p w14:paraId="1A751469" w14:textId="77777777" w:rsidR="00ED2D72" w:rsidRPr="005E7DE4" w:rsidRDefault="00ED2D72" w:rsidP="002F6E81">
            <w:pPr>
              <w:keepLines/>
              <w:rPr>
                <w:rFonts w:ascii="Arial Narrow" w:hAnsi="Arial Narrow"/>
                <w:b/>
                <w:bCs/>
                <w:sz w:val="20"/>
                <w:szCs w:val="20"/>
              </w:rPr>
            </w:pPr>
            <w:r w:rsidRPr="005E7DE4">
              <w:rPr>
                <w:rFonts w:ascii="Arial Narrow" w:hAnsi="Arial Narrow"/>
                <w:b/>
                <w:bCs/>
                <w:sz w:val="20"/>
                <w:szCs w:val="20"/>
              </w:rPr>
              <w:t>MEDICINAL PRODUCT</w:t>
            </w:r>
          </w:p>
          <w:p w14:paraId="189CAFA7" w14:textId="77777777" w:rsidR="00ED2D72" w:rsidRPr="005E7DE4" w:rsidRDefault="00ED2D72" w:rsidP="002F6E81">
            <w:pPr>
              <w:keepLines/>
              <w:rPr>
                <w:rFonts w:ascii="Arial Narrow" w:hAnsi="Arial Narrow"/>
                <w:b/>
                <w:sz w:val="20"/>
                <w:szCs w:val="20"/>
              </w:rPr>
            </w:pPr>
            <w:r w:rsidRPr="005E7DE4">
              <w:rPr>
                <w:rFonts w:ascii="Arial Narrow" w:hAnsi="Arial Narrow"/>
                <w:b/>
                <w:bCs/>
                <w:sz w:val="20"/>
                <w:szCs w:val="20"/>
              </w:rPr>
              <w:t>medicinal product pack</w:t>
            </w:r>
          </w:p>
        </w:tc>
        <w:tc>
          <w:tcPr>
            <w:tcW w:w="811" w:type="dxa"/>
            <w:vAlign w:val="center"/>
          </w:tcPr>
          <w:p w14:paraId="4E0B534A" w14:textId="77777777" w:rsidR="00ED2D72" w:rsidRPr="005E7DE4" w:rsidRDefault="00ED2D72" w:rsidP="002F6E81">
            <w:pPr>
              <w:keepLines/>
              <w:jc w:val="center"/>
              <w:rPr>
                <w:rFonts w:ascii="Arial Narrow" w:hAnsi="Arial Narrow"/>
                <w:b/>
                <w:sz w:val="20"/>
                <w:szCs w:val="20"/>
              </w:rPr>
            </w:pPr>
            <w:r w:rsidRPr="005E7DE4">
              <w:rPr>
                <w:rFonts w:ascii="Arial Narrow" w:hAnsi="Arial Narrow"/>
                <w:b/>
                <w:sz w:val="20"/>
                <w:szCs w:val="20"/>
              </w:rPr>
              <w:t>PBS item code</w:t>
            </w:r>
          </w:p>
        </w:tc>
        <w:tc>
          <w:tcPr>
            <w:tcW w:w="812" w:type="dxa"/>
            <w:vAlign w:val="center"/>
          </w:tcPr>
          <w:p w14:paraId="23870B83" w14:textId="77777777" w:rsidR="00ED2D72" w:rsidRPr="005E7DE4" w:rsidRDefault="00ED2D72" w:rsidP="002F6E81">
            <w:pPr>
              <w:keepLines/>
              <w:jc w:val="center"/>
              <w:rPr>
                <w:rFonts w:ascii="Arial Narrow" w:hAnsi="Arial Narrow"/>
                <w:b/>
                <w:sz w:val="20"/>
                <w:szCs w:val="20"/>
              </w:rPr>
            </w:pPr>
            <w:r w:rsidRPr="005E7DE4">
              <w:rPr>
                <w:rFonts w:ascii="Arial Narrow" w:hAnsi="Arial Narrow"/>
                <w:b/>
                <w:sz w:val="20"/>
                <w:szCs w:val="20"/>
              </w:rPr>
              <w:t>Max. qty packs</w:t>
            </w:r>
          </w:p>
        </w:tc>
        <w:tc>
          <w:tcPr>
            <w:tcW w:w="811" w:type="dxa"/>
            <w:vAlign w:val="center"/>
          </w:tcPr>
          <w:p w14:paraId="0ED15AF6" w14:textId="77777777" w:rsidR="00ED2D72" w:rsidRPr="005E7DE4" w:rsidRDefault="00ED2D72" w:rsidP="002F6E81">
            <w:pPr>
              <w:keepLines/>
              <w:jc w:val="center"/>
              <w:rPr>
                <w:rFonts w:ascii="Arial Narrow" w:hAnsi="Arial Narrow"/>
                <w:b/>
                <w:sz w:val="20"/>
                <w:szCs w:val="20"/>
              </w:rPr>
            </w:pPr>
            <w:r w:rsidRPr="005E7DE4">
              <w:rPr>
                <w:rFonts w:ascii="Arial Narrow" w:hAnsi="Arial Narrow"/>
                <w:b/>
                <w:sz w:val="20"/>
                <w:szCs w:val="20"/>
              </w:rPr>
              <w:t>Max. qty units</w:t>
            </w:r>
          </w:p>
        </w:tc>
        <w:tc>
          <w:tcPr>
            <w:tcW w:w="812" w:type="dxa"/>
            <w:vAlign w:val="center"/>
          </w:tcPr>
          <w:p w14:paraId="109B55F4" w14:textId="1998FC8A" w:rsidR="00ED2D72" w:rsidRPr="005E7DE4" w:rsidRDefault="00240923" w:rsidP="002F6E81">
            <w:pPr>
              <w:keepLines/>
              <w:jc w:val="center"/>
              <w:rPr>
                <w:rFonts w:ascii="Arial Narrow" w:hAnsi="Arial Narrow"/>
                <w:b/>
                <w:sz w:val="20"/>
                <w:szCs w:val="20"/>
              </w:rPr>
            </w:pPr>
            <w:r w:rsidRPr="005E7DE4">
              <w:rPr>
                <w:rFonts w:ascii="Arial Narrow" w:hAnsi="Arial Narrow"/>
                <w:b/>
                <w:sz w:val="20"/>
                <w:szCs w:val="20"/>
              </w:rPr>
              <w:t>№. of</w:t>
            </w:r>
          </w:p>
          <w:p w14:paraId="323D292A" w14:textId="77777777" w:rsidR="00ED2D72" w:rsidRPr="005E7DE4" w:rsidRDefault="00ED2D72" w:rsidP="002F6E81">
            <w:pPr>
              <w:keepLines/>
              <w:jc w:val="center"/>
              <w:rPr>
                <w:rFonts w:ascii="Arial Narrow" w:hAnsi="Arial Narrow"/>
                <w:b/>
                <w:sz w:val="20"/>
                <w:szCs w:val="20"/>
              </w:rPr>
            </w:pPr>
            <w:r w:rsidRPr="005E7DE4">
              <w:rPr>
                <w:rFonts w:ascii="Arial Narrow" w:hAnsi="Arial Narrow"/>
                <w:b/>
                <w:sz w:val="20"/>
                <w:szCs w:val="20"/>
              </w:rPr>
              <w:t>Rpts</w:t>
            </w:r>
          </w:p>
        </w:tc>
        <w:tc>
          <w:tcPr>
            <w:tcW w:w="1809" w:type="dxa"/>
            <w:vAlign w:val="center"/>
          </w:tcPr>
          <w:p w14:paraId="6F60FA96" w14:textId="77777777" w:rsidR="00ED2D72" w:rsidRPr="005E7DE4" w:rsidRDefault="00ED2D72" w:rsidP="002F6E81">
            <w:pPr>
              <w:keepLines/>
              <w:rPr>
                <w:rFonts w:ascii="Arial Narrow" w:hAnsi="Arial Narrow"/>
                <w:b/>
                <w:sz w:val="20"/>
                <w:szCs w:val="20"/>
                <w:lang w:val="fr-FR"/>
              </w:rPr>
            </w:pPr>
            <w:r w:rsidRPr="005E7DE4">
              <w:rPr>
                <w:rFonts w:ascii="Arial Narrow" w:hAnsi="Arial Narrow"/>
                <w:b/>
                <w:sz w:val="20"/>
                <w:szCs w:val="20"/>
              </w:rPr>
              <w:t>Available brands</w:t>
            </w:r>
          </w:p>
        </w:tc>
      </w:tr>
      <w:tr w:rsidR="00ED2D72" w:rsidRPr="005E7DE4" w14:paraId="26DEFC10" w14:textId="77777777" w:rsidTr="00240923">
        <w:trPr>
          <w:cantSplit/>
          <w:trHeight w:val="20"/>
        </w:trPr>
        <w:tc>
          <w:tcPr>
            <w:tcW w:w="8995" w:type="dxa"/>
            <w:gridSpan w:val="10"/>
            <w:vAlign w:val="center"/>
          </w:tcPr>
          <w:p w14:paraId="48315036" w14:textId="77777777" w:rsidR="00ED2D72" w:rsidRPr="005E7DE4" w:rsidRDefault="00ED2D72" w:rsidP="002F6E81">
            <w:pPr>
              <w:keepLines/>
              <w:jc w:val="center"/>
              <w:rPr>
                <w:rFonts w:ascii="Arial Narrow" w:hAnsi="Arial Narrow"/>
                <w:sz w:val="20"/>
                <w:szCs w:val="20"/>
              </w:rPr>
            </w:pPr>
            <w:r w:rsidRPr="005E7DE4">
              <w:rPr>
                <w:rFonts w:ascii="Arial Narrow" w:hAnsi="Arial Narrow"/>
                <w:i/>
                <w:iCs/>
                <w:sz w:val="20"/>
                <w:szCs w:val="20"/>
              </w:rPr>
              <w:t>IV loading dose (Section 100 HSDP – Public and Private Hospitals)</w:t>
            </w:r>
          </w:p>
        </w:tc>
      </w:tr>
      <w:tr w:rsidR="00ED2D72" w:rsidRPr="005E7DE4" w14:paraId="5A7D4A9C" w14:textId="77777777" w:rsidTr="00240923">
        <w:trPr>
          <w:cantSplit/>
          <w:trHeight w:val="20"/>
        </w:trPr>
        <w:tc>
          <w:tcPr>
            <w:tcW w:w="8995" w:type="dxa"/>
            <w:gridSpan w:val="10"/>
            <w:vAlign w:val="center"/>
          </w:tcPr>
          <w:p w14:paraId="5378C07D" w14:textId="77777777" w:rsidR="00ED2D72" w:rsidRPr="005E7DE4" w:rsidRDefault="00ED2D72" w:rsidP="002F6E81">
            <w:pPr>
              <w:keepLines/>
              <w:rPr>
                <w:rFonts w:ascii="Arial Narrow" w:hAnsi="Arial Narrow"/>
                <w:b/>
                <w:sz w:val="20"/>
                <w:szCs w:val="20"/>
              </w:rPr>
            </w:pPr>
            <w:r w:rsidRPr="005E7DE4">
              <w:rPr>
                <w:rFonts w:ascii="Arial Narrow" w:hAnsi="Arial Narrow"/>
                <w:sz w:val="20"/>
                <w:szCs w:val="20"/>
              </w:rPr>
              <w:t>USTEKINUMAB</w:t>
            </w:r>
          </w:p>
        </w:tc>
      </w:tr>
      <w:tr w:rsidR="00ED2D72" w:rsidRPr="005E7DE4" w14:paraId="1F1B6A78" w14:textId="77777777" w:rsidTr="00240923">
        <w:trPr>
          <w:cantSplit/>
          <w:trHeight w:val="20"/>
        </w:trPr>
        <w:tc>
          <w:tcPr>
            <w:tcW w:w="3940" w:type="dxa"/>
            <w:gridSpan w:val="5"/>
            <w:vAlign w:val="center"/>
          </w:tcPr>
          <w:p w14:paraId="13A41C4A" w14:textId="77777777" w:rsidR="00ED2D72" w:rsidRPr="005E7DE4" w:rsidRDefault="00ED2D72" w:rsidP="002F6E81">
            <w:pPr>
              <w:keepLines/>
              <w:rPr>
                <w:rFonts w:ascii="Arial Narrow" w:hAnsi="Arial Narrow"/>
                <w:b/>
                <w:bCs/>
                <w:sz w:val="20"/>
                <w:szCs w:val="20"/>
              </w:rPr>
            </w:pPr>
            <w:r w:rsidRPr="005E7DE4">
              <w:rPr>
                <w:rFonts w:ascii="Arial Narrow" w:hAnsi="Arial Narrow"/>
                <w:sz w:val="20"/>
                <w:szCs w:val="20"/>
              </w:rPr>
              <w:t>Ustekinumab 130 mg/26 mL injection, 26 mL vial</w:t>
            </w:r>
          </w:p>
        </w:tc>
        <w:tc>
          <w:tcPr>
            <w:tcW w:w="811" w:type="dxa"/>
            <w:vAlign w:val="center"/>
          </w:tcPr>
          <w:p w14:paraId="19DDFFA7" w14:textId="77777777" w:rsidR="00ED2D72" w:rsidRPr="005E7DE4" w:rsidRDefault="00ED2D72" w:rsidP="002F6E81">
            <w:pPr>
              <w:keepLines/>
              <w:jc w:val="center"/>
              <w:rPr>
                <w:rFonts w:ascii="Arial Narrow" w:hAnsi="Arial Narrow"/>
                <w:bCs/>
                <w:sz w:val="20"/>
                <w:szCs w:val="20"/>
              </w:rPr>
            </w:pPr>
            <w:r w:rsidRPr="005E7DE4">
              <w:rPr>
                <w:rFonts w:ascii="Arial Narrow" w:hAnsi="Arial Narrow"/>
                <w:bCs/>
                <w:sz w:val="20"/>
                <w:szCs w:val="20"/>
              </w:rPr>
              <w:t>NEW</w:t>
            </w:r>
          </w:p>
        </w:tc>
        <w:tc>
          <w:tcPr>
            <w:tcW w:w="812" w:type="dxa"/>
            <w:vAlign w:val="center"/>
          </w:tcPr>
          <w:p w14:paraId="74A5690E" w14:textId="77777777" w:rsidR="00ED2D72" w:rsidRPr="005E7DE4" w:rsidRDefault="00ED2D72" w:rsidP="002F6E81">
            <w:pPr>
              <w:keepLines/>
              <w:jc w:val="center"/>
              <w:rPr>
                <w:rFonts w:ascii="Arial Narrow" w:hAnsi="Arial Narrow"/>
                <w:bCs/>
                <w:sz w:val="20"/>
                <w:szCs w:val="20"/>
              </w:rPr>
            </w:pPr>
            <w:r w:rsidRPr="005E7DE4">
              <w:rPr>
                <w:rFonts w:ascii="Arial Narrow" w:hAnsi="Arial Narrow"/>
                <w:bCs/>
                <w:sz w:val="20"/>
                <w:szCs w:val="20"/>
              </w:rPr>
              <w:t>4</w:t>
            </w:r>
          </w:p>
        </w:tc>
        <w:tc>
          <w:tcPr>
            <w:tcW w:w="811" w:type="dxa"/>
            <w:vAlign w:val="center"/>
          </w:tcPr>
          <w:p w14:paraId="08BC318E" w14:textId="77777777" w:rsidR="00ED2D72" w:rsidRPr="005E7DE4" w:rsidRDefault="00ED2D72" w:rsidP="002F6E81">
            <w:pPr>
              <w:keepLines/>
              <w:jc w:val="center"/>
              <w:rPr>
                <w:rFonts w:ascii="Arial Narrow" w:hAnsi="Arial Narrow"/>
                <w:bCs/>
                <w:sz w:val="20"/>
                <w:szCs w:val="20"/>
              </w:rPr>
            </w:pPr>
            <w:r w:rsidRPr="005E7DE4">
              <w:rPr>
                <w:rFonts w:ascii="Arial Narrow" w:hAnsi="Arial Narrow"/>
                <w:bCs/>
                <w:sz w:val="20"/>
                <w:szCs w:val="20"/>
              </w:rPr>
              <w:t>4</w:t>
            </w:r>
          </w:p>
        </w:tc>
        <w:tc>
          <w:tcPr>
            <w:tcW w:w="812" w:type="dxa"/>
            <w:vAlign w:val="center"/>
          </w:tcPr>
          <w:p w14:paraId="36C5C49E" w14:textId="77777777" w:rsidR="00ED2D72" w:rsidRPr="005E7DE4" w:rsidRDefault="00ED2D72" w:rsidP="002F6E81">
            <w:pPr>
              <w:keepLines/>
              <w:jc w:val="center"/>
              <w:rPr>
                <w:rFonts w:ascii="Arial Narrow" w:hAnsi="Arial Narrow"/>
                <w:bCs/>
                <w:sz w:val="20"/>
                <w:szCs w:val="20"/>
              </w:rPr>
            </w:pPr>
            <w:r w:rsidRPr="005E7DE4">
              <w:rPr>
                <w:rFonts w:ascii="Arial Narrow" w:hAnsi="Arial Narrow"/>
                <w:bCs/>
                <w:sz w:val="20"/>
                <w:szCs w:val="20"/>
              </w:rPr>
              <w:t>0</w:t>
            </w:r>
          </w:p>
        </w:tc>
        <w:tc>
          <w:tcPr>
            <w:tcW w:w="1809" w:type="dxa"/>
            <w:vAlign w:val="center"/>
          </w:tcPr>
          <w:p w14:paraId="5C14A56F" w14:textId="77777777" w:rsidR="00ED2D72" w:rsidRPr="005E7DE4" w:rsidRDefault="00ED2D72" w:rsidP="002F6E81">
            <w:pPr>
              <w:keepLines/>
              <w:rPr>
                <w:rFonts w:ascii="Arial Narrow" w:hAnsi="Arial Narrow"/>
                <w:bCs/>
                <w:sz w:val="20"/>
                <w:szCs w:val="20"/>
              </w:rPr>
            </w:pPr>
            <w:r w:rsidRPr="005E7DE4">
              <w:rPr>
                <w:rFonts w:ascii="Arial Narrow" w:hAnsi="Arial Narrow"/>
                <w:bCs/>
                <w:sz w:val="20"/>
                <w:szCs w:val="20"/>
              </w:rPr>
              <w:t>Stelara</w:t>
            </w:r>
          </w:p>
        </w:tc>
      </w:tr>
      <w:tr w:rsidR="00ED2D72" w:rsidRPr="005E7DE4" w14:paraId="446460C9" w14:textId="77777777" w:rsidTr="00240923">
        <w:trPr>
          <w:cantSplit/>
          <w:trHeight w:val="20"/>
        </w:trPr>
        <w:tc>
          <w:tcPr>
            <w:tcW w:w="8995" w:type="dxa"/>
            <w:gridSpan w:val="10"/>
            <w:vAlign w:val="center"/>
          </w:tcPr>
          <w:p w14:paraId="79D03A95" w14:textId="77777777" w:rsidR="00ED2D72" w:rsidRPr="005E7DE4" w:rsidRDefault="00ED2D72" w:rsidP="002F6E81">
            <w:pPr>
              <w:keepLines/>
              <w:jc w:val="center"/>
              <w:rPr>
                <w:rFonts w:ascii="Arial Narrow" w:hAnsi="Arial Narrow"/>
                <w:b/>
                <w:sz w:val="20"/>
                <w:szCs w:val="20"/>
              </w:rPr>
            </w:pPr>
            <w:r w:rsidRPr="005E7DE4">
              <w:rPr>
                <w:rFonts w:ascii="Arial Narrow" w:hAnsi="Arial Narrow"/>
                <w:i/>
                <w:iCs/>
                <w:sz w:val="20"/>
                <w:szCs w:val="20"/>
              </w:rPr>
              <w:t>SC injection – initial treatment (General Schedule)</w:t>
            </w:r>
          </w:p>
        </w:tc>
      </w:tr>
      <w:tr w:rsidR="00ED2D72" w:rsidRPr="005E7DE4" w14:paraId="4A48EA93" w14:textId="77777777" w:rsidTr="00240923">
        <w:trPr>
          <w:cantSplit/>
          <w:trHeight w:val="20"/>
        </w:trPr>
        <w:tc>
          <w:tcPr>
            <w:tcW w:w="8995" w:type="dxa"/>
            <w:gridSpan w:val="10"/>
            <w:vAlign w:val="center"/>
          </w:tcPr>
          <w:p w14:paraId="59E1E632" w14:textId="77777777" w:rsidR="00ED2D72" w:rsidRPr="005E7DE4" w:rsidRDefault="00ED2D72" w:rsidP="002F6E81">
            <w:pPr>
              <w:keepLines/>
              <w:rPr>
                <w:rFonts w:ascii="Arial Narrow" w:hAnsi="Arial Narrow"/>
                <w:b/>
                <w:sz w:val="20"/>
                <w:szCs w:val="20"/>
              </w:rPr>
            </w:pPr>
            <w:r w:rsidRPr="005E7DE4">
              <w:rPr>
                <w:rFonts w:ascii="Arial Narrow" w:hAnsi="Arial Narrow"/>
                <w:sz w:val="20"/>
                <w:szCs w:val="20"/>
              </w:rPr>
              <w:t>USTEKINUMAB</w:t>
            </w:r>
          </w:p>
        </w:tc>
      </w:tr>
      <w:tr w:rsidR="00ED2D72" w:rsidRPr="005E7DE4" w14:paraId="1EE02118" w14:textId="77777777" w:rsidTr="00240923">
        <w:trPr>
          <w:cantSplit/>
          <w:trHeight w:val="20"/>
        </w:trPr>
        <w:tc>
          <w:tcPr>
            <w:tcW w:w="3940" w:type="dxa"/>
            <w:gridSpan w:val="5"/>
            <w:vAlign w:val="center"/>
          </w:tcPr>
          <w:p w14:paraId="0B701BBA" w14:textId="287C8917" w:rsidR="00ED2D72" w:rsidRPr="005E7DE4" w:rsidRDefault="00EF521F" w:rsidP="002F6E81">
            <w:pPr>
              <w:keepLines/>
              <w:rPr>
                <w:rFonts w:ascii="Arial Narrow" w:hAnsi="Arial Narrow"/>
                <w:sz w:val="20"/>
                <w:szCs w:val="20"/>
              </w:rPr>
            </w:pPr>
            <w:r w:rsidRPr="005E7DE4">
              <w:rPr>
                <w:rFonts w:ascii="Arial Narrow" w:hAnsi="Arial Narrow"/>
                <w:sz w:val="20"/>
                <w:szCs w:val="20"/>
              </w:rPr>
              <w:t xml:space="preserve">ustekinumab </w:t>
            </w:r>
            <w:r w:rsidR="00ED2D72" w:rsidRPr="005E7DE4">
              <w:rPr>
                <w:rFonts w:ascii="Arial Narrow" w:hAnsi="Arial Narrow"/>
                <w:sz w:val="20"/>
                <w:szCs w:val="20"/>
              </w:rPr>
              <w:t xml:space="preserve">90 mg/1 mL </w:t>
            </w:r>
            <w:r w:rsidR="00240923" w:rsidRPr="005E7DE4">
              <w:rPr>
                <w:rFonts w:ascii="Arial Narrow" w:hAnsi="Arial Narrow"/>
                <w:sz w:val="20"/>
                <w:szCs w:val="20"/>
              </w:rPr>
              <w:t>injection, 1</w:t>
            </w:r>
            <w:r w:rsidR="00ED2D72" w:rsidRPr="005E7DE4">
              <w:rPr>
                <w:rFonts w:ascii="Arial Narrow" w:hAnsi="Arial Narrow"/>
                <w:sz w:val="20"/>
                <w:szCs w:val="20"/>
              </w:rPr>
              <w:t xml:space="preserve"> </w:t>
            </w:r>
            <w:r w:rsidR="00240923" w:rsidRPr="005E7DE4">
              <w:rPr>
                <w:rFonts w:ascii="Arial Narrow" w:hAnsi="Arial Narrow"/>
                <w:sz w:val="20"/>
                <w:szCs w:val="20"/>
              </w:rPr>
              <w:t>mL pre</w:t>
            </w:r>
            <w:r w:rsidR="00ED2D72" w:rsidRPr="005E7DE4">
              <w:rPr>
                <w:rFonts w:ascii="Arial Narrow" w:hAnsi="Arial Narrow"/>
                <w:sz w:val="20"/>
                <w:szCs w:val="20"/>
              </w:rPr>
              <w:t>-filled syringe</w:t>
            </w:r>
          </w:p>
        </w:tc>
        <w:tc>
          <w:tcPr>
            <w:tcW w:w="811" w:type="dxa"/>
            <w:vAlign w:val="center"/>
          </w:tcPr>
          <w:p w14:paraId="66E46C89" w14:textId="77777777" w:rsidR="00ED2D72" w:rsidRPr="005E7DE4" w:rsidRDefault="00ED2D72" w:rsidP="002F6E81">
            <w:pPr>
              <w:keepLines/>
              <w:jc w:val="center"/>
              <w:rPr>
                <w:rFonts w:ascii="Arial Narrow" w:hAnsi="Arial Narrow"/>
                <w:b/>
                <w:sz w:val="20"/>
                <w:szCs w:val="20"/>
              </w:rPr>
            </w:pPr>
            <w:r w:rsidRPr="005E7DE4">
              <w:rPr>
                <w:rFonts w:ascii="Arial Narrow" w:hAnsi="Arial Narrow"/>
                <w:bCs/>
                <w:sz w:val="20"/>
                <w:szCs w:val="20"/>
              </w:rPr>
              <w:t>NEW</w:t>
            </w:r>
          </w:p>
        </w:tc>
        <w:tc>
          <w:tcPr>
            <w:tcW w:w="812" w:type="dxa"/>
            <w:vAlign w:val="center"/>
          </w:tcPr>
          <w:p w14:paraId="6424A5EC" w14:textId="77777777" w:rsidR="00ED2D72" w:rsidRPr="005E7DE4" w:rsidRDefault="00ED2D72" w:rsidP="002F6E81">
            <w:pPr>
              <w:keepLines/>
              <w:jc w:val="center"/>
              <w:rPr>
                <w:rFonts w:ascii="Arial Narrow" w:hAnsi="Arial Narrow"/>
                <w:b/>
                <w:sz w:val="20"/>
                <w:szCs w:val="20"/>
              </w:rPr>
            </w:pPr>
            <w:r w:rsidRPr="005E7DE4">
              <w:rPr>
                <w:rFonts w:ascii="Arial Narrow" w:hAnsi="Arial Narrow"/>
                <w:bCs/>
                <w:sz w:val="20"/>
                <w:szCs w:val="20"/>
              </w:rPr>
              <w:t>1</w:t>
            </w:r>
          </w:p>
        </w:tc>
        <w:tc>
          <w:tcPr>
            <w:tcW w:w="811" w:type="dxa"/>
            <w:vAlign w:val="center"/>
          </w:tcPr>
          <w:p w14:paraId="6CFE4CFC" w14:textId="77777777" w:rsidR="00ED2D72" w:rsidRPr="005E7DE4" w:rsidRDefault="00ED2D72" w:rsidP="002F6E81">
            <w:pPr>
              <w:keepLines/>
              <w:jc w:val="center"/>
              <w:rPr>
                <w:rFonts w:ascii="Arial Narrow" w:hAnsi="Arial Narrow"/>
                <w:b/>
                <w:sz w:val="20"/>
                <w:szCs w:val="20"/>
              </w:rPr>
            </w:pPr>
            <w:r w:rsidRPr="005E7DE4">
              <w:rPr>
                <w:rFonts w:ascii="Arial Narrow" w:hAnsi="Arial Narrow"/>
                <w:bCs/>
                <w:sz w:val="20"/>
                <w:szCs w:val="20"/>
              </w:rPr>
              <w:t>1</w:t>
            </w:r>
          </w:p>
        </w:tc>
        <w:tc>
          <w:tcPr>
            <w:tcW w:w="812" w:type="dxa"/>
            <w:vAlign w:val="center"/>
          </w:tcPr>
          <w:p w14:paraId="72DC6238" w14:textId="77777777" w:rsidR="00ED2D72" w:rsidRPr="005E7DE4" w:rsidRDefault="00ED2D72" w:rsidP="002F6E81">
            <w:pPr>
              <w:keepLines/>
              <w:jc w:val="center"/>
              <w:rPr>
                <w:rFonts w:ascii="Arial Narrow" w:hAnsi="Arial Narrow"/>
                <w:b/>
                <w:sz w:val="20"/>
                <w:szCs w:val="20"/>
              </w:rPr>
            </w:pPr>
            <w:r w:rsidRPr="005E7DE4">
              <w:rPr>
                <w:rFonts w:ascii="Arial Narrow" w:hAnsi="Arial Narrow"/>
                <w:bCs/>
                <w:sz w:val="20"/>
                <w:szCs w:val="20"/>
              </w:rPr>
              <w:t>0</w:t>
            </w:r>
          </w:p>
        </w:tc>
        <w:tc>
          <w:tcPr>
            <w:tcW w:w="1809" w:type="dxa"/>
            <w:vAlign w:val="center"/>
          </w:tcPr>
          <w:p w14:paraId="0BB0F628" w14:textId="77777777" w:rsidR="00ED2D72" w:rsidRPr="005E7DE4" w:rsidRDefault="00ED2D72" w:rsidP="002F6E81">
            <w:pPr>
              <w:keepLines/>
              <w:rPr>
                <w:rFonts w:ascii="Arial Narrow" w:hAnsi="Arial Narrow"/>
                <w:b/>
                <w:sz w:val="20"/>
                <w:szCs w:val="20"/>
              </w:rPr>
            </w:pPr>
            <w:r w:rsidRPr="005E7DE4">
              <w:rPr>
                <w:rFonts w:ascii="Arial Narrow" w:hAnsi="Arial Narrow"/>
                <w:bCs/>
                <w:sz w:val="20"/>
                <w:szCs w:val="20"/>
              </w:rPr>
              <w:t>Stelara</w:t>
            </w:r>
          </w:p>
        </w:tc>
      </w:tr>
      <w:tr w:rsidR="00EF521F" w:rsidRPr="005E7DE4" w14:paraId="4FC32BDC" w14:textId="77777777" w:rsidTr="00240923">
        <w:trPr>
          <w:cantSplit/>
          <w:trHeight w:val="20"/>
        </w:trPr>
        <w:tc>
          <w:tcPr>
            <w:tcW w:w="8995" w:type="dxa"/>
            <w:gridSpan w:val="10"/>
            <w:vAlign w:val="center"/>
          </w:tcPr>
          <w:p w14:paraId="35747542" w14:textId="77777777" w:rsidR="00EF521F" w:rsidRPr="005E7DE4" w:rsidRDefault="00EF521F" w:rsidP="002F6E81">
            <w:pPr>
              <w:keepLines/>
              <w:rPr>
                <w:rFonts w:ascii="Arial Narrow" w:hAnsi="Arial Narrow"/>
                <w:bCs/>
                <w:sz w:val="20"/>
                <w:szCs w:val="20"/>
              </w:rPr>
            </w:pPr>
          </w:p>
        </w:tc>
      </w:tr>
      <w:tr w:rsidR="00ED2D72" w:rsidRPr="005E7DE4" w14:paraId="3EDA1AF6" w14:textId="77777777" w:rsidTr="00240923">
        <w:trPr>
          <w:cantSplit/>
          <w:trHeight w:val="20"/>
        </w:trPr>
        <w:tc>
          <w:tcPr>
            <w:tcW w:w="8995" w:type="dxa"/>
            <w:gridSpan w:val="10"/>
            <w:vAlign w:val="center"/>
          </w:tcPr>
          <w:p w14:paraId="59D4414D" w14:textId="622F7D3C" w:rsidR="00ED2D72" w:rsidRPr="005E7DE4" w:rsidRDefault="00ED2D72" w:rsidP="00ED2D72">
            <w:pPr>
              <w:keepLines/>
              <w:rPr>
                <w:rFonts w:ascii="Arial Narrow" w:hAnsi="Arial Narrow"/>
                <w:bCs/>
                <w:sz w:val="20"/>
                <w:szCs w:val="20"/>
              </w:rPr>
            </w:pPr>
            <w:r w:rsidRPr="005E7DE4">
              <w:rPr>
                <w:rFonts w:ascii="Arial Narrow" w:hAnsi="Arial Narrow"/>
                <w:b/>
                <w:sz w:val="20"/>
                <w:szCs w:val="20"/>
                <w:lang w:val="en-GB"/>
              </w:rPr>
              <w:t>Restriction Summary</w:t>
            </w:r>
          </w:p>
        </w:tc>
      </w:tr>
      <w:tr w:rsidR="00ED2D72" w:rsidRPr="005E7DE4" w14:paraId="5844A08D" w14:textId="77777777" w:rsidTr="00240923">
        <w:tblPrEx>
          <w:tblCellMar>
            <w:top w:w="15" w:type="dxa"/>
            <w:left w:w="15" w:type="dxa"/>
            <w:bottom w:w="15" w:type="dxa"/>
            <w:right w:w="15" w:type="dxa"/>
          </w:tblCellMar>
          <w:tblLook w:val="04A0" w:firstRow="1" w:lastRow="0" w:firstColumn="1" w:lastColumn="0" w:noHBand="0" w:noVBand="1"/>
        </w:tblPrEx>
        <w:tc>
          <w:tcPr>
            <w:tcW w:w="1309" w:type="dxa"/>
            <w:gridSpan w:val="4"/>
            <w:vMerge w:val="restart"/>
            <w:tcBorders>
              <w:top w:val="single" w:sz="4" w:space="0" w:color="auto"/>
              <w:left w:val="single" w:sz="4" w:space="0" w:color="auto"/>
              <w:right w:val="single" w:sz="4" w:space="0" w:color="auto"/>
            </w:tcBorders>
          </w:tcPr>
          <w:p w14:paraId="3B6826D2" w14:textId="77777777" w:rsidR="00ED2D72" w:rsidRPr="005E7DE4" w:rsidRDefault="00ED2D72" w:rsidP="002F6E81">
            <w:pPr>
              <w:rPr>
                <w:rFonts w:ascii="Arial Narrow" w:hAnsi="Arial Narrow"/>
                <w:i/>
                <w:sz w:val="20"/>
                <w:szCs w:val="20"/>
              </w:rPr>
            </w:pPr>
          </w:p>
          <w:p w14:paraId="25A625D3" w14:textId="77777777" w:rsidR="00ED2D72" w:rsidRPr="005E7DE4" w:rsidRDefault="00ED2D72" w:rsidP="002F6E81">
            <w:pPr>
              <w:rPr>
                <w:rFonts w:ascii="Arial Narrow" w:hAnsi="Arial Narrow"/>
                <w:i/>
                <w:sz w:val="20"/>
                <w:szCs w:val="20"/>
              </w:rPr>
            </w:pPr>
          </w:p>
          <w:p w14:paraId="7205D9D4" w14:textId="77777777" w:rsidR="00ED2D72" w:rsidRPr="005E7DE4" w:rsidRDefault="00ED2D72" w:rsidP="002F6E81">
            <w:pPr>
              <w:rPr>
                <w:rFonts w:ascii="Arial Narrow" w:hAnsi="Arial Narrow"/>
                <w:b/>
                <w:sz w:val="20"/>
                <w:szCs w:val="20"/>
              </w:rPr>
            </w:pPr>
          </w:p>
        </w:tc>
        <w:tc>
          <w:tcPr>
            <w:tcW w:w="7686" w:type="dxa"/>
            <w:gridSpan w:val="6"/>
            <w:tcBorders>
              <w:top w:val="single" w:sz="4" w:space="0" w:color="auto"/>
              <w:left w:val="single" w:sz="4" w:space="0" w:color="auto"/>
              <w:bottom w:val="single" w:sz="4" w:space="0" w:color="auto"/>
              <w:right w:val="single" w:sz="4" w:space="0" w:color="auto"/>
            </w:tcBorders>
          </w:tcPr>
          <w:p w14:paraId="65829379" w14:textId="77777777" w:rsidR="00ED2D72" w:rsidRPr="005E7DE4" w:rsidRDefault="00ED2D72" w:rsidP="002F6E81">
            <w:pPr>
              <w:rPr>
                <w:rFonts w:ascii="Arial Narrow" w:hAnsi="Arial Narrow"/>
                <w:sz w:val="20"/>
                <w:szCs w:val="20"/>
              </w:rPr>
            </w:pPr>
            <w:r w:rsidRPr="005E7DE4">
              <w:rPr>
                <w:rFonts w:ascii="Arial Narrow" w:hAnsi="Arial Narrow"/>
                <w:b/>
                <w:sz w:val="20"/>
                <w:szCs w:val="20"/>
              </w:rPr>
              <w:t xml:space="preserve">Category / Program:   </w:t>
            </w:r>
          </w:p>
          <w:p w14:paraId="5D6073BA" w14:textId="77777777" w:rsidR="00ED2D72" w:rsidRPr="005E7DE4" w:rsidRDefault="00ED2D72" w:rsidP="002F6E81">
            <w:pPr>
              <w:rPr>
                <w:rFonts w:ascii="Arial Narrow" w:hAnsi="Arial Narrow"/>
                <w:sz w:val="20"/>
                <w:szCs w:val="20"/>
              </w:rPr>
            </w:pPr>
            <w:r w:rsidRPr="005E7DE4">
              <w:rPr>
                <w:rFonts w:ascii="Arial Narrow" w:hAnsi="Arial Narrow"/>
                <w:sz w:val="20"/>
                <w:szCs w:val="20"/>
              </w:rPr>
              <w:t xml:space="preserve">Section 100 – Highly Specialised Drugs Program {Public and Private Hospitals} </w:t>
            </w:r>
          </w:p>
        </w:tc>
      </w:tr>
      <w:tr w:rsidR="00ED2D72" w:rsidRPr="005E7DE4" w14:paraId="5D432CA3" w14:textId="77777777" w:rsidTr="00240923">
        <w:tblPrEx>
          <w:tblCellMar>
            <w:top w:w="15" w:type="dxa"/>
            <w:left w:w="15" w:type="dxa"/>
            <w:bottom w:w="15" w:type="dxa"/>
            <w:right w:w="15" w:type="dxa"/>
          </w:tblCellMar>
          <w:tblLook w:val="04A0" w:firstRow="1" w:lastRow="0" w:firstColumn="1" w:lastColumn="0" w:noHBand="0" w:noVBand="1"/>
        </w:tblPrEx>
        <w:trPr>
          <w:trHeight w:val="366"/>
        </w:trPr>
        <w:tc>
          <w:tcPr>
            <w:tcW w:w="1309" w:type="dxa"/>
            <w:gridSpan w:val="4"/>
            <w:vMerge/>
            <w:tcBorders>
              <w:left w:val="single" w:sz="4" w:space="0" w:color="auto"/>
              <w:right w:val="single" w:sz="4" w:space="0" w:color="auto"/>
            </w:tcBorders>
          </w:tcPr>
          <w:p w14:paraId="5BD03656" w14:textId="77777777" w:rsidR="00ED2D72" w:rsidRPr="005E7DE4" w:rsidRDefault="00ED2D72" w:rsidP="002F6E81">
            <w:pPr>
              <w:rPr>
                <w:rFonts w:ascii="Arial Narrow" w:hAnsi="Arial Narrow"/>
                <w:sz w:val="20"/>
                <w:szCs w:val="20"/>
              </w:rPr>
            </w:pPr>
          </w:p>
        </w:tc>
        <w:tc>
          <w:tcPr>
            <w:tcW w:w="7686" w:type="dxa"/>
            <w:gridSpan w:val="6"/>
            <w:tcBorders>
              <w:top w:val="single" w:sz="4" w:space="0" w:color="auto"/>
              <w:left w:val="single" w:sz="4" w:space="0" w:color="auto"/>
              <w:bottom w:val="single" w:sz="4" w:space="0" w:color="auto"/>
              <w:right w:val="single" w:sz="4" w:space="0" w:color="auto"/>
            </w:tcBorders>
          </w:tcPr>
          <w:p w14:paraId="5DC15769" w14:textId="77777777" w:rsidR="00ED2D72" w:rsidRPr="005E7DE4" w:rsidRDefault="00ED2D72" w:rsidP="002F6E81">
            <w:pPr>
              <w:rPr>
                <w:rFonts w:ascii="Arial Narrow" w:hAnsi="Arial Narrow"/>
                <w:sz w:val="20"/>
                <w:szCs w:val="20"/>
              </w:rPr>
            </w:pPr>
            <w:r w:rsidRPr="005E7DE4">
              <w:rPr>
                <w:rFonts w:ascii="Arial Narrow" w:hAnsi="Arial Narrow"/>
                <w:b/>
                <w:sz w:val="20"/>
                <w:szCs w:val="20"/>
              </w:rPr>
              <w:t xml:space="preserve">Prescriber type:  </w:t>
            </w:r>
            <w:r w:rsidRPr="005E7DE4">
              <w:rPr>
                <w:rFonts w:ascii="Arial Narrow" w:hAnsi="Arial Narrow"/>
                <w:sz w:val="20"/>
                <w:szCs w:val="20"/>
              </w:rPr>
              <w:fldChar w:fldCharType="begin">
                <w:ffData>
                  <w:name w:val=""/>
                  <w:enabled/>
                  <w:calcOnExit w:val="0"/>
                  <w:checkBox>
                    <w:sizeAuto/>
                    <w:default w:val="1"/>
                  </w:checkBox>
                </w:ffData>
              </w:fldChar>
            </w:r>
            <w:r w:rsidRPr="005E7DE4">
              <w:rPr>
                <w:rFonts w:ascii="Arial Narrow" w:hAnsi="Arial Narrow"/>
                <w:sz w:val="20"/>
                <w:szCs w:val="20"/>
              </w:rPr>
              <w:instrText xml:space="preserve"> FORMCHECKBOX </w:instrText>
            </w:r>
            <w:r w:rsidR="00522D5A">
              <w:rPr>
                <w:rFonts w:ascii="Arial Narrow" w:hAnsi="Arial Narrow"/>
                <w:sz w:val="20"/>
                <w:szCs w:val="20"/>
              </w:rPr>
            </w:r>
            <w:r w:rsidR="00522D5A">
              <w:rPr>
                <w:rFonts w:ascii="Arial Narrow" w:hAnsi="Arial Narrow"/>
                <w:sz w:val="20"/>
                <w:szCs w:val="20"/>
              </w:rPr>
              <w:fldChar w:fldCharType="separate"/>
            </w:r>
            <w:r w:rsidRPr="005E7DE4">
              <w:rPr>
                <w:rFonts w:ascii="Arial Narrow" w:hAnsi="Arial Narrow"/>
                <w:sz w:val="20"/>
                <w:szCs w:val="20"/>
              </w:rPr>
              <w:fldChar w:fldCharType="end"/>
            </w:r>
            <w:r w:rsidRPr="005E7DE4">
              <w:rPr>
                <w:rFonts w:ascii="Arial Narrow" w:hAnsi="Arial Narrow"/>
                <w:sz w:val="20"/>
                <w:szCs w:val="20"/>
              </w:rPr>
              <w:t xml:space="preserve">Medical Practitioners </w:t>
            </w:r>
          </w:p>
        </w:tc>
      </w:tr>
      <w:tr w:rsidR="00ED2D72" w:rsidRPr="005E7DE4" w14:paraId="172BE4D7" w14:textId="77777777" w:rsidTr="00240923">
        <w:tblPrEx>
          <w:tblCellMar>
            <w:top w:w="15" w:type="dxa"/>
            <w:left w:w="15" w:type="dxa"/>
            <w:bottom w:w="15" w:type="dxa"/>
            <w:right w:w="15" w:type="dxa"/>
          </w:tblCellMar>
          <w:tblLook w:val="04A0" w:firstRow="1" w:lastRow="0" w:firstColumn="1" w:lastColumn="0" w:noHBand="0" w:noVBand="1"/>
        </w:tblPrEx>
        <w:tc>
          <w:tcPr>
            <w:tcW w:w="1309" w:type="dxa"/>
            <w:gridSpan w:val="4"/>
            <w:vMerge/>
            <w:tcBorders>
              <w:left w:val="single" w:sz="4" w:space="0" w:color="auto"/>
              <w:bottom w:val="single" w:sz="4" w:space="0" w:color="auto"/>
              <w:right w:val="single" w:sz="4" w:space="0" w:color="auto"/>
            </w:tcBorders>
          </w:tcPr>
          <w:p w14:paraId="75144CB7" w14:textId="77777777" w:rsidR="00ED2D72" w:rsidRPr="005E7DE4" w:rsidRDefault="00ED2D72" w:rsidP="002F6E81">
            <w:pPr>
              <w:rPr>
                <w:rFonts w:ascii="Arial Narrow" w:hAnsi="Arial Narrow"/>
                <w:sz w:val="20"/>
                <w:szCs w:val="20"/>
              </w:rPr>
            </w:pPr>
          </w:p>
        </w:tc>
        <w:tc>
          <w:tcPr>
            <w:tcW w:w="7686" w:type="dxa"/>
            <w:gridSpan w:val="6"/>
            <w:tcBorders>
              <w:top w:val="single" w:sz="4" w:space="0" w:color="auto"/>
              <w:left w:val="single" w:sz="4" w:space="0" w:color="auto"/>
              <w:bottom w:val="single" w:sz="4" w:space="0" w:color="auto"/>
              <w:right w:val="single" w:sz="4" w:space="0" w:color="auto"/>
            </w:tcBorders>
          </w:tcPr>
          <w:p w14:paraId="26D01114" w14:textId="77777777" w:rsidR="00ED2D72" w:rsidRPr="005E7DE4" w:rsidRDefault="00ED2D72" w:rsidP="002F6E81">
            <w:pPr>
              <w:rPr>
                <w:rFonts w:ascii="Arial Narrow" w:hAnsi="Arial Narrow"/>
                <w:sz w:val="20"/>
                <w:szCs w:val="20"/>
              </w:rPr>
            </w:pPr>
            <w:r w:rsidRPr="005E7DE4">
              <w:rPr>
                <w:rFonts w:ascii="Arial Narrow" w:hAnsi="Arial Narrow"/>
                <w:b/>
                <w:sz w:val="20"/>
                <w:szCs w:val="20"/>
              </w:rPr>
              <w:t xml:space="preserve">Restriction Level / Method: </w:t>
            </w:r>
            <w:r w:rsidRPr="005E7DE4">
              <w:rPr>
                <w:rFonts w:ascii="Arial Narrow" w:hAnsi="Arial Narrow"/>
                <w:sz w:val="20"/>
                <w:szCs w:val="20"/>
              </w:rPr>
              <w:fldChar w:fldCharType="begin">
                <w:ffData>
                  <w:name w:val=""/>
                  <w:enabled/>
                  <w:calcOnExit w:val="0"/>
                  <w:checkBox>
                    <w:sizeAuto/>
                    <w:default w:val="1"/>
                  </w:checkBox>
                </w:ffData>
              </w:fldChar>
            </w:r>
            <w:r w:rsidRPr="005E7DE4">
              <w:rPr>
                <w:rFonts w:ascii="Arial Narrow" w:hAnsi="Arial Narrow"/>
                <w:sz w:val="20"/>
                <w:szCs w:val="20"/>
              </w:rPr>
              <w:instrText xml:space="preserve"> FORMCHECKBOX </w:instrText>
            </w:r>
            <w:r w:rsidR="00522D5A">
              <w:rPr>
                <w:rFonts w:ascii="Arial Narrow" w:hAnsi="Arial Narrow"/>
                <w:sz w:val="20"/>
                <w:szCs w:val="20"/>
              </w:rPr>
            </w:r>
            <w:r w:rsidR="00522D5A">
              <w:rPr>
                <w:rFonts w:ascii="Arial Narrow" w:hAnsi="Arial Narrow"/>
                <w:sz w:val="20"/>
                <w:szCs w:val="20"/>
              </w:rPr>
              <w:fldChar w:fldCharType="separate"/>
            </w:r>
            <w:r w:rsidRPr="005E7DE4">
              <w:rPr>
                <w:rFonts w:ascii="Arial Narrow" w:hAnsi="Arial Narrow"/>
                <w:sz w:val="20"/>
                <w:szCs w:val="20"/>
              </w:rPr>
              <w:fldChar w:fldCharType="end"/>
            </w:r>
            <w:r w:rsidRPr="005E7DE4">
              <w:rPr>
                <w:rFonts w:ascii="Arial Narrow" w:hAnsi="Arial Narrow"/>
                <w:sz w:val="20"/>
                <w:szCs w:val="20"/>
              </w:rPr>
              <w:t xml:space="preserve">Authority Required – </w:t>
            </w:r>
            <w:r w:rsidRPr="005E7DE4">
              <w:rPr>
                <w:rFonts w:ascii="Arial Narrow" w:eastAsia="Calibri" w:hAnsi="Arial Narrow"/>
                <w:sz w:val="20"/>
                <w:szCs w:val="20"/>
              </w:rPr>
              <w:t>(in writing only via post/HPOS upload)</w:t>
            </w:r>
          </w:p>
        </w:tc>
      </w:tr>
      <w:tr w:rsidR="00ED2D72" w:rsidRPr="005E7DE4" w14:paraId="07BF18C4" w14:textId="77777777" w:rsidTr="00240923">
        <w:tblPrEx>
          <w:tblCellMar>
            <w:top w:w="15" w:type="dxa"/>
            <w:left w:w="15" w:type="dxa"/>
            <w:bottom w:w="15" w:type="dxa"/>
            <w:right w:w="15" w:type="dxa"/>
          </w:tblCellMar>
          <w:tblLook w:val="04A0" w:firstRow="1" w:lastRow="0" w:firstColumn="1" w:lastColumn="0" w:noHBand="0" w:noVBand="1"/>
        </w:tblPrEx>
        <w:tc>
          <w:tcPr>
            <w:tcW w:w="770" w:type="dxa"/>
            <w:vMerge w:val="restart"/>
            <w:vAlign w:val="center"/>
          </w:tcPr>
          <w:p w14:paraId="5AEC9F9E" w14:textId="399286A7" w:rsidR="00ED2D72" w:rsidRPr="005E7DE4" w:rsidRDefault="00ED2D72" w:rsidP="002F6E81">
            <w:pPr>
              <w:rPr>
                <w:rFonts w:ascii="Arial Narrow" w:hAnsi="Arial Narrow"/>
                <w:strike/>
                <w:color w:val="333333"/>
                <w:sz w:val="20"/>
                <w:szCs w:val="20"/>
              </w:rPr>
            </w:pPr>
          </w:p>
        </w:tc>
        <w:tc>
          <w:tcPr>
            <w:tcW w:w="539" w:type="dxa"/>
            <w:gridSpan w:val="3"/>
            <w:vAlign w:val="center"/>
          </w:tcPr>
          <w:p w14:paraId="1BA49FE9" w14:textId="16032600" w:rsidR="00ED2D72" w:rsidRPr="005E7DE4" w:rsidRDefault="00ED2D72" w:rsidP="002F6E81">
            <w:pPr>
              <w:jc w:val="center"/>
              <w:rPr>
                <w:rFonts w:ascii="Arial Narrow" w:hAnsi="Arial Narrow"/>
                <w:color w:val="333333"/>
                <w:sz w:val="20"/>
                <w:szCs w:val="20"/>
              </w:rPr>
            </w:pPr>
          </w:p>
        </w:tc>
        <w:tc>
          <w:tcPr>
            <w:tcW w:w="7686" w:type="dxa"/>
            <w:gridSpan w:val="6"/>
            <w:vAlign w:val="center"/>
          </w:tcPr>
          <w:p w14:paraId="1597658B" w14:textId="77777777" w:rsidR="00ED2D72" w:rsidRPr="005E7DE4" w:rsidRDefault="00ED2D72" w:rsidP="002F6E81">
            <w:pPr>
              <w:rPr>
                <w:rFonts w:ascii="Arial Narrow" w:hAnsi="Arial Narrow"/>
                <w:color w:val="333333"/>
                <w:sz w:val="20"/>
                <w:szCs w:val="20"/>
              </w:rPr>
            </w:pPr>
            <w:r w:rsidRPr="005E7DE4">
              <w:rPr>
                <w:rFonts w:ascii="Arial Narrow" w:hAnsi="Arial Narrow"/>
                <w:b/>
                <w:bCs/>
                <w:color w:val="333333"/>
                <w:sz w:val="20"/>
                <w:szCs w:val="20"/>
              </w:rPr>
              <w:t>Administrative Advice:</w:t>
            </w:r>
          </w:p>
          <w:p w14:paraId="6C1F4C4D" w14:textId="4EE4541A" w:rsidR="00ED2D72" w:rsidRPr="005E7DE4" w:rsidRDefault="00ED2D72" w:rsidP="002F6E81">
            <w:pPr>
              <w:rPr>
                <w:rFonts w:ascii="Arial Narrow" w:hAnsi="Arial Narrow"/>
                <w:i/>
                <w:iCs/>
                <w:sz w:val="20"/>
                <w:szCs w:val="20"/>
              </w:rPr>
            </w:pPr>
            <w:r w:rsidRPr="005E7DE4">
              <w:rPr>
                <w:rFonts w:ascii="Arial Narrow" w:hAnsi="Arial Narrow"/>
                <w:i/>
                <w:iCs/>
                <w:sz w:val="20"/>
                <w:szCs w:val="20"/>
              </w:rPr>
              <w:t>Changes to the overarching administrative advice concept 27614 at the end of this section.</w:t>
            </w:r>
          </w:p>
        </w:tc>
      </w:tr>
      <w:tr w:rsidR="00ED2D72" w:rsidRPr="005E7DE4" w14:paraId="48F048DD" w14:textId="77777777" w:rsidTr="00240923">
        <w:tblPrEx>
          <w:tblCellMar>
            <w:top w:w="15" w:type="dxa"/>
            <w:left w:w="15" w:type="dxa"/>
            <w:bottom w:w="15" w:type="dxa"/>
            <w:right w:w="15" w:type="dxa"/>
          </w:tblCellMar>
          <w:tblLook w:val="04A0" w:firstRow="1" w:lastRow="0" w:firstColumn="1" w:lastColumn="0" w:noHBand="0" w:noVBand="1"/>
        </w:tblPrEx>
        <w:tc>
          <w:tcPr>
            <w:tcW w:w="770" w:type="dxa"/>
            <w:vMerge/>
            <w:vAlign w:val="center"/>
          </w:tcPr>
          <w:p w14:paraId="4925D52B" w14:textId="77777777" w:rsidR="00ED2D72" w:rsidRPr="005E7DE4" w:rsidRDefault="00ED2D72" w:rsidP="002F6E81">
            <w:pPr>
              <w:jc w:val="center"/>
              <w:rPr>
                <w:rFonts w:ascii="Arial Narrow" w:hAnsi="Arial Narrow"/>
                <w:strike/>
                <w:color w:val="333333"/>
                <w:sz w:val="20"/>
                <w:szCs w:val="20"/>
              </w:rPr>
            </w:pPr>
          </w:p>
        </w:tc>
        <w:tc>
          <w:tcPr>
            <w:tcW w:w="539" w:type="dxa"/>
            <w:gridSpan w:val="3"/>
            <w:vAlign w:val="center"/>
          </w:tcPr>
          <w:p w14:paraId="17770E30" w14:textId="47115447" w:rsidR="00ED2D72" w:rsidRPr="005E7DE4" w:rsidRDefault="00ED2D72" w:rsidP="002F6E81">
            <w:pPr>
              <w:jc w:val="center"/>
              <w:rPr>
                <w:rFonts w:ascii="Arial Narrow" w:hAnsi="Arial Narrow"/>
                <w:color w:val="333333"/>
                <w:sz w:val="20"/>
                <w:szCs w:val="20"/>
              </w:rPr>
            </w:pPr>
          </w:p>
        </w:tc>
        <w:tc>
          <w:tcPr>
            <w:tcW w:w="7686" w:type="dxa"/>
            <w:gridSpan w:val="6"/>
            <w:vAlign w:val="center"/>
          </w:tcPr>
          <w:p w14:paraId="4D67FD63" w14:textId="77777777" w:rsidR="00ED2D72" w:rsidRPr="005E7DE4" w:rsidRDefault="00ED2D72" w:rsidP="002F6E81">
            <w:pPr>
              <w:rPr>
                <w:rFonts w:ascii="Arial Narrow" w:hAnsi="Arial Narrow"/>
                <w:b/>
                <w:bCs/>
                <w:color w:val="333333"/>
                <w:sz w:val="20"/>
                <w:szCs w:val="20"/>
              </w:rPr>
            </w:pPr>
            <w:r w:rsidRPr="005E7DE4">
              <w:rPr>
                <w:rFonts w:ascii="Arial Narrow" w:hAnsi="Arial Narrow"/>
                <w:b/>
                <w:bCs/>
                <w:color w:val="333333"/>
                <w:sz w:val="20"/>
                <w:szCs w:val="20"/>
              </w:rPr>
              <w:t>Administrative Advice:</w:t>
            </w:r>
          </w:p>
          <w:p w14:paraId="2970906A" w14:textId="77777777" w:rsidR="00ED2D72" w:rsidRPr="005E7DE4" w:rsidRDefault="00ED2D72" w:rsidP="002F6E81">
            <w:pPr>
              <w:rPr>
                <w:rFonts w:ascii="Arial Narrow" w:hAnsi="Arial Narrow"/>
                <w:strike/>
                <w:color w:val="333333"/>
                <w:sz w:val="20"/>
                <w:szCs w:val="20"/>
              </w:rPr>
            </w:pPr>
            <w:r w:rsidRPr="005E7DE4">
              <w:rPr>
                <w:rFonts w:ascii="Arial Narrow" w:hAnsi="Arial Narrow"/>
                <w:strike/>
                <w:color w:val="333333"/>
                <w:sz w:val="20"/>
                <w:szCs w:val="20"/>
              </w:rPr>
              <w:t>Increase in the maximum quantity or number of units up to 4 may be authorised for the purpose of weight-based loading dose.</w:t>
            </w:r>
          </w:p>
          <w:p w14:paraId="5E60F6FE" w14:textId="77777777" w:rsidR="00ED2D72" w:rsidRPr="005E7DE4" w:rsidRDefault="00ED2D72" w:rsidP="002F6E81">
            <w:pPr>
              <w:rPr>
                <w:rFonts w:ascii="Arial Narrow" w:hAnsi="Arial Narrow"/>
                <w:b/>
                <w:bCs/>
                <w:i/>
                <w:iCs/>
                <w:strike/>
                <w:color w:val="333333"/>
                <w:sz w:val="20"/>
                <w:szCs w:val="20"/>
              </w:rPr>
            </w:pPr>
            <w:r w:rsidRPr="005E7DE4">
              <w:rPr>
                <w:rFonts w:ascii="Arial Narrow" w:hAnsi="Arial Narrow"/>
                <w:i/>
                <w:iCs/>
                <w:color w:val="333333"/>
                <w:sz w:val="20"/>
                <w:szCs w:val="20"/>
              </w:rPr>
              <w:t>No increase in the maximum quantity or number of units may be authorised</w:t>
            </w:r>
          </w:p>
        </w:tc>
      </w:tr>
      <w:tr w:rsidR="00ED2D72" w:rsidRPr="005E7DE4" w14:paraId="0D78A0EC" w14:textId="77777777" w:rsidTr="00240923">
        <w:tblPrEx>
          <w:tblCellMar>
            <w:top w:w="15" w:type="dxa"/>
            <w:left w:w="15" w:type="dxa"/>
            <w:bottom w:w="15" w:type="dxa"/>
            <w:right w:w="15" w:type="dxa"/>
          </w:tblCellMar>
          <w:tblLook w:val="04A0" w:firstRow="1" w:lastRow="0" w:firstColumn="1" w:lastColumn="0" w:noHBand="0" w:noVBand="1"/>
        </w:tblPrEx>
        <w:tc>
          <w:tcPr>
            <w:tcW w:w="770" w:type="dxa"/>
            <w:vMerge/>
            <w:vAlign w:val="center"/>
          </w:tcPr>
          <w:p w14:paraId="452810EA" w14:textId="77777777" w:rsidR="00ED2D72" w:rsidRPr="005E7DE4" w:rsidRDefault="00ED2D72" w:rsidP="002F6E81">
            <w:pPr>
              <w:jc w:val="center"/>
              <w:rPr>
                <w:rFonts w:ascii="Arial Narrow" w:hAnsi="Arial Narrow"/>
                <w:color w:val="333333"/>
                <w:sz w:val="20"/>
                <w:szCs w:val="20"/>
              </w:rPr>
            </w:pPr>
          </w:p>
        </w:tc>
        <w:tc>
          <w:tcPr>
            <w:tcW w:w="539" w:type="dxa"/>
            <w:gridSpan w:val="3"/>
            <w:vAlign w:val="center"/>
          </w:tcPr>
          <w:p w14:paraId="2D1DB78D" w14:textId="7EDAF75D" w:rsidR="00ED2D72" w:rsidRPr="005E7DE4" w:rsidRDefault="00ED2D72" w:rsidP="002F6E81">
            <w:pPr>
              <w:jc w:val="center"/>
              <w:rPr>
                <w:rFonts w:ascii="Arial Narrow" w:hAnsi="Arial Narrow"/>
                <w:color w:val="333333"/>
                <w:sz w:val="20"/>
                <w:szCs w:val="20"/>
              </w:rPr>
            </w:pPr>
          </w:p>
        </w:tc>
        <w:tc>
          <w:tcPr>
            <w:tcW w:w="7686" w:type="dxa"/>
            <w:gridSpan w:val="6"/>
            <w:vAlign w:val="center"/>
          </w:tcPr>
          <w:p w14:paraId="68176E31" w14:textId="77777777" w:rsidR="00ED2D72" w:rsidRPr="005E7DE4" w:rsidRDefault="00ED2D72" w:rsidP="002F6E81">
            <w:pPr>
              <w:rPr>
                <w:rFonts w:ascii="Arial Narrow" w:hAnsi="Arial Narrow"/>
                <w:b/>
                <w:bCs/>
                <w:color w:val="333333"/>
                <w:sz w:val="20"/>
                <w:szCs w:val="20"/>
              </w:rPr>
            </w:pPr>
            <w:r w:rsidRPr="005E7DE4">
              <w:rPr>
                <w:rFonts w:ascii="Arial Narrow" w:hAnsi="Arial Narrow"/>
                <w:b/>
                <w:bCs/>
                <w:color w:val="333333"/>
                <w:sz w:val="20"/>
                <w:szCs w:val="20"/>
              </w:rPr>
              <w:t>Administrative Advice:</w:t>
            </w:r>
          </w:p>
          <w:p w14:paraId="65EB4310" w14:textId="77777777" w:rsidR="00ED2D72" w:rsidRPr="005E7DE4" w:rsidRDefault="00ED2D72" w:rsidP="002F6E81">
            <w:pPr>
              <w:rPr>
                <w:rFonts w:ascii="Arial Narrow" w:hAnsi="Arial Narrow"/>
                <w:b/>
                <w:bCs/>
                <w:color w:val="333333"/>
                <w:sz w:val="20"/>
                <w:szCs w:val="20"/>
              </w:rPr>
            </w:pPr>
            <w:r w:rsidRPr="005E7DE4">
              <w:rPr>
                <w:rFonts w:ascii="Arial Narrow" w:hAnsi="Arial Narrow"/>
                <w:color w:val="333333"/>
                <w:sz w:val="20"/>
                <w:szCs w:val="20"/>
              </w:rPr>
              <w:t>No increase in the maximum number of repeats may be authorised.</w:t>
            </w:r>
          </w:p>
        </w:tc>
      </w:tr>
      <w:tr w:rsidR="00ED2D72" w:rsidRPr="005E7DE4" w14:paraId="6FDDDFCA" w14:textId="77777777" w:rsidTr="00240923">
        <w:tblPrEx>
          <w:tblCellMar>
            <w:top w:w="15" w:type="dxa"/>
            <w:left w:w="15" w:type="dxa"/>
            <w:bottom w:w="15" w:type="dxa"/>
            <w:right w:w="15" w:type="dxa"/>
          </w:tblCellMar>
          <w:tblLook w:val="04A0" w:firstRow="1" w:lastRow="0" w:firstColumn="1" w:lastColumn="0" w:noHBand="0" w:noVBand="1"/>
        </w:tblPrEx>
        <w:tc>
          <w:tcPr>
            <w:tcW w:w="770" w:type="dxa"/>
            <w:vMerge/>
            <w:vAlign w:val="center"/>
          </w:tcPr>
          <w:p w14:paraId="67C2249F" w14:textId="77777777" w:rsidR="00ED2D72" w:rsidRPr="005E7DE4" w:rsidRDefault="00ED2D72" w:rsidP="002F6E81">
            <w:pPr>
              <w:jc w:val="center"/>
              <w:rPr>
                <w:rFonts w:ascii="Arial Narrow" w:hAnsi="Arial Narrow"/>
                <w:color w:val="333333"/>
                <w:sz w:val="20"/>
                <w:szCs w:val="20"/>
              </w:rPr>
            </w:pPr>
          </w:p>
        </w:tc>
        <w:tc>
          <w:tcPr>
            <w:tcW w:w="539" w:type="dxa"/>
            <w:gridSpan w:val="3"/>
            <w:vAlign w:val="center"/>
          </w:tcPr>
          <w:p w14:paraId="1E03CC05" w14:textId="3150A73E" w:rsidR="00ED2D72" w:rsidRPr="005E7DE4" w:rsidRDefault="00ED2D72" w:rsidP="002F6E81">
            <w:pPr>
              <w:jc w:val="center"/>
              <w:rPr>
                <w:rFonts w:ascii="Arial Narrow" w:hAnsi="Arial Narrow"/>
                <w:color w:val="333333"/>
                <w:sz w:val="20"/>
                <w:szCs w:val="20"/>
              </w:rPr>
            </w:pPr>
          </w:p>
        </w:tc>
        <w:tc>
          <w:tcPr>
            <w:tcW w:w="7686" w:type="dxa"/>
            <w:gridSpan w:val="6"/>
            <w:vAlign w:val="center"/>
          </w:tcPr>
          <w:p w14:paraId="12B690A5" w14:textId="77777777" w:rsidR="00ED2D72" w:rsidRPr="005E7DE4" w:rsidRDefault="00ED2D72" w:rsidP="002F6E81">
            <w:pPr>
              <w:rPr>
                <w:rFonts w:ascii="Arial Narrow" w:hAnsi="Arial Narrow"/>
                <w:b/>
                <w:bCs/>
                <w:color w:val="333333"/>
                <w:sz w:val="20"/>
                <w:szCs w:val="20"/>
              </w:rPr>
            </w:pPr>
            <w:r w:rsidRPr="005E7DE4">
              <w:rPr>
                <w:rFonts w:ascii="Arial Narrow" w:hAnsi="Arial Narrow"/>
                <w:b/>
                <w:bCs/>
                <w:color w:val="333333"/>
                <w:sz w:val="20"/>
                <w:szCs w:val="20"/>
              </w:rPr>
              <w:t>Administrative Advice:</w:t>
            </w:r>
          </w:p>
          <w:p w14:paraId="00D7BF98" w14:textId="77777777" w:rsidR="00ED2D72" w:rsidRPr="005E7DE4" w:rsidRDefault="00ED2D72" w:rsidP="002F6E81">
            <w:pPr>
              <w:rPr>
                <w:rFonts w:ascii="Arial Narrow" w:hAnsi="Arial Narrow"/>
                <w:b/>
                <w:bCs/>
                <w:color w:val="333333"/>
                <w:sz w:val="20"/>
                <w:szCs w:val="20"/>
              </w:rPr>
            </w:pPr>
            <w:r w:rsidRPr="005E7DE4">
              <w:rPr>
                <w:rFonts w:ascii="Arial Narrow" w:hAnsi="Arial Narrow"/>
                <w:color w:val="333333"/>
                <w:sz w:val="20"/>
                <w:szCs w:val="20"/>
              </w:rPr>
              <w:t>Special Pricing Arrangements apply.</w:t>
            </w:r>
          </w:p>
        </w:tc>
      </w:tr>
      <w:tr w:rsidR="00ED2D72" w:rsidRPr="005E7DE4" w14:paraId="20B843E4" w14:textId="77777777" w:rsidTr="00240923">
        <w:tblPrEx>
          <w:tblCellMar>
            <w:top w:w="15" w:type="dxa"/>
            <w:left w:w="15" w:type="dxa"/>
            <w:bottom w:w="15" w:type="dxa"/>
            <w:right w:w="15" w:type="dxa"/>
          </w:tblCellMar>
          <w:tblLook w:val="04A0" w:firstRow="1" w:lastRow="0" w:firstColumn="1" w:lastColumn="0" w:noHBand="0" w:noVBand="1"/>
        </w:tblPrEx>
        <w:tc>
          <w:tcPr>
            <w:tcW w:w="770" w:type="dxa"/>
            <w:vMerge/>
            <w:vAlign w:val="center"/>
          </w:tcPr>
          <w:p w14:paraId="2DDF43B8" w14:textId="77777777" w:rsidR="00ED2D72" w:rsidRPr="005E7DE4" w:rsidRDefault="00ED2D72" w:rsidP="002F6E81">
            <w:pPr>
              <w:jc w:val="center"/>
              <w:rPr>
                <w:rFonts w:ascii="Arial Narrow" w:hAnsi="Arial Narrow"/>
                <w:color w:val="333333"/>
                <w:sz w:val="20"/>
                <w:szCs w:val="20"/>
              </w:rPr>
            </w:pPr>
          </w:p>
        </w:tc>
        <w:tc>
          <w:tcPr>
            <w:tcW w:w="539" w:type="dxa"/>
            <w:gridSpan w:val="3"/>
            <w:vAlign w:val="center"/>
          </w:tcPr>
          <w:p w14:paraId="4A7F11D6" w14:textId="166CC7DC" w:rsidR="00ED2D72" w:rsidRPr="005E7DE4" w:rsidRDefault="00ED2D72" w:rsidP="002F6E81">
            <w:pPr>
              <w:jc w:val="center"/>
              <w:rPr>
                <w:rFonts w:ascii="Arial Narrow" w:hAnsi="Arial Narrow"/>
                <w:color w:val="333333"/>
                <w:sz w:val="20"/>
                <w:szCs w:val="20"/>
              </w:rPr>
            </w:pPr>
          </w:p>
        </w:tc>
        <w:tc>
          <w:tcPr>
            <w:tcW w:w="7686" w:type="dxa"/>
            <w:gridSpan w:val="6"/>
            <w:vAlign w:val="center"/>
          </w:tcPr>
          <w:p w14:paraId="07DC2C84" w14:textId="77777777" w:rsidR="00ED2D72" w:rsidRPr="005E7DE4" w:rsidRDefault="00ED2D72" w:rsidP="002F6E81">
            <w:pPr>
              <w:rPr>
                <w:rFonts w:ascii="Arial Narrow" w:hAnsi="Arial Narrow"/>
                <w:b/>
                <w:bCs/>
                <w:color w:val="333333"/>
                <w:sz w:val="20"/>
                <w:szCs w:val="20"/>
              </w:rPr>
            </w:pPr>
            <w:r w:rsidRPr="005E7DE4">
              <w:rPr>
                <w:rFonts w:ascii="Arial Narrow" w:hAnsi="Arial Narrow"/>
                <w:b/>
                <w:bCs/>
                <w:color w:val="333333"/>
                <w:sz w:val="20"/>
                <w:szCs w:val="20"/>
              </w:rPr>
              <w:t>Administrative advice:</w:t>
            </w:r>
          </w:p>
          <w:p w14:paraId="24A47B67" w14:textId="77777777" w:rsidR="00ED2D72" w:rsidRPr="005E7DE4" w:rsidRDefault="00ED2D72" w:rsidP="002F6E81">
            <w:pPr>
              <w:rPr>
                <w:rFonts w:ascii="Arial Narrow" w:hAnsi="Arial Narrow"/>
                <w:color w:val="333333"/>
                <w:sz w:val="20"/>
                <w:szCs w:val="20"/>
              </w:rPr>
            </w:pPr>
            <w:r w:rsidRPr="005E7DE4">
              <w:rPr>
                <w:rFonts w:ascii="Arial Narrow" w:hAnsi="Arial Narrow"/>
                <w:color w:val="333333"/>
                <w:sz w:val="20"/>
                <w:szCs w:val="20"/>
              </w:rPr>
              <w:t>Any queries concerning the arrangements to prescribe may be directed to Services Australia on 1800 700 270 (hours of operation 8 a.m. to 5 p.m. Monday to Friday).</w:t>
            </w:r>
          </w:p>
          <w:p w14:paraId="551EE1C7" w14:textId="77777777" w:rsidR="00ED2D72" w:rsidRPr="005E7DE4" w:rsidRDefault="00ED2D72" w:rsidP="002F6E81">
            <w:pPr>
              <w:rPr>
                <w:rFonts w:ascii="Arial Narrow" w:hAnsi="Arial Narrow"/>
                <w:color w:val="333333"/>
                <w:sz w:val="20"/>
                <w:szCs w:val="20"/>
              </w:rPr>
            </w:pPr>
            <w:r w:rsidRPr="005E7DE4">
              <w:rPr>
                <w:rFonts w:ascii="Arial Narrow" w:hAnsi="Arial Narrow"/>
                <w:color w:val="333333"/>
                <w:sz w:val="20"/>
                <w:szCs w:val="20"/>
              </w:rPr>
              <w:t>Prescribing information (including Authority Application forms and other relevant documentation as applicable) is available on the Services Australia website at www.servicesaustralia.gov.au</w:t>
            </w:r>
          </w:p>
          <w:p w14:paraId="1CC87473" w14:textId="77777777" w:rsidR="00ED2D72" w:rsidRPr="005E7DE4" w:rsidRDefault="00ED2D72" w:rsidP="002F6E81">
            <w:pPr>
              <w:rPr>
                <w:rFonts w:ascii="Arial Narrow" w:hAnsi="Arial Narrow"/>
                <w:color w:val="333333"/>
                <w:sz w:val="20"/>
                <w:szCs w:val="20"/>
              </w:rPr>
            </w:pPr>
            <w:r w:rsidRPr="005E7DE4">
              <w:rPr>
                <w:rFonts w:ascii="Arial Narrow" w:hAnsi="Arial Narrow"/>
                <w:color w:val="333333"/>
                <w:sz w:val="20"/>
                <w:szCs w:val="20"/>
              </w:rPr>
              <w:t>Applications for authority to prescribe should be submitted online using the form upload facility in Health Professional Online Services (HPOS) at www.servicesaustralia.gov.au/hpos</w:t>
            </w:r>
          </w:p>
          <w:p w14:paraId="51281B7F" w14:textId="77777777" w:rsidR="00ED2D72" w:rsidRPr="005E7DE4" w:rsidRDefault="00ED2D72" w:rsidP="002F6E81">
            <w:pPr>
              <w:rPr>
                <w:rFonts w:ascii="Arial Narrow" w:hAnsi="Arial Narrow"/>
                <w:color w:val="333333"/>
                <w:sz w:val="20"/>
                <w:szCs w:val="20"/>
              </w:rPr>
            </w:pPr>
            <w:r w:rsidRPr="005E7DE4">
              <w:rPr>
                <w:rFonts w:ascii="Arial Narrow" w:hAnsi="Arial Narrow"/>
                <w:color w:val="333333"/>
                <w:sz w:val="20"/>
                <w:szCs w:val="20"/>
              </w:rPr>
              <w:t>Or mailed to:</w:t>
            </w:r>
          </w:p>
          <w:p w14:paraId="0AB3A810" w14:textId="77777777" w:rsidR="00ED2D72" w:rsidRPr="005E7DE4" w:rsidRDefault="00ED2D72" w:rsidP="002F6E81">
            <w:pPr>
              <w:rPr>
                <w:rFonts w:ascii="Arial Narrow" w:hAnsi="Arial Narrow"/>
                <w:color w:val="333333"/>
                <w:sz w:val="20"/>
                <w:szCs w:val="20"/>
              </w:rPr>
            </w:pPr>
            <w:r w:rsidRPr="005E7DE4">
              <w:rPr>
                <w:rFonts w:ascii="Arial Narrow" w:hAnsi="Arial Narrow"/>
                <w:color w:val="333333"/>
                <w:sz w:val="20"/>
                <w:szCs w:val="20"/>
              </w:rPr>
              <w:t>Services Australia</w:t>
            </w:r>
          </w:p>
          <w:p w14:paraId="294327E2" w14:textId="77777777" w:rsidR="00ED2D72" w:rsidRPr="005E7DE4" w:rsidRDefault="00ED2D72" w:rsidP="002F6E81">
            <w:pPr>
              <w:rPr>
                <w:rFonts w:ascii="Arial Narrow" w:hAnsi="Arial Narrow"/>
                <w:color w:val="333333"/>
                <w:sz w:val="20"/>
                <w:szCs w:val="20"/>
              </w:rPr>
            </w:pPr>
            <w:r w:rsidRPr="005E7DE4">
              <w:rPr>
                <w:rFonts w:ascii="Arial Narrow" w:hAnsi="Arial Narrow"/>
                <w:color w:val="333333"/>
                <w:sz w:val="20"/>
                <w:szCs w:val="20"/>
              </w:rPr>
              <w:t>Complex Drugs</w:t>
            </w:r>
          </w:p>
          <w:p w14:paraId="105DDA2D" w14:textId="77777777" w:rsidR="00ED2D72" w:rsidRPr="005E7DE4" w:rsidRDefault="00ED2D72" w:rsidP="002F6E81">
            <w:pPr>
              <w:rPr>
                <w:rFonts w:ascii="Arial Narrow" w:hAnsi="Arial Narrow"/>
                <w:color w:val="333333"/>
                <w:sz w:val="20"/>
                <w:szCs w:val="20"/>
              </w:rPr>
            </w:pPr>
            <w:r w:rsidRPr="005E7DE4">
              <w:rPr>
                <w:rFonts w:ascii="Arial Narrow" w:hAnsi="Arial Narrow"/>
                <w:color w:val="333333"/>
                <w:sz w:val="20"/>
                <w:szCs w:val="20"/>
              </w:rPr>
              <w:t>Reply Paid 9826</w:t>
            </w:r>
          </w:p>
          <w:p w14:paraId="7B87B85A" w14:textId="77777777" w:rsidR="00ED2D72" w:rsidRPr="005E7DE4" w:rsidRDefault="00ED2D72" w:rsidP="002F6E81">
            <w:pPr>
              <w:rPr>
                <w:rFonts w:ascii="Arial Narrow" w:hAnsi="Arial Narrow"/>
                <w:b/>
                <w:bCs/>
                <w:color w:val="333333"/>
                <w:sz w:val="20"/>
                <w:szCs w:val="20"/>
              </w:rPr>
            </w:pPr>
            <w:r w:rsidRPr="005E7DE4">
              <w:rPr>
                <w:rFonts w:ascii="Arial Narrow" w:hAnsi="Arial Narrow"/>
                <w:color w:val="333333"/>
                <w:sz w:val="20"/>
                <w:szCs w:val="20"/>
              </w:rPr>
              <w:t>HOBART TAS 7001</w:t>
            </w:r>
          </w:p>
        </w:tc>
      </w:tr>
      <w:tr w:rsidR="00067F35" w:rsidRPr="005E7DE4" w14:paraId="643B224D"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D5CDE08" w14:textId="663BFA4B"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2EBEAE8D" w14:textId="77777777" w:rsidR="00067F35" w:rsidRPr="005E7DE4" w:rsidRDefault="00067F35" w:rsidP="00067F35">
            <w:pPr>
              <w:rPr>
                <w:rFonts w:ascii="Arial Narrow" w:hAnsi="Arial Narrow"/>
                <w:color w:val="333333"/>
                <w:sz w:val="20"/>
                <w:szCs w:val="20"/>
              </w:rPr>
            </w:pPr>
            <w:r w:rsidRPr="005E7DE4">
              <w:rPr>
                <w:rFonts w:ascii="Arial Narrow" w:hAnsi="Arial Narrow"/>
                <w:b/>
                <w:bCs/>
                <w:color w:val="333333"/>
                <w:sz w:val="20"/>
                <w:szCs w:val="20"/>
              </w:rPr>
              <w:t>Indication:</w:t>
            </w:r>
            <w:r w:rsidRPr="005E7DE4">
              <w:rPr>
                <w:rFonts w:ascii="Arial Narrow" w:hAnsi="Arial Narrow"/>
                <w:color w:val="333333"/>
                <w:sz w:val="20"/>
                <w:szCs w:val="20"/>
              </w:rPr>
              <w:t xml:space="preserve"> Complex refractory Fistulising Crohn disease</w:t>
            </w:r>
          </w:p>
        </w:tc>
      </w:tr>
      <w:tr w:rsidR="00067F35" w:rsidRPr="005E7DE4" w14:paraId="301FF8F8"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B9FBDF6" w14:textId="77777777"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4A4765FA" w14:textId="77777777" w:rsidR="00067F35" w:rsidRPr="005E7DE4" w:rsidRDefault="00067F35" w:rsidP="00067F35">
            <w:pPr>
              <w:rPr>
                <w:rFonts w:ascii="Arial Narrow" w:hAnsi="Arial Narrow"/>
                <w:color w:val="333333"/>
                <w:sz w:val="20"/>
                <w:szCs w:val="20"/>
              </w:rPr>
            </w:pPr>
            <w:r w:rsidRPr="005E7DE4">
              <w:rPr>
                <w:rFonts w:ascii="Arial Narrow" w:hAnsi="Arial Narrow"/>
                <w:b/>
                <w:bCs/>
                <w:color w:val="333333"/>
                <w:sz w:val="20"/>
                <w:szCs w:val="20"/>
              </w:rPr>
              <w:t>Treatment Phase:</w:t>
            </w:r>
            <w:r w:rsidRPr="005E7DE4">
              <w:rPr>
                <w:rFonts w:ascii="Arial Narrow" w:hAnsi="Arial Narrow"/>
                <w:color w:val="333333"/>
                <w:sz w:val="20"/>
                <w:szCs w:val="20"/>
              </w:rPr>
              <w:t xml:space="preserve"> Initial treatment - Initial 1 (new patient or recommencement of treatment after a break in biological medicine of more than 5 years)</w:t>
            </w:r>
          </w:p>
        </w:tc>
      </w:tr>
      <w:tr w:rsidR="00067F35" w:rsidRPr="005E7DE4" w14:paraId="13CFF462"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59F1111" w14:textId="25FDF201"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525EA43F" w14:textId="77777777" w:rsidR="00067F35" w:rsidRPr="005E7DE4" w:rsidRDefault="00067F35" w:rsidP="00067F35">
            <w:pPr>
              <w:rPr>
                <w:rFonts w:ascii="Arial Narrow" w:hAnsi="Arial Narrow"/>
                <w:color w:val="333333"/>
                <w:sz w:val="20"/>
                <w:szCs w:val="20"/>
              </w:rPr>
            </w:pPr>
            <w:r w:rsidRPr="005E7DE4">
              <w:rPr>
                <w:rFonts w:ascii="Arial Narrow" w:hAnsi="Arial Narrow"/>
                <w:b/>
                <w:bCs/>
                <w:color w:val="333333"/>
                <w:sz w:val="20"/>
                <w:szCs w:val="20"/>
              </w:rPr>
              <w:t>Clinical criteria:</w:t>
            </w:r>
          </w:p>
        </w:tc>
      </w:tr>
      <w:tr w:rsidR="00067F35" w:rsidRPr="005E7DE4" w14:paraId="23B26FD6"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BDF11DE" w14:textId="1A39D347"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27BD4951" w14:textId="77777777" w:rsidR="00067F35" w:rsidRPr="005E7DE4" w:rsidRDefault="00067F35" w:rsidP="00067F35">
            <w:pPr>
              <w:rPr>
                <w:rFonts w:ascii="Arial Narrow" w:hAnsi="Arial Narrow"/>
                <w:color w:val="333333"/>
                <w:sz w:val="20"/>
                <w:szCs w:val="20"/>
              </w:rPr>
            </w:pPr>
            <w:r w:rsidRPr="005E7DE4">
              <w:rPr>
                <w:rFonts w:ascii="Arial Narrow" w:hAnsi="Arial Narrow"/>
                <w:color w:val="333333"/>
                <w:sz w:val="20"/>
                <w:szCs w:val="20"/>
              </w:rPr>
              <w:t>Patient must have confirmed Crohn disease, defined by standard clinical, endoscopic and/or imaging features, including histological evidence, with the diagnosis confirmed by a gastroenterologist or a consultant physician</w:t>
            </w:r>
          </w:p>
        </w:tc>
      </w:tr>
      <w:tr w:rsidR="00067F35" w:rsidRPr="005E7DE4" w14:paraId="6125D50C"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F791C31" w14:textId="77777777"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343B472A" w14:textId="77777777" w:rsidR="00067F35" w:rsidRPr="005E7DE4" w:rsidRDefault="00067F35" w:rsidP="00067F35">
            <w:pPr>
              <w:rPr>
                <w:rFonts w:ascii="Arial Narrow" w:hAnsi="Arial Narrow"/>
                <w:color w:val="333333"/>
                <w:sz w:val="20"/>
                <w:szCs w:val="20"/>
              </w:rPr>
            </w:pPr>
            <w:r w:rsidRPr="005E7DE4">
              <w:rPr>
                <w:rFonts w:ascii="Arial Narrow" w:hAnsi="Arial Narrow"/>
                <w:b/>
                <w:bCs/>
                <w:color w:val="333333"/>
                <w:sz w:val="20"/>
                <w:szCs w:val="20"/>
              </w:rPr>
              <w:t>AND</w:t>
            </w:r>
          </w:p>
        </w:tc>
      </w:tr>
      <w:tr w:rsidR="00067F35" w:rsidRPr="005E7DE4" w14:paraId="497C5AE4"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36B0F72" w14:textId="376B0623"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3D3C32F9" w14:textId="77777777" w:rsidR="00067F35" w:rsidRPr="005E7DE4" w:rsidRDefault="00067F35" w:rsidP="00067F35">
            <w:pPr>
              <w:rPr>
                <w:rFonts w:ascii="Arial Narrow" w:hAnsi="Arial Narrow"/>
                <w:color w:val="333333"/>
                <w:sz w:val="20"/>
                <w:szCs w:val="20"/>
              </w:rPr>
            </w:pPr>
            <w:r w:rsidRPr="005E7DE4">
              <w:rPr>
                <w:rFonts w:ascii="Arial Narrow" w:hAnsi="Arial Narrow"/>
                <w:b/>
                <w:bCs/>
                <w:color w:val="333333"/>
                <w:sz w:val="20"/>
                <w:szCs w:val="20"/>
              </w:rPr>
              <w:t>Clinical criteria:</w:t>
            </w:r>
          </w:p>
        </w:tc>
      </w:tr>
      <w:tr w:rsidR="00067F35" w:rsidRPr="005E7DE4" w14:paraId="1455D2EE"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2B7ADE7" w14:textId="1FD74129"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1B973EED" w14:textId="77777777" w:rsidR="00067F35" w:rsidRPr="005E7DE4" w:rsidRDefault="00067F35" w:rsidP="00067F35">
            <w:pPr>
              <w:rPr>
                <w:rFonts w:ascii="Arial Narrow" w:hAnsi="Arial Narrow"/>
                <w:color w:val="333333"/>
                <w:sz w:val="20"/>
                <w:szCs w:val="20"/>
              </w:rPr>
            </w:pPr>
            <w:r w:rsidRPr="005E7DE4">
              <w:rPr>
                <w:rFonts w:ascii="Arial Narrow" w:hAnsi="Arial Narrow"/>
                <w:color w:val="333333"/>
                <w:sz w:val="20"/>
                <w:szCs w:val="20"/>
              </w:rPr>
              <w:t>Patient must have an externally draining enterocutaneous or rectovaginal fistula</w:t>
            </w:r>
          </w:p>
        </w:tc>
      </w:tr>
      <w:tr w:rsidR="00067F35" w:rsidRPr="005E7DE4" w14:paraId="08131143"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B89BD38" w14:textId="77777777"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2E2CCF22" w14:textId="77777777" w:rsidR="00067F35" w:rsidRPr="005E7DE4" w:rsidRDefault="00067F35" w:rsidP="00067F35">
            <w:pPr>
              <w:rPr>
                <w:rFonts w:ascii="Arial Narrow" w:hAnsi="Arial Narrow"/>
                <w:color w:val="333333"/>
                <w:sz w:val="20"/>
                <w:szCs w:val="20"/>
              </w:rPr>
            </w:pPr>
            <w:r w:rsidRPr="005E7DE4">
              <w:rPr>
                <w:rFonts w:ascii="Arial Narrow" w:hAnsi="Arial Narrow"/>
                <w:b/>
                <w:bCs/>
                <w:color w:val="333333"/>
                <w:sz w:val="20"/>
                <w:szCs w:val="20"/>
              </w:rPr>
              <w:t>AND</w:t>
            </w:r>
          </w:p>
        </w:tc>
      </w:tr>
      <w:tr w:rsidR="00067F35" w:rsidRPr="005E7DE4" w14:paraId="79B2E79E"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E89FCDF" w14:textId="1FEB9092"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6EB6E66D" w14:textId="77777777" w:rsidR="00067F35" w:rsidRPr="005E7DE4" w:rsidRDefault="00067F35" w:rsidP="00067F35">
            <w:pPr>
              <w:rPr>
                <w:rFonts w:ascii="Arial Narrow" w:hAnsi="Arial Narrow"/>
                <w:color w:val="333333"/>
                <w:sz w:val="20"/>
                <w:szCs w:val="20"/>
              </w:rPr>
            </w:pPr>
            <w:r w:rsidRPr="005E7DE4">
              <w:rPr>
                <w:rFonts w:ascii="Arial Narrow" w:hAnsi="Arial Narrow"/>
                <w:b/>
                <w:bCs/>
                <w:color w:val="333333"/>
                <w:sz w:val="20"/>
                <w:szCs w:val="20"/>
              </w:rPr>
              <w:t>Treatment criteria:</w:t>
            </w:r>
          </w:p>
        </w:tc>
      </w:tr>
      <w:tr w:rsidR="00067F35" w:rsidRPr="005E7DE4" w14:paraId="0C91ED38"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ADB7C9D" w14:textId="47FB780F"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11486ADB" w14:textId="77777777" w:rsidR="00067F35" w:rsidRPr="005E7DE4" w:rsidRDefault="00067F35" w:rsidP="00067F35">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 xml:space="preserve">Must be treated by a gastroenterologist (code 87); </w:t>
            </w:r>
          </w:p>
          <w:p w14:paraId="59C63DB3" w14:textId="77777777" w:rsidR="00067F35" w:rsidRPr="005E7DE4" w:rsidRDefault="00067F35" w:rsidP="00067F35">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OR</w:t>
            </w:r>
          </w:p>
          <w:p w14:paraId="394C9A9C" w14:textId="77777777" w:rsidR="00067F35" w:rsidRPr="005E7DE4" w:rsidRDefault="00067F35" w:rsidP="00067F35">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 xml:space="preserve">Must be treated by a consultant physician [internal medicine specialising in gastroenterology (code 81)]; </w:t>
            </w:r>
          </w:p>
          <w:p w14:paraId="498B65F3" w14:textId="77777777" w:rsidR="00067F35" w:rsidRPr="005E7DE4" w:rsidRDefault="00067F35" w:rsidP="00067F35">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OR</w:t>
            </w:r>
          </w:p>
          <w:p w14:paraId="508800C2" w14:textId="77777777" w:rsidR="00067F35" w:rsidRPr="005E7DE4" w:rsidRDefault="00067F35" w:rsidP="00067F35">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Must be treated by a consultant physician [general medicine specialising in gastroenterology (code 82)]</w:t>
            </w:r>
          </w:p>
        </w:tc>
      </w:tr>
      <w:tr w:rsidR="00067F35" w:rsidRPr="005E7DE4" w14:paraId="4FFCE39D"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shd w:val="clear" w:color="auto" w:fill="BFBFBF" w:themeFill="background1" w:themeFillShade="BF"/>
            <w:vAlign w:val="center"/>
          </w:tcPr>
          <w:p w14:paraId="55462F8B" w14:textId="77777777" w:rsidR="00067F35" w:rsidRPr="005E7DE4" w:rsidRDefault="00067F35" w:rsidP="00067F35">
            <w:pPr>
              <w:jc w:val="center"/>
              <w:rPr>
                <w:rFonts w:ascii="Arial Narrow" w:hAnsi="Arial Narrow"/>
                <w:color w:val="333333"/>
                <w:sz w:val="20"/>
                <w:szCs w:val="20"/>
              </w:rPr>
            </w:pPr>
          </w:p>
        </w:tc>
        <w:tc>
          <w:tcPr>
            <w:tcW w:w="8014" w:type="dxa"/>
            <w:gridSpan w:val="8"/>
            <w:shd w:val="clear" w:color="auto" w:fill="BFBFBF" w:themeFill="background1" w:themeFillShade="BF"/>
            <w:vAlign w:val="center"/>
            <w:hideMark/>
          </w:tcPr>
          <w:p w14:paraId="009ADC2A" w14:textId="77777777" w:rsidR="00067F35" w:rsidRPr="005E7DE4" w:rsidRDefault="00067F35" w:rsidP="00067F35">
            <w:pPr>
              <w:rPr>
                <w:rFonts w:ascii="Arial Narrow" w:hAnsi="Arial Narrow"/>
                <w:color w:val="333333"/>
                <w:sz w:val="20"/>
                <w:szCs w:val="20"/>
              </w:rPr>
            </w:pPr>
          </w:p>
        </w:tc>
      </w:tr>
      <w:tr w:rsidR="00067F35" w:rsidRPr="005E7DE4" w14:paraId="09546FF7"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3B4EC42" w14:textId="1539BD34" w:rsidR="00067F35" w:rsidRPr="005E7DE4" w:rsidRDefault="00067F35" w:rsidP="00067F35">
            <w:pPr>
              <w:jc w:val="center"/>
              <w:rPr>
                <w:rFonts w:ascii="Arial Narrow" w:hAnsi="Arial Narrow"/>
                <w:color w:val="333333"/>
                <w:sz w:val="20"/>
                <w:szCs w:val="20"/>
              </w:rPr>
            </w:pPr>
          </w:p>
        </w:tc>
        <w:tc>
          <w:tcPr>
            <w:tcW w:w="8014" w:type="dxa"/>
            <w:gridSpan w:val="8"/>
            <w:vAlign w:val="center"/>
            <w:hideMark/>
          </w:tcPr>
          <w:p w14:paraId="3ED86656" w14:textId="77777777" w:rsidR="00067F35" w:rsidRPr="005E7DE4" w:rsidRDefault="00067F35" w:rsidP="00067F35">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7826F365" w14:textId="12028687" w:rsidR="00067F35" w:rsidRPr="005E7DE4" w:rsidRDefault="00067F35" w:rsidP="00067F35">
            <w:pPr>
              <w:rPr>
                <w:rFonts w:ascii="Arial Narrow" w:hAnsi="Arial Narrow"/>
                <w:color w:val="333333"/>
                <w:sz w:val="20"/>
                <w:szCs w:val="20"/>
              </w:rPr>
            </w:pPr>
            <w:r w:rsidRPr="005E7DE4">
              <w:rPr>
                <w:rFonts w:ascii="Arial Narrow" w:hAnsi="Arial Narrow"/>
                <w:bCs/>
                <w:color w:val="333333"/>
                <w:sz w:val="20"/>
                <w:szCs w:val="20"/>
              </w:rPr>
              <w:t>Applications for authorisation must be made in writing and must include: (1) two completed authority prescription forms; and, (2) a completed authority application form relevant to the indication and treatment phase (the latest version is located on the website specified in the Administrative Advice) which includes a completed current Fistula Assessment Form including the date of assessment of the patient's condition of no more than 4 weeks old at the time of application.</w:t>
            </w:r>
          </w:p>
        </w:tc>
      </w:tr>
      <w:tr w:rsidR="00067F35" w:rsidRPr="005E7DE4" w14:paraId="0547556F"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7581D64" w14:textId="4DF62697" w:rsidR="00067F35" w:rsidRPr="005E7DE4" w:rsidRDefault="00067F35" w:rsidP="00067F35">
            <w:pPr>
              <w:jc w:val="center"/>
              <w:rPr>
                <w:rFonts w:ascii="Arial Narrow" w:hAnsi="Arial Narrow"/>
                <w:color w:val="333333"/>
                <w:sz w:val="20"/>
                <w:szCs w:val="20"/>
              </w:rPr>
            </w:pPr>
          </w:p>
        </w:tc>
        <w:tc>
          <w:tcPr>
            <w:tcW w:w="8014" w:type="dxa"/>
            <w:gridSpan w:val="8"/>
            <w:vAlign w:val="center"/>
          </w:tcPr>
          <w:p w14:paraId="5A6C43D1" w14:textId="77777777" w:rsidR="00067F35" w:rsidRPr="005E7DE4" w:rsidRDefault="00067F35" w:rsidP="00067F35">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74DE0A8A" w14:textId="165690ED" w:rsidR="00067F35" w:rsidRPr="005E7DE4" w:rsidRDefault="00067F35" w:rsidP="00067F35">
            <w:pPr>
              <w:rPr>
                <w:rFonts w:ascii="Arial Narrow" w:hAnsi="Arial Narrow"/>
                <w:color w:val="333333"/>
                <w:sz w:val="20"/>
                <w:szCs w:val="20"/>
              </w:rPr>
            </w:pPr>
            <w:r w:rsidRPr="005E7DE4">
              <w:rPr>
                <w:rFonts w:ascii="Arial Narrow" w:hAnsi="Arial Narrow"/>
                <w:bCs/>
                <w:color w:val="333333"/>
                <w:sz w:val="20"/>
                <w:szCs w:val="20"/>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1 vial or pre-filled syringe of 90 mg and no repeats.</w:t>
            </w:r>
          </w:p>
        </w:tc>
      </w:tr>
      <w:tr w:rsidR="00067F35" w:rsidRPr="005E7DE4" w14:paraId="2CA50434"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CA53C33" w14:textId="77335248" w:rsidR="00067F35" w:rsidRPr="005E7DE4" w:rsidRDefault="00067F35" w:rsidP="00067F35">
            <w:pPr>
              <w:jc w:val="center"/>
              <w:rPr>
                <w:rFonts w:ascii="Arial Narrow" w:hAnsi="Arial Narrow"/>
                <w:strike/>
                <w:color w:val="333333"/>
                <w:sz w:val="20"/>
                <w:szCs w:val="20"/>
              </w:rPr>
            </w:pPr>
          </w:p>
        </w:tc>
        <w:tc>
          <w:tcPr>
            <w:tcW w:w="8014" w:type="dxa"/>
            <w:gridSpan w:val="8"/>
            <w:vAlign w:val="center"/>
          </w:tcPr>
          <w:p w14:paraId="0A031ED6" w14:textId="77777777" w:rsidR="00067F35" w:rsidRPr="005E7DE4" w:rsidRDefault="00067F35" w:rsidP="00067F35">
            <w:pPr>
              <w:rPr>
                <w:rFonts w:ascii="Arial Narrow" w:hAnsi="Arial Narrow"/>
                <w:b/>
                <w:bCs/>
                <w:strike/>
                <w:color w:val="333333"/>
                <w:sz w:val="20"/>
                <w:szCs w:val="20"/>
              </w:rPr>
            </w:pPr>
            <w:r w:rsidRPr="005E7DE4">
              <w:rPr>
                <w:rFonts w:ascii="Arial Narrow" w:hAnsi="Arial Narrow"/>
                <w:b/>
                <w:bCs/>
                <w:strike/>
                <w:color w:val="333333"/>
                <w:sz w:val="20"/>
                <w:szCs w:val="20"/>
              </w:rPr>
              <w:t xml:space="preserve">Prescribing Instructions: </w:t>
            </w:r>
          </w:p>
          <w:p w14:paraId="34C2B4F6" w14:textId="77777777" w:rsidR="00067F35" w:rsidRPr="005E7DE4" w:rsidRDefault="00067F35" w:rsidP="00067F35">
            <w:pPr>
              <w:rPr>
                <w:rFonts w:ascii="Arial Narrow" w:hAnsi="Arial Narrow"/>
                <w:i/>
                <w:iCs/>
                <w:color w:val="333333"/>
                <w:sz w:val="20"/>
                <w:szCs w:val="20"/>
              </w:rPr>
            </w:pPr>
            <w:r w:rsidRPr="005E7DE4">
              <w:rPr>
                <w:rFonts w:ascii="Arial Narrow" w:hAnsi="Arial Narrow"/>
                <w:bCs/>
                <w:strike/>
                <w:color w:val="333333"/>
                <w:sz w:val="20"/>
                <w:szCs w:val="20"/>
              </w:rPr>
              <w:t xml:space="preserve">A maximum of 16 weeks of treatment with this drug will be approved under this criterion. </w:t>
            </w:r>
            <w:r w:rsidRPr="005E7DE4">
              <w:rPr>
                <w:rFonts w:ascii="Arial Narrow" w:hAnsi="Arial Narrow"/>
                <w:bCs/>
                <w:i/>
                <w:iCs/>
                <w:color w:val="333333"/>
                <w:sz w:val="20"/>
                <w:szCs w:val="20"/>
              </w:rPr>
              <w:t>(Use 21164 below instead)</w:t>
            </w:r>
          </w:p>
        </w:tc>
      </w:tr>
      <w:tr w:rsidR="00067F35" w:rsidRPr="005E7DE4" w14:paraId="074F91B1"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19F19A1" w14:textId="06E895C9" w:rsidR="00067F35" w:rsidRPr="005E7DE4" w:rsidRDefault="00067F35" w:rsidP="00067F35">
            <w:pPr>
              <w:jc w:val="center"/>
              <w:rPr>
                <w:rFonts w:ascii="Arial Narrow" w:hAnsi="Arial Narrow"/>
                <w:color w:val="333333"/>
                <w:sz w:val="20"/>
                <w:szCs w:val="20"/>
              </w:rPr>
            </w:pPr>
          </w:p>
        </w:tc>
        <w:tc>
          <w:tcPr>
            <w:tcW w:w="8014" w:type="dxa"/>
            <w:gridSpan w:val="8"/>
            <w:vAlign w:val="center"/>
          </w:tcPr>
          <w:p w14:paraId="5FA70E0D" w14:textId="77777777" w:rsidR="00067F35" w:rsidRPr="005E7DE4" w:rsidRDefault="00067F35" w:rsidP="00067F35">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26D2FD63" w14:textId="28A1AFE5" w:rsidR="00067F35" w:rsidRPr="005E7DE4" w:rsidRDefault="00067F35" w:rsidP="00067F35">
            <w:pPr>
              <w:rPr>
                <w:rFonts w:ascii="Arial Narrow" w:hAnsi="Arial Narrow"/>
                <w:color w:val="333333"/>
                <w:sz w:val="20"/>
                <w:szCs w:val="20"/>
              </w:rPr>
            </w:pPr>
            <w:r w:rsidRPr="005E7DE4">
              <w:rPr>
                <w:rFonts w:ascii="Arial Narrow" w:hAnsi="Arial Narrow"/>
                <w:bCs/>
                <w:color w:val="333333"/>
                <w:sz w:val="20"/>
                <w:szCs w:val="20"/>
              </w:rPr>
              <w:t>An assessment of a patient’s response to this initial course of treatment must be conducted between 8 and 16 weeks of therapy.</w:t>
            </w:r>
          </w:p>
        </w:tc>
      </w:tr>
      <w:tr w:rsidR="00067F35" w:rsidRPr="005E7DE4" w14:paraId="79DB04E5"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294D4CC" w14:textId="23C6FCCA" w:rsidR="00067F35" w:rsidRPr="005E7DE4" w:rsidRDefault="00067F35" w:rsidP="00067F35">
            <w:pPr>
              <w:jc w:val="center"/>
              <w:rPr>
                <w:rFonts w:ascii="Arial Narrow" w:hAnsi="Arial Narrow"/>
                <w:color w:val="333333"/>
                <w:sz w:val="20"/>
                <w:szCs w:val="20"/>
              </w:rPr>
            </w:pPr>
          </w:p>
        </w:tc>
        <w:tc>
          <w:tcPr>
            <w:tcW w:w="8014" w:type="dxa"/>
            <w:gridSpan w:val="8"/>
            <w:vAlign w:val="center"/>
          </w:tcPr>
          <w:p w14:paraId="72B45100" w14:textId="77777777" w:rsidR="00067F35" w:rsidRPr="005E7DE4" w:rsidRDefault="00067F35" w:rsidP="00067F35">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0A94645D" w14:textId="77777777" w:rsidR="00067F35" w:rsidRPr="005E7DE4" w:rsidRDefault="00067F35" w:rsidP="00067F35">
            <w:pPr>
              <w:rPr>
                <w:rFonts w:ascii="Arial Narrow" w:hAnsi="Arial Narrow"/>
                <w:color w:val="333333"/>
                <w:sz w:val="20"/>
                <w:szCs w:val="20"/>
              </w:rPr>
            </w:pPr>
            <w:r w:rsidRPr="005E7DE4">
              <w:rPr>
                <w:rFonts w:ascii="Arial Narrow" w:hAnsi="Arial Narrow"/>
                <w:bCs/>
                <w:color w:val="333333"/>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067F35" w:rsidRPr="005E7DE4" w14:paraId="3DCD3E8E"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257BF79" w14:textId="23DC90C6" w:rsidR="00067F35" w:rsidRPr="005E7DE4" w:rsidRDefault="00067F35" w:rsidP="00067F35">
            <w:pPr>
              <w:jc w:val="center"/>
              <w:rPr>
                <w:rFonts w:ascii="Arial Narrow" w:hAnsi="Arial Narrow"/>
                <w:color w:val="333333"/>
                <w:sz w:val="20"/>
                <w:szCs w:val="20"/>
              </w:rPr>
            </w:pPr>
          </w:p>
        </w:tc>
        <w:tc>
          <w:tcPr>
            <w:tcW w:w="8014" w:type="dxa"/>
            <w:gridSpan w:val="8"/>
            <w:vAlign w:val="center"/>
          </w:tcPr>
          <w:p w14:paraId="5B596F94" w14:textId="77777777" w:rsidR="00067F35" w:rsidRPr="005E7DE4" w:rsidRDefault="00067F35" w:rsidP="00067F35">
            <w:pPr>
              <w:rPr>
                <w:rFonts w:ascii="Arial Narrow" w:hAnsi="Arial Narrow"/>
                <w:bCs/>
                <w:color w:val="333333"/>
                <w:sz w:val="20"/>
                <w:szCs w:val="20"/>
              </w:rPr>
            </w:pPr>
            <w:r w:rsidRPr="005E7DE4">
              <w:rPr>
                <w:rFonts w:ascii="Arial Narrow" w:hAnsi="Arial Narrow"/>
                <w:b/>
                <w:bCs/>
                <w:color w:val="333333"/>
                <w:sz w:val="20"/>
                <w:szCs w:val="20"/>
              </w:rPr>
              <w:t xml:space="preserve">Prescribing Instructions: </w:t>
            </w:r>
          </w:p>
          <w:p w14:paraId="111A6CD1" w14:textId="4D73B9FE" w:rsidR="00067F35" w:rsidRPr="005E7DE4" w:rsidRDefault="00067F35" w:rsidP="00067F35">
            <w:pPr>
              <w:rPr>
                <w:rFonts w:ascii="Arial Narrow" w:hAnsi="Arial Narrow"/>
                <w:color w:val="333333"/>
                <w:sz w:val="20"/>
                <w:szCs w:val="20"/>
              </w:rPr>
            </w:pPr>
            <w:r w:rsidRPr="005E7DE4">
              <w:rPr>
                <w:rFonts w:ascii="Arial Narrow" w:hAnsi="Arial Narrow"/>
                <w:color w:val="333333"/>
                <w:sz w:val="20"/>
                <w:szCs w:val="20"/>
              </w:rPr>
              <w:t xml:space="preserve">A maximum quantity of a </w:t>
            </w:r>
            <w:r w:rsidR="00240923" w:rsidRPr="005E7DE4">
              <w:rPr>
                <w:rFonts w:ascii="Arial Narrow" w:hAnsi="Arial Narrow"/>
                <w:color w:val="333333"/>
                <w:sz w:val="20"/>
                <w:szCs w:val="20"/>
              </w:rPr>
              <w:t>weight-based</w:t>
            </w:r>
            <w:r w:rsidRPr="005E7DE4">
              <w:rPr>
                <w:rFonts w:ascii="Arial Narrow" w:hAnsi="Arial Narrow"/>
                <w:color w:val="333333"/>
                <w:sz w:val="20"/>
                <w:szCs w:val="20"/>
              </w:rPr>
              <w:t xml:space="preserve"> loading dose is up to 4 vials with no repeats and the subsequent first dose of 90 mg with no repeats provide for an initial </w:t>
            </w:r>
            <w:r w:rsidR="00240923" w:rsidRPr="005E7DE4">
              <w:rPr>
                <w:rFonts w:ascii="Arial Narrow" w:hAnsi="Arial Narrow"/>
                <w:color w:val="333333"/>
                <w:sz w:val="20"/>
                <w:szCs w:val="20"/>
              </w:rPr>
              <w:t>16-week</w:t>
            </w:r>
            <w:r w:rsidRPr="005E7DE4">
              <w:rPr>
                <w:rFonts w:ascii="Arial Narrow" w:hAnsi="Arial Narrow"/>
                <w:color w:val="333333"/>
                <w:sz w:val="20"/>
                <w:szCs w:val="20"/>
              </w:rPr>
              <w:t xml:space="preserve"> course of this drug will be authorised.</w:t>
            </w:r>
          </w:p>
        </w:tc>
      </w:tr>
      <w:tr w:rsidR="00067F35" w:rsidRPr="005E7DE4" w14:paraId="36B72CC4"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5E5A302" w14:textId="5FAAC907" w:rsidR="00067F35" w:rsidRPr="005E7DE4" w:rsidRDefault="00067F35" w:rsidP="00067F35">
            <w:pPr>
              <w:jc w:val="center"/>
              <w:rPr>
                <w:rFonts w:ascii="Arial Narrow" w:hAnsi="Arial Narrow"/>
                <w:color w:val="333333"/>
                <w:sz w:val="20"/>
                <w:szCs w:val="20"/>
              </w:rPr>
            </w:pPr>
          </w:p>
        </w:tc>
        <w:tc>
          <w:tcPr>
            <w:tcW w:w="8014" w:type="dxa"/>
            <w:gridSpan w:val="8"/>
            <w:vAlign w:val="center"/>
          </w:tcPr>
          <w:p w14:paraId="55AB39E6" w14:textId="77777777" w:rsidR="00067F35" w:rsidRPr="005E7DE4" w:rsidRDefault="00067F35" w:rsidP="00067F35">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24D912E9" w14:textId="77777777" w:rsidR="00067F35" w:rsidRPr="005E7DE4" w:rsidRDefault="00067F35" w:rsidP="00067F35">
            <w:pPr>
              <w:rPr>
                <w:rFonts w:ascii="Arial Narrow" w:hAnsi="Arial Narrow"/>
                <w:b/>
                <w:bCs/>
                <w:color w:val="333333"/>
                <w:sz w:val="20"/>
                <w:szCs w:val="20"/>
              </w:rPr>
            </w:pPr>
            <w:r w:rsidRPr="005E7DE4">
              <w:rPr>
                <w:rFonts w:ascii="Arial Narrow" w:hAnsi="Arial Narrow"/>
                <w:bCs/>
                <w:color w:val="333333"/>
                <w:sz w:val="20"/>
                <w:szCs w:val="20"/>
              </w:rPr>
              <w:t>Where fewer than 6 vials in total are requested at the time of the application, authority approvals for a sufficient number of vials based on the patient's weight to complete dosing at weeks 0 and 8 may be requested by telephone through the balance of supply restriction.</w:t>
            </w:r>
          </w:p>
        </w:tc>
      </w:tr>
      <w:tr w:rsidR="00067F35" w:rsidRPr="005E7DE4" w14:paraId="1354B1E3"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2C3D36EB" w14:textId="4874043D" w:rsidR="00067F35" w:rsidRPr="005E7DE4" w:rsidRDefault="00067F35" w:rsidP="00067F35">
            <w:pPr>
              <w:jc w:val="center"/>
              <w:rPr>
                <w:rFonts w:ascii="Arial Narrow" w:hAnsi="Arial Narrow"/>
                <w:color w:val="333333"/>
                <w:sz w:val="20"/>
                <w:szCs w:val="20"/>
              </w:rPr>
            </w:pPr>
          </w:p>
        </w:tc>
        <w:tc>
          <w:tcPr>
            <w:tcW w:w="8014" w:type="dxa"/>
            <w:gridSpan w:val="8"/>
            <w:vAlign w:val="center"/>
          </w:tcPr>
          <w:p w14:paraId="4370956F" w14:textId="77777777" w:rsidR="00067F35" w:rsidRPr="005E7DE4" w:rsidRDefault="00067F35" w:rsidP="00067F35">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5121A8C7" w14:textId="77777777" w:rsidR="00067F35" w:rsidRPr="005E7DE4" w:rsidRDefault="00067F35" w:rsidP="00067F35">
            <w:pPr>
              <w:rPr>
                <w:rFonts w:ascii="Arial Narrow" w:hAnsi="Arial Narrow"/>
                <w:color w:val="333333"/>
                <w:sz w:val="20"/>
                <w:szCs w:val="20"/>
              </w:rPr>
            </w:pPr>
            <w:r w:rsidRPr="005E7DE4">
              <w:rPr>
                <w:rFonts w:ascii="Arial Narrow" w:hAnsi="Arial Narrow"/>
                <w:color w:val="333333"/>
                <w:sz w:val="20"/>
                <w:szCs w:val="20"/>
              </w:rPr>
              <w:t>Under no circumstances will telephone approvals be granted for initial authority applications, or for treatment that would otherwise extend the initial treatment period.</w:t>
            </w:r>
          </w:p>
        </w:tc>
      </w:tr>
      <w:tr w:rsidR="001153F9" w:rsidRPr="005E7DE4" w14:paraId="24D2B72B" w14:textId="77777777" w:rsidTr="00240923">
        <w:trPr>
          <w:cantSplit/>
          <w:trHeight w:val="20"/>
        </w:trPr>
        <w:tc>
          <w:tcPr>
            <w:tcW w:w="8995" w:type="dxa"/>
            <w:gridSpan w:val="10"/>
            <w:vAlign w:val="center"/>
          </w:tcPr>
          <w:p w14:paraId="1BFF1B9B" w14:textId="77777777" w:rsidR="001153F9" w:rsidRPr="005E7DE4" w:rsidRDefault="001153F9" w:rsidP="002F6E81">
            <w:pPr>
              <w:keepLines/>
              <w:rPr>
                <w:rFonts w:ascii="Arial Narrow" w:hAnsi="Arial Narrow"/>
                <w:i/>
                <w:iCs/>
                <w:sz w:val="20"/>
                <w:szCs w:val="20"/>
              </w:rPr>
            </w:pPr>
          </w:p>
        </w:tc>
      </w:tr>
      <w:tr w:rsidR="001153F9" w:rsidRPr="005E7DE4" w14:paraId="6FB3F1FD" w14:textId="77777777" w:rsidTr="00240923">
        <w:trPr>
          <w:cantSplit/>
          <w:trHeight w:val="20"/>
        </w:trPr>
        <w:tc>
          <w:tcPr>
            <w:tcW w:w="8995" w:type="dxa"/>
            <w:gridSpan w:val="10"/>
            <w:vAlign w:val="center"/>
          </w:tcPr>
          <w:p w14:paraId="7EE343FB" w14:textId="1D285581" w:rsidR="001153F9" w:rsidRPr="005E7DE4" w:rsidRDefault="001153F9" w:rsidP="001153F9">
            <w:pPr>
              <w:rPr>
                <w:rFonts w:ascii="Arial Narrow" w:hAnsi="Arial Narrow"/>
                <w:b/>
                <w:sz w:val="20"/>
                <w:szCs w:val="20"/>
                <w:lang w:val="en-GB"/>
              </w:rPr>
            </w:pPr>
            <w:r w:rsidRPr="005E7DE4">
              <w:rPr>
                <w:rFonts w:ascii="Arial Narrow" w:hAnsi="Arial Narrow"/>
                <w:b/>
                <w:sz w:val="20"/>
                <w:szCs w:val="20"/>
                <w:lang w:val="en-GB"/>
              </w:rPr>
              <w:t xml:space="preserve">Restriction Summary </w:t>
            </w:r>
          </w:p>
        </w:tc>
      </w:tr>
      <w:tr w:rsidR="001434CE" w:rsidRPr="005E7DE4" w14:paraId="35407A7E" w14:textId="77777777" w:rsidTr="00240923">
        <w:trPr>
          <w:cantSplit/>
          <w:trHeight w:val="20"/>
        </w:trPr>
        <w:tc>
          <w:tcPr>
            <w:tcW w:w="8995" w:type="dxa"/>
            <w:gridSpan w:val="10"/>
            <w:vAlign w:val="center"/>
          </w:tcPr>
          <w:p w14:paraId="52EEFBD8" w14:textId="22CE8531" w:rsidR="001434CE" w:rsidRPr="005E7DE4" w:rsidRDefault="001434CE" w:rsidP="001153F9">
            <w:pPr>
              <w:rPr>
                <w:rFonts w:ascii="Arial Narrow" w:hAnsi="Arial Narrow"/>
                <w:b/>
                <w:sz w:val="20"/>
                <w:szCs w:val="20"/>
                <w:lang w:val="en-GB"/>
              </w:rPr>
            </w:pPr>
          </w:p>
        </w:tc>
      </w:tr>
      <w:tr w:rsidR="001A56FA" w:rsidRPr="005E7DE4" w14:paraId="075FEDFC" w14:textId="77777777" w:rsidTr="006B25EB">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7D79F2E2" w14:textId="25D37F57"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4A67B38C"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Indication:</w:t>
            </w:r>
            <w:r w:rsidRPr="005E7DE4">
              <w:rPr>
                <w:rFonts w:ascii="Arial Narrow" w:hAnsi="Arial Narrow"/>
                <w:color w:val="333333"/>
                <w:sz w:val="20"/>
                <w:szCs w:val="20"/>
              </w:rPr>
              <w:t xml:space="preserve"> Complex refractory Fistulising Crohn disease</w:t>
            </w:r>
          </w:p>
        </w:tc>
      </w:tr>
      <w:tr w:rsidR="001A56FA" w:rsidRPr="005E7DE4" w14:paraId="7BF5CF91" w14:textId="77777777" w:rsidTr="006B25EB">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06399426" w14:textId="77777777"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69F520BD"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Treatment Phase:</w:t>
            </w:r>
            <w:r w:rsidRPr="005E7DE4">
              <w:rPr>
                <w:rFonts w:ascii="Arial Narrow" w:hAnsi="Arial Narrow"/>
                <w:color w:val="333333"/>
                <w:sz w:val="20"/>
                <w:szCs w:val="20"/>
              </w:rPr>
              <w:t xml:space="preserve"> Initial treatment - Initial 2 (change or recommencement of treatment after a break in biological medicine of less than 5 years)</w:t>
            </w:r>
          </w:p>
        </w:tc>
      </w:tr>
      <w:tr w:rsidR="001A56FA" w:rsidRPr="005E7DE4" w14:paraId="5E79F248"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2028F6DF" w14:textId="3DC8E4A7"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5E9392F7"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Clinical criteria:</w:t>
            </w:r>
          </w:p>
        </w:tc>
      </w:tr>
      <w:tr w:rsidR="001A56FA" w:rsidRPr="005E7DE4" w14:paraId="786F9E72"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0750AB39" w14:textId="5EF8AF69"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3CC54EDF" w14:textId="77777777" w:rsidR="001A56FA" w:rsidRPr="005E7DE4" w:rsidRDefault="001A56FA" w:rsidP="00C67964">
            <w:pPr>
              <w:rPr>
                <w:rFonts w:ascii="Arial Narrow" w:hAnsi="Arial Narrow"/>
                <w:color w:val="333333"/>
                <w:sz w:val="20"/>
                <w:szCs w:val="20"/>
              </w:rPr>
            </w:pPr>
            <w:r w:rsidRPr="005E7DE4">
              <w:rPr>
                <w:rFonts w:ascii="Arial Narrow" w:hAnsi="Arial Narrow"/>
                <w:color w:val="333333"/>
                <w:sz w:val="20"/>
                <w:szCs w:val="20"/>
              </w:rPr>
              <w:t>Patient must have received prior PBS-subsidised treatment with a biological medicine for this condition in this treatment cycle</w:t>
            </w:r>
          </w:p>
        </w:tc>
      </w:tr>
      <w:tr w:rsidR="001A56FA" w:rsidRPr="005E7DE4" w14:paraId="59585B68"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6D1E68A8" w14:textId="77777777"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42A1EEF1"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AND</w:t>
            </w:r>
          </w:p>
        </w:tc>
      </w:tr>
      <w:tr w:rsidR="001A56FA" w:rsidRPr="005E7DE4" w14:paraId="6C3E4DE3"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2DB7860A" w14:textId="056E39B2"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749DFEA1"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Clinical criteria:</w:t>
            </w:r>
          </w:p>
        </w:tc>
      </w:tr>
      <w:tr w:rsidR="001A56FA" w:rsidRPr="005E7DE4" w14:paraId="5FD9B1CF"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2D3EF0C8" w14:textId="70A82060"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62A7F11C" w14:textId="77777777" w:rsidR="001A56FA" w:rsidRPr="005E7DE4" w:rsidRDefault="001A56FA" w:rsidP="00C67964">
            <w:pPr>
              <w:rPr>
                <w:rFonts w:ascii="Arial Narrow" w:hAnsi="Arial Narrow"/>
                <w:color w:val="333333"/>
                <w:sz w:val="20"/>
                <w:szCs w:val="20"/>
              </w:rPr>
            </w:pPr>
            <w:r w:rsidRPr="005E7DE4">
              <w:rPr>
                <w:rFonts w:ascii="Arial Narrow" w:hAnsi="Arial Narrow"/>
                <w:color w:val="333333"/>
                <w:sz w:val="20"/>
                <w:szCs w:val="20"/>
              </w:rPr>
              <w:t>Patient must not have failed PBS-subsidised therapy with this drug for this condition more than once in the current treatment cycle</w:t>
            </w:r>
          </w:p>
        </w:tc>
      </w:tr>
      <w:tr w:rsidR="001A56FA" w:rsidRPr="005E7DE4" w14:paraId="3A1C43C6"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3D874EF5" w14:textId="77777777"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0AECD10B"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AND</w:t>
            </w:r>
          </w:p>
        </w:tc>
      </w:tr>
      <w:tr w:rsidR="001A56FA" w:rsidRPr="005E7DE4" w14:paraId="5AC8DCAA"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6960E648" w14:textId="7CEF0459"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456F52D0"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Treatment criteria:</w:t>
            </w:r>
          </w:p>
        </w:tc>
      </w:tr>
      <w:tr w:rsidR="001A56FA" w:rsidRPr="005E7DE4" w14:paraId="15D7C30E"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6DF6221D" w14:textId="32D01E62"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1687AB2C" w14:textId="77777777" w:rsidR="001A56FA" w:rsidRPr="005E7DE4" w:rsidRDefault="001A56FA" w:rsidP="00C67964">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 xml:space="preserve">Must be treated by a gastroenterologist (code 87); </w:t>
            </w:r>
          </w:p>
          <w:p w14:paraId="3F96650E" w14:textId="77777777" w:rsidR="001A56FA" w:rsidRPr="005E7DE4" w:rsidRDefault="001A56FA" w:rsidP="00C67964">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OR</w:t>
            </w:r>
          </w:p>
          <w:p w14:paraId="7550ADE0" w14:textId="77777777" w:rsidR="001A56FA" w:rsidRPr="005E7DE4" w:rsidRDefault="001A56FA" w:rsidP="00C67964">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 xml:space="preserve">Must be treated by a consultant physician [internal medicine specialising in gastroenterology (code 81)]; </w:t>
            </w:r>
          </w:p>
          <w:p w14:paraId="20B36366" w14:textId="77777777" w:rsidR="001A56FA" w:rsidRPr="005E7DE4" w:rsidRDefault="001A56FA" w:rsidP="00C67964">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OR</w:t>
            </w:r>
          </w:p>
          <w:p w14:paraId="17724542" w14:textId="77777777" w:rsidR="001A56FA" w:rsidRPr="005E7DE4" w:rsidRDefault="001A56FA" w:rsidP="00C67964">
            <w:pPr>
              <w:autoSpaceDE w:val="0"/>
              <w:autoSpaceDN w:val="0"/>
              <w:adjustRightInd w:val="0"/>
              <w:rPr>
                <w:rFonts w:ascii="Arial Narrow" w:hAnsi="Arial Narrow" w:cs="Arial Narrow"/>
                <w:i/>
                <w:iCs/>
                <w:sz w:val="20"/>
                <w:szCs w:val="20"/>
              </w:rPr>
            </w:pPr>
            <w:r w:rsidRPr="005E7DE4">
              <w:rPr>
                <w:rFonts w:ascii="Arial Narrow" w:hAnsi="Arial Narrow" w:cs="Arial Narrow"/>
                <w:sz w:val="20"/>
                <w:szCs w:val="20"/>
              </w:rPr>
              <w:t>Must be treated by a consultant physician [general medicine specialising in gastroenterology (code 82)]</w:t>
            </w:r>
          </w:p>
        </w:tc>
      </w:tr>
      <w:tr w:rsidR="001A56FA" w:rsidRPr="005E7DE4" w14:paraId="196D5DDA"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shd w:val="clear" w:color="auto" w:fill="BFBFBF" w:themeFill="background1" w:themeFillShade="BF"/>
            <w:vAlign w:val="center"/>
          </w:tcPr>
          <w:p w14:paraId="1162ADE8" w14:textId="77777777" w:rsidR="001A56FA" w:rsidRPr="005E7DE4" w:rsidRDefault="001A56FA" w:rsidP="00C67964">
            <w:pPr>
              <w:jc w:val="center"/>
              <w:rPr>
                <w:rFonts w:ascii="Arial Narrow" w:hAnsi="Arial Narrow"/>
                <w:color w:val="333333"/>
                <w:sz w:val="20"/>
                <w:szCs w:val="20"/>
              </w:rPr>
            </w:pPr>
          </w:p>
        </w:tc>
        <w:tc>
          <w:tcPr>
            <w:tcW w:w="8008" w:type="dxa"/>
            <w:gridSpan w:val="7"/>
            <w:shd w:val="clear" w:color="auto" w:fill="BFBFBF" w:themeFill="background1" w:themeFillShade="BF"/>
            <w:vAlign w:val="center"/>
            <w:hideMark/>
          </w:tcPr>
          <w:p w14:paraId="11B64B24" w14:textId="77777777" w:rsidR="001A56FA" w:rsidRPr="005E7DE4" w:rsidRDefault="001A56FA" w:rsidP="00C67964">
            <w:pPr>
              <w:rPr>
                <w:rFonts w:ascii="Arial Narrow" w:hAnsi="Arial Narrow"/>
                <w:color w:val="333333"/>
                <w:sz w:val="20"/>
                <w:szCs w:val="20"/>
              </w:rPr>
            </w:pPr>
          </w:p>
        </w:tc>
      </w:tr>
      <w:tr w:rsidR="001A56FA" w:rsidRPr="005E7DE4" w14:paraId="165996A0" w14:textId="77777777" w:rsidTr="006B25EB">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13B62966" w14:textId="78D9AA05" w:rsidR="001A56FA" w:rsidRPr="005E7DE4" w:rsidRDefault="001A56FA" w:rsidP="00C67964">
            <w:pPr>
              <w:jc w:val="center"/>
              <w:rPr>
                <w:rFonts w:ascii="Arial Narrow" w:hAnsi="Arial Narrow"/>
                <w:color w:val="333333"/>
                <w:sz w:val="20"/>
                <w:szCs w:val="20"/>
              </w:rPr>
            </w:pPr>
          </w:p>
        </w:tc>
        <w:tc>
          <w:tcPr>
            <w:tcW w:w="8008" w:type="dxa"/>
            <w:gridSpan w:val="7"/>
            <w:vAlign w:val="center"/>
            <w:hideMark/>
          </w:tcPr>
          <w:p w14:paraId="4E5EE02E" w14:textId="77777777" w:rsidR="001A56FA" w:rsidRPr="005E7DE4" w:rsidRDefault="001A56FA" w:rsidP="00C67964">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28CB3268" w14:textId="05A30309" w:rsidR="001A56FA" w:rsidRPr="005E7DE4" w:rsidRDefault="001A56FA" w:rsidP="00C67964">
            <w:pPr>
              <w:rPr>
                <w:rFonts w:ascii="Arial Narrow" w:hAnsi="Arial Narrow"/>
                <w:color w:val="333333"/>
                <w:sz w:val="20"/>
                <w:szCs w:val="20"/>
              </w:rPr>
            </w:pPr>
            <w:r w:rsidRPr="005E7DE4">
              <w:rPr>
                <w:rFonts w:ascii="Arial Narrow" w:hAnsi="Arial Narrow"/>
                <w:bCs/>
                <w:color w:val="333333"/>
                <w:sz w:val="20"/>
                <w:szCs w:val="20"/>
              </w:rPr>
              <w:t xml:space="preserve">To demonstrate a response to treatment the application must be accompanied with the assessment of response, conducted </w:t>
            </w:r>
            <w:r w:rsidR="003F20E0" w:rsidRPr="005E7DE4">
              <w:rPr>
                <w:rFonts w:ascii="Arial Narrow" w:hAnsi="Arial Narrow"/>
                <w:bCs/>
                <w:color w:val="333333"/>
                <w:sz w:val="20"/>
                <w:szCs w:val="20"/>
              </w:rPr>
              <w:t xml:space="preserve">between 8 and 16 </w:t>
            </w:r>
            <w:r w:rsidRPr="005E7DE4">
              <w:rPr>
                <w:rFonts w:ascii="Arial Narrow" w:hAnsi="Arial Narrow"/>
                <w:bCs/>
                <w:color w:val="333333"/>
                <w:sz w:val="20"/>
                <w:szCs w:val="20"/>
              </w:rPr>
              <w:t>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1A56FA" w:rsidRPr="005E7DE4" w14:paraId="4E880BBF"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05F43F9C" w14:textId="515C7F78" w:rsidR="001A56FA" w:rsidRPr="005E7DE4" w:rsidRDefault="001A56FA" w:rsidP="00C67964">
            <w:pPr>
              <w:jc w:val="center"/>
              <w:rPr>
                <w:rFonts w:ascii="Arial Narrow" w:hAnsi="Arial Narrow"/>
                <w:color w:val="333333"/>
                <w:sz w:val="20"/>
                <w:szCs w:val="20"/>
              </w:rPr>
            </w:pPr>
          </w:p>
        </w:tc>
        <w:tc>
          <w:tcPr>
            <w:tcW w:w="8008" w:type="dxa"/>
            <w:gridSpan w:val="7"/>
            <w:vAlign w:val="center"/>
          </w:tcPr>
          <w:p w14:paraId="06390217" w14:textId="77777777" w:rsidR="001A56FA" w:rsidRPr="005E7DE4" w:rsidRDefault="001A56FA" w:rsidP="00C67964">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5411EB98" w14:textId="77777777" w:rsidR="001A56FA" w:rsidRPr="005E7DE4" w:rsidRDefault="001A56FA" w:rsidP="00C67964">
            <w:pPr>
              <w:rPr>
                <w:rFonts w:ascii="Arial Narrow" w:hAnsi="Arial Narrow"/>
                <w:color w:val="333333"/>
                <w:sz w:val="20"/>
                <w:szCs w:val="20"/>
              </w:rPr>
            </w:pPr>
            <w:r w:rsidRPr="005E7DE4">
              <w:rPr>
                <w:rFonts w:ascii="Arial Narrow" w:hAnsi="Arial Narrow"/>
                <w:bCs/>
                <w:color w:val="333333"/>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1A56FA" w:rsidRPr="005E7DE4" w14:paraId="70C5A181"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54377CF2" w14:textId="64930FF5" w:rsidR="001A56FA" w:rsidRPr="005E7DE4" w:rsidRDefault="001A56FA" w:rsidP="00C67964">
            <w:pPr>
              <w:jc w:val="center"/>
              <w:rPr>
                <w:rFonts w:ascii="Arial Narrow" w:hAnsi="Arial Narrow"/>
                <w:color w:val="333333"/>
                <w:sz w:val="20"/>
                <w:szCs w:val="20"/>
              </w:rPr>
            </w:pPr>
          </w:p>
        </w:tc>
        <w:tc>
          <w:tcPr>
            <w:tcW w:w="8008" w:type="dxa"/>
            <w:gridSpan w:val="7"/>
            <w:vAlign w:val="center"/>
          </w:tcPr>
          <w:p w14:paraId="6FC13298" w14:textId="77777777" w:rsidR="001A56FA" w:rsidRPr="005E7DE4" w:rsidRDefault="001A56FA" w:rsidP="00C67964">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61BED386" w14:textId="77777777" w:rsidR="001A56FA" w:rsidRPr="005E7DE4" w:rsidRDefault="001A56FA" w:rsidP="00C67964">
            <w:pPr>
              <w:rPr>
                <w:rFonts w:ascii="Arial Narrow" w:hAnsi="Arial Narrow"/>
                <w:color w:val="333333"/>
                <w:sz w:val="20"/>
                <w:szCs w:val="20"/>
              </w:rPr>
            </w:pPr>
            <w:r w:rsidRPr="005E7DE4">
              <w:rPr>
                <w:rFonts w:ascii="Arial Narrow" w:hAnsi="Arial Narrow"/>
                <w:bCs/>
                <w:color w:val="333333"/>
                <w:sz w:val="20"/>
                <w:szCs w:val="20"/>
              </w:rPr>
              <w:t>Applications for authorisation must be made in writing and must include:, (1) two completed authority prescription forms; and, (2) a completed authority application form relevant to the indication and treatment phase (the latest version is located on the website specified in the Administrative Advice) which includes the following:, (i) a completed current Fistula Assessment Form including the date of assessment of the patient's condition; and, (ii) details of prior biological medicine treatment including details of date and duration of treatment.</w:t>
            </w:r>
          </w:p>
        </w:tc>
      </w:tr>
      <w:tr w:rsidR="001A56FA" w:rsidRPr="005E7DE4" w14:paraId="09FD7EA6"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68D1CC4B" w14:textId="78D82362" w:rsidR="001A56FA" w:rsidRPr="005E7DE4" w:rsidRDefault="001A56FA" w:rsidP="00C67964">
            <w:pPr>
              <w:jc w:val="center"/>
              <w:rPr>
                <w:rFonts w:ascii="Arial Narrow" w:hAnsi="Arial Narrow"/>
                <w:color w:val="333333"/>
                <w:sz w:val="20"/>
                <w:szCs w:val="20"/>
              </w:rPr>
            </w:pPr>
          </w:p>
        </w:tc>
        <w:tc>
          <w:tcPr>
            <w:tcW w:w="8008" w:type="dxa"/>
            <w:gridSpan w:val="7"/>
            <w:vAlign w:val="center"/>
          </w:tcPr>
          <w:p w14:paraId="539751F4" w14:textId="77777777" w:rsidR="001A56FA" w:rsidRPr="005E7DE4" w:rsidRDefault="001A56FA" w:rsidP="00C67964">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1CFF521A" w14:textId="05EFA5E3" w:rsidR="001A56FA" w:rsidRPr="005E7DE4" w:rsidRDefault="001A56FA" w:rsidP="00C67964">
            <w:pPr>
              <w:rPr>
                <w:rFonts w:ascii="Arial Narrow" w:hAnsi="Arial Narrow"/>
                <w:color w:val="333333"/>
                <w:sz w:val="20"/>
                <w:szCs w:val="20"/>
              </w:rPr>
            </w:pPr>
            <w:r w:rsidRPr="005E7DE4">
              <w:rPr>
                <w:rFonts w:ascii="Arial Narrow" w:hAnsi="Arial Narrow"/>
                <w:bCs/>
                <w:color w:val="333333"/>
                <w:sz w:val="20"/>
                <w:szCs w:val="20"/>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1 vial or pre-filled syringe of 90 mg and no repeats.</w:t>
            </w:r>
          </w:p>
        </w:tc>
      </w:tr>
      <w:tr w:rsidR="001A56FA" w:rsidRPr="005E7DE4" w14:paraId="5A38753B"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5CF0598E" w14:textId="77777777" w:rsidR="001A56FA" w:rsidRPr="005E7DE4" w:rsidRDefault="001A56FA" w:rsidP="00C67964">
            <w:pPr>
              <w:jc w:val="center"/>
              <w:rPr>
                <w:rFonts w:ascii="Arial Narrow" w:hAnsi="Arial Narrow"/>
                <w:color w:val="333333"/>
                <w:sz w:val="20"/>
                <w:szCs w:val="20"/>
              </w:rPr>
            </w:pPr>
          </w:p>
        </w:tc>
        <w:tc>
          <w:tcPr>
            <w:tcW w:w="8008" w:type="dxa"/>
            <w:gridSpan w:val="7"/>
            <w:vAlign w:val="center"/>
          </w:tcPr>
          <w:p w14:paraId="0BA87FB8"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 xml:space="preserve">Prescribing Instructions: </w:t>
            </w:r>
            <w:r w:rsidRPr="005E7DE4">
              <w:rPr>
                <w:rFonts w:ascii="Arial Narrow" w:hAnsi="Arial Narrow"/>
                <w:bCs/>
                <w:color w:val="333333"/>
                <w:sz w:val="20"/>
                <w:szCs w:val="20"/>
              </w:rPr>
              <w:t>The most recent fistula assessment must be no more than 4 weeks old at the time of application.</w:t>
            </w:r>
          </w:p>
        </w:tc>
      </w:tr>
      <w:tr w:rsidR="001A56FA" w:rsidRPr="005E7DE4" w14:paraId="1BE80C64"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42F64BE6" w14:textId="16D270B2" w:rsidR="001A56FA" w:rsidRPr="005E7DE4" w:rsidRDefault="001A56FA" w:rsidP="00C67964">
            <w:pPr>
              <w:jc w:val="center"/>
              <w:rPr>
                <w:rFonts w:ascii="Arial Narrow" w:hAnsi="Arial Narrow"/>
                <w:color w:val="333333"/>
                <w:sz w:val="20"/>
                <w:szCs w:val="20"/>
              </w:rPr>
            </w:pPr>
          </w:p>
        </w:tc>
        <w:tc>
          <w:tcPr>
            <w:tcW w:w="8008" w:type="dxa"/>
            <w:gridSpan w:val="7"/>
            <w:vAlign w:val="center"/>
          </w:tcPr>
          <w:p w14:paraId="7DCA8CDE" w14:textId="77777777" w:rsidR="001A56FA" w:rsidRPr="005E7DE4" w:rsidRDefault="001A56FA" w:rsidP="00C67964">
            <w:pPr>
              <w:rPr>
                <w:rFonts w:ascii="Arial Narrow" w:hAnsi="Arial Narrow"/>
                <w:b/>
                <w:bCs/>
                <w:strike/>
                <w:color w:val="333333"/>
                <w:sz w:val="20"/>
                <w:szCs w:val="20"/>
              </w:rPr>
            </w:pPr>
            <w:r w:rsidRPr="005E7DE4">
              <w:rPr>
                <w:rFonts w:ascii="Arial Narrow" w:hAnsi="Arial Narrow"/>
                <w:b/>
                <w:bCs/>
                <w:strike/>
                <w:color w:val="333333"/>
                <w:sz w:val="20"/>
                <w:szCs w:val="20"/>
              </w:rPr>
              <w:t xml:space="preserve">Prescribing Instructions: </w:t>
            </w:r>
          </w:p>
          <w:p w14:paraId="5E8B2A71" w14:textId="77777777" w:rsidR="001A56FA" w:rsidRPr="005E7DE4" w:rsidRDefault="001A56FA" w:rsidP="00C67964">
            <w:pPr>
              <w:rPr>
                <w:rFonts w:ascii="Arial Narrow" w:hAnsi="Arial Narrow"/>
                <w:b/>
                <w:bCs/>
                <w:color w:val="333333"/>
                <w:sz w:val="20"/>
                <w:szCs w:val="20"/>
              </w:rPr>
            </w:pPr>
            <w:r w:rsidRPr="005E7DE4">
              <w:rPr>
                <w:rFonts w:ascii="Arial Narrow" w:hAnsi="Arial Narrow"/>
                <w:bCs/>
                <w:strike/>
                <w:color w:val="333333"/>
                <w:sz w:val="20"/>
                <w:szCs w:val="20"/>
              </w:rPr>
              <w:t xml:space="preserve">A maximum of 16 weeks of treatment with this drug will be approved under this criterion. </w:t>
            </w:r>
            <w:r w:rsidRPr="005E7DE4">
              <w:rPr>
                <w:rFonts w:ascii="Arial Narrow" w:hAnsi="Arial Narrow"/>
                <w:bCs/>
                <w:i/>
                <w:iCs/>
                <w:color w:val="333333"/>
                <w:sz w:val="20"/>
                <w:szCs w:val="20"/>
              </w:rPr>
              <w:t>(Use 21164 below instead)</w:t>
            </w:r>
          </w:p>
        </w:tc>
      </w:tr>
      <w:tr w:rsidR="001A56FA" w:rsidRPr="005E7DE4" w14:paraId="7837C237"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30301BEA" w14:textId="223A2D84" w:rsidR="001A56FA" w:rsidRPr="005E7DE4" w:rsidRDefault="001A56FA" w:rsidP="00C67964">
            <w:pPr>
              <w:jc w:val="center"/>
              <w:rPr>
                <w:rFonts w:ascii="Arial Narrow" w:hAnsi="Arial Narrow"/>
                <w:color w:val="333333"/>
                <w:sz w:val="20"/>
                <w:szCs w:val="20"/>
              </w:rPr>
            </w:pPr>
          </w:p>
        </w:tc>
        <w:tc>
          <w:tcPr>
            <w:tcW w:w="8008" w:type="dxa"/>
            <w:gridSpan w:val="7"/>
            <w:vAlign w:val="center"/>
          </w:tcPr>
          <w:p w14:paraId="40ABB3B4" w14:textId="77777777" w:rsidR="001A56FA" w:rsidRPr="005E7DE4" w:rsidRDefault="001A56FA" w:rsidP="00C67964">
            <w:pPr>
              <w:rPr>
                <w:rFonts w:ascii="Arial Narrow" w:hAnsi="Arial Narrow"/>
                <w:bCs/>
                <w:color w:val="333333"/>
                <w:sz w:val="20"/>
                <w:szCs w:val="20"/>
              </w:rPr>
            </w:pPr>
            <w:r w:rsidRPr="005E7DE4">
              <w:rPr>
                <w:rFonts w:ascii="Arial Narrow" w:hAnsi="Arial Narrow"/>
                <w:b/>
                <w:bCs/>
                <w:color w:val="333333"/>
                <w:sz w:val="20"/>
                <w:szCs w:val="20"/>
              </w:rPr>
              <w:t xml:space="preserve">Prescribing Instructions: </w:t>
            </w:r>
          </w:p>
          <w:p w14:paraId="1619D61D" w14:textId="4F958609" w:rsidR="001A56FA" w:rsidRPr="005E7DE4" w:rsidRDefault="001A56FA" w:rsidP="00C67964">
            <w:pPr>
              <w:rPr>
                <w:rFonts w:ascii="Arial Narrow" w:hAnsi="Arial Narrow"/>
                <w:b/>
                <w:bCs/>
                <w:color w:val="333333"/>
                <w:sz w:val="20"/>
                <w:szCs w:val="20"/>
              </w:rPr>
            </w:pPr>
            <w:r w:rsidRPr="005E7DE4">
              <w:rPr>
                <w:rFonts w:ascii="Arial Narrow" w:hAnsi="Arial Narrow"/>
                <w:color w:val="333333"/>
                <w:sz w:val="20"/>
                <w:szCs w:val="20"/>
              </w:rPr>
              <w:t xml:space="preserve">A maximum quantity of a </w:t>
            </w:r>
            <w:r w:rsidR="00240923" w:rsidRPr="005E7DE4">
              <w:rPr>
                <w:rFonts w:ascii="Arial Narrow" w:hAnsi="Arial Narrow"/>
                <w:color w:val="333333"/>
                <w:sz w:val="20"/>
                <w:szCs w:val="20"/>
              </w:rPr>
              <w:t>weight-based</w:t>
            </w:r>
            <w:r w:rsidRPr="005E7DE4">
              <w:rPr>
                <w:rFonts w:ascii="Arial Narrow" w:hAnsi="Arial Narrow"/>
                <w:color w:val="333333"/>
                <w:sz w:val="20"/>
                <w:szCs w:val="20"/>
              </w:rPr>
              <w:t xml:space="preserve"> loading dose is up to 4 vials with no repeats and the subsequent first dose of 90 mg with no repeats provide for an initial </w:t>
            </w:r>
            <w:r w:rsidR="00240923" w:rsidRPr="005E7DE4">
              <w:rPr>
                <w:rFonts w:ascii="Arial Narrow" w:hAnsi="Arial Narrow"/>
                <w:color w:val="333333"/>
                <w:sz w:val="20"/>
                <w:szCs w:val="20"/>
              </w:rPr>
              <w:t>16-week</w:t>
            </w:r>
            <w:r w:rsidRPr="005E7DE4">
              <w:rPr>
                <w:rFonts w:ascii="Arial Narrow" w:hAnsi="Arial Narrow"/>
                <w:color w:val="333333"/>
                <w:sz w:val="20"/>
                <w:szCs w:val="20"/>
              </w:rPr>
              <w:t xml:space="preserve"> course of this drug will be authorised.</w:t>
            </w:r>
          </w:p>
        </w:tc>
      </w:tr>
      <w:tr w:rsidR="001A56FA" w:rsidRPr="005E7DE4" w14:paraId="6D3CC58D"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0E22B437" w14:textId="2CF0D40E" w:rsidR="001A56FA" w:rsidRPr="005E7DE4" w:rsidRDefault="001A56FA" w:rsidP="00C67964">
            <w:pPr>
              <w:jc w:val="center"/>
              <w:rPr>
                <w:rFonts w:ascii="Arial Narrow" w:hAnsi="Arial Narrow"/>
                <w:color w:val="333333"/>
                <w:sz w:val="20"/>
                <w:szCs w:val="20"/>
              </w:rPr>
            </w:pPr>
          </w:p>
        </w:tc>
        <w:tc>
          <w:tcPr>
            <w:tcW w:w="8008" w:type="dxa"/>
            <w:gridSpan w:val="7"/>
            <w:vAlign w:val="center"/>
          </w:tcPr>
          <w:p w14:paraId="64685BC0" w14:textId="77777777" w:rsidR="001A56FA" w:rsidRPr="005E7DE4" w:rsidRDefault="001A56FA" w:rsidP="00C67964">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1294B051" w14:textId="77777777" w:rsidR="001A56FA" w:rsidRPr="005E7DE4" w:rsidRDefault="001A56FA" w:rsidP="00C67964">
            <w:pPr>
              <w:rPr>
                <w:rFonts w:ascii="Arial Narrow" w:hAnsi="Arial Narrow"/>
                <w:b/>
                <w:bCs/>
                <w:color w:val="333333"/>
                <w:sz w:val="20"/>
                <w:szCs w:val="20"/>
              </w:rPr>
            </w:pPr>
            <w:r w:rsidRPr="005E7DE4">
              <w:rPr>
                <w:rFonts w:ascii="Arial Narrow" w:hAnsi="Arial Narrow"/>
                <w:bCs/>
                <w:color w:val="333333"/>
                <w:sz w:val="20"/>
                <w:szCs w:val="20"/>
              </w:rPr>
              <w:t>Where fewer than 6 vials in total are requested at the time of the application, authority approvals for a sufficient number of vials based on the patient's weight to complete dosing at weeks 0 and 8 may be requested by telephone through the balance of supply restriction.</w:t>
            </w:r>
          </w:p>
        </w:tc>
      </w:tr>
      <w:tr w:rsidR="001A56FA" w:rsidRPr="005E7DE4" w14:paraId="440A7DA5" w14:textId="77777777" w:rsidTr="00240923">
        <w:tblPrEx>
          <w:tblCellMar>
            <w:top w:w="15" w:type="dxa"/>
            <w:left w:w="15" w:type="dxa"/>
            <w:bottom w:w="15" w:type="dxa"/>
            <w:right w:w="15" w:type="dxa"/>
          </w:tblCellMar>
          <w:tblLook w:val="04A0" w:firstRow="1" w:lastRow="0" w:firstColumn="1" w:lastColumn="0" w:noHBand="0" w:noVBand="1"/>
        </w:tblPrEx>
        <w:tc>
          <w:tcPr>
            <w:tcW w:w="987" w:type="dxa"/>
            <w:gridSpan w:val="3"/>
            <w:vAlign w:val="center"/>
          </w:tcPr>
          <w:p w14:paraId="4F739FEB" w14:textId="2E03F248" w:rsidR="001A56FA" w:rsidRPr="005E7DE4" w:rsidRDefault="001A56FA" w:rsidP="00C67964">
            <w:pPr>
              <w:jc w:val="center"/>
              <w:rPr>
                <w:rFonts w:ascii="Arial Narrow" w:hAnsi="Arial Narrow"/>
                <w:color w:val="333333"/>
                <w:sz w:val="20"/>
                <w:szCs w:val="20"/>
              </w:rPr>
            </w:pPr>
          </w:p>
        </w:tc>
        <w:tc>
          <w:tcPr>
            <w:tcW w:w="8008" w:type="dxa"/>
            <w:gridSpan w:val="7"/>
            <w:vAlign w:val="center"/>
          </w:tcPr>
          <w:p w14:paraId="21CAD137" w14:textId="77777777" w:rsidR="001A56FA" w:rsidRPr="005E7DE4" w:rsidRDefault="001A56FA" w:rsidP="00C67964">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7CC8F275" w14:textId="77777777" w:rsidR="001A56FA" w:rsidRPr="005E7DE4" w:rsidRDefault="001A56FA" w:rsidP="00C67964">
            <w:pPr>
              <w:rPr>
                <w:rFonts w:ascii="Arial Narrow" w:hAnsi="Arial Narrow"/>
                <w:b/>
                <w:bCs/>
                <w:color w:val="333333"/>
                <w:sz w:val="20"/>
                <w:szCs w:val="20"/>
              </w:rPr>
            </w:pPr>
            <w:r w:rsidRPr="005E7DE4">
              <w:rPr>
                <w:rFonts w:ascii="Arial Narrow" w:hAnsi="Arial Narrow"/>
                <w:color w:val="333333"/>
                <w:sz w:val="20"/>
                <w:szCs w:val="20"/>
              </w:rPr>
              <w:t>Under no circumstances will telephone approvals be granted for initial authority applications, or for treatment that would otherwise extend the initial treatment period.</w:t>
            </w:r>
          </w:p>
        </w:tc>
      </w:tr>
      <w:tr w:rsidR="005310C2" w:rsidRPr="005E7DE4" w14:paraId="3FB1BD5F" w14:textId="77777777" w:rsidTr="00240923">
        <w:tblPrEx>
          <w:tblCellMar>
            <w:top w:w="15" w:type="dxa"/>
            <w:left w:w="15" w:type="dxa"/>
            <w:bottom w:w="15" w:type="dxa"/>
            <w:right w:w="15" w:type="dxa"/>
          </w:tblCellMar>
          <w:tblLook w:val="04A0" w:firstRow="1" w:lastRow="0" w:firstColumn="1" w:lastColumn="0" w:noHBand="0" w:noVBand="1"/>
        </w:tblPrEx>
        <w:tc>
          <w:tcPr>
            <w:tcW w:w="8995" w:type="dxa"/>
            <w:gridSpan w:val="10"/>
            <w:vAlign w:val="center"/>
          </w:tcPr>
          <w:p w14:paraId="407766DB" w14:textId="77777777" w:rsidR="005310C2" w:rsidRPr="005E7DE4" w:rsidRDefault="005310C2" w:rsidP="00C67964">
            <w:pPr>
              <w:rPr>
                <w:rFonts w:ascii="Arial Narrow" w:hAnsi="Arial Narrow"/>
                <w:b/>
                <w:bCs/>
                <w:color w:val="333333"/>
                <w:sz w:val="20"/>
                <w:szCs w:val="20"/>
              </w:rPr>
            </w:pPr>
          </w:p>
        </w:tc>
      </w:tr>
      <w:tr w:rsidR="005310C2" w:rsidRPr="005E7DE4" w14:paraId="1DEFA894" w14:textId="77777777" w:rsidTr="00240923">
        <w:tblPrEx>
          <w:tblCellMar>
            <w:top w:w="15" w:type="dxa"/>
            <w:left w:w="15" w:type="dxa"/>
            <w:bottom w:w="15" w:type="dxa"/>
            <w:right w:w="15" w:type="dxa"/>
          </w:tblCellMar>
          <w:tblLook w:val="04A0" w:firstRow="1" w:lastRow="0" w:firstColumn="1" w:lastColumn="0" w:noHBand="0" w:noVBand="1"/>
        </w:tblPrEx>
        <w:tc>
          <w:tcPr>
            <w:tcW w:w="8995" w:type="dxa"/>
            <w:gridSpan w:val="10"/>
            <w:vAlign w:val="center"/>
          </w:tcPr>
          <w:p w14:paraId="7765F833" w14:textId="245F4A04" w:rsidR="005310C2" w:rsidRPr="005E7DE4" w:rsidRDefault="005310C2" w:rsidP="00594500">
            <w:pPr>
              <w:rPr>
                <w:rFonts w:ascii="Arial Narrow" w:hAnsi="Arial Narrow"/>
                <w:color w:val="333333"/>
                <w:sz w:val="20"/>
                <w:szCs w:val="20"/>
              </w:rPr>
            </w:pPr>
            <w:r w:rsidRPr="005E7DE4">
              <w:rPr>
                <w:rFonts w:ascii="Arial Narrow" w:hAnsi="Arial Narrow"/>
                <w:b/>
                <w:sz w:val="20"/>
                <w:szCs w:val="20"/>
                <w:lang w:val="en-GB"/>
              </w:rPr>
              <w:t xml:space="preserve">Restriction Summary </w:t>
            </w:r>
          </w:p>
        </w:tc>
      </w:tr>
      <w:tr w:rsidR="005310C2" w:rsidRPr="005E7DE4" w14:paraId="008A21F4"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EA00486" w14:textId="77777777" w:rsidR="005310C2" w:rsidRPr="005E7DE4" w:rsidRDefault="005310C2" w:rsidP="00C67964">
            <w:pPr>
              <w:jc w:val="center"/>
              <w:rPr>
                <w:rFonts w:ascii="Arial Narrow" w:hAnsi="Arial Narrow"/>
                <w:color w:val="333333"/>
                <w:sz w:val="20"/>
                <w:szCs w:val="20"/>
              </w:rPr>
            </w:pPr>
          </w:p>
        </w:tc>
        <w:tc>
          <w:tcPr>
            <w:tcW w:w="8014" w:type="dxa"/>
            <w:gridSpan w:val="8"/>
            <w:vAlign w:val="center"/>
          </w:tcPr>
          <w:p w14:paraId="7BDA4B5D" w14:textId="77777777" w:rsidR="005310C2" w:rsidRPr="005E7DE4" w:rsidRDefault="005310C2" w:rsidP="00C67964">
            <w:pPr>
              <w:rPr>
                <w:rFonts w:ascii="Arial Narrow" w:hAnsi="Arial Narrow"/>
                <w:color w:val="333333"/>
                <w:sz w:val="20"/>
                <w:szCs w:val="20"/>
              </w:rPr>
            </w:pPr>
          </w:p>
        </w:tc>
      </w:tr>
      <w:tr w:rsidR="005310C2" w:rsidRPr="005E7DE4" w14:paraId="1F5F7AE3"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A4804D3" w14:textId="68727BC9" w:rsidR="005310C2" w:rsidRPr="005E7DE4" w:rsidRDefault="005310C2" w:rsidP="005310C2">
            <w:pPr>
              <w:jc w:val="center"/>
              <w:rPr>
                <w:rFonts w:ascii="Arial Narrow" w:hAnsi="Arial Narrow"/>
                <w:color w:val="333333"/>
                <w:sz w:val="20"/>
                <w:szCs w:val="20"/>
              </w:rPr>
            </w:pPr>
          </w:p>
        </w:tc>
        <w:tc>
          <w:tcPr>
            <w:tcW w:w="8014" w:type="dxa"/>
            <w:gridSpan w:val="8"/>
            <w:vAlign w:val="center"/>
          </w:tcPr>
          <w:p w14:paraId="17EDF868" w14:textId="66C2E2EB" w:rsidR="005310C2" w:rsidRPr="005E7DE4" w:rsidRDefault="005310C2" w:rsidP="005310C2">
            <w:pPr>
              <w:rPr>
                <w:rFonts w:ascii="Arial Narrow" w:hAnsi="Arial Narrow"/>
                <w:b/>
                <w:bCs/>
                <w:color w:val="333333"/>
                <w:sz w:val="20"/>
                <w:szCs w:val="20"/>
              </w:rPr>
            </w:pPr>
            <w:r w:rsidRPr="005E7DE4">
              <w:rPr>
                <w:rFonts w:ascii="Arial Narrow" w:hAnsi="Arial Narrow"/>
                <w:b/>
                <w:bCs/>
                <w:color w:val="333333"/>
                <w:sz w:val="20"/>
                <w:szCs w:val="20"/>
              </w:rPr>
              <w:t>Indication:</w:t>
            </w:r>
            <w:r w:rsidRPr="005E7DE4">
              <w:rPr>
                <w:rFonts w:ascii="Arial Narrow" w:hAnsi="Arial Narrow"/>
                <w:color w:val="333333"/>
                <w:sz w:val="20"/>
                <w:szCs w:val="20"/>
              </w:rPr>
              <w:t xml:space="preserve"> Complex refractory Fistulising Crohn disease</w:t>
            </w:r>
          </w:p>
        </w:tc>
      </w:tr>
      <w:tr w:rsidR="005310C2" w:rsidRPr="005E7DE4" w14:paraId="6ECB907D"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E22E68C" w14:textId="77777777" w:rsidR="005310C2" w:rsidRPr="005E7DE4" w:rsidRDefault="005310C2" w:rsidP="005310C2">
            <w:pPr>
              <w:jc w:val="center"/>
              <w:rPr>
                <w:rFonts w:ascii="Arial Narrow" w:hAnsi="Arial Narrow"/>
                <w:color w:val="333333"/>
                <w:sz w:val="20"/>
                <w:szCs w:val="20"/>
              </w:rPr>
            </w:pPr>
          </w:p>
        </w:tc>
        <w:tc>
          <w:tcPr>
            <w:tcW w:w="8014" w:type="dxa"/>
            <w:gridSpan w:val="8"/>
            <w:vAlign w:val="center"/>
            <w:hideMark/>
          </w:tcPr>
          <w:p w14:paraId="6BF345D9" w14:textId="77777777" w:rsidR="005310C2" w:rsidRPr="005E7DE4" w:rsidRDefault="005310C2" w:rsidP="005310C2">
            <w:pPr>
              <w:rPr>
                <w:rFonts w:ascii="Arial Narrow" w:hAnsi="Arial Narrow"/>
                <w:color w:val="333333"/>
                <w:sz w:val="20"/>
                <w:szCs w:val="20"/>
              </w:rPr>
            </w:pPr>
            <w:r w:rsidRPr="005E7DE4">
              <w:rPr>
                <w:rFonts w:ascii="Arial Narrow" w:hAnsi="Arial Narrow"/>
                <w:b/>
                <w:bCs/>
                <w:color w:val="333333"/>
                <w:sz w:val="20"/>
                <w:szCs w:val="20"/>
              </w:rPr>
              <w:t>Treatment Phase:</w:t>
            </w:r>
            <w:r w:rsidRPr="005E7DE4">
              <w:rPr>
                <w:rFonts w:ascii="Arial Narrow" w:hAnsi="Arial Narrow"/>
                <w:color w:val="333333"/>
                <w:sz w:val="20"/>
                <w:szCs w:val="20"/>
              </w:rPr>
              <w:t xml:space="preserve"> Initial 1 (new patient or recommencement of treatment after a break in biological medicine of more than 5 years), Initial 2 (change or recommencement of treatment after a break in biological medicine of less than 5 years) - balance of supply</w:t>
            </w:r>
          </w:p>
        </w:tc>
      </w:tr>
      <w:tr w:rsidR="005310C2" w:rsidRPr="005E7DE4" w14:paraId="1D034C89"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272F297" w14:textId="0B03C0BD" w:rsidR="005310C2" w:rsidRPr="005E7DE4" w:rsidRDefault="005310C2" w:rsidP="005310C2">
            <w:pPr>
              <w:jc w:val="center"/>
              <w:rPr>
                <w:rFonts w:ascii="Arial Narrow" w:hAnsi="Arial Narrow"/>
                <w:color w:val="333333"/>
                <w:sz w:val="20"/>
                <w:szCs w:val="20"/>
              </w:rPr>
            </w:pPr>
          </w:p>
        </w:tc>
        <w:tc>
          <w:tcPr>
            <w:tcW w:w="8014" w:type="dxa"/>
            <w:gridSpan w:val="8"/>
            <w:vAlign w:val="center"/>
            <w:hideMark/>
          </w:tcPr>
          <w:p w14:paraId="5ED142FA" w14:textId="77777777" w:rsidR="005310C2" w:rsidRPr="005E7DE4" w:rsidRDefault="005310C2" w:rsidP="005310C2">
            <w:pPr>
              <w:rPr>
                <w:rFonts w:ascii="Arial Narrow" w:hAnsi="Arial Narrow"/>
                <w:color w:val="333333"/>
                <w:sz w:val="20"/>
                <w:szCs w:val="20"/>
              </w:rPr>
            </w:pPr>
            <w:r w:rsidRPr="005E7DE4">
              <w:rPr>
                <w:rFonts w:ascii="Arial Narrow" w:hAnsi="Arial Narrow"/>
                <w:b/>
                <w:bCs/>
                <w:color w:val="333333"/>
                <w:sz w:val="20"/>
                <w:szCs w:val="20"/>
              </w:rPr>
              <w:t>Clinical criteria:</w:t>
            </w:r>
          </w:p>
        </w:tc>
      </w:tr>
      <w:tr w:rsidR="005310C2" w:rsidRPr="005E7DE4" w14:paraId="08BC09C3"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tcPr>
          <w:p w14:paraId="28A2669D" w14:textId="3B16184F" w:rsidR="005310C2" w:rsidRPr="005E7DE4" w:rsidRDefault="005310C2" w:rsidP="00240923">
            <w:pPr>
              <w:jc w:val="center"/>
              <w:rPr>
                <w:rFonts w:ascii="Arial Narrow" w:hAnsi="Arial Narrow"/>
                <w:color w:val="333333"/>
                <w:sz w:val="20"/>
                <w:szCs w:val="20"/>
              </w:rPr>
            </w:pPr>
          </w:p>
        </w:tc>
        <w:tc>
          <w:tcPr>
            <w:tcW w:w="8014" w:type="dxa"/>
            <w:gridSpan w:val="8"/>
            <w:vAlign w:val="center"/>
            <w:hideMark/>
          </w:tcPr>
          <w:p w14:paraId="79475758" w14:textId="77777777" w:rsidR="005310C2" w:rsidRPr="005E7DE4" w:rsidRDefault="005310C2" w:rsidP="005310C2">
            <w:pPr>
              <w:rPr>
                <w:rFonts w:ascii="Arial Narrow" w:hAnsi="Arial Narrow"/>
                <w:color w:val="333333"/>
                <w:sz w:val="20"/>
                <w:szCs w:val="20"/>
              </w:rPr>
            </w:pPr>
            <w:r w:rsidRPr="005E7DE4">
              <w:rPr>
                <w:rFonts w:ascii="Arial Narrow" w:hAnsi="Arial Narrow"/>
                <w:color w:val="333333"/>
                <w:sz w:val="20"/>
                <w:szCs w:val="20"/>
              </w:rPr>
              <w:t xml:space="preserve">Patient must have received insufficient therapy with this drug for this condition under the Initial 1 (new patient or patient recommencing treatment after a break of 5 years or more) restriction to complete 16 weeks treatment; </w:t>
            </w:r>
          </w:p>
          <w:p w14:paraId="22881915" w14:textId="77777777" w:rsidR="005310C2" w:rsidRPr="005E7DE4" w:rsidRDefault="005310C2" w:rsidP="005310C2">
            <w:pPr>
              <w:rPr>
                <w:rFonts w:ascii="Arial Narrow" w:hAnsi="Arial Narrow"/>
                <w:color w:val="333333"/>
                <w:sz w:val="20"/>
                <w:szCs w:val="20"/>
              </w:rPr>
            </w:pPr>
            <w:r w:rsidRPr="005E7DE4">
              <w:rPr>
                <w:rFonts w:ascii="Arial Narrow" w:hAnsi="Arial Narrow"/>
                <w:color w:val="333333"/>
                <w:sz w:val="20"/>
                <w:szCs w:val="20"/>
              </w:rPr>
              <w:t>OR</w:t>
            </w:r>
          </w:p>
          <w:p w14:paraId="0BF9C9B6" w14:textId="77777777" w:rsidR="005310C2" w:rsidRPr="005E7DE4" w:rsidRDefault="005310C2" w:rsidP="005310C2">
            <w:pPr>
              <w:rPr>
                <w:rFonts w:ascii="Arial Narrow" w:hAnsi="Arial Narrow"/>
                <w:color w:val="333333"/>
                <w:sz w:val="20"/>
                <w:szCs w:val="20"/>
              </w:rPr>
            </w:pPr>
            <w:r w:rsidRPr="005E7DE4">
              <w:rPr>
                <w:rFonts w:ascii="Arial Narrow" w:hAnsi="Arial Narrow"/>
                <w:color w:val="333333"/>
                <w:sz w:val="20"/>
                <w:szCs w:val="20"/>
              </w:rPr>
              <w:t>Patient must have received insufficient therapy with this drug for this condition under the Initial 2 (change or recommencement of treatment after a break of less than 5 years) restriction to complete 16 weeks treatment</w:t>
            </w:r>
          </w:p>
        </w:tc>
      </w:tr>
      <w:tr w:rsidR="005310C2" w:rsidRPr="005E7DE4" w14:paraId="4372A2C8"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0CF2B9F" w14:textId="77777777" w:rsidR="005310C2" w:rsidRPr="005E7DE4" w:rsidRDefault="005310C2" w:rsidP="005310C2">
            <w:pPr>
              <w:jc w:val="center"/>
              <w:rPr>
                <w:rFonts w:ascii="Arial Narrow" w:hAnsi="Arial Narrow"/>
                <w:color w:val="333333"/>
                <w:sz w:val="20"/>
                <w:szCs w:val="20"/>
              </w:rPr>
            </w:pPr>
          </w:p>
        </w:tc>
        <w:tc>
          <w:tcPr>
            <w:tcW w:w="8014" w:type="dxa"/>
            <w:gridSpan w:val="8"/>
            <w:vAlign w:val="center"/>
            <w:hideMark/>
          </w:tcPr>
          <w:p w14:paraId="16C94BEE" w14:textId="77777777" w:rsidR="005310C2" w:rsidRPr="005E7DE4" w:rsidRDefault="005310C2" w:rsidP="005310C2">
            <w:pPr>
              <w:rPr>
                <w:rFonts w:ascii="Arial Narrow" w:hAnsi="Arial Narrow"/>
                <w:color w:val="333333"/>
                <w:sz w:val="20"/>
                <w:szCs w:val="20"/>
              </w:rPr>
            </w:pPr>
            <w:r w:rsidRPr="005E7DE4">
              <w:rPr>
                <w:rFonts w:ascii="Arial Narrow" w:hAnsi="Arial Narrow"/>
                <w:b/>
                <w:bCs/>
                <w:color w:val="333333"/>
                <w:sz w:val="20"/>
                <w:szCs w:val="20"/>
              </w:rPr>
              <w:t>AND</w:t>
            </w:r>
          </w:p>
        </w:tc>
      </w:tr>
      <w:tr w:rsidR="005310C2" w:rsidRPr="005E7DE4" w14:paraId="4D163C1A"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FDBAAC6" w14:textId="59AF6637" w:rsidR="005310C2" w:rsidRPr="005E7DE4" w:rsidRDefault="005310C2" w:rsidP="005310C2">
            <w:pPr>
              <w:jc w:val="center"/>
              <w:rPr>
                <w:rFonts w:ascii="Arial Narrow" w:hAnsi="Arial Narrow"/>
                <w:color w:val="333333"/>
                <w:sz w:val="20"/>
                <w:szCs w:val="20"/>
              </w:rPr>
            </w:pPr>
          </w:p>
        </w:tc>
        <w:tc>
          <w:tcPr>
            <w:tcW w:w="8014" w:type="dxa"/>
            <w:gridSpan w:val="8"/>
            <w:vAlign w:val="center"/>
            <w:hideMark/>
          </w:tcPr>
          <w:p w14:paraId="493338C8" w14:textId="77777777" w:rsidR="005310C2" w:rsidRPr="005E7DE4" w:rsidRDefault="005310C2" w:rsidP="005310C2">
            <w:pPr>
              <w:rPr>
                <w:rFonts w:ascii="Arial Narrow" w:hAnsi="Arial Narrow"/>
                <w:color w:val="333333"/>
                <w:sz w:val="20"/>
                <w:szCs w:val="20"/>
              </w:rPr>
            </w:pPr>
            <w:r w:rsidRPr="005E7DE4">
              <w:rPr>
                <w:rFonts w:ascii="Arial Narrow" w:hAnsi="Arial Narrow"/>
                <w:b/>
                <w:bCs/>
                <w:color w:val="333333"/>
                <w:sz w:val="20"/>
                <w:szCs w:val="20"/>
              </w:rPr>
              <w:t>Clinical criteria:</w:t>
            </w:r>
          </w:p>
        </w:tc>
      </w:tr>
      <w:tr w:rsidR="005310C2" w:rsidRPr="005E7DE4" w14:paraId="2A89E7BB"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90C9D6A" w14:textId="38F12BD1" w:rsidR="005310C2" w:rsidRPr="005E7DE4" w:rsidRDefault="005310C2" w:rsidP="005310C2">
            <w:pPr>
              <w:jc w:val="center"/>
              <w:rPr>
                <w:rFonts w:ascii="Arial Narrow" w:hAnsi="Arial Narrow"/>
                <w:color w:val="333333"/>
                <w:sz w:val="20"/>
                <w:szCs w:val="20"/>
              </w:rPr>
            </w:pPr>
          </w:p>
        </w:tc>
        <w:tc>
          <w:tcPr>
            <w:tcW w:w="8014" w:type="dxa"/>
            <w:gridSpan w:val="8"/>
            <w:vAlign w:val="center"/>
            <w:hideMark/>
          </w:tcPr>
          <w:p w14:paraId="23FFE1E6" w14:textId="77777777" w:rsidR="005310C2" w:rsidRPr="005E7DE4" w:rsidRDefault="005310C2" w:rsidP="005310C2">
            <w:pPr>
              <w:rPr>
                <w:rFonts w:ascii="Arial Narrow" w:hAnsi="Arial Narrow"/>
                <w:color w:val="333333"/>
                <w:sz w:val="20"/>
                <w:szCs w:val="20"/>
              </w:rPr>
            </w:pPr>
            <w:r w:rsidRPr="005E7DE4">
              <w:rPr>
                <w:rFonts w:ascii="Arial Narrow" w:hAnsi="Arial Narrow"/>
                <w:color w:val="333333"/>
                <w:sz w:val="20"/>
                <w:szCs w:val="20"/>
              </w:rPr>
              <w:t>The treatment must provide no more than the balance of up to 16 weeks treatment available under the above restrictions</w:t>
            </w:r>
          </w:p>
        </w:tc>
      </w:tr>
      <w:tr w:rsidR="005310C2" w:rsidRPr="005E7DE4" w14:paraId="798BC2F1"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78BCD19" w14:textId="77777777" w:rsidR="005310C2" w:rsidRPr="005E7DE4" w:rsidRDefault="005310C2" w:rsidP="005310C2">
            <w:pPr>
              <w:jc w:val="center"/>
              <w:rPr>
                <w:rFonts w:ascii="Arial Narrow" w:hAnsi="Arial Narrow"/>
                <w:color w:val="333333"/>
                <w:sz w:val="20"/>
                <w:szCs w:val="20"/>
              </w:rPr>
            </w:pPr>
          </w:p>
        </w:tc>
        <w:tc>
          <w:tcPr>
            <w:tcW w:w="8014" w:type="dxa"/>
            <w:gridSpan w:val="8"/>
            <w:vAlign w:val="center"/>
            <w:hideMark/>
          </w:tcPr>
          <w:p w14:paraId="1947FB98" w14:textId="77777777" w:rsidR="005310C2" w:rsidRPr="005E7DE4" w:rsidRDefault="005310C2" w:rsidP="005310C2">
            <w:pPr>
              <w:rPr>
                <w:rFonts w:ascii="Arial Narrow" w:hAnsi="Arial Narrow"/>
                <w:color w:val="333333"/>
                <w:sz w:val="20"/>
                <w:szCs w:val="20"/>
              </w:rPr>
            </w:pPr>
            <w:r w:rsidRPr="005E7DE4">
              <w:rPr>
                <w:rFonts w:ascii="Arial Narrow" w:hAnsi="Arial Narrow"/>
                <w:b/>
                <w:bCs/>
                <w:color w:val="333333"/>
                <w:sz w:val="20"/>
                <w:szCs w:val="20"/>
              </w:rPr>
              <w:t>AND</w:t>
            </w:r>
          </w:p>
        </w:tc>
      </w:tr>
      <w:tr w:rsidR="005310C2" w:rsidRPr="005E7DE4" w14:paraId="5FA91048"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1C297C2" w14:textId="172AB09E" w:rsidR="005310C2" w:rsidRPr="005E7DE4" w:rsidRDefault="005310C2" w:rsidP="005310C2">
            <w:pPr>
              <w:jc w:val="center"/>
              <w:rPr>
                <w:rFonts w:ascii="Arial Narrow" w:hAnsi="Arial Narrow"/>
                <w:color w:val="333333"/>
                <w:sz w:val="20"/>
                <w:szCs w:val="20"/>
              </w:rPr>
            </w:pPr>
          </w:p>
        </w:tc>
        <w:tc>
          <w:tcPr>
            <w:tcW w:w="8014" w:type="dxa"/>
            <w:gridSpan w:val="8"/>
            <w:vAlign w:val="center"/>
            <w:hideMark/>
          </w:tcPr>
          <w:p w14:paraId="214498DD" w14:textId="77777777" w:rsidR="005310C2" w:rsidRPr="005E7DE4" w:rsidRDefault="005310C2" w:rsidP="005310C2">
            <w:pPr>
              <w:rPr>
                <w:rFonts w:ascii="Arial Narrow" w:hAnsi="Arial Narrow"/>
                <w:color w:val="333333"/>
                <w:sz w:val="20"/>
                <w:szCs w:val="20"/>
              </w:rPr>
            </w:pPr>
            <w:r w:rsidRPr="005E7DE4">
              <w:rPr>
                <w:rFonts w:ascii="Arial Narrow" w:hAnsi="Arial Narrow"/>
                <w:b/>
                <w:bCs/>
                <w:color w:val="333333"/>
                <w:sz w:val="20"/>
                <w:szCs w:val="20"/>
              </w:rPr>
              <w:t>Treatment criteria:</w:t>
            </w:r>
          </w:p>
        </w:tc>
      </w:tr>
      <w:tr w:rsidR="005310C2" w:rsidRPr="005E7DE4" w14:paraId="6A7F61A2"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C469236" w14:textId="08EEFAAB" w:rsidR="005310C2" w:rsidRPr="005E7DE4" w:rsidRDefault="005310C2" w:rsidP="005310C2">
            <w:pPr>
              <w:jc w:val="center"/>
              <w:rPr>
                <w:rFonts w:ascii="Arial Narrow" w:hAnsi="Arial Narrow"/>
                <w:color w:val="333333"/>
                <w:sz w:val="20"/>
                <w:szCs w:val="20"/>
              </w:rPr>
            </w:pPr>
          </w:p>
        </w:tc>
        <w:tc>
          <w:tcPr>
            <w:tcW w:w="8014" w:type="dxa"/>
            <w:gridSpan w:val="8"/>
            <w:vAlign w:val="center"/>
            <w:hideMark/>
          </w:tcPr>
          <w:p w14:paraId="4A63F11E" w14:textId="77777777" w:rsidR="005310C2" w:rsidRPr="005E7DE4" w:rsidRDefault="005310C2" w:rsidP="005310C2">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 xml:space="preserve">Must be treated by a gastroenterologist (code 87); </w:t>
            </w:r>
          </w:p>
          <w:p w14:paraId="025047D4" w14:textId="77777777" w:rsidR="005310C2" w:rsidRPr="005E7DE4" w:rsidRDefault="005310C2" w:rsidP="005310C2">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OR</w:t>
            </w:r>
          </w:p>
          <w:p w14:paraId="248F732C" w14:textId="77777777" w:rsidR="005310C2" w:rsidRPr="005E7DE4" w:rsidRDefault="005310C2" w:rsidP="005310C2">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lastRenderedPageBreak/>
              <w:t xml:space="preserve">Must be treated by a consultant physician [internal medicine specialising in gastroenterology (code 81)]; </w:t>
            </w:r>
          </w:p>
          <w:p w14:paraId="393DD9DB" w14:textId="77777777" w:rsidR="005310C2" w:rsidRPr="005E7DE4" w:rsidRDefault="005310C2" w:rsidP="005310C2">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OR</w:t>
            </w:r>
          </w:p>
          <w:p w14:paraId="449A3210" w14:textId="77777777" w:rsidR="005310C2" w:rsidRPr="005E7DE4" w:rsidRDefault="005310C2" w:rsidP="005310C2">
            <w:pPr>
              <w:autoSpaceDE w:val="0"/>
              <w:autoSpaceDN w:val="0"/>
              <w:adjustRightInd w:val="0"/>
              <w:rPr>
                <w:rFonts w:ascii="Arial Narrow" w:hAnsi="Arial Narrow" w:cs="Arial Narrow"/>
                <w:i/>
                <w:iCs/>
                <w:sz w:val="20"/>
                <w:szCs w:val="20"/>
              </w:rPr>
            </w:pPr>
            <w:r w:rsidRPr="005E7DE4">
              <w:rPr>
                <w:rFonts w:ascii="Arial Narrow" w:hAnsi="Arial Narrow" w:cs="Arial Narrow"/>
                <w:sz w:val="20"/>
                <w:szCs w:val="20"/>
              </w:rPr>
              <w:t>Must be treated by a consultant physician [general medicine specialising in gastroenterology (code 82)]</w:t>
            </w:r>
          </w:p>
        </w:tc>
      </w:tr>
      <w:tr w:rsidR="005310C2" w:rsidRPr="005E7DE4" w14:paraId="7CF43E2A" w14:textId="77777777" w:rsidTr="00240923">
        <w:tblPrEx>
          <w:tblCellMar>
            <w:top w:w="15" w:type="dxa"/>
            <w:left w:w="15" w:type="dxa"/>
            <w:bottom w:w="15" w:type="dxa"/>
            <w:right w:w="15" w:type="dxa"/>
          </w:tblCellMar>
          <w:tblLook w:val="04A0" w:firstRow="1" w:lastRow="0" w:firstColumn="1" w:lastColumn="0" w:noHBand="0" w:noVBand="1"/>
        </w:tblPrEx>
        <w:tc>
          <w:tcPr>
            <w:tcW w:w="981" w:type="dxa"/>
            <w:gridSpan w:val="2"/>
            <w:shd w:val="clear" w:color="auto" w:fill="BFBFBF" w:themeFill="background1" w:themeFillShade="BF"/>
            <w:vAlign w:val="center"/>
          </w:tcPr>
          <w:p w14:paraId="33D16B2E" w14:textId="77777777" w:rsidR="005310C2" w:rsidRPr="005E7DE4" w:rsidRDefault="005310C2" w:rsidP="005310C2">
            <w:pPr>
              <w:jc w:val="center"/>
              <w:rPr>
                <w:rFonts w:ascii="Arial Narrow" w:hAnsi="Arial Narrow"/>
                <w:color w:val="333333"/>
                <w:sz w:val="20"/>
                <w:szCs w:val="20"/>
              </w:rPr>
            </w:pPr>
          </w:p>
        </w:tc>
        <w:tc>
          <w:tcPr>
            <w:tcW w:w="8014" w:type="dxa"/>
            <w:gridSpan w:val="8"/>
            <w:shd w:val="clear" w:color="auto" w:fill="BFBFBF" w:themeFill="background1" w:themeFillShade="BF"/>
            <w:vAlign w:val="center"/>
            <w:hideMark/>
          </w:tcPr>
          <w:p w14:paraId="040989B3" w14:textId="77777777" w:rsidR="005310C2" w:rsidRPr="005E7DE4" w:rsidRDefault="005310C2" w:rsidP="005310C2">
            <w:pPr>
              <w:rPr>
                <w:rFonts w:ascii="Arial Narrow" w:hAnsi="Arial Narrow"/>
                <w:color w:val="333333"/>
                <w:sz w:val="20"/>
                <w:szCs w:val="20"/>
              </w:rPr>
            </w:pPr>
          </w:p>
        </w:tc>
      </w:tr>
      <w:tr w:rsidR="005310C2" w:rsidRPr="005E7DE4" w14:paraId="1AF11A7C" w14:textId="77777777" w:rsidTr="006B25EB">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101BC8E" w14:textId="531318EF" w:rsidR="005310C2" w:rsidRPr="005E7DE4" w:rsidRDefault="005310C2" w:rsidP="005310C2">
            <w:pPr>
              <w:jc w:val="center"/>
              <w:rPr>
                <w:rFonts w:ascii="Arial Narrow" w:hAnsi="Arial Narrow"/>
                <w:color w:val="333333"/>
                <w:sz w:val="20"/>
                <w:szCs w:val="20"/>
              </w:rPr>
            </w:pPr>
          </w:p>
        </w:tc>
        <w:tc>
          <w:tcPr>
            <w:tcW w:w="8014" w:type="dxa"/>
            <w:gridSpan w:val="8"/>
            <w:vAlign w:val="center"/>
            <w:hideMark/>
          </w:tcPr>
          <w:p w14:paraId="7AAB719E" w14:textId="77777777" w:rsidR="005310C2" w:rsidRPr="005E7DE4" w:rsidRDefault="005310C2" w:rsidP="005310C2">
            <w:pPr>
              <w:rPr>
                <w:rFonts w:ascii="Arial Narrow" w:hAnsi="Arial Narrow"/>
                <w:bCs/>
                <w:color w:val="333333"/>
                <w:sz w:val="20"/>
                <w:szCs w:val="20"/>
              </w:rPr>
            </w:pPr>
            <w:r w:rsidRPr="005E7DE4">
              <w:rPr>
                <w:rFonts w:ascii="Arial Narrow" w:hAnsi="Arial Narrow"/>
                <w:b/>
                <w:bCs/>
                <w:color w:val="333333"/>
                <w:sz w:val="20"/>
                <w:szCs w:val="20"/>
              </w:rPr>
              <w:t>Administrative Advice:</w:t>
            </w:r>
            <w:r w:rsidRPr="005E7DE4">
              <w:rPr>
                <w:rFonts w:ascii="Arial Narrow" w:hAnsi="Arial Narrow"/>
                <w:bCs/>
                <w:color w:val="333333"/>
                <w:sz w:val="20"/>
                <w:szCs w:val="20"/>
              </w:rPr>
              <w:t xml:space="preserve"> </w:t>
            </w:r>
          </w:p>
          <w:p w14:paraId="1E32B908" w14:textId="77777777" w:rsidR="005310C2" w:rsidRPr="005E7DE4" w:rsidRDefault="005310C2" w:rsidP="005310C2">
            <w:pPr>
              <w:rPr>
                <w:rFonts w:ascii="Arial Narrow" w:hAnsi="Arial Narrow"/>
                <w:color w:val="333333"/>
                <w:sz w:val="20"/>
                <w:szCs w:val="20"/>
              </w:rPr>
            </w:pPr>
            <w:r w:rsidRPr="005E7DE4">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2E91D1D4" w14:textId="77777777" w:rsidR="001A56FA" w:rsidRPr="00542CAF" w:rsidRDefault="001A56FA" w:rsidP="001A56FA">
      <w:pPr>
        <w:rPr>
          <w:sz w:val="20"/>
          <w:szCs w:val="20"/>
        </w:rPr>
      </w:pPr>
    </w:p>
    <w:p w14:paraId="1F40592B" w14:textId="77777777" w:rsidR="00C618E9" w:rsidRDefault="00C618E9" w:rsidP="001A56FA">
      <w:pPr>
        <w:rPr>
          <w:rFonts w:ascii="Arial Narrow" w:hAnsi="Arial Narrow"/>
          <w:b/>
          <w:sz w:val="20"/>
          <w:szCs w:val="20"/>
          <w:lang w:val="en-GB"/>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1"/>
        <w:gridCol w:w="500"/>
        <w:gridCol w:w="200"/>
        <w:gridCol w:w="2812"/>
        <w:gridCol w:w="984"/>
        <w:gridCol w:w="700"/>
        <w:gridCol w:w="700"/>
        <w:gridCol w:w="775"/>
        <w:gridCol w:w="1553"/>
      </w:tblGrid>
      <w:tr w:rsidR="003666C8" w:rsidRPr="005E7DE4" w14:paraId="11D89BC1" w14:textId="77777777" w:rsidTr="00240923">
        <w:tc>
          <w:tcPr>
            <w:tcW w:w="2381" w:type="pct"/>
            <w:gridSpan w:val="4"/>
            <w:tcBorders>
              <w:top w:val="single" w:sz="4" w:space="0" w:color="auto"/>
              <w:left w:val="single" w:sz="4" w:space="0" w:color="auto"/>
              <w:bottom w:val="single" w:sz="4" w:space="0" w:color="auto"/>
              <w:right w:val="single" w:sz="4" w:space="0" w:color="auto"/>
            </w:tcBorders>
          </w:tcPr>
          <w:p w14:paraId="0E46ED34" w14:textId="77777777" w:rsidR="003666C8" w:rsidRPr="005E7DE4" w:rsidRDefault="003666C8" w:rsidP="002F6E81">
            <w:pPr>
              <w:keepNext/>
              <w:ind w:left="-57"/>
              <w:rPr>
                <w:rFonts w:ascii="Arial Narrow" w:hAnsi="Arial Narrow"/>
                <w:b/>
                <w:bCs/>
                <w:sz w:val="20"/>
                <w:szCs w:val="20"/>
              </w:rPr>
            </w:pPr>
            <w:r w:rsidRPr="005E7DE4">
              <w:rPr>
                <w:rFonts w:ascii="Arial Narrow" w:hAnsi="Arial Narrow"/>
                <w:b/>
                <w:bCs/>
                <w:sz w:val="20"/>
                <w:szCs w:val="20"/>
              </w:rPr>
              <w:t>MEDICINAL PRODUCT</w:t>
            </w:r>
          </w:p>
          <w:p w14:paraId="52068C6D" w14:textId="77777777" w:rsidR="003666C8" w:rsidRPr="005E7DE4" w:rsidRDefault="003666C8" w:rsidP="002F6E81">
            <w:pPr>
              <w:rPr>
                <w:rFonts w:ascii="Arial Narrow" w:hAnsi="Arial Narrow"/>
                <w:b/>
                <w:sz w:val="20"/>
                <w:szCs w:val="20"/>
              </w:rPr>
            </w:pPr>
            <w:r w:rsidRPr="005E7DE4">
              <w:rPr>
                <w:rFonts w:ascii="Arial Narrow" w:hAnsi="Arial Narrow"/>
                <w:b/>
                <w:bCs/>
                <w:sz w:val="20"/>
                <w:szCs w:val="20"/>
              </w:rPr>
              <w:t>medicinal product pack</w:t>
            </w:r>
          </w:p>
        </w:tc>
        <w:tc>
          <w:tcPr>
            <w:tcW w:w="547" w:type="pct"/>
            <w:tcBorders>
              <w:top w:val="single" w:sz="4" w:space="0" w:color="auto"/>
              <w:left w:val="single" w:sz="4" w:space="0" w:color="auto"/>
              <w:bottom w:val="single" w:sz="4" w:space="0" w:color="auto"/>
              <w:right w:val="single" w:sz="4" w:space="0" w:color="auto"/>
            </w:tcBorders>
          </w:tcPr>
          <w:p w14:paraId="604615B3" w14:textId="77777777" w:rsidR="003666C8" w:rsidRPr="005E7DE4" w:rsidRDefault="003666C8" w:rsidP="002F6E81">
            <w:pPr>
              <w:jc w:val="center"/>
              <w:rPr>
                <w:rFonts w:ascii="Arial Narrow" w:hAnsi="Arial Narrow"/>
                <w:b/>
                <w:sz w:val="20"/>
                <w:szCs w:val="20"/>
              </w:rPr>
            </w:pPr>
            <w:r w:rsidRPr="005E7DE4">
              <w:rPr>
                <w:rFonts w:ascii="Arial Narrow" w:hAnsi="Arial Narrow"/>
                <w:b/>
                <w:sz w:val="20"/>
                <w:szCs w:val="20"/>
              </w:rPr>
              <w:t>PBS item code</w:t>
            </w:r>
          </w:p>
        </w:tc>
        <w:tc>
          <w:tcPr>
            <w:tcW w:w="389" w:type="pct"/>
            <w:tcBorders>
              <w:top w:val="single" w:sz="4" w:space="0" w:color="auto"/>
              <w:left w:val="single" w:sz="4" w:space="0" w:color="auto"/>
              <w:bottom w:val="single" w:sz="4" w:space="0" w:color="auto"/>
              <w:right w:val="single" w:sz="4" w:space="0" w:color="auto"/>
            </w:tcBorders>
          </w:tcPr>
          <w:p w14:paraId="7BBB67A3" w14:textId="77777777" w:rsidR="003666C8" w:rsidRPr="005E7DE4" w:rsidRDefault="003666C8" w:rsidP="002F6E81">
            <w:pPr>
              <w:jc w:val="center"/>
              <w:rPr>
                <w:rFonts w:ascii="Arial Narrow" w:hAnsi="Arial Narrow"/>
                <w:b/>
                <w:sz w:val="20"/>
                <w:szCs w:val="20"/>
              </w:rPr>
            </w:pPr>
            <w:r w:rsidRPr="005E7DE4">
              <w:rPr>
                <w:rFonts w:ascii="Arial Narrow" w:hAnsi="Arial Narrow"/>
                <w:b/>
                <w:sz w:val="20"/>
                <w:szCs w:val="20"/>
              </w:rPr>
              <w:t>Max. qty packs</w:t>
            </w:r>
          </w:p>
        </w:tc>
        <w:tc>
          <w:tcPr>
            <w:tcW w:w="389" w:type="pct"/>
            <w:tcBorders>
              <w:top w:val="single" w:sz="4" w:space="0" w:color="auto"/>
              <w:left w:val="single" w:sz="4" w:space="0" w:color="auto"/>
              <w:bottom w:val="single" w:sz="4" w:space="0" w:color="auto"/>
              <w:right w:val="single" w:sz="4" w:space="0" w:color="auto"/>
            </w:tcBorders>
          </w:tcPr>
          <w:p w14:paraId="5F83E2D5" w14:textId="77777777" w:rsidR="003666C8" w:rsidRPr="005E7DE4" w:rsidRDefault="003666C8" w:rsidP="002F6E81">
            <w:pPr>
              <w:jc w:val="center"/>
              <w:rPr>
                <w:rFonts w:ascii="Arial Narrow" w:hAnsi="Arial Narrow"/>
                <w:b/>
                <w:sz w:val="20"/>
                <w:szCs w:val="20"/>
              </w:rPr>
            </w:pPr>
            <w:r w:rsidRPr="005E7DE4">
              <w:rPr>
                <w:rFonts w:ascii="Arial Narrow" w:hAnsi="Arial Narrow"/>
                <w:b/>
                <w:sz w:val="20"/>
                <w:szCs w:val="20"/>
              </w:rPr>
              <w:t>Max. qty units</w:t>
            </w:r>
          </w:p>
        </w:tc>
        <w:tc>
          <w:tcPr>
            <w:tcW w:w="431" w:type="pct"/>
            <w:tcBorders>
              <w:top w:val="single" w:sz="4" w:space="0" w:color="auto"/>
              <w:left w:val="single" w:sz="4" w:space="0" w:color="auto"/>
              <w:bottom w:val="single" w:sz="4" w:space="0" w:color="auto"/>
              <w:right w:val="single" w:sz="4" w:space="0" w:color="auto"/>
            </w:tcBorders>
          </w:tcPr>
          <w:p w14:paraId="61A1E0B7" w14:textId="27589ADE" w:rsidR="003666C8" w:rsidRPr="005E7DE4" w:rsidRDefault="00240923" w:rsidP="002F6E81">
            <w:pPr>
              <w:keepNext/>
              <w:ind w:left="-108"/>
              <w:jc w:val="center"/>
              <w:rPr>
                <w:rFonts w:ascii="Arial Narrow" w:hAnsi="Arial Narrow"/>
                <w:b/>
                <w:sz w:val="20"/>
                <w:szCs w:val="20"/>
              </w:rPr>
            </w:pPr>
            <w:r w:rsidRPr="005E7DE4">
              <w:rPr>
                <w:rFonts w:ascii="Arial Narrow" w:hAnsi="Arial Narrow"/>
                <w:b/>
                <w:sz w:val="20"/>
                <w:szCs w:val="20"/>
              </w:rPr>
              <w:t>№. of</w:t>
            </w:r>
          </w:p>
          <w:p w14:paraId="1A36B66F" w14:textId="77777777" w:rsidR="003666C8" w:rsidRPr="005E7DE4" w:rsidRDefault="003666C8" w:rsidP="002F6E81">
            <w:pPr>
              <w:jc w:val="center"/>
              <w:rPr>
                <w:rFonts w:ascii="Arial Narrow" w:hAnsi="Arial Narrow"/>
                <w:b/>
                <w:sz w:val="20"/>
                <w:szCs w:val="20"/>
              </w:rPr>
            </w:pPr>
            <w:r w:rsidRPr="005E7DE4">
              <w:rPr>
                <w:rFonts w:ascii="Arial Narrow" w:hAnsi="Arial Narrow"/>
                <w:b/>
                <w:sz w:val="20"/>
                <w:szCs w:val="20"/>
              </w:rPr>
              <w:t>Rpts</w:t>
            </w:r>
          </w:p>
        </w:tc>
        <w:tc>
          <w:tcPr>
            <w:tcW w:w="863" w:type="pct"/>
            <w:tcBorders>
              <w:top w:val="single" w:sz="4" w:space="0" w:color="auto"/>
              <w:left w:val="single" w:sz="4" w:space="0" w:color="auto"/>
              <w:bottom w:val="single" w:sz="4" w:space="0" w:color="auto"/>
              <w:right w:val="single" w:sz="4" w:space="0" w:color="auto"/>
            </w:tcBorders>
          </w:tcPr>
          <w:p w14:paraId="40016DA8" w14:textId="77777777" w:rsidR="003666C8" w:rsidRPr="005E7DE4" w:rsidRDefault="003666C8" w:rsidP="002F6E81">
            <w:pPr>
              <w:jc w:val="center"/>
              <w:rPr>
                <w:rFonts w:ascii="Arial Narrow" w:hAnsi="Arial Narrow"/>
                <w:b/>
                <w:sz w:val="20"/>
                <w:szCs w:val="20"/>
              </w:rPr>
            </w:pPr>
            <w:r w:rsidRPr="005E7DE4">
              <w:rPr>
                <w:rFonts w:ascii="Arial Narrow" w:hAnsi="Arial Narrow"/>
                <w:b/>
                <w:sz w:val="20"/>
                <w:szCs w:val="20"/>
              </w:rPr>
              <w:t>Available brands</w:t>
            </w:r>
          </w:p>
        </w:tc>
      </w:tr>
      <w:tr w:rsidR="003666C8" w:rsidRPr="005E7DE4" w14:paraId="3831F5FA" w14:textId="77777777" w:rsidTr="00240923">
        <w:tc>
          <w:tcPr>
            <w:tcW w:w="5000" w:type="pct"/>
            <w:gridSpan w:val="9"/>
            <w:tcBorders>
              <w:top w:val="single" w:sz="4" w:space="0" w:color="auto"/>
              <w:left w:val="single" w:sz="4" w:space="0" w:color="auto"/>
              <w:bottom w:val="single" w:sz="4" w:space="0" w:color="auto"/>
              <w:right w:val="single" w:sz="4" w:space="0" w:color="auto"/>
            </w:tcBorders>
          </w:tcPr>
          <w:p w14:paraId="3DDBE6CC" w14:textId="77777777" w:rsidR="003666C8" w:rsidRPr="005E7DE4" w:rsidRDefault="003666C8" w:rsidP="002F6E81">
            <w:pPr>
              <w:rPr>
                <w:rFonts w:ascii="Arial Narrow" w:hAnsi="Arial Narrow"/>
                <w:b/>
                <w:sz w:val="20"/>
                <w:szCs w:val="20"/>
              </w:rPr>
            </w:pPr>
            <w:r w:rsidRPr="005E7DE4">
              <w:rPr>
                <w:rFonts w:ascii="Arial Narrow" w:hAnsi="Arial Narrow"/>
                <w:sz w:val="20"/>
                <w:szCs w:val="20"/>
              </w:rPr>
              <w:t>USTEKINUMAB</w:t>
            </w:r>
          </w:p>
        </w:tc>
      </w:tr>
      <w:tr w:rsidR="003666C8" w:rsidRPr="005E7DE4" w14:paraId="3C6CDE6A" w14:textId="77777777" w:rsidTr="00240923">
        <w:tc>
          <w:tcPr>
            <w:tcW w:w="2381" w:type="pct"/>
            <w:gridSpan w:val="4"/>
            <w:tcBorders>
              <w:top w:val="single" w:sz="4" w:space="0" w:color="auto"/>
              <w:left w:val="single" w:sz="4" w:space="0" w:color="auto"/>
              <w:bottom w:val="single" w:sz="4" w:space="0" w:color="auto"/>
              <w:right w:val="single" w:sz="4" w:space="0" w:color="auto"/>
            </w:tcBorders>
          </w:tcPr>
          <w:p w14:paraId="6FB657CD" w14:textId="77777777" w:rsidR="003666C8" w:rsidRPr="005E7DE4" w:rsidRDefault="003666C8" w:rsidP="002F6E81">
            <w:pPr>
              <w:rPr>
                <w:rFonts w:ascii="Arial Narrow" w:hAnsi="Arial Narrow"/>
                <w:b/>
                <w:sz w:val="20"/>
                <w:szCs w:val="20"/>
              </w:rPr>
            </w:pPr>
            <w:r w:rsidRPr="005E7DE4">
              <w:rPr>
                <w:rFonts w:ascii="Arial Narrow" w:hAnsi="Arial Narrow"/>
                <w:sz w:val="20"/>
                <w:szCs w:val="20"/>
              </w:rPr>
              <w:t>ustekinumab 90 mg/1 mL injection, 1 mL pre-filled syringe</w:t>
            </w:r>
          </w:p>
        </w:tc>
        <w:tc>
          <w:tcPr>
            <w:tcW w:w="547" w:type="pct"/>
            <w:tcBorders>
              <w:top w:val="single" w:sz="4" w:space="0" w:color="auto"/>
              <w:left w:val="single" w:sz="4" w:space="0" w:color="auto"/>
              <w:bottom w:val="single" w:sz="4" w:space="0" w:color="auto"/>
              <w:right w:val="single" w:sz="4" w:space="0" w:color="auto"/>
            </w:tcBorders>
          </w:tcPr>
          <w:p w14:paraId="41534776" w14:textId="77777777" w:rsidR="003666C8" w:rsidRPr="005E7DE4" w:rsidRDefault="003666C8" w:rsidP="002F6E81">
            <w:pPr>
              <w:jc w:val="center"/>
              <w:rPr>
                <w:rFonts w:ascii="Arial Narrow" w:hAnsi="Arial Narrow"/>
                <w:bCs/>
                <w:sz w:val="20"/>
                <w:szCs w:val="20"/>
              </w:rPr>
            </w:pPr>
            <w:r w:rsidRPr="005E7DE4">
              <w:rPr>
                <w:rFonts w:ascii="Arial Narrow" w:hAnsi="Arial Narrow"/>
                <w:bCs/>
                <w:sz w:val="20"/>
                <w:szCs w:val="20"/>
              </w:rPr>
              <w:t>New</w:t>
            </w:r>
          </w:p>
        </w:tc>
        <w:tc>
          <w:tcPr>
            <w:tcW w:w="389" w:type="pct"/>
            <w:tcBorders>
              <w:top w:val="single" w:sz="4" w:space="0" w:color="auto"/>
              <w:left w:val="single" w:sz="4" w:space="0" w:color="auto"/>
              <w:bottom w:val="single" w:sz="4" w:space="0" w:color="auto"/>
              <w:right w:val="single" w:sz="4" w:space="0" w:color="auto"/>
            </w:tcBorders>
          </w:tcPr>
          <w:p w14:paraId="32E95A9A" w14:textId="77777777" w:rsidR="003666C8" w:rsidRPr="005E7DE4" w:rsidRDefault="003666C8" w:rsidP="002F6E81">
            <w:pPr>
              <w:jc w:val="center"/>
              <w:rPr>
                <w:rFonts w:ascii="Arial Narrow" w:hAnsi="Arial Narrow"/>
                <w:b/>
                <w:sz w:val="20"/>
                <w:szCs w:val="20"/>
              </w:rPr>
            </w:pPr>
            <w:r w:rsidRPr="005E7DE4">
              <w:rPr>
                <w:rFonts w:ascii="Arial Narrow" w:hAnsi="Arial Narrow"/>
                <w:sz w:val="20"/>
                <w:szCs w:val="20"/>
              </w:rPr>
              <w:t>1</w:t>
            </w:r>
          </w:p>
        </w:tc>
        <w:tc>
          <w:tcPr>
            <w:tcW w:w="389" w:type="pct"/>
            <w:tcBorders>
              <w:top w:val="single" w:sz="4" w:space="0" w:color="auto"/>
              <w:left w:val="single" w:sz="4" w:space="0" w:color="auto"/>
              <w:bottom w:val="single" w:sz="4" w:space="0" w:color="auto"/>
              <w:right w:val="single" w:sz="4" w:space="0" w:color="auto"/>
            </w:tcBorders>
          </w:tcPr>
          <w:p w14:paraId="3D458C87" w14:textId="77777777" w:rsidR="003666C8" w:rsidRPr="005E7DE4" w:rsidRDefault="003666C8" w:rsidP="002F6E81">
            <w:pPr>
              <w:jc w:val="center"/>
              <w:rPr>
                <w:rFonts w:ascii="Arial Narrow" w:hAnsi="Arial Narrow"/>
                <w:b/>
                <w:sz w:val="20"/>
                <w:szCs w:val="20"/>
              </w:rPr>
            </w:pPr>
            <w:r w:rsidRPr="005E7DE4">
              <w:rPr>
                <w:rFonts w:ascii="Arial Narrow" w:hAnsi="Arial Narrow"/>
                <w:sz w:val="20"/>
                <w:szCs w:val="20"/>
              </w:rPr>
              <w:t>1</w:t>
            </w:r>
          </w:p>
        </w:tc>
        <w:tc>
          <w:tcPr>
            <w:tcW w:w="431" w:type="pct"/>
            <w:tcBorders>
              <w:top w:val="single" w:sz="4" w:space="0" w:color="auto"/>
              <w:left w:val="single" w:sz="4" w:space="0" w:color="auto"/>
              <w:bottom w:val="single" w:sz="4" w:space="0" w:color="auto"/>
              <w:right w:val="single" w:sz="4" w:space="0" w:color="auto"/>
            </w:tcBorders>
          </w:tcPr>
          <w:p w14:paraId="302CF4EE" w14:textId="77777777" w:rsidR="003666C8" w:rsidRPr="005E7DE4" w:rsidRDefault="003666C8" w:rsidP="002F6E81">
            <w:pPr>
              <w:jc w:val="center"/>
              <w:rPr>
                <w:rFonts w:ascii="Arial Narrow" w:hAnsi="Arial Narrow"/>
                <w:bCs/>
                <w:sz w:val="20"/>
                <w:szCs w:val="20"/>
              </w:rPr>
            </w:pPr>
            <w:r w:rsidRPr="005E7DE4">
              <w:rPr>
                <w:rFonts w:ascii="Arial Narrow" w:hAnsi="Arial Narrow"/>
                <w:bCs/>
                <w:sz w:val="20"/>
                <w:szCs w:val="20"/>
              </w:rPr>
              <w:t>1</w:t>
            </w:r>
          </w:p>
        </w:tc>
        <w:tc>
          <w:tcPr>
            <w:tcW w:w="863" w:type="pct"/>
            <w:tcBorders>
              <w:top w:val="single" w:sz="4" w:space="0" w:color="auto"/>
              <w:left w:val="single" w:sz="4" w:space="0" w:color="auto"/>
              <w:bottom w:val="single" w:sz="4" w:space="0" w:color="auto"/>
              <w:right w:val="single" w:sz="4" w:space="0" w:color="auto"/>
            </w:tcBorders>
          </w:tcPr>
          <w:p w14:paraId="47BD18CA" w14:textId="77777777" w:rsidR="003666C8" w:rsidRPr="005E7DE4" w:rsidRDefault="003666C8" w:rsidP="002F6E81">
            <w:pPr>
              <w:rPr>
                <w:rFonts w:ascii="Arial Narrow" w:hAnsi="Arial Narrow"/>
                <w:b/>
                <w:sz w:val="20"/>
                <w:szCs w:val="20"/>
              </w:rPr>
            </w:pPr>
            <w:r w:rsidRPr="005E7DE4">
              <w:rPr>
                <w:rFonts w:ascii="Arial Narrow" w:hAnsi="Arial Narrow"/>
                <w:sz w:val="20"/>
                <w:szCs w:val="20"/>
              </w:rPr>
              <w:t>STELARA</w:t>
            </w:r>
          </w:p>
        </w:tc>
      </w:tr>
      <w:tr w:rsidR="003666C8" w:rsidRPr="005E7DE4" w14:paraId="2D1D5322" w14:textId="77777777" w:rsidTr="00240923">
        <w:tc>
          <w:tcPr>
            <w:tcW w:w="5000" w:type="pct"/>
            <w:gridSpan w:val="9"/>
            <w:tcBorders>
              <w:top w:val="single" w:sz="4" w:space="0" w:color="auto"/>
              <w:left w:val="single" w:sz="4" w:space="0" w:color="auto"/>
              <w:bottom w:val="single" w:sz="4" w:space="0" w:color="auto"/>
              <w:right w:val="single" w:sz="4" w:space="0" w:color="auto"/>
            </w:tcBorders>
          </w:tcPr>
          <w:p w14:paraId="379D6AF7" w14:textId="77777777" w:rsidR="003666C8" w:rsidRPr="005E7DE4" w:rsidRDefault="003666C8" w:rsidP="002F6E81">
            <w:pPr>
              <w:rPr>
                <w:rFonts w:ascii="Arial Narrow" w:hAnsi="Arial Narrow"/>
                <w:b/>
                <w:sz w:val="20"/>
                <w:szCs w:val="20"/>
              </w:rPr>
            </w:pPr>
            <w:r w:rsidRPr="005E7DE4">
              <w:rPr>
                <w:rFonts w:ascii="Arial Narrow" w:hAnsi="Arial Narrow"/>
                <w:i/>
                <w:iCs/>
                <w:sz w:val="20"/>
                <w:szCs w:val="20"/>
              </w:rPr>
              <w:t>*A maximum of 2 repeats is required for patients using an 8-weekly course of ustekinumab.</w:t>
            </w:r>
          </w:p>
        </w:tc>
      </w:tr>
      <w:tr w:rsidR="003666C8" w:rsidRPr="005E7DE4" w14:paraId="48A944B3" w14:textId="77777777" w:rsidTr="00240923">
        <w:tc>
          <w:tcPr>
            <w:tcW w:w="5000" w:type="pct"/>
            <w:gridSpan w:val="9"/>
            <w:tcBorders>
              <w:top w:val="single" w:sz="4" w:space="0" w:color="auto"/>
              <w:left w:val="single" w:sz="4" w:space="0" w:color="auto"/>
              <w:bottom w:val="single" w:sz="4" w:space="0" w:color="auto"/>
              <w:right w:val="single" w:sz="4" w:space="0" w:color="auto"/>
            </w:tcBorders>
          </w:tcPr>
          <w:p w14:paraId="65B76BA3" w14:textId="77777777" w:rsidR="003666C8" w:rsidRPr="005E7DE4" w:rsidRDefault="003666C8" w:rsidP="002F6E81">
            <w:pPr>
              <w:rPr>
                <w:rFonts w:ascii="Arial Narrow" w:hAnsi="Arial Narrow"/>
                <w:i/>
                <w:iCs/>
                <w:sz w:val="20"/>
                <w:szCs w:val="20"/>
              </w:rPr>
            </w:pPr>
          </w:p>
        </w:tc>
      </w:tr>
      <w:tr w:rsidR="00C618E9" w:rsidRPr="005E7DE4" w14:paraId="766ED847" w14:textId="77777777" w:rsidTr="00240923">
        <w:tc>
          <w:tcPr>
            <w:tcW w:w="5000" w:type="pct"/>
            <w:gridSpan w:val="9"/>
            <w:tcBorders>
              <w:top w:val="single" w:sz="4" w:space="0" w:color="auto"/>
              <w:left w:val="single" w:sz="4" w:space="0" w:color="auto"/>
              <w:bottom w:val="single" w:sz="4" w:space="0" w:color="auto"/>
              <w:right w:val="single" w:sz="4" w:space="0" w:color="auto"/>
            </w:tcBorders>
          </w:tcPr>
          <w:p w14:paraId="74BC49F9" w14:textId="386D9B83" w:rsidR="00C618E9" w:rsidRPr="005E7DE4" w:rsidRDefault="00C618E9" w:rsidP="002F6E81">
            <w:pPr>
              <w:rPr>
                <w:rFonts w:ascii="Arial Narrow" w:hAnsi="Arial Narrow"/>
                <w:b/>
                <w:sz w:val="20"/>
                <w:szCs w:val="20"/>
                <w:lang w:val="en-GB"/>
              </w:rPr>
            </w:pPr>
            <w:r w:rsidRPr="005E7DE4">
              <w:rPr>
                <w:rFonts w:ascii="Arial Narrow" w:hAnsi="Arial Narrow"/>
                <w:b/>
                <w:sz w:val="20"/>
                <w:szCs w:val="20"/>
                <w:lang w:val="en-GB"/>
              </w:rPr>
              <w:t xml:space="preserve">Restriction Summary </w:t>
            </w:r>
          </w:p>
        </w:tc>
      </w:tr>
      <w:tr w:rsidR="00C618E9" w:rsidRPr="005E7DE4" w14:paraId="1FF2CF3F" w14:textId="77777777" w:rsidTr="00240923">
        <w:tc>
          <w:tcPr>
            <w:tcW w:w="818" w:type="pct"/>
            <w:gridSpan w:val="3"/>
            <w:vMerge w:val="restart"/>
            <w:tcBorders>
              <w:top w:val="single" w:sz="4" w:space="0" w:color="auto"/>
              <w:left w:val="single" w:sz="4" w:space="0" w:color="auto"/>
              <w:right w:val="single" w:sz="4" w:space="0" w:color="auto"/>
            </w:tcBorders>
          </w:tcPr>
          <w:p w14:paraId="27443909" w14:textId="77777777" w:rsidR="00C618E9" w:rsidRPr="005E7DE4" w:rsidRDefault="00C618E9" w:rsidP="006B25EB">
            <w:pPr>
              <w:jc w:val="center"/>
              <w:rPr>
                <w:rFonts w:ascii="Arial Narrow" w:hAnsi="Arial Narrow"/>
                <w:b/>
                <w:sz w:val="20"/>
                <w:szCs w:val="20"/>
              </w:rPr>
            </w:pPr>
          </w:p>
        </w:tc>
        <w:tc>
          <w:tcPr>
            <w:tcW w:w="4182" w:type="pct"/>
            <w:gridSpan w:val="6"/>
            <w:tcBorders>
              <w:top w:val="single" w:sz="4" w:space="0" w:color="auto"/>
              <w:left w:val="single" w:sz="4" w:space="0" w:color="auto"/>
              <w:bottom w:val="single" w:sz="4" w:space="0" w:color="auto"/>
              <w:right w:val="single" w:sz="4" w:space="0" w:color="auto"/>
            </w:tcBorders>
          </w:tcPr>
          <w:p w14:paraId="7F4CC2DE" w14:textId="77777777" w:rsidR="00C618E9" w:rsidRPr="005E7DE4" w:rsidRDefault="00C618E9" w:rsidP="002F6E81">
            <w:pPr>
              <w:rPr>
                <w:rFonts w:ascii="Arial Narrow" w:hAnsi="Arial Narrow"/>
                <w:sz w:val="20"/>
                <w:szCs w:val="20"/>
              </w:rPr>
            </w:pPr>
            <w:r w:rsidRPr="005E7DE4">
              <w:rPr>
                <w:rFonts w:ascii="Arial Narrow" w:hAnsi="Arial Narrow"/>
                <w:b/>
                <w:sz w:val="20"/>
                <w:szCs w:val="20"/>
              </w:rPr>
              <w:t xml:space="preserve">Category / Program:   </w:t>
            </w:r>
          </w:p>
          <w:p w14:paraId="3EDCAC1E" w14:textId="77777777" w:rsidR="00C618E9" w:rsidRPr="005E7DE4" w:rsidRDefault="00C618E9" w:rsidP="002F6E81">
            <w:pPr>
              <w:rPr>
                <w:rFonts w:ascii="Arial Narrow" w:hAnsi="Arial Narrow"/>
                <w:sz w:val="20"/>
                <w:szCs w:val="20"/>
              </w:rPr>
            </w:pPr>
            <w:r w:rsidRPr="005E7DE4">
              <w:rPr>
                <w:rFonts w:ascii="Arial Narrow" w:hAnsi="Arial Narrow"/>
                <w:sz w:val="20"/>
                <w:szCs w:val="20"/>
              </w:rPr>
              <w:t>GENERAL – General Schedule (Code GE)</w:t>
            </w:r>
          </w:p>
          <w:p w14:paraId="32C3E346" w14:textId="77777777" w:rsidR="00C618E9" w:rsidRPr="005E7DE4" w:rsidRDefault="00C618E9" w:rsidP="002F6E81">
            <w:pPr>
              <w:rPr>
                <w:rFonts w:ascii="Arial Narrow" w:hAnsi="Arial Narrow"/>
                <w:sz w:val="20"/>
                <w:szCs w:val="20"/>
              </w:rPr>
            </w:pPr>
          </w:p>
        </w:tc>
      </w:tr>
      <w:tr w:rsidR="00C618E9" w:rsidRPr="005E7DE4" w14:paraId="10D03D96" w14:textId="77777777" w:rsidTr="00240923">
        <w:trPr>
          <w:trHeight w:val="366"/>
        </w:trPr>
        <w:tc>
          <w:tcPr>
            <w:tcW w:w="818" w:type="pct"/>
            <w:gridSpan w:val="3"/>
            <w:vMerge/>
            <w:tcBorders>
              <w:left w:val="single" w:sz="4" w:space="0" w:color="auto"/>
              <w:right w:val="single" w:sz="4" w:space="0" w:color="auto"/>
            </w:tcBorders>
          </w:tcPr>
          <w:p w14:paraId="41055D0F" w14:textId="77777777" w:rsidR="00C618E9" w:rsidRPr="005E7DE4" w:rsidRDefault="00C618E9" w:rsidP="002F6E81">
            <w:pPr>
              <w:rPr>
                <w:rFonts w:ascii="Arial Narrow" w:hAnsi="Arial Narrow"/>
                <w:sz w:val="20"/>
                <w:szCs w:val="20"/>
              </w:rPr>
            </w:pPr>
          </w:p>
        </w:tc>
        <w:tc>
          <w:tcPr>
            <w:tcW w:w="4182" w:type="pct"/>
            <w:gridSpan w:val="6"/>
            <w:tcBorders>
              <w:top w:val="single" w:sz="4" w:space="0" w:color="auto"/>
              <w:left w:val="single" w:sz="4" w:space="0" w:color="auto"/>
              <w:bottom w:val="single" w:sz="4" w:space="0" w:color="auto"/>
              <w:right w:val="single" w:sz="4" w:space="0" w:color="auto"/>
            </w:tcBorders>
          </w:tcPr>
          <w:p w14:paraId="05CFD2A2" w14:textId="77777777" w:rsidR="00C618E9" w:rsidRPr="005E7DE4" w:rsidRDefault="00C618E9" w:rsidP="002F6E81">
            <w:pPr>
              <w:rPr>
                <w:rFonts w:ascii="Arial Narrow" w:hAnsi="Arial Narrow"/>
                <w:sz w:val="20"/>
                <w:szCs w:val="20"/>
              </w:rPr>
            </w:pPr>
            <w:r w:rsidRPr="005E7DE4">
              <w:rPr>
                <w:rFonts w:ascii="Arial Narrow" w:hAnsi="Arial Narrow"/>
                <w:b/>
                <w:sz w:val="20"/>
                <w:szCs w:val="20"/>
              </w:rPr>
              <w:t xml:space="preserve">Prescriber type:  </w:t>
            </w:r>
            <w:r w:rsidRPr="005E7DE4">
              <w:rPr>
                <w:rFonts w:ascii="Arial Narrow" w:hAnsi="Arial Narrow"/>
                <w:sz w:val="20"/>
                <w:szCs w:val="20"/>
              </w:rPr>
              <w:fldChar w:fldCharType="begin">
                <w:ffData>
                  <w:name w:val=""/>
                  <w:enabled/>
                  <w:calcOnExit w:val="0"/>
                  <w:checkBox>
                    <w:sizeAuto/>
                    <w:default w:val="1"/>
                  </w:checkBox>
                </w:ffData>
              </w:fldChar>
            </w:r>
            <w:r w:rsidRPr="005E7DE4">
              <w:rPr>
                <w:rFonts w:ascii="Arial Narrow" w:hAnsi="Arial Narrow"/>
                <w:sz w:val="20"/>
                <w:szCs w:val="20"/>
              </w:rPr>
              <w:instrText xml:space="preserve"> FORMCHECKBOX </w:instrText>
            </w:r>
            <w:r w:rsidR="00522D5A">
              <w:rPr>
                <w:rFonts w:ascii="Arial Narrow" w:hAnsi="Arial Narrow"/>
                <w:sz w:val="20"/>
                <w:szCs w:val="20"/>
              </w:rPr>
            </w:r>
            <w:r w:rsidR="00522D5A">
              <w:rPr>
                <w:rFonts w:ascii="Arial Narrow" w:hAnsi="Arial Narrow"/>
                <w:sz w:val="20"/>
                <w:szCs w:val="20"/>
              </w:rPr>
              <w:fldChar w:fldCharType="separate"/>
            </w:r>
            <w:r w:rsidRPr="005E7DE4">
              <w:rPr>
                <w:rFonts w:ascii="Arial Narrow" w:hAnsi="Arial Narrow"/>
                <w:sz w:val="20"/>
                <w:szCs w:val="20"/>
              </w:rPr>
              <w:fldChar w:fldCharType="end"/>
            </w:r>
            <w:r w:rsidRPr="005E7DE4">
              <w:rPr>
                <w:rFonts w:ascii="Arial Narrow" w:hAnsi="Arial Narrow"/>
                <w:sz w:val="20"/>
                <w:szCs w:val="20"/>
              </w:rPr>
              <w:t xml:space="preserve">Medical Practitioners </w:t>
            </w:r>
          </w:p>
        </w:tc>
      </w:tr>
      <w:tr w:rsidR="00C618E9" w:rsidRPr="005E7DE4" w14:paraId="65CE2C10" w14:textId="77777777" w:rsidTr="00240923">
        <w:tc>
          <w:tcPr>
            <w:tcW w:w="818" w:type="pct"/>
            <w:gridSpan w:val="3"/>
            <w:vMerge/>
            <w:tcBorders>
              <w:left w:val="single" w:sz="4" w:space="0" w:color="auto"/>
              <w:bottom w:val="single" w:sz="4" w:space="0" w:color="auto"/>
              <w:right w:val="single" w:sz="4" w:space="0" w:color="auto"/>
            </w:tcBorders>
          </w:tcPr>
          <w:p w14:paraId="1FD767D4" w14:textId="77777777" w:rsidR="00C618E9" w:rsidRPr="005E7DE4" w:rsidRDefault="00C618E9" w:rsidP="002F6E81">
            <w:pPr>
              <w:rPr>
                <w:rFonts w:ascii="Arial Narrow" w:hAnsi="Arial Narrow"/>
                <w:sz w:val="20"/>
                <w:szCs w:val="20"/>
              </w:rPr>
            </w:pPr>
          </w:p>
        </w:tc>
        <w:tc>
          <w:tcPr>
            <w:tcW w:w="4182" w:type="pct"/>
            <w:gridSpan w:val="6"/>
            <w:tcBorders>
              <w:top w:val="single" w:sz="4" w:space="0" w:color="auto"/>
              <w:left w:val="single" w:sz="4" w:space="0" w:color="auto"/>
              <w:bottom w:val="single" w:sz="4" w:space="0" w:color="auto"/>
              <w:right w:val="single" w:sz="4" w:space="0" w:color="auto"/>
            </w:tcBorders>
          </w:tcPr>
          <w:p w14:paraId="25B6FCAB" w14:textId="77777777" w:rsidR="00C618E9" w:rsidRPr="005E7DE4" w:rsidRDefault="00C618E9" w:rsidP="002F6E81">
            <w:pPr>
              <w:rPr>
                <w:rFonts w:ascii="Arial Narrow" w:hAnsi="Arial Narrow"/>
                <w:b/>
                <w:sz w:val="20"/>
                <w:szCs w:val="20"/>
              </w:rPr>
            </w:pPr>
            <w:r w:rsidRPr="005E7DE4">
              <w:rPr>
                <w:rFonts w:ascii="Arial Narrow" w:hAnsi="Arial Narrow"/>
                <w:b/>
                <w:sz w:val="20"/>
                <w:szCs w:val="20"/>
              </w:rPr>
              <w:t>Restriction Level / Method:</w:t>
            </w:r>
          </w:p>
          <w:p w14:paraId="7807FEFD" w14:textId="77777777" w:rsidR="00C618E9" w:rsidRPr="005E7DE4" w:rsidRDefault="00C618E9" w:rsidP="002F6E81">
            <w:pPr>
              <w:rPr>
                <w:rFonts w:ascii="Arial Narrow" w:hAnsi="Arial Narrow"/>
                <w:sz w:val="20"/>
                <w:szCs w:val="20"/>
              </w:rPr>
            </w:pPr>
            <w:r w:rsidRPr="005E7DE4">
              <w:rPr>
                <w:rFonts w:ascii="Arial Narrow" w:hAnsi="Arial Narrow"/>
                <w:sz w:val="20"/>
                <w:szCs w:val="20"/>
              </w:rPr>
              <w:fldChar w:fldCharType="begin">
                <w:ffData>
                  <w:name w:val=""/>
                  <w:enabled/>
                  <w:calcOnExit w:val="0"/>
                  <w:checkBox>
                    <w:sizeAuto/>
                    <w:default w:val="1"/>
                  </w:checkBox>
                </w:ffData>
              </w:fldChar>
            </w:r>
            <w:r w:rsidRPr="005E7DE4">
              <w:rPr>
                <w:rFonts w:ascii="Arial Narrow" w:hAnsi="Arial Narrow"/>
                <w:sz w:val="20"/>
                <w:szCs w:val="20"/>
              </w:rPr>
              <w:instrText xml:space="preserve"> FORMCHECKBOX </w:instrText>
            </w:r>
            <w:r w:rsidR="00522D5A">
              <w:rPr>
                <w:rFonts w:ascii="Arial Narrow" w:hAnsi="Arial Narrow"/>
                <w:sz w:val="20"/>
                <w:szCs w:val="20"/>
              </w:rPr>
            </w:r>
            <w:r w:rsidR="00522D5A">
              <w:rPr>
                <w:rFonts w:ascii="Arial Narrow" w:hAnsi="Arial Narrow"/>
                <w:sz w:val="20"/>
                <w:szCs w:val="20"/>
              </w:rPr>
              <w:fldChar w:fldCharType="separate"/>
            </w:r>
            <w:r w:rsidRPr="005E7DE4">
              <w:rPr>
                <w:rFonts w:ascii="Arial Narrow" w:hAnsi="Arial Narrow"/>
                <w:sz w:val="20"/>
                <w:szCs w:val="20"/>
              </w:rPr>
              <w:fldChar w:fldCharType="end"/>
            </w:r>
            <w:r w:rsidRPr="005E7DE4">
              <w:rPr>
                <w:rFonts w:ascii="Arial Narrow" w:hAnsi="Arial Narrow"/>
                <w:sz w:val="20"/>
                <w:szCs w:val="20"/>
              </w:rPr>
              <w:t xml:space="preserve">Authority Required – </w:t>
            </w:r>
            <w:r w:rsidRPr="005E7DE4">
              <w:rPr>
                <w:rFonts w:ascii="Arial Narrow" w:eastAsia="Calibri" w:hAnsi="Arial Narrow"/>
                <w:sz w:val="20"/>
                <w:szCs w:val="20"/>
              </w:rPr>
              <w:t>(in writing only via post/HPOS upload)</w:t>
            </w:r>
          </w:p>
        </w:tc>
      </w:tr>
      <w:tr w:rsidR="00C618E9" w:rsidRPr="005E7DE4" w14:paraId="5A588646" w14:textId="77777777" w:rsidTr="00240923">
        <w:tc>
          <w:tcPr>
            <w:tcW w:w="429" w:type="pct"/>
            <w:vMerge w:val="restart"/>
            <w:vAlign w:val="center"/>
          </w:tcPr>
          <w:p w14:paraId="317D6144" w14:textId="7C34563D" w:rsidR="00C618E9" w:rsidRPr="005E7DE4" w:rsidRDefault="00C618E9" w:rsidP="002F6E81">
            <w:pPr>
              <w:jc w:val="center"/>
              <w:rPr>
                <w:rFonts w:ascii="Arial Narrow" w:hAnsi="Arial Narrow"/>
                <w:color w:val="333333"/>
                <w:sz w:val="20"/>
                <w:szCs w:val="20"/>
              </w:rPr>
            </w:pPr>
          </w:p>
        </w:tc>
        <w:tc>
          <w:tcPr>
            <w:tcW w:w="389" w:type="pct"/>
            <w:gridSpan w:val="2"/>
            <w:vAlign w:val="center"/>
          </w:tcPr>
          <w:p w14:paraId="3209466B" w14:textId="7EDD58FE" w:rsidR="00C618E9" w:rsidRPr="005E7DE4" w:rsidRDefault="00C618E9" w:rsidP="002F6E81">
            <w:pPr>
              <w:jc w:val="center"/>
              <w:rPr>
                <w:rFonts w:ascii="Arial Narrow" w:hAnsi="Arial Narrow"/>
                <w:color w:val="333333"/>
                <w:sz w:val="20"/>
                <w:szCs w:val="20"/>
              </w:rPr>
            </w:pPr>
          </w:p>
        </w:tc>
        <w:tc>
          <w:tcPr>
            <w:tcW w:w="4182" w:type="pct"/>
            <w:gridSpan w:val="6"/>
            <w:vAlign w:val="center"/>
          </w:tcPr>
          <w:p w14:paraId="28DF531C" w14:textId="77777777" w:rsidR="00C618E9" w:rsidRPr="005E7DE4" w:rsidRDefault="00C618E9" w:rsidP="002F6E81">
            <w:pPr>
              <w:rPr>
                <w:rFonts w:ascii="Arial Narrow" w:hAnsi="Arial Narrow"/>
                <w:color w:val="333333"/>
                <w:sz w:val="20"/>
                <w:szCs w:val="20"/>
              </w:rPr>
            </w:pPr>
            <w:r w:rsidRPr="005E7DE4">
              <w:rPr>
                <w:rFonts w:ascii="Arial Narrow" w:hAnsi="Arial Narrow"/>
                <w:b/>
                <w:bCs/>
                <w:color w:val="333333"/>
                <w:sz w:val="20"/>
                <w:szCs w:val="20"/>
              </w:rPr>
              <w:t>Administrative Advice:</w:t>
            </w:r>
          </w:p>
          <w:p w14:paraId="1A8423A7" w14:textId="77777777" w:rsidR="00C618E9" w:rsidRPr="005E7DE4" w:rsidRDefault="00C618E9" w:rsidP="002F6E81">
            <w:pPr>
              <w:rPr>
                <w:rFonts w:ascii="Arial Narrow" w:hAnsi="Arial Narrow"/>
                <w:color w:val="333333"/>
                <w:sz w:val="20"/>
                <w:szCs w:val="20"/>
              </w:rPr>
            </w:pPr>
            <w:r w:rsidRPr="005E7DE4">
              <w:rPr>
                <w:rFonts w:ascii="Arial Narrow" w:hAnsi="Arial Narrow"/>
                <w:i/>
                <w:iCs/>
                <w:sz w:val="20"/>
                <w:szCs w:val="20"/>
              </w:rPr>
              <w:t>Changes to common administrative advice concept 27614 at the end of this section.</w:t>
            </w:r>
          </w:p>
        </w:tc>
      </w:tr>
      <w:tr w:rsidR="00C618E9" w:rsidRPr="005E7DE4" w14:paraId="011F93E1" w14:textId="77777777" w:rsidTr="00240923">
        <w:tc>
          <w:tcPr>
            <w:tcW w:w="429" w:type="pct"/>
            <w:vMerge/>
            <w:vAlign w:val="center"/>
          </w:tcPr>
          <w:p w14:paraId="112405A6" w14:textId="77777777" w:rsidR="00C618E9" w:rsidRPr="005E7DE4" w:rsidRDefault="00C618E9" w:rsidP="002F6E81">
            <w:pPr>
              <w:jc w:val="center"/>
              <w:rPr>
                <w:rFonts w:ascii="Arial Narrow" w:hAnsi="Arial Narrow"/>
                <w:color w:val="333333"/>
                <w:sz w:val="20"/>
                <w:szCs w:val="20"/>
              </w:rPr>
            </w:pPr>
          </w:p>
        </w:tc>
        <w:tc>
          <w:tcPr>
            <w:tcW w:w="389" w:type="pct"/>
            <w:gridSpan w:val="2"/>
            <w:vAlign w:val="center"/>
          </w:tcPr>
          <w:p w14:paraId="2DF95918" w14:textId="0CAC0BC7" w:rsidR="00C618E9" w:rsidRPr="005E7DE4" w:rsidRDefault="00C618E9" w:rsidP="002F6E81">
            <w:pPr>
              <w:jc w:val="center"/>
              <w:rPr>
                <w:rFonts w:ascii="Arial Narrow" w:hAnsi="Arial Narrow"/>
                <w:color w:val="333333"/>
                <w:sz w:val="20"/>
                <w:szCs w:val="20"/>
              </w:rPr>
            </w:pPr>
          </w:p>
        </w:tc>
        <w:tc>
          <w:tcPr>
            <w:tcW w:w="4182" w:type="pct"/>
            <w:gridSpan w:val="6"/>
            <w:vAlign w:val="center"/>
          </w:tcPr>
          <w:p w14:paraId="51DBB281" w14:textId="77777777" w:rsidR="00C618E9" w:rsidRPr="005E7DE4" w:rsidRDefault="00C618E9" w:rsidP="002F6E81">
            <w:pPr>
              <w:rPr>
                <w:rFonts w:ascii="Arial Narrow" w:hAnsi="Arial Narrow"/>
                <w:b/>
                <w:bCs/>
                <w:color w:val="333333"/>
                <w:sz w:val="20"/>
                <w:szCs w:val="20"/>
              </w:rPr>
            </w:pPr>
            <w:r w:rsidRPr="005E7DE4">
              <w:rPr>
                <w:rFonts w:ascii="Arial Narrow" w:hAnsi="Arial Narrow"/>
                <w:b/>
                <w:bCs/>
                <w:color w:val="333333"/>
                <w:sz w:val="20"/>
                <w:szCs w:val="20"/>
              </w:rPr>
              <w:t>Administrative Advice:</w:t>
            </w:r>
          </w:p>
          <w:p w14:paraId="745BCEF5" w14:textId="77777777" w:rsidR="00C618E9" w:rsidRPr="005E7DE4" w:rsidRDefault="00C618E9" w:rsidP="002F6E81">
            <w:pPr>
              <w:rPr>
                <w:rFonts w:ascii="Arial Narrow" w:hAnsi="Arial Narrow"/>
                <w:b/>
                <w:bCs/>
                <w:color w:val="333333"/>
                <w:sz w:val="20"/>
                <w:szCs w:val="20"/>
              </w:rPr>
            </w:pPr>
            <w:r w:rsidRPr="005E7DE4">
              <w:rPr>
                <w:rFonts w:ascii="Arial Narrow" w:hAnsi="Arial Narrow"/>
                <w:color w:val="333333"/>
                <w:sz w:val="20"/>
                <w:szCs w:val="20"/>
              </w:rPr>
              <w:t>No increase in the maximum quantity or number of units may be authorised.</w:t>
            </w:r>
          </w:p>
        </w:tc>
      </w:tr>
      <w:tr w:rsidR="00C618E9" w:rsidRPr="005E7DE4" w14:paraId="4D11CBE5" w14:textId="77777777" w:rsidTr="00240923">
        <w:tc>
          <w:tcPr>
            <w:tcW w:w="429" w:type="pct"/>
            <w:vMerge/>
            <w:vAlign w:val="center"/>
          </w:tcPr>
          <w:p w14:paraId="3378D06B" w14:textId="77777777" w:rsidR="00C618E9" w:rsidRPr="005E7DE4" w:rsidRDefault="00C618E9" w:rsidP="002F6E81">
            <w:pPr>
              <w:jc w:val="center"/>
              <w:rPr>
                <w:rFonts w:ascii="Arial Narrow" w:hAnsi="Arial Narrow"/>
                <w:color w:val="333333"/>
                <w:sz w:val="20"/>
                <w:szCs w:val="20"/>
              </w:rPr>
            </w:pPr>
          </w:p>
        </w:tc>
        <w:tc>
          <w:tcPr>
            <w:tcW w:w="389" w:type="pct"/>
            <w:gridSpan w:val="2"/>
            <w:vAlign w:val="center"/>
          </w:tcPr>
          <w:p w14:paraId="3CE05CC2" w14:textId="3F4C7C61" w:rsidR="00C618E9" w:rsidRPr="005E7DE4" w:rsidRDefault="00C618E9" w:rsidP="002F6E81">
            <w:pPr>
              <w:jc w:val="center"/>
              <w:rPr>
                <w:rFonts w:ascii="Arial Narrow" w:hAnsi="Arial Narrow"/>
                <w:strike/>
                <w:color w:val="333333"/>
                <w:sz w:val="20"/>
                <w:szCs w:val="20"/>
              </w:rPr>
            </w:pPr>
          </w:p>
        </w:tc>
        <w:tc>
          <w:tcPr>
            <w:tcW w:w="4182" w:type="pct"/>
            <w:gridSpan w:val="6"/>
            <w:vAlign w:val="center"/>
          </w:tcPr>
          <w:p w14:paraId="06535330" w14:textId="77777777" w:rsidR="00C618E9" w:rsidRPr="005E7DE4" w:rsidRDefault="00C618E9" w:rsidP="002F6E81">
            <w:pPr>
              <w:rPr>
                <w:rFonts w:ascii="Arial Narrow" w:hAnsi="Arial Narrow"/>
                <w:b/>
                <w:bCs/>
                <w:strike/>
                <w:color w:val="333333"/>
                <w:sz w:val="20"/>
                <w:szCs w:val="20"/>
              </w:rPr>
            </w:pPr>
            <w:r w:rsidRPr="005E7DE4">
              <w:rPr>
                <w:rFonts w:ascii="Arial Narrow" w:hAnsi="Arial Narrow"/>
                <w:b/>
                <w:bCs/>
                <w:strike/>
                <w:color w:val="333333"/>
                <w:sz w:val="20"/>
                <w:szCs w:val="20"/>
              </w:rPr>
              <w:t>Administrative Advice:</w:t>
            </w:r>
          </w:p>
          <w:p w14:paraId="45AB05FE" w14:textId="77777777" w:rsidR="00C618E9" w:rsidRPr="005E7DE4" w:rsidRDefault="00C618E9" w:rsidP="002F6E81">
            <w:pPr>
              <w:rPr>
                <w:rFonts w:ascii="Arial Narrow" w:hAnsi="Arial Narrow"/>
                <w:b/>
                <w:bCs/>
                <w:strike/>
                <w:color w:val="333333"/>
                <w:sz w:val="20"/>
                <w:szCs w:val="20"/>
              </w:rPr>
            </w:pPr>
            <w:r w:rsidRPr="005E7DE4">
              <w:rPr>
                <w:rFonts w:ascii="Arial Narrow" w:hAnsi="Arial Narrow"/>
                <w:strike/>
                <w:color w:val="333333"/>
                <w:sz w:val="20"/>
                <w:szCs w:val="20"/>
              </w:rPr>
              <w:t>No increase in the maximum number of repeats may be authorised.</w:t>
            </w:r>
          </w:p>
        </w:tc>
      </w:tr>
      <w:tr w:rsidR="00C618E9" w:rsidRPr="005E7DE4" w14:paraId="206005E6" w14:textId="77777777" w:rsidTr="00240923">
        <w:tc>
          <w:tcPr>
            <w:tcW w:w="429" w:type="pct"/>
            <w:vMerge/>
            <w:vAlign w:val="center"/>
          </w:tcPr>
          <w:p w14:paraId="3EC7FC3D" w14:textId="77777777" w:rsidR="00C618E9" w:rsidRPr="005E7DE4" w:rsidRDefault="00C618E9" w:rsidP="002F6E81">
            <w:pPr>
              <w:jc w:val="center"/>
              <w:rPr>
                <w:rFonts w:ascii="Arial Narrow" w:hAnsi="Arial Narrow"/>
                <w:color w:val="333333"/>
                <w:sz w:val="20"/>
                <w:szCs w:val="20"/>
              </w:rPr>
            </w:pPr>
          </w:p>
        </w:tc>
        <w:tc>
          <w:tcPr>
            <w:tcW w:w="389" w:type="pct"/>
            <w:gridSpan w:val="2"/>
            <w:vAlign w:val="center"/>
          </w:tcPr>
          <w:p w14:paraId="19248728" w14:textId="744C59B8" w:rsidR="00C618E9" w:rsidRPr="005E7DE4" w:rsidRDefault="00C618E9" w:rsidP="002F6E81">
            <w:pPr>
              <w:jc w:val="center"/>
              <w:rPr>
                <w:rFonts w:ascii="Arial Narrow" w:hAnsi="Arial Narrow"/>
                <w:color w:val="333333"/>
                <w:sz w:val="20"/>
                <w:szCs w:val="20"/>
              </w:rPr>
            </w:pPr>
          </w:p>
        </w:tc>
        <w:tc>
          <w:tcPr>
            <w:tcW w:w="4182" w:type="pct"/>
            <w:gridSpan w:val="6"/>
            <w:vAlign w:val="center"/>
          </w:tcPr>
          <w:p w14:paraId="2961B897" w14:textId="77777777" w:rsidR="00C618E9" w:rsidRPr="005E7DE4" w:rsidRDefault="00C618E9" w:rsidP="002F6E81">
            <w:pPr>
              <w:rPr>
                <w:rFonts w:ascii="Arial Narrow" w:hAnsi="Arial Narrow"/>
                <w:b/>
                <w:bCs/>
                <w:color w:val="333333"/>
                <w:sz w:val="20"/>
                <w:szCs w:val="20"/>
              </w:rPr>
            </w:pPr>
            <w:r w:rsidRPr="005E7DE4">
              <w:rPr>
                <w:rFonts w:ascii="Arial Narrow" w:hAnsi="Arial Narrow"/>
                <w:b/>
                <w:bCs/>
                <w:color w:val="333333"/>
                <w:sz w:val="20"/>
                <w:szCs w:val="20"/>
              </w:rPr>
              <w:t>Administrative Advice:</w:t>
            </w:r>
          </w:p>
          <w:p w14:paraId="24F32F08" w14:textId="77777777" w:rsidR="00C618E9" w:rsidRPr="005E7DE4" w:rsidRDefault="00C618E9" w:rsidP="002F6E81">
            <w:pPr>
              <w:rPr>
                <w:rFonts w:ascii="Arial Narrow" w:hAnsi="Arial Narrow"/>
                <w:b/>
                <w:bCs/>
                <w:color w:val="333333"/>
                <w:sz w:val="20"/>
                <w:szCs w:val="20"/>
              </w:rPr>
            </w:pPr>
            <w:r w:rsidRPr="005E7DE4">
              <w:rPr>
                <w:rFonts w:ascii="Arial Narrow" w:hAnsi="Arial Narrow"/>
                <w:color w:val="333333"/>
                <w:sz w:val="20"/>
                <w:szCs w:val="20"/>
              </w:rPr>
              <w:t>Special Pricing Arrangements apply.</w:t>
            </w:r>
          </w:p>
        </w:tc>
      </w:tr>
      <w:tr w:rsidR="00C618E9" w:rsidRPr="005E7DE4" w14:paraId="5230EA66" w14:textId="77777777" w:rsidTr="00240923">
        <w:tc>
          <w:tcPr>
            <w:tcW w:w="429" w:type="pct"/>
            <w:vMerge/>
            <w:vAlign w:val="center"/>
          </w:tcPr>
          <w:p w14:paraId="1ECF00AE" w14:textId="77777777" w:rsidR="00C618E9" w:rsidRPr="005E7DE4" w:rsidRDefault="00C618E9" w:rsidP="002F6E81">
            <w:pPr>
              <w:jc w:val="center"/>
              <w:rPr>
                <w:rFonts w:ascii="Arial Narrow" w:hAnsi="Arial Narrow"/>
                <w:color w:val="333333"/>
                <w:sz w:val="20"/>
                <w:szCs w:val="20"/>
              </w:rPr>
            </w:pPr>
          </w:p>
        </w:tc>
        <w:tc>
          <w:tcPr>
            <w:tcW w:w="389" w:type="pct"/>
            <w:gridSpan w:val="2"/>
            <w:vAlign w:val="center"/>
          </w:tcPr>
          <w:p w14:paraId="3D6FFC60" w14:textId="1361A4D1" w:rsidR="00C618E9" w:rsidRPr="005E7DE4" w:rsidRDefault="00C618E9" w:rsidP="002F6E81">
            <w:pPr>
              <w:jc w:val="center"/>
              <w:rPr>
                <w:rFonts w:ascii="Arial Narrow" w:hAnsi="Arial Narrow"/>
                <w:b/>
                <w:bCs/>
                <w:color w:val="333333"/>
                <w:sz w:val="20"/>
                <w:szCs w:val="20"/>
              </w:rPr>
            </w:pPr>
          </w:p>
        </w:tc>
        <w:tc>
          <w:tcPr>
            <w:tcW w:w="4182" w:type="pct"/>
            <w:gridSpan w:val="6"/>
            <w:vAlign w:val="center"/>
          </w:tcPr>
          <w:p w14:paraId="0C31D455" w14:textId="77777777" w:rsidR="00C618E9" w:rsidRPr="005E7DE4" w:rsidRDefault="00C618E9" w:rsidP="002F6E81">
            <w:pPr>
              <w:rPr>
                <w:rFonts w:ascii="Arial Narrow" w:hAnsi="Arial Narrow"/>
                <w:bCs/>
                <w:color w:val="333333"/>
                <w:sz w:val="20"/>
                <w:szCs w:val="20"/>
              </w:rPr>
            </w:pPr>
            <w:r w:rsidRPr="005E7DE4">
              <w:rPr>
                <w:rFonts w:ascii="Arial Narrow" w:hAnsi="Arial Narrow"/>
                <w:b/>
                <w:bCs/>
                <w:color w:val="333333"/>
                <w:sz w:val="20"/>
                <w:szCs w:val="20"/>
              </w:rPr>
              <w:t>Administrative Advice:</w:t>
            </w:r>
            <w:r w:rsidRPr="005E7DE4">
              <w:rPr>
                <w:rFonts w:ascii="Arial Narrow" w:hAnsi="Arial Narrow"/>
                <w:bCs/>
                <w:color w:val="333333"/>
                <w:sz w:val="20"/>
                <w:szCs w:val="20"/>
              </w:rPr>
              <w:t xml:space="preserve"> </w:t>
            </w:r>
          </w:p>
          <w:p w14:paraId="6EAB721B" w14:textId="77777777" w:rsidR="00C618E9" w:rsidRPr="005E7DE4" w:rsidRDefault="00C618E9" w:rsidP="002F6E81">
            <w:pPr>
              <w:rPr>
                <w:rFonts w:ascii="Arial Narrow" w:hAnsi="Arial Narrow"/>
                <w:bCs/>
                <w:color w:val="333333"/>
                <w:sz w:val="20"/>
                <w:szCs w:val="20"/>
              </w:rPr>
            </w:pPr>
            <w:r w:rsidRPr="005E7DE4">
              <w:rPr>
                <w:rFonts w:ascii="Arial Narrow" w:hAnsi="Arial Narrow"/>
                <w:bCs/>
                <w:color w:val="333333"/>
                <w:sz w:val="20"/>
                <w:szCs w:val="20"/>
              </w:rPr>
              <w:t xml:space="preserve">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t>
            </w:r>
            <w:hyperlink r:id="rId10" w:history="1">
              <w:r w:rsidRPr="005E7DE4">
                <w:rPr>
                  <w:rStyle w:val="Hyperlink"/>
                  <w:rFonts w:ascii="Arial Narrow" w:hAnsi="Arial Narrow"/>
                  <w:bCs/>
                  <w:sz w:val="20"/>
                  <w:szCs w:val="20"/>
                </w:rPr>
                <w:t>www.servicesaustralia.gov.au/hpos</w:t>
              </w:r>
            </w:hyperlink>
            <w:r w:rsidRPr="005E7DE4">
              <w:rPr>
                <w:rFonts w:ascii="Arial Narrow" w:hAnsi="Arial Narrow"/>
                <w:bCs/>
                <w:color w:val="333333"/>
                <w:sz w:val="20"/>
                <w:szCs w:val="20"/>
              </w:rPr>
              <w:t xml:space="preserve">, </w:t>
            </w:r>
          </w:p>
          <w:p w14:paraId="42455C9C" w14:textId="77777777" w:rsidR="00C618E9" w:rsidRPr="005E7DE4" w:rsidRDefault="00C618E9" w:rsidP="002F6E81">
            <w:pPr>
              <w:rPr>
                <w:rFonts w:ascii="Arial Narrow" w:hAnsi="Arial Narrow"/>
                <w:bCs/>
                <w:color w:val="333333"/>
                <w:sz w:val="20"/>
                <w:szCs w:val="20"/>
              </w:rPr>
            </w:pPr>
          </w:p>
          <w:p w14:paraId="79FEAE9A" w14:textId="77777777" w:rsidR="00C618E9" w:rsidRPr="005E7DE4" w:rsidRDefault="00C618E9" w:rsidP="002F6E81">
            <w:pPr>
              <w:rPr>
                <w:rFonts w:ascii="Arial Narrow" w:hAnsi="Arial Narrow"/>
                <w:bCs/>
                <w:color w:val="333333"/>
                <w:sz w:val="20"/>
                <w:szCs w:val="20"/>
              </w:rPr>
            </w:pPr>
            <w:r w:rsidRPr="005E7DE4">
              <w:rPr>
                <w:rFonts w:ascii="Arial Narrow" w:hAnsi="Arial Narrow"/>
                <w:bCs/>
                <w:color w:val="333333"/>
                <w:sz w:val="20"/>
                <w:szCs w:val="20"/>
              </w:rPr>
              <w:t>or mailed to:</w:t>
            </w:r>
          </w:p>
          <w:p w14:paraId="3A7D334C" w14:textId="77777777" w:rsidR="00C618E9" w:rsidRPr="005E7DE4" w:rsidRDefault="00C618E9" w:rsidP="002F6E81">
            <w:pPr>
              <w:rPr>
                <w:rFonts w:ascii="Arial Narrow" w:hAnsi="Arial Narrow"/>
                <w:bCs/>
                <w:color w:val="333333"/>
                <w:sz w:val="20"/>
                <w:szCs w:val="20"/>
              </w:rPr>
            </w:pPr>
            <w:r w:rsidRPr="005E7DE4">
              <w:rPr>
                <w:rFonts w:ascii="Arial Narrow" w:hAnsi="Arial Narrow"/>
                <w:bCs/>
                <w:color w:val="333333"/>
                <w:sz w:val="20"/>
                <w:szCs w:val="20"/>
              </w:rPr>
              <w:t>Services Australia</w:t>
            </w:r>
          </w:p>
          <w:p w14:paraId="7025AD11" w14:textId="77777777" w:rsidR="00C618E9" w:rsidRPr="005E7DE4" w:rsidRDefault="00C618E9" w:rsidP="002F6E81">
            <w:pPr>
              <w:rPr>
                <w:rFonts w:ascii="Arial Narrow" w:hAnsi="Arial Narrow"/>
                <w:bCs/>
                <w:color w:val="333333"/>
                <w:sz w:val="20"/>
                <w:szCs w:val="20"/>
              </w:rPr>
            </w:pPr>
            <w:r w:rsidRPr="005E7DE4">
              <w:rPr>
                <w:rFonts w:ascii="Arial Narrow" w:hAnsi="Arial Narrow"/>
                <w:bCs/>
                <w:color w:val="333333"/>
                <w:sz w:val="20"/>
                <w:szCs w:val="20"/>
              </w:rPr>
              <w:t>Complex Drugs</w:t>
            </w:r>
          </w:p>
          <w:p w14:paraId="706D69CC" w14:textId="77777777" w:rsidR="00C618E9" w:rsidRPr="005E7DE4" w:rsidRDefault="00C618E9" w:rsidP="002F6E81">
            <w:pPr>
              <w:rPr>
                <w:rFonts w:ascii="Arial Narrow" w:hAnsi="Arial Narrow"/>
                <w:bCs/>
                <w:color w:val="333333"/>
                <w:sz w:val="20"/>
                <w:szCs w:val="20"/>
              </w:rPr>
            </w:pPr>
            <w:r w:rsidRPr="005E7DE4">
              <w:rPr>
                <w:rFonts w:ascii="Arial Narrow" w:hAnsi="Arial Narrow"/>
                <w:bCs/>
                <w:color w:val="333333"/>
                <w:sz w:val="20"/>
                <w:szCs w:val="20"/>
              </w:rPr>
              <w:t>Reply Paid 9826</w:t>
            </w:r>
          </w:p>
          <w:p w14:paraId="3080A46E" w14:textId="77777777" w:rsidR="00C618E9" w:rsidRPr="005E7DE4" w:rsidRDefault="00C618E9" w:rsidP="002F6E81">
            <w:pPr>
              <w:rPr>
                <w:rFonts w:ascii="Arial Narrow" w:hAnsi="Arial Narrow"/>
                <w:color w:val="333333"/>
                <w:sz w:val="20"/>
                <w:szCs w:val="20"/>
              </w:rPr>
            </w:pPr>
            <w:r w:rsidRPr="005E7DE4">
              <w:rPr>
                <w:rFonts w:ascii="Arial Narrow" w:hAnsi="Arial Narrow"/>
                <w:bCs/>
                <w:color w:val="333333"/>
                <w:sz w:val="20"/>
                <w:szCs w:val="20"/>
              </w:rPr>
              <w:t>HOBART TAS 7001</w:t>
            </w:r>
          </w:p>
        </w:tc>
      </w:tr>
      <w:tr w:rsidR="001A56FA" w:rsidRPr="005E7DE4" w14:paraId="2FCC2E42" w14:textId="77777777" w:rsidTr="006B25EB">
        <w:tc>
          <w:tcPr>
            <w:tcW w:w="707" w:type="pct"/>
            <w:gridSpan w:val="2"/>
            <w:vAlign w:val="center"/>
          </w:tcPr>
          <w:p w14:paraId="5EF0F9A1" w14:textId="23FC9D13"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5DA576D2"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Indication:</w:t>
            </w:r>
            <w:r w:rsidRPr="005E7DE4">
              <w:rPr>
                <w:rFonts w:ascii="Arial Narrow" w:hAnsi="Arial Narrow"/>
                <w:color w:val="333333"/>
                <w:sz w:val="20"/>
                <w:szCs w:val="20"/>
              </w:rPr>
              <w:t xml:space="preserve"> Complex refractory Fistulising Crohn disease</w:t>
            </w:r>
          </w:p>
        </w:tc>
      </w:tr>
      <w:tr w:rsidR="001A56FA" w:rsidRPr="005E7DE4" w14:paraId="2F831F2D" w14:textId="77777777" w:rsidTr="006B25EB">
        <w:tc>
          <w:tcPr>
            <w:tcW w:w="707" w:type="pct"/>
            <w:gridSpan w:val="2"/>
            <w:vAlign w:val="center"/>
          </w:tcPr>
          <w:p w14:paraId="471756E5" w14:textId="77777777"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656D5C84"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Treatment Phase:</w:t>
            </w:r>
            <w:r w:rsidRPr="005E7DE4">
              <w:rPr>
                <w:rFonts w:ascii="Arial Narrow" w:hAnsi="Arial Narrow"/>
                <w:color w:val="333333"/>
                <w:sz w:val="20"/>
                <w:szCs w:val="20"/>
              </w:rPr>
              <w:t xml:space="preserve"> Continuing treatment</w:t>
            </w:r>
          </w:p>
        </w:tc>
      </w:tr>
      <w:tr w:rsidR="001A56FA" w:rsidRPr="005E7DE4" w14:paraId="05FCC79C" w14:textId="77777777" w:rsidTr="00240923">
        <w:tc>
          <w:tcPr>
            <w:tcW w:w="707" w:type="pct"/>
            <w:gridSpan w:val="2"/>
            <w:vAlign w:val="center"/>
          </w:tcPr>
          <w:p w14:paraId="544FD86A" w14:textId="2D22AFC1"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162E36E6"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Clinical criteria:</w:t>
            </w:r>
          </w:p>
        </w:tc>
      </w:tr>
      <w:tr w:rsidR="001A56FA" w:rsidRPr="005E7DE4" w14:paraId="441974E7" w14:textId="77777777" w:rsidTr="00240923">
        <w:tc>
          <w:tcPr>
            <w:tcW w:w="707" w:type="pct"/>
            <w:gridSpan w:val="2"/>
            <w:vAlign w:val="center"/>
          </w:tcPr>
          <w:p w14:paraId="4D826C09" w14:textId="26BD4E64"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1F77703C" w14:textId="77777777" w:rsidR="001A56FA" w:rsidRPr="005E7DE4" w:rsidRDefault="001A56FA" w:rsidP="00C67964">
            <w:pPr>
              <w:rPr>
                <w:rFonts w:ascii="Arial Narrow" w:hAnsi="Arial Narrow"/>
                <w:color w:val="333333"/>
                <w:sz w:val="20"/>
                <w:szCs w:val="20"/>
              </w:rPr>
            </w:pPr>
            <w:r w:rsidRPr="005E7DE4">
              <w:rPr>
                <w:rFonts w:ascii="Arial Narrow" w:hAnsi="Arial Narrow"/>
                <w:color w:val="333333"/>
                <w:sz w:val="20"/>
                <w:szCs w:val="20"/>
              </w:rPr>
              <w:t>Patient must have previously received PBS-subsidised treatment with this drug for this condition</w:t>
            </w:r>
          </w:p>
        </w:tc>
      </w:tr>
      <w:tr w:rsidR="001A56FA" w:rsidRPr="005E7DE4" w14:paraId="5376E717" w14:textId="77777777" w:rsidTr="00240923">
        <w:tc>
          <w:tcPr>
            <w:tcW w:w="707" w:type="pct"/>
            <w:gridSpan w:val="2"/>
            <w:vAlign w:val="center"/>
          </w:tcPr>
          <w:p w14:paraId="1FA6AA38" w14:textId="77777777"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57DCFA30"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AND</w:t>
            </w:r>
          </w:p>
        </w:tc>
      </w:tr>
      <w:tr w:rsidR="001A56FA" w:rsidRPr="005E7DE4" w14:paraId="39F1108D" w14:textId="77777777" w:rsidTr="00240923">
        <w:tc>
          <w:tcPr>
            <w:tcW w:w="707" w:type="pct"/>
            <w:gridSpan w:val="2"/>
            <w:vAlign w:val="center"/>
          </w:tcPr>
          <w:p w14:paraId="138C4D87" w14:textId="47750C8C"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0886E44D"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Clinical criteria:</w:t>
            </w:r>
          </w:p>
        </w:tc>
      </w:tr>
      <w:tr w:rsidR="001A56FA" w:rsidRPr="005E7DE4" w14:paraId="6BB9A87C" w14:textId="77777777" w:rsidTr="00240923">
        <w:tc>
          <w:tcPr>
            <w:tcW w:w="707" w:type="pct"/>
            <w:gridSpan w:val="2"/>
            <w:vAlign w:val="center"/>
          </w:tcPr>
          <w:p w14:paraId="7014BC00" w14:textId="706F35DE"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667D307A" w14:textId="77777777" w:rsidR="001A56FA" w:rsidRPr="005E7DE4" w:rsidRDefault="001A56FA" w:rsidP="00C67964">
            <w:pPr>
              <w:rPr>
                <w:rFonts w:ascii="Arial Narrow" w:hAnsi="Arial Narrow"/>
                <w:color w:val="333333"/>
                <w:sz w:val="20"/>
                <w:szCs w:val="20"/>
              </w:rPr>
            </w:pPr>
            <w:r w:rsidRPr="005E7DE4">
              <w:rPr>
                <w:rFonts w:ascii="Arial Narrow" w:hAnsi="Arial Narrow"/>
                <w:color w:val="333333"/>
                <w:sz w:val="20"/>
                <w:szCs w:val="20"/>
              </w:rPr>
              <w:t>Patient must have demonstrated an adequate response to treatment with this drug</w:t>
            </w:r>
          </w:p>
        </w:tc>
      </w:tr>
      <w:tr w:rsidR="001A56FA" w:rsidRPr="005E7DE4" w14:paraId="259D7AD4" w14:textId="77777777" w:rsidTr="00240923">
        <w:tc>
          <w:tcPr>
            <w:tcW w:w="707" w:type="pct"/>
            <w:gridSpan w:val="2"/>
            <w:vAlign w:val="center"/>
          </w:tcPr>
          <w:p w14:paraId="4C819A07" w14:textId="77777777"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22FED77C"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AND</w:t>
            </w:r>
          </w:p>
        </w:tc>
      </w:tr>
      <w:tr w:rsidR="001A56FA" w:rsidRPr="005E7DE4" w14:paraId="59284C47" w14:textId="77777777" w:rsidTr="00240923">
        <w:tc>
          <w:tcPr>
            <w:tcW w:w="707" w:type="pct"/>
            <w:gridSpan w:val="2"/>
            <w:vAlign w:val="center"/>
          </w:tcPr>
          <w:p w14:paraId="257DD522" w14:textId="75726BC6"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67664314"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Treatment criteria:</w:t>
            </w:r>
          </w:p>
        </w:tc>
      </w:tr>
      <w:tr w:rsidR="001A56FA" w:rsidRPr="005E7DE4" w14:paraId="3A6BE2C9" w14:textId="77777777" w:rsidTr="00240923">
        <w:tc>
          <w:tcPr>
            <w:tcW w:w="707" w:type="pct"/>
            <w:gridSpan w:val="2"/>
            <w:vAlign w:val="center"/>
          </w:tcPr>
          <w:p w14:paraId="619FECC4" w14:textId="17366C0F"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4F4B0E38" w14:textId="77777777" w:rsidR="001A56FA" w:rsidRPr="005E7DE4" w:rsidRDefault="001A56FA" w:rsidP="00C67964">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 xml:space="preserve">Must be treated by a gastroenterologist (code 87); </w:t>
            </w:r>
          </w:p>
          <w:p w14:paraId="35380CC6" w14:textId="77777777" w:rsidR="001A56FA" w:rsidRPr="005E7DE4" w:rsidRDefault="001A56FA" w:rsidP="00C67964">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OR</w:t>
            </w:r>
          </w:p>
          <w:p w14:paraId="671875A9" w14:textId="77777777" w:rsidR="001A56FA" w:rsidRPr="005E7DE4" w:rsidRDefault="001A56FA" w:rsidP="00C67964">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 xml:space="preserve">Must be treated by a consultant physician [internal medicine specialising in gastroenterology (code 81)]; </w:t>
            </w:r>
          </w:p>
          <w:p w14:paraId="6F311A37" w14:textId="77777777" w:rsidR="001A56FA" w:rsidRPr="005E7DE4" w:rsidRDefault="001A56FA" w:rsidP="00C67964">
            <w:pPr>
              <w:autoSpaceDE w:val="0"/>
              <w:autoSpaceDN w:val="0"/>
              <w:adjustRightInd w:val="0"/>
              <w:rPr>
                <w:rFonts w:ascii="Arial Narrow" w:hAnsi="Arial Narrow" w:cs="Arial Narrow"/>
                <w:sz w:val="20"/>
                <w:szCs w:val="20"/>
              </w:rPr>
            </w:pPr>
            <w:r w:rsidRPr="005E7DE4">
              <w:rPr>
                <w:rFonts w:ascii="Arial Narrow" w:hAnsi="Arial Narrow" w:cs="Arial Narrow"/>
                <w:sz w:val="20"/>
                <w:szCs w:val="20"/>
              </w:rPr>
              <w:t>OR</w:t>
            </w:r>
          </w:p>
          <w:p w14:paraId="0AB0C46B" w14:textId="77777777" w:rsidR="001A56FA" w:rsidRPr="005E7DE4" w:rsidRDefault="001A56FA" w:rsidP="00C67964">
            <w:pPr>
              <w:autoSpaceDE w:val="0"/>
              <w:autoSpaceDN w:val="0"/>
              <w:adjustRightInd w:val="0"/>
              <w:rPr>
                <w:rFonts w:ascii="Arial Narrow" w:hAnsi="Arial Narrow" w:cs="Arial Narrow"/>
                <w:i/>
                <w:iCs/>
                <w:sz w:val="20"/>
                <w:szCs w:val="20"/>
              </w:rPr>
            </w:pPr>
            <w:r w:rsidRPr="005E7DE4">
              <w:rPr>
                <w:rFonts w:ascii="Arial Narrow" w:hAnsi="Arial Narrow" w:cs="Arial Narrow"/>
                <w:sz w:val="20"/>
                <w:szCs w:val="20"/>
              </w:rPr>
              <w:t>Must be treated by a consultant physician [general medicine specialising in gastroenterology (code 82)]</w:t>
            </w:r>
          </w:p>
        </w:tc>
      </w:tr>
      <w:tr w:rsidR="001A56FA" w:rsidRPr="005E7DE4" w14:paraId="3E74C0A3" w14:textId="77777777" w:rsidTr="00240923">
        <w:tc>
          <w:tcPr>
            <w:tcW w:w="707" w:type="pct"/>
            <w:gridSpan w:val="2"/>
            <w:shd w:val="clear" w:color="auto" w:fill="BFBFBF" w:themeFill="background1" w:themeFillShade="BF"/>
            <w:vAlign w:val="center"/>
          </w:tcPr>
          <w:p w14:paraId="57E80F69" w14:textId="77777777" w:rsidR="001A56FA" w:rsidRPr="005E7DE4" w:rsidRDefault="001A56FA" w:rsidP="00C67964">
            <w:pPr>
              <w:jc w:val="center"/>
              <w:rPr>
                <w:rFonts w:ascii="Arial Narrow" w:hAnsi="Arial Narrow"/>
                <w:color w:val="333333"/>
                <w:sz w:val="20"/>
                <w:szCs w:val="20"/>
              </w:rPr>
            </w:pPr>
          </w:p>
        </w:tc>
        <w:tc>
          <w:tcPr>
            <w:tcW w:w="4293" w:type="pct"/>
            <w:gridSpan w:val="7"/>
            <w:shd w:val="clear" w:color="auto" w:fill="BFBFBF" w:themeFill="background1" w:themeFillShade="BF"/>
            <w:vAlign w:val="center"/>
            <w:hideMark/>
          </w:tcPr>
          <w:p w14:paraId="7CA4198A" w14:textId="77777777" w:rsidR="001A56FA" w:rsidRPr="005E7DE4" w:rsidRDefault="001A56FA" w:rsidP="00C67964">
            <w:pPr>
              <w:rPr>
                <w:rFonts w:ascii="Arial Narrow" w:hAnsi="Arial Narrow"/>
                <w:color w:val="333333"/>
                <w:sz w:val="20"/>
                <w:szCs w:val="20"/>
              </w:rPr>
            </w:pPr>
          </w:p>
        </w:tc>
      </w:tr>
      <w:tr w:rsidR="001A56FA" w:rsidRPr="005E7DE4" w14:paraId="52AD68E7" w14:textId="77777777" w:rsidTr="006B25EB">
        <w:tc>
          <w:tcPr>
            <w:tcW w:w="707" w:type="pct"/>
            <w:gridSpan w:val="2"/>
            <w:vAlign w:val="center"/>
          </w:tcPr>
          <w:p w14:paraId="200F10A6" w14:textId="1DDC415C" w:rsidR="001A56FA" w:rsidRPr="005E7DE4" w:rsidRDefault="001A56FA" w:rsidP="00C67964">
            <w:pPr>
              <w:jc w:val="center"/>
              <w:rPr>
                <w:rFonts w:ascii="Arial Narrow" w:hAnsi="Arial Narrow"/>
                <w:color w:val="333333"/>
                <w:sz w:val="20"/>
                <w:szCs w:val="20"/>
              </w:rPr>
            </w:pPr>
          </w:p>
        </w:tc>
        <w:tc>
          <w:tcPr>
            <w:tcW w:w="4293" w:type="pct"/>
            <w:gridSpan w:val="7"/>
            <w:vAlign w:val="center"/>
            <w:hideMark/>
          </w:tcPr>
          <w:p w14:paraId="7CFE6533" w14:textId="77777777" w:rsidR="001A56FA" w:rsidRPr="005E7DE4" w:rsidRDefault="001A56FA" w:rsidP="00C67964">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467D5EDF" w14:textId="7C89DBB3" w:rsidR="001A56FA" w:rsidRPr="005E7DE4" w:rsidRDefault="001A56FA" w:rsidP="00C67964">
            <w:pPr>
              <w:rPr>
                <w:rFonts w:ascii="Arial Narrow" w:hAnsi="Arial Narrow"/>
                <w:color w:val="333333"/>
                <w:sz w:val="20"/>
                <w:szCs w:val="20"/>
              </w:rPr>
            </w:pPr>
            <w:r w:rsidRPr="005E7DE4">
              <w:rPr>
                <w:rFonts w:ascii="Arial Narrow" w:hAnsi="Arial Narrow"/>
                <w:bCs/>
                <w:color w:val="333333"/>
                <w:sz w:val="20"/>
                <w:szCs w:val="20"/>
              </w:rPr>
              <w:t>The authority application must be made in writing and must include: (1) a completed authority prescription form; and, (2) a completed authority application form relevant to the indication and treatment phase (the latest version is located on the website specified in the Administrative Advice).</w:t>
            </w:r>
          </w:p>
        </w:tc>
      </w:tr>
      <w:tr w:rsidR="001A56FA" w:rsidRPr="005E7DE4" w14:paraId="71D06114" w14:textId="77777777" w:rsidTr="00240923">
        <w:tc>
          <w:tcPr>
            <w:tcW w:w="707" w:type="pct"/>
            <w:gridSpan w:val="2"/>
            <w:vAlign w:val="center"/>
          </w:tcPr>
          <w:p w14:paraId="619E423A" w14:textId="71D71F0E" w:rsidR="001A56FA" w:rsidRPr="005E7DE4" w:rsidRDefault="001A56FA" w:rsidP="00C67964">
            <w:pPr>
              <w:jc w:val="center"/>
              <w:rPr>
                <w:rFonts w:ascii="Arial Narrow" w:hAnsi="Arial Narrow"/>
                <w:i/>
                <w:iCs/>
                <w:color w:val="333333"/>
                <w:sz w:val="20"/>
                <w:szCs w:val="20"/>
              </w:rPr>
            </w:pPr>
          </w:p>
        </w:tc>
        <w:tc>
          <w:tcPr>
            <w:tcW w:w="4293" w:type="pct"/>
            <w:gridSpan w:val="7"/>
            <w:vAlign w:val="center"/>
          </w:tcPr>
          <w:p w14:paraId="0F5FA2E2" w14:textId="77777777" w:rsidR="001A56FA" w:rsidRPr="005E7DE4" w:rsidRDefault="001A56FA" w:rsidP="00C67964">
            <w:pPr>
              <w:rPr>
                <w:rFonts w:ascii="Arial Narrow" w:hAnsi="Arial Narrow"/>
                <w:color w:val="333333"/>
                <w:sz w:val="20"/>
                <w:szCs w:val="20"/>
              </w:rPr>
            </w:pPr>
            <w:r w:rsidRPr="005E7DE4">
              <w:rPr>
                <w:rFonts w:ascii="Arial Narrow" w:hAnsi="Arial Narrow"/>
                <w:b/>
                <w:bCs/>
                <w:color w:val="333333"/>
                <w:sz w:val="20"/>
                <w:szCs w:val="20"/>
              </w:rPr>
              <w:t>Prescribing Instructions:</w:t>
            </w:r>
            <w:r w:rsidRPr="005E7DE4">
              <w:rPr>
                <w:rFonts w:ascii="Arial Narrow" w:hAnsi="Arial Narrow"/>
                <w:color w:val="333333"/>
                <w:sz w:val="20"/>
                <w:szCs w:val="20"/>
              </w:rPr>
              <w:t xml:space="preserve"> </w:t>
            </w:r>
          </w:p>
          <w:p w14:paraId="62F87C96" w14:textId="4FBE6A8C" w:rsidR="001A56FA" w:rsidRPr="005E7DE4" w:rsidRDefault="001A56FA" w:rsidP="00C67964">
            <w:pPr>
              <w:rPr>
                <w:rFonts w:ascii="Arial Narrow" w:hAnsi="Arial Narrow"/>
                <w:color w:val="333333"/>
                <w:sz w:val="20"/>
                <w:szCs w:val="20"/>
              </w:rPr>
            </w:pPr>
            <w:r w:rsidRPr="005E7DE4">
              <w:rPr>
                <w:rFonts w:ascii="Arial Narrow" w:hAnsi="Arial Narrow"/>
                <w:color w:val="333333"/>
                <w:sz w:val="20"/>
                <w:szCs w:val="20"/>
              </w:rPr>
              <w:t>An adequate response is defined as: (a) a decrease from baseline in the number of open draining fistulae of greater than or equal to 50%; and/or, (b) a marked reduction in drainage of all fistula(e) from baseline, together with less pain and induration as reported by the patient.</w:t>
            </w:r>
          </w:p>
        </w:tc>
      </w:tr>
      <w:tr w:rsidR="001A56FA" w:rsidRPr="005E7DE4" w14:paraId="519D90C8" w14:textId="77777777" w:rsidTr="00240923">
        <w:tc>
          <w:tcPr>
            <w:tcW w:w="707" w:type="pct"/>
            <w:gridSpan w:val="2"/>
            <w:vAlign w:val="center"/>
          </w:tcPr>
          <w:p w14:paraId="62292D41" w14:textId="64CF601C" w:rsidR="001A56FA" w:rsidRPr="005E7DE4" w:rsidRDefault="001A56FA" w:rsidP="00C67964">
            <w:pPr>
              <w:jc w:val="center"/>
              <w:rPr>
                <w:rFonts w:ascii="Arial Narrow" w:hAnsi="Arial Narrow"/>
                <w:color w:val="333333"/>
                <w:sz w:val="20"/>
                <w:szCs w:val="20"/>
              </w:rPr>
            </w:pPr>
          </w:p>
        </w:tc>
        <w:tc>
          <w:tcPr>
            <w:tcW w:w="4293" w:type="pct"/>
            <w:gridSpan w:val="7"/>
            <w:vAlign w:val="center"/>
          </w:tcPr>
          <w:p w14:paraId="60BA1384" w14:textId="77777777" w:rsidR="001A56FA" w:rsidRPr="005E7DE4" w:rsidRDefault="001A56FA" w:rsidP="00C67964">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5D8BA749" w14:textId="77777777" w:rsidR="001A56FA" w:rsidRPr="005E7DE4" w:rsidRDefault="001A56FA" w:rsidP="00C67964">
            <w:pPr>
              <w:rPr>
                <w:rFonts w:ascii="Arial Narrow" w:hAnsi="Arial Narrow"/>
                <w:color w:val="333333"/>
                <w:sz w:val="20"/>
                <w:szCs w:val="20"/>
              </w:rPr>
            </w:pPr>
            <w:r w:rsidRPr="005E7DE4">
              <w:rPr>
                <w:rFonts w:ascii="Arial Narrow" w:hAnsi="Arial Narrow"/>
                <w:color w:val="333333"/>
                <w:sz w:val="20"/>
                <w:szCs w:val="20"/>
              </w:rPr>
              <w:t>The most recent fistula assessment must be no more than 1 month old at the time of application.</w:t>
            </w:r>
          </w:p>
        </w:tc>
      </w:tr>
      <w:tr w:rsidR="001A56FA" w:rsidRPr="005E7DE4" w14:paraId="0F8D0BDD" w14:textId="77777777" w:rsidTr="00240923">
        <w:tc>
          <w:tcPr>
            <w:tcW w:w="707" w:type="pct"/>
            <w:gridSpan w:val="2"/>
            <w:vAlign w:val="center"/>
          </w:tcPr>
          <w:p w14:paraId="24C82CC3" w14:textId="02A6EE1D" w:rsidR="001A56FA" w:rsidRPr="005E7DE4" w:rsidRDefault="001A56FA" w:rsidP="00C67964">
            <w:pPr>
              <w:jc w:val="center"/>
              <w:rPr>
                <w:rFonts w:ascii="Arial Narrow" w:hAnsi="Arial Narrow"/>
                <w:color w:val="333333"/>
                <w:sz w:val="20"/>
                <w:szCs w:val="20"/>
              </w:rPr>
            </w:pPr>
          </w:p>
        </w:tc>
        <w:tc>
          <w:tcPr>
            <w:tcW w:w="4293" w:type="pct"/>
            <w:gridSpan w:val="7"/>
            <w:vAlign w:val="center"/>
          </w:tcPr>
          <w:p w14:paraId="2E6A0218" w14:textId="77777777" w:rsidR="001A56FA" w:rsidRPr="005E7DE4" w:rsidRDefault="001A56FA" w:rsidP="00C67964">
            <w:pPr>
              <w:rPr>
                <w:rFonts w:ascii="Arial Narrow" w:hAnsi="Arial Narrow"/>
                <w:b/>
                <w:bCs/>
                <w:color w:val="333333"/>
                <w:sz w:val="20"/>
                <w:szCs w:val="20"/>
              </w:rPr>
            </w:pPr>
            <w:r w:rsidRPr="005E7DE4">
              <w:rPr>
                <w:rFonts w:ascii="Arial Narrow" w:hAnsi="Arial Narrow"/>
                <w:b/>
                <w:bCs/>
                <w:color w:val="333333"/>
                <w:sz w:val="20"/>
                <w:szCs w:val="20"/>
              </w:rPr>
              <w:t xml:space="preserve">Prescribing Instructions: </w:t>
            </w:r>
          </w:p>
          <w:p w14:paraId="33DF109C" w14:textId="77777777" w:rsidR="001A56FA" w:rsidRPr="005E7DE4" w:rsidRDefault="001A56FA" w:rsidP="00C67964">
            <w:pPr>
              <w:rPr>
                <w:rFonts w:ascii="Arial Narrow" w:hAnsi="Arial Narrow"/>
                <w:b/>
                <w:bCs/>
                <w:color w:val="333333"/>
                <w:sz w:val="20"/>
                <w:szCs w:val="20"/>
              </w:rPr>
            </w:pPr>
            <w:r w:rsidRPr="005E7DE4">
              <w:rPr>
                <w:rFonts w:ascii="Arial Narrow" w:hAnsi="Arial Narrow"/>
                <w:color w:val="333333"/>
                <w:sz w:val="20"/>
                <w:szCs w:val="20"/>
              </w:rPr>
              <w:t xml:space="preserve">At the time of the authority application, medical practitioners should request the appropriate quantity and number of repeats; up to 1 repeat will be authorised for patients whose dosing frequency is every 12 weeks. Up to a maximum of 2 repeats will be authorised </w:t>
            </w:r>
            <w:r w:rsidRPr="005E7DE4">
              <w:rPr>
                <w:rFonts w:ascii="Arial Narrow" w:hAnsi="Arial Narrow"/>
                <w:i/>
                <w:iCs/>
                <w:color w:val="333333"/>
                <w:sz w:val="20"/>
                <w:szCs w:val="20"/>
              </w:rPr>
              <w:t>for patients whose dosing frequency is every 8 weeks.</w:t>
            </w:r>
          </w:p>
        </w:tc>
      </w:tr>
    </w:tbl>
    <w:p w14:paraId="6EA718FE" w14:textId="77777777" w:rsidR="001A56FA" w:rsidRPr="00542CAF" w:rsidRDefault="001A56FA" w:rsidP="001A56FA">
      <w:pPr>
        <w:rPr>
          <w:sz w:val="20"/>
          <w:szCs w:val="20"/>
        </w:rPr>
      </w:pPr>
    </w:p>
    <w:p w14:paraId="1B76BEBD" w14:textId="77777777" w:rsidR="001A56FA" w:rsidRPr="00542CAF" w:rsidRDefault="001A56FA" w:rsidP="001A56FA">
      <w:pPr>
        <w:rPr>
          <w:sz w:val="20"/>
          <w:szCs w:val="20"/>
        </w:rPr>
      </w:pPr>
    </w:p>
    <w:tbl>
      <w:tblPr>
        <w:tblW w:w="4996"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201"/>
        <w:gridCol w:w="7799"/>
      </w:tblGrid>
      <w:tr w:rsidR="001A56FA" w:rsidRPr="00542CAF" w14:paraId="02ECB573" w14:textId="77777777" w:rsidTr="00240923">
        <w:tc>
          <w:tcPr>
            <w:tcW w:w="667" w:type="pct"/>
          </w:tcPr>
          <w:p w14:paraId="0D6120C0" w14:textId="52A40C57" w:rsidR="001A56FA" w:rsidRPr="00542CAF" w:rsidRDefault="001A56FA" w:rsidP="00C67964">
            <w:pPr>
              <w:rPr>
                <w:rFonts w:ascii="Arial Narrow" w:hAnsi="Arial Narrow"/>
                <w:sz w:val="20"/>
                <w:szCs w:val="20"/>
              </w:rPr>
            </w:pPr>
            <w:r w:rsidRPr="00542CAF">
              <w:rPr>
                <w:rFonts w:ascii="Arial Narrow" w:hAnsi="Arial Narrow"/>
                <w:sz w:val="20"/>
                <w:szCs w:val="20"/>
              </w:rPr>
              <w:br/>
            </w:r>
          </w:p>
        </w:tc>
        <w:tc>
          <w:tcPr>
            <w:tcW w:w="4333" w:type="pct"/>
          </w:tcPr>
          <w:p w14:paraId="62322583" w14:textId="77777777" w:rsidR="001A56FA" w:rsidRPr="00542CAF" w:rsidRDefault="001A56FA" w:rsidP="00C67964">
            <w:pPr>
              <w:pStyle w:val="Tabletext"/>
              <w:rPr>
                <w:szCs w:val="20"/>
              </w:rPr>
            </w:pPr>
            <w:r w:rsidRPr="00542CAF">
              <w:rPr>
                <w:szCs w:val="20"/>
              </w:rPr>
              <w:t>TREATMENT OF COMPLEX REFRACTORY FISTULISING CROHN DISEASE</w:t>
            </w:r>
          </w:p>
          <w:p w14:paraId="38D60289" w14:textId="77777777" w:rsidR="001A56FA" w:rsidRPr="00542CAF" w:rsidRDefault="001A56FA" w:rsidP="00C67964">
            <w:pPr>
              <w:pStyle w:val="Tabletext"/>
              <w:rPr>
                <w:szCs w:val="20"/>
              </w:rPr>
            </w:pPr>
          </w:p>
          <w:p w14:paraId="052C037C" w14:textId="77777777" w:rsidR="001A56FA" w:rsidRPr="00542CAF" w:rsidRDefault="001A56FA" w:rsidP="00C67964">
            <w:pPr>
              <w:pStyle w:val="Tabletext"/>
              <w:rPr>
                <w:szCs w:val="20"/>
              </w:rPr>
            </w:pPr>
            <w:r w:rsidRPr="00542CAF">
              <w:rPr>
                <w:szCs w:val="20"/>
              </w:rPr>
              <w:t>The following information applies to the prescribing under the Pharmaceutical Benefits Scheme (PBS) of the biological medicines for patients with complex refractory fistulising Crohn disease. Where the term 'biological medicine' appears in the following notes and restrictions, it refers to adalimumab, infliximab and ustekinumab only.</w:t>
            </w:r>
          </w:p>
          <w:p w14:paraId="048E6AFE" w14:textId="77777777" w:rsidR="001A56FA" w:rsidRPr="00542CAF" w:rsidRDefault="001A56FA" w:rsidP="00C67964">
            <w:pPr>
              <w:pStyle w:val="Tabletext"/>
              <w:rPr>
                <w:szCs w:val="20"/>
              </w:rPr>
            </w:pPr>
          </w:p>
          <w:p w14:paraId="66AB3590" w14:textId="77777777" w:rsidR="001A56FA" w:rsidRPr="00542CAF" w:rsidRDefault="001A56FA" w:rsidP="00C67964">
            <w:pPr>
              <w:pStyle w:val="Tabletext"/>
              <w:rPr>
                <w:szCs w:val="20"/>
              </w:rPr>
            </w:pPr>
            <w:r w:rsidRPr="00542CAF">
              <w:rPr>
                <w:szCs w:val="20"/>
              </w:rPr>
              <w:t>A patient is eligible for PBS-subsidised treatment with only 1 of the PBS-subsidised biological medicines for this condition at any one time.</w:t>
            </w:r>
          </w:p>
          <w:p w14:paraId="5132C45B" w14:textId="77777777" w:rsidR="001A56FA" w:rsidRPr="00542CAF" w:rsidRDefault="001A56FA" w:rsidP="00C67964">
            <w:pPr>
              <w:pStyle w:val="Tabletext"/>
              <w:rPr>
                <w:szCs w:val="20"/>
              </w:rPr>
            </w:pPr>
          </w:p>
          <w:p w14:paraId="23A3B83E" w14:textId="77777777" w:rsidR="001A56FA" w:rsidRPr="00542CAF" w:rsidRDefault="001A56FA" w:rsidP="00C67964">
            <w:pPr>
              <w:pStyle w:val="Tabletext"/>
              <w:rPr>
                <w:szCs w:val="20"/>
              </w:rPr>
            </w:pPr>
            <w:r w:rsidRPr="00542CAF">
              <w:rPr>
                <w:szCs w:val="20"/>
              </w:rPr>
              <w:t>From 1 April 2011, under the PBS, all patients will be able to commence a treatment cycle where they may trial PBS-subsidised adalimumab, infliximab or ustekinumab without having to experience a disease flare when swapping to the alternate agent. Under these arrangements, within a single treatment cycle, a patient may continue to receive long-term treatment with adalimumab, infliximab or ustekinumab while they continue to show a response to therapy.</w:t>
            </w:r>
          </w:p>
          <w:p w14:paraId="5ADFEC8D" w14:textId="77777777" w:rsidR="001A56FA" w:rsidRPr="00542CAF" w:rsidRDefault="001A56FA" w:rsidP="00C67964">
            <w:pPr>
              <w:pStyle w:val="Tabletext"/>
              <w:rPr>
                <w:szCs w:val="20"/>
              </w:rPr>
            </w:pPr>
          </w:p>
          <w:p w14:paraId="5B82C8BE" w14:textId="77777777" w:rsidR="001A56FA" w:rsidRPr="00542CAF" w:rsidRDefault="001A56FA" w:rsidP="00C67964">
            <w:pPr>
              <w:pStyle w:val="Tabletext"/>
              <w:rPr>
                <w:szCs w:val="20"/>
              </w:rPr>
            </w:pPr>
            <w:r w:rsidRPr="00542CAF">
              <w:rPr>
                <w:szCs w:val="20"/>
              </w:rPr>
              <w:t>A patient who received PBS-subsidised adalimumab, infliximab or ustekinumab treatment prior to 1 April 2011 is considered to have started their treatment cycle as of 1 April 2011.</w:t>
            </w:r>
          </w:p>
          <w:p w14:paraId="435C13F7" w14:textId="77777777" w:rsidR="001A56FA" w:rsidRPr="00542CAF" w:rsidRDefault="001A56FA" w:rsidP="00C67964">
            <w:pPr>
              <w:pStyle w:val="Tabletext"/>
              <w:rPr>
                <w:szCs w:val="20"/>
              </w:rPr>
            </w:pPr>
          </w:p>
          <w:p w14:paraId="3E76B6A2" w14:textId="77777777" w:rsidR="001A56FA" w:rsidRPr="00542CAF" w:rsidRDefault="001A56FA" w:rsidP="00C67964">
            <w:pPr>
              <w:pStyle w:val="Tabletext"/>
              <w:rPr>
                <w:szCs w:val="20"/>
              </w:rPr>
            </w:pPr>
            <w:r w:rsidRPr="00542CAF">
              <w:rPr>
                <w:szCs w:val="20"/>
              </w:rPr>
              <w:t>Within the same treatment cycle, a patient cannot trial and fail, or cease to respond to, the same PBS-subsidised adalimumab, infliximab or ustekinumab more than twice.</w:t>
            </w:r>
          </w:p>
          <w:p w14:paraId="6B493EC3" w14:textId="77777777" w:rsidR="001A56FA" w:rsidRPr="00542CAF" w:rsidRDefault="001A56FA" w:rsidP="00C67964">
            <w:pPr>
              <w:pStyle w:val="Tabletext"/>
              <w:rPr>
                <w:szCs w:val="20"/>
              </w:rPr>
            </w:pPr>
          </w:p>
          <w:p w14:paraId="73F9BDD7" w14:textId="77777777" w:rsidR="001A56FA" w:rsidRPr="00542CAF" w:rsidRDefault="001A56FA" w:rsidP="00C67964">
            <w:pPr>
              <w:pStyle w:val="Tabletext"/>
              <w:rPr>
                <w:szCs w:val="20"/>
              </w:rPr>
            </w:pPr>
            <w:r w:rsidRPr="00542CAF">
              <w:rPr>
                <w:szCs w:val="20"/>
              </w:rPr>
              <w:t>Once a patient has either failed or ceased to respond to treatment for this condition 3 times, they are deemed to have completed a treatment cycle and they must have, at a minimum, a 5-year break in PBS-subsidised biological medicine therapy for this condition before they are eligible to commence the next cycle. The 5-year break is measured from the date of the last approval for PBS-subsidised adalimumab, infliximab or ustekinumab treatment in the most recent cycle to the date of the first application for initial treatment with adalimumab, infliximab or ustekinumab under the new treatment cycle.</w:t>
            </w:r>
          </w:p>
          <w:p w14:paraId="4EF4DCD0" w14:textId="77777777" w:rsidR="001A56FA" w:rsidRPr="00542CAF" w:rsidRDefault="001A56FA" w:rsidP="00C67964">
            <w:pPr>
              <w:pStyle w:val="Tabletext"/>
              <w:rPr>
                <w:szCs w:val="20"/>
              </w:rPr>
            </w:pPr>
          </w:p>
          <w:p w14:paraId="22C7ED35" w14:textId="77777777" w:rsidR="001A56FA" w:rsidRPr="00542CAF" w:rsidRDefault="001A56FA" w:rsidP="00C67964">
            <w:pPr>
              <w:pStyle w:val="Tabletext"/>
              <w:rPr>
                <w:szCs w:val="20"/>
              </w:rPr>
            </w:pPr>
            <w:r w:rsidRPr="00542CAF">
              <w:rPr>
                <w:szCs w:val="20"/>
              </w:rPr>
              <w:t>A patient who has failed fewer than 3 trials of biological medicine therapy in a treatment cycle and who has a break in therapy of less than 5 years, may commence a further course of treatment within the same treatment cycle.</w:t>
            </w:r>
          </w:p>
          <w:p w14:paraId="6AE3D554" w14:textId="77777777" w:rsidR="001A56FA" w:rsidRPr="00542CAF" w:rsidRDefault="001A56FA" w:rsidP="00C67964">
            <w:pPr>
              <w:pStyle w:val="Tabletext"/>
              <w:rPr>
                <w:szCs w:val="20"/>
              </w:rPr>
            </w:pPr>
          </w:p>
          <w:p w14:paraId="417BF7DE" w14:textId="77777777" w:rsidR="001A56FA" w:rsidRPr="00542CAF" w:rsidRDefault="001A56FA" w:rsidP="00C67964">
            <w:pPr>
              <w:pStyle w:val="Tabletext"/>
              <w:rPr>
                <w:szCs w:val="20"/>
              </w:rPr>
            </w:pPr>
            <w:r w:rsidRPr="00542CAF">
              <w:rPr>
                <w:szCs w:val="20"/>
              </w:rPr>
              <w:t>A patient who has failed 3 trials or fewer of biological medicine therapy in a treatment cycle and who has a break in therapy of more than 5 years, may commence a new treatment cycle.</w:t>
            </w:r>
          </w:p>
          <w:p w14:paraId="4BE0DF55" w14:textId="77777777" w:rsidR="001A56FA" w:rsidRPr="00542CAF" w:rsidRDefault="001A56FA" w:rsidP="00C67964">
            <w:pPr>
              <w:pStyle w:val="Tabletext"/>
              <w:rPr>
                <w:szCs w:val="20"/>
              </w:rPr>
            </w:pPr>
          </w:p>
          <w:p w14:paraId="0CE497FF" w14:textId="77777777" w:rsidR="001A56FA" w:rsidRPr="00542CAF" w:rsidRDefault="001A56FA" w:rsidP="00C67964">
            <w:pPr>
              <w:pStyle w:val="Tabletext"/>
              <w:rPr>
                <w:szCs w:val="20"/>
              </w:rPr>
            </w:pPr>
            <w:r w:rsidRPr="00542CAF">
              <w:rPr>
                <w:szCs w:val="20"/>
              </w:rPr>
              <w:t>There is no limit to the number of treatment cycles a patient may undertake in their lifetime.</w:t>
            </w:r>
          </w:p>
          <w:p w14:paraId="38A7DC7E" w14:textId="77777777" w:rsidR="001A56FA" w:rsidRPr="00542CAF" w:rsidRDefault="001A56FA" w:rsidP="00C67964">
            <w:pPr>
              <w:pStyle w:val="Tabletext"/>
              <w:rPr>
                <w:szCs w:val="20"/>
              </w:rPr>
            </w:pPr>
          </w:p>
          <w:p w14:paraId="1AC292DC" w14:textId="77777777" w:rsidR="001A56FA" w:rsidRPr="00542CAF" w:rsidRDefault="001A56FA" w:rsidP="00C67964">
            <w:pPr>
              <w:pStyle w:val="Tabletext"/>
              <w:rPr>
                <w:szCs w:val="20"/>
              </w:rPr>
            </w:pPr>
            <w:r w:rsidRPr="00542CAF">
              <w:rPr>
                <w:szCs w:val="20"/>
              </w:rPr>
              <w:t>(1) How to prescribe PBS-subsidised adalimumab, infliximab or ustekinumab therapy after 1 April 2011.</w:t>
            </w:r>
          </w:p>
          <w:p w14:paraId="3588C788" w14:textId="77777777" w:rsidR="001A56FA" w:rsidRPr="00542CAF" w:rsidRDefault="001A56FA" w:rsidP="00C67964">
            <w:pPr>
              <w:pStyle w:val="Tabletext"/>
              <w:rPr>
                <w:szCs w:val="20"/>
              </w:rPr>
            </w:pPr>
          </w:p>
          <w:p w14:paraId="5B5B7C6E" w14:textId="77777777" w:rsidR="001A56FA" w:rsidRPr="00542CAF" w:rsidRDefault="001A56FA" w:rsidP="00C67964">
            <w:pPr>
              <w:pStyle w:val="Tabletext"/>
              <w:rPr>
                <w:szCs w:val="20"/>
              </w:rPr>
            </w:pPr>
            <w:r w:rsidRPr="00542CAF">
              <w:rPr>
                <w:szCs w:val="20"/>
              </w:rPr>
              <w:t>(a) Initial treatment.</w:t>
            </w:r>
          </w:p>
          <w:p w14:paraId="5FC16180" w14:textId="77777777" w:rsidR="001A56FA" w:rsidRPr="00542CAF" w:rsidRDefault="001A56FA" w:rsidP="00C67964">
            <w:pPr>
              <w:pStyle w:val="Tabletext"/>
              <w:rPr>
                <w:szCs w:val="20"/>
              </w:rPr>
            </w:pPr>
          </w:p>
          <w:p w14:paraId="18C647AA" w14:textId="77777777" w:rsidR="001A56FA" w:rsidRPr="00542CAF" w:rsidRDefault="001A56FA" w:rsidP="00C67964">
            <w:pPr>
              <w:pStyle w:val="Tabletext"/>
              <w:rPr>
                <w:szCs w:val="20"/>
              </w:rPr>
            </w:pPr>
            <w:r w:rsidRPr="00542CAF">
              <w:rPr>
                <w:szCs w:val="20"/>
              </w:rPr>
              <w:t>Applications for initial treatment should be made where:</w:t>
            </w:r>
          </w:p>
          <w:p w14:paraId="09B80846" w14:textId="77777777" w:rsidR="001A56FA" w:rsidRPr="00542CAF" w:rsidRDefault="001A56FA" w:rsidP="00C67964">
            <w:pPr>
              <w:pStyle w:val="Tabletext"/>
              <w:rPr>
                <w:szCs w:val="20"/>
              </w:rPr>
            </w:pPr>
          </w:p>
          <w:p w14:paraId="74220BCA" w14:textId="77777777" w:rsidR="001A56FA" w:rsidRPr="00542CAF" w:rsidRDefault="001A56FA" w:rsidP="00C67964">
            <w:pPr>
              <w:pStyle w:val="Tabletext"/>
              <w:rPr>
                <w:szCs w:val="20"/>
              </w:rPr>
            </w:pPr>
            <w:r w:rsidRPr="00542CAF">
              <w:rPr>
                <w:szCs w:val="20"/>
              </w:rPr>
              <w:t>(i) a patient has received no prior PBS-subsidised adalimumab, infliximab or ustekinumab therapy in this treatment cycle and wishes to commence such therapy (Initial 1- new patient or recommencement of treatment after a break in biological medicine of more than 5 years); or</w:t>
            </w:r>
          </w:p>
          <w:p w14:paraId="592B4495" w14:textId="77777777" w:rsidR="001A56FA" w:rsidRPr="00542CAF" w:rsidRDefault="001A56FA" w:rsidP="00C67964">
            <w:pPr>
              <w:pStyle w:val="Tabletext"/>
              <w:rPr>
                <w:szCs w:val="20"/>
              </w:rPr>
            </w:pPr>
          </w:p>
          <w:p w14:paraId="6BF3003D" w14:textId="77777777" w:rsidR="001A56FA" w:rsidRPr="00542CAF" w:rsidRDefault="001A56FA" w:rsidP="00C67964">
            <w:pPr>
              <w:pStyle w:val="Tabletext"/>
              <w:rPr>
                <w:szCs w:val="20"/>
              </w:rPr>
            </w:pPr>
            <w:r w:rsidRPr="00542CAF">
              <w:rPr>
                <w:szCs w:val="20"/>
              </w:rPr>
              <w:t>(ii) a patient has received prior PBS-subsidised (initial or continuing) adalimumab, infliximab or ustekinumab therapy and wishes to trial an alternate agent (Initial 2 - change or recommencement of treatment after a break in biological medicine of less than 5 years) [further details are under 'Swapping therapy' below]; or</w:t>
            </w:r>
          </w:p>
          <w:p w14:paraId="645D0484" w14:textId="77777777" w:rsidR="001A56FA" w:rsidRPr="00542CAF" w:rsidRDefault="001A56FA" w:rsidP="00C67964">
            <w:pPr>
              <w:pStyle w:val="Tabletext"/>
              <w:rPr>
                <w:szCs w:val="20"/>
              </w:rPr>
            </w:pPr>
          </w:p>
          <w:p w14:paraId="5F832C92" w14:textId="77777777" w:rsidR="001A56FA" w:rsidRPr="00542CAF" w:rsidRDefault="001A56FA" w:rsidP="00C67964">
            <w:pPr>
              <w:pStyle w:val="Tabletext"/>
              <w:rPr>
                <w:szCs w:val="20"/>
              </w:rPr>
            </w:pPr>
            <w:r w:rsidRPr="00542CAF">
              <w:rPr>
                <w:szCs w:val="20"/>
              </w:rPr>
              <w:t>(iii) a patient wishes to recommence treatment with adalimumab, infliximab or ustekinumab following a break in PBS-subsidised therapy with that agent (Initial 2 - change or recommencement of treatment after a break in biological medicine of less than 5 years).</w:t>
            </w:r>
          </w:p>
          <w:p w14:paraId="4651B71A" w14:textId="77777777" w:rsidR="001A56FA" w:rsidRPr="00542CAF" w:rsidRDefault="001A56FA" w:rsidP="00C67964">
            <w:pPr>
              <w:pStyle w:val="Tabletext"/>
              <w:rPr>
                <w:szCs w:val="20"/>
              </w:rPr>
            </w:pPr>
          </w:p>
          <w:p w14:paraId="47EA4706" w14:textId="77777777" w:rsidR="001A56FA" w:rsidRPr="00542CAF" w:rsidRDefault="001A56FA" w:rsidP="00C67964">
            <w:pPr>
              <w:pStyle w:val="Tabletext"/>
              <w:rPr>
                <w:szCs w:val="20"/>
              </w:rPr>
            </w:pPr>
            <w:r w:rsidRPr="00542CAF">
              <w:rPr>
                <w:szCs w:val="20"/>
              </w:rPr>
              <w:t>Initial treatment authorisations will be limited to provide for a maximum of 16 weeks of therapy for adalimumab and ustekinumab and 14 weeks of therapy for infliximab.</w:t>
            </w:r>
          </w:p>
          <w:p w14:paraId="01B37E36" w14:textId="77777777" w:rsidR="001A56FA" w:rsidRPr="00542CAF" w:rsidRDefault="001A56FA" w:rsidP="00C67964">
            <w:pPr>
              <w:pStyle w:val="Tabletext"/>
              <w:rPr>
                <w:szCs w:val="20"/>
              </w:rPr>
            </w:pPr>
          </w:p>
          <w:p w14:paraId="5DFD869A" w14:textId="77777777" w:rsidR="001A56FA" w:rsidRPr="00542CAF" w:rsidRDefault="001A56FA" w:rsidP="00C67964">
            <w:pPr>
              <w:pStyle w:val="Tabletext"/>
              <w:rPr>
                <w:szCs w:val="20"/>
              </w:rPr>
            </w:pPr>
            <w:r w:rsidRPr="00542CAF">
              <w:rPr>
                <w:szCs w:val="20"/>
              </w:rPr>
              <w:t>From 1 April 2011, a patient must be assessed for response to any course of initial PBS-subsidised treatment following a minimum of 12 weeks of therapy for adalimumab and ustekinumab and up to 12 weeks after the first dose (6 weeks following the third dose) for infliximab, and this assessment must be conducted no later than 4 weeks from the date that course was ceased.</w:t>
            </w:r>
          </w:p>
          <w:p w14:paraId="6221A97F" w14:textId="77777777" w:rsidR="001A56FA" w:rsidRPr="00542CAF" w:rsidRDefault="001A56FA" w:rsidP="00C67964">
            <w:pPr>
              <w:pStyle w:val="Tabletext"/>
              <w:rPr>
                <w:szCs w:val="20"/>
              </w:rPr>
            </w:pPr>
          </w:p>
          <w:p w14:paraId="40705F07" w14:textId="77777777" w:rsidR="001A56FA" w:rsidRPr="00542CAF" w:rsidRDefault="001A56FA" w:rsidP="00C67964">
            <w:pPr>
              <w:pStyle w:val="Tabletext"/>
              <w:rPr>
                <w:szCs w:val="20"/>
              </w:rPr>
            </w:pPr>
            <w:r w:rsidRPr="00542CAF">
              <w:rPr>
                <w:szCs w:val="20"/>
              </w:rPr>
              <w:t>Where a response assessment is not conducted within these timeframes, the patient will be deemed to have failed to respond to treatment with that biological medicine unless the patient has experienced a serious adverse reaction of a severity resulting in the necessity for permanent withdrawal of treatment.</w:t>
            </w:r>
          </w:p>
          <w:p w14:paraId="31FA6CFB" w14:textId="77777777" w:rsidR="001A56FA" w:rsidRPr="00542CAF" w:rsidRDefault="001A56FA" w:rsidP="00C67964">
            <w:pPr>
              <w:pStyle w:val="Tabletext"/>
              <w:rPr>
                <w:szCs w:val="20"/>
              </w:rPr>
            </w:pPr>
          </w:p>
          <w:p w14:paraId="6F33A010" w14:textId="77777777" w:rsidR="001A56FA" w:rsidRPr="00542CAF" w:rsidRDefault="001A56FA" w:rsidP="00C67964">
            <w:pPr>
              <w:pStyle w:val="Tabletext"/>
              <w:rPr>
                <w:szCs w:val="20"/>
              </w:rPr>
            </w:pPr>
            <w:r w:rsidRPr="00542CAF">
              <w:rPr>
                <w:szCs w:val="20"/>
              </w:rPr>
              <w:t>(b) Continuing treatment.</w:t>
            </w:r>
          </w:p>
          <w:p w14:paraId="2A907F93" w14:textId="77777777" w:rsidR="001A56FA" w:rsidRPr="00542CAF" w:rsidRDefault="001A56FA" w:rsidP="00C67964">
            <w:pPr>
              <w:pStyle w:val="Tabletext"/>
              <w:rPr>
                <w:szCs w:val="20"/>
              </w:rPr>
            </w:pPr>
          </w:p>
          <w:p w14:paraId="047AE453" w14:textId="77777777" w:rsidR="001A56FA" w:rsidRPr="00542CAF" w:rsidRDefault="001A56FA" w:rsidP="00C67964">
            <w:pPr>
              <w:pStyle w:val="Tabletext"/>
              <w:rPr>
                <w:szCs w:val="20"/>
              </w:rPr>
            </w:pPr>
            <w:r w:rsidRPr="00542CAF">
              <w:rPr>
                <w:szCs w:val="20"/>
              </w:rPr>
              <w:t>Following the completion of an initial treatment course with a biological medicine, a patient may qualify to receive up to 24 weeks of continuing treatment with that drug providing they have demonstrated an adequate response to treatment. The patient remains eligible to receive continuing treatment with the same drug in courses of up to 24 weeks providing they continue to sustain the response.</w:t>
            </w:r>
          </w:p>
          <w:p w14:paraId="79960749" w14:textId="77777777" w:rsidR="001A56FA" w:rsidRPr="00542CAF" w:rsidRDefault="001A56FA" w:rsidP="00C67964">
            <w:pPr>
              <w:pStyle w:val="Tabletext"/>
              <w:rPr>
                <w:szCs w:val="20"/>
              </w:rPr>
            </w:pPr>
          </w:p>
          <w:p w14:paraId="0BA27222" w14:textId="77777777" w:rsidR="001A56FA" w:rsidRPr="00542CAF" w:rsidRDefault="001A56FA" w:rsidP="00C67964">
            <w:pPr>
              <w:pStyle w:val="Tabletext"/>
              <w:rPr>
                <w:szCs w:val="20"/>
              </w:rPr>
            </w:pPr>
            <w:r w:rsidRPr="00542CAF">
              <w:rPr>
                <w:szCs w:val="20"/>
              </w:rPr>
              <w:t>For the first continuing treatment course of PBS-subsidised biological medicine treatment, it is recommended that a patient is reviewed for response following a minimum of 12 weeks of therapy and no later than 4 weeks from the completion of the most recent course of treatment under the Initial 1, or Initial 2 treatment restrictions.</w:t>
            </w:r>
          </w:p>
          <w:p w14:paraId="72014A81" w14:textId="77777777" w:rsidR="001A56FA" w:rsidRPr="00542CAF" w:rsidRDefault="001A56FA" w:rsidP="00C67964">
            <w:pPr>
              <w:pStyle w:val="Tabletext"/>
              <w:rPr>
                <w:szCs w:val="20"/>
              </w:rPr>
            </w:pPr>
          </w:p>
          <w:p w14:paraId="369433FF" w14:textId="77777777" w:rsidR="001A56FA" w:rsidRPr="00542CAF" w:rsidRDefault="001A56FA" w:rsidP="00C67964">
            <w:pPr>
              <w:pStyle w:val="Tabletext"/>
              <w:rPr>
                <w:szCs w:val="20"/>
              </w:rPr>
            </w:pPr>
            <w:r w:rsidRPr="00542CAF">
              <w:rPr>
                <w:szCs w:val="20"/>
              </w:rPr>
              <w:lastRenderedPageBreak/>
              <w:t>For the second and subsequent continuing courses of PBS-subsidised biological medicine treatment, it is recommended that an assessment of a patient's response is conducted following a minimum of 12 weeks of therapy and no later than 4 weeks from the completion of the most recent course of treatment.</w:t>
            </w:r>
          </w:p>
          <w:p w14:paraId="6E9B7E4C" w14:textId="77777777" w:rsidR="001A56FA" w:rsidRPr="00542CAF" w:rsidRDefault="001A56FA" w:rsidP="00C67964">
            <w:pPr>
              <w:pStyle w:val="Tabletext"/>
              <w:rPr>
                <w:szCs w:val="20"/>
              </w:rPr>
            </w:pPr>
            <w:r w:rsidRPr="00542CAF">
              <w:rPr>
                <w:szCs w:val="20"/>
              </w:rPr>
              <w:t>Where a response assessment is not conducted within the required timeframe, the patient will be deemed to have failed to respond to treatment with that biological medicine, unless the patient has experienced a serious adverse reaction of a severity resulting in the necessity for permanent withdrawal of treatment.</w:t>
            </w:r>
          </w:p>
          <w:p w14:paraId="5E492072" w14:textId="77777777" w:rsidR="001A56FA" w:rsidRPr="00542CAF" w:rsidRDefault="001A56FA" w:rsidP="00C67964">
            <w:pPr>
              <w:pStyle w:val="Tabletext"/>
              <w:rPr>
                <w:szCs w:val="20"/>
              </w:rPr>
            </w:pPr>
          </w:p>
          <w:p w14:paraId="366E928D" w14:textId="77777777" w:rsidR="001A56FA" w:rsidRPr="00542CAF" w:rsidRDefault="001A56FA" w:rsidP="00C67964">
            <w:pPr>
              <w:pStyle w:val="Tabletext"/>
              <w:rPr>
                <w:szCs w:val="20"/>
              </w:rPr>
            </w:pPr>
            <w:r w:rsidRPr="00542CAF">
              <w:rPr>
                <w:szCs w:val="20"/>
              </w:rPr>
              <w:t>(2) Swapping therapy.</w:t>
            </w:r>
          </w:p>
          <w:p w14:paraId="4AF8FC98" w14:textId="77777777" w:rsidR="001A56FA" w:rsidRPr="00542CAF" w:rsidRDefault="001A56FA" w:rsidP="00C67964">
            <w:pPr>
              <w:pStyle w:val="Tabletext"/>
              <w:rPr>
                <w:szCs w:val="20"/>
              </w:rPr>
            </w:pPr>
          </w:p>
          <w:p w14:paraId="4CFF3719" w14:textId="77777777" w:rsidR="001A56FA" w:rsidRPr="00542CAF" w:rsidRDefault="001A56FA" w:rsidP="00C67964">
            <w:pPr>
              <w:pStyle w:val="Tabletext"/>
              <w:rPr>
                <w:szCs w:val="20"/>
              </w:rPr>
            </w:pPr>
            <w:r w:rsidRPr="00542CAF">
              <w:rPr>
                <w:szCs w:val="20"/>
              </w:rPr>
              <w:t>Once initial treatment with the first PBS-subsidised biological medicine is approved, a patient may swap if eligible to the alternate biological medicine within the same treatment cycle.</w:t>
            </w:r>
          </w:p>
          <w:p w14:paraId="75F198CA" w14:textId="77777777" w:rsidR="001A56FA" w:rsidRPr="00542CAF" w:rsidRDefault="001A56FA" w:rsidP="00C67964">
            <w:pPr>
              <w:pStyle w:val="Tabletext"/>
              <w:rPr>
                <w:szCs w:val="20"/>
              </w:rPr>
            </w:pPr>
          </w:p>
          <w:p w14:paraId="507F6E00" w14:textId="77777777" w:rsidR="001A56FA" w:rsidRPr="00542CAF" w:rsidRDefault="001A56FA" w:rsidP="00C67964">
            <w:pPr>
              <w:pStyle w:val="Tabletext"/>
              <w:rPr>
                <w:szCs w:val="20"/>
              </w:rPr>
            </w:pPr>
            <w:r w:rsidRPr="00542CAF">
              <w:rPr>
                <w:szCs w:val="20"/>
              </w:rPr>
              <w:t>A patient may trial the alternate biological medicine at any time, regardless of whether they are receiving therapy (initial or continuing) with adalimumab, infliximab or ustekinumab at the time of the application. However, they cannot swap to a particular biological medicine if they have failed to respond to prior treatment with that drug two times within the same treatment cycle.</w:t>
            </w:r>
          </w:p>
          <w:p w14:paraId="43ABD024" w14:textId="77777777" w:rsidR="001A56FA" w:rsidRPr="00542CAF" w:rsidRDefault="001A56FA" w:rsidP="00C67964">
            <w:pPr>
              <w:pStyle w:val="Tabletext"/>
              <w:rPr>
                <w:szCs w:val="20"/>
              </w:rPr>
            </w:pPr>
          </w:p>
          <w:p w14:paraId="315CBC43" w14:textId="77777777" w:rsidR="001A56FA" w:rsidRPr="00542CAF" w:rsidRDefault="001A56FA" w:rsidP="00C67964">
            <w:pPr>
              <w:pStyle w:val="Tabletext"/>
              <w:rPr>
                <w:szCs w:val="20"/>
              </w:rPr>
            </w:pPr>
            <w:r w:rsidRPr="00542CAF">
              <w:rPr>
                <w:szCs w:val="20"/>
              </w:rPr>
              <w:t>To ensure a patient receives the maximum treatment opportunities allowed under these arrangements, it is important that they are assessed for response to every course of treatment within the timeframes specified in the relevant restriction.</w:t>
            </w:r>
          </w:p>
          <w:p w14:paraId="4DAF1F3F" w14:textId="77777777" w:rsidR="001A56FA" w:rsidRPr="00542CAF" w:rsidRDefault="001A56FA" w:rsidP="00C67964">
            <w:pPr>
              <w:pStyle w:val="Tabletext"/>
              <w:rPr>
                <w:szCs w:val="20"/>
              </w:rPr>
            </w:pPr>
          </w:p>
          <w:p w14:paraId="524E839C" w14:textId="77777777" w:rsidR="001A56FA" w:rsidRPr="00542CAF" w:rsidRDefault="001A56FA" w:rsidP="00C67964">
            <w:pPr>
              <w:pStyle w:val="Tabletext"/>
              <w:rPr>
                <w:szCs w:val="20"/>
              </w:rPr>
            </w:pPr>
            <w:r w:rsidRPr="00542CAF">
              <w:rPr>
                <w:szCs w:val="20"/>
              </w:rPr>
              <w:t>A patient who is not able to complete an initial treatment course for a biological medicine will be deemed to have failed treatment with that biological medicine unless the patient has experienced a serious adverse reaction of a severity resulting in the necessity for permanent withdrawal of treatment.</w:t>
            </w:r>
          </w:p>
          <w:p w14:paraId="291BDBB4" w14:textId="77777777" w:rsidR="001A56FA" w:rsidRPr="00542CAF" w:rsidRDefault="001A56FA" w:rsidP="00C67964">
            <w:pPr>
              <w:pStyle w:val="Tabletext"/>
              <w:rPr>
                <w:szCs w:val="20"/>
              </w:rPr>
            </w:pPr>
          </w:p>
          <w:p w14:paraId="2CC84EAD" w14:textId="77777777" w:rsidR="001A56FA" w:rsidRPr="00542CAF" w:rsidRDefault="001A56FA" w:rsidP="00C67964">
            <w:pPr>
              <w:pStyle w:val="Tabletext"/>
              <w:rPr>
                <w:szCs w:val="20"/>
              </w:rPr>
            </w:pPr>
            <w:r w:rsidRPr="00542CAF">
              <w:rPr>
                <w:szCs w:val="20"/>
              </w:rPr>
              <w:t>(3) Baseline measurements to determine response.</w:t>
            </w:r>
          </w:p>
          <w:p w14:paraId="1B7F04DD" w14:textId="77777777" w:rsidR="001A56FA" w:rsidRPr="00542CAF" w:rsidRDefault="001A56FA" w:rsidP="00C67964">
            <w:pPr>
              <w:pStyle w:val="Tabletext"/>
              <w:rPr>
                <w:szCs w:val="20"/>
              </w:rPr>
            </w:pPr>
          </w:p>
          <w:p w14:paraId="72EA46BB" w14:textId="77777777" w:rsidR="001A56FA" w:rsidRPr="00542CAF" w:rsidRDefault="001A56FA" w:rsidP="00C67964">
            <w:pPr>
              <w:pStyle w:val="Tabletext"/>
              <w:rPr>
                <w:szCs w:val="20"/>
              </w:rPr>
            </w:pPr>
            <w:r w:rsidRPr="00542CAF">
              <w:rPr>
                <w:szCs w:val="20"/>
              </w:rPr>
              <w:t>A response to treatment is to be determined by comparison of current disease activity measurements relative to the baseline measurements submitted with the first authority application for adalimumab, infliximab or ustekinumab. However, prescribers may provide new baseline measurements any time that an initial treatment authority application is submitted within a treatment cycle and the eligibility for continuing treatment must be assessed according to these revised baseline measurements.</w:t>
            </w:r>
          </w:p>
          <w:p w14:paraId="20A879D5" w14:textId="77777777" w:rsidR="001A56FA" w:rsidRPr="00542CAF" w:rsidRDefault="001A56FA" w:rsidP="00C67964">
            <w:pPr>
              <w:pStyle w:val="Tabletext"/>
              <w:rPr>
                <w:szCs w:val="20"/>
              </w:rPr>
            </w:pPr>
          </w:p>
          <w:p w14:paraId="7A56AAA1" w14:textId="77777777" w:rsidR="001A56FA" w:rsidRPr="00542CAF" w:rsidRDefault="001A56FA" w:rsidP="00C67964">
            <w:pPr>
              <w:pStyle w:val="Tabletext"/>
              <w:rPr>
                <w:szCs w:val="20"/>
              </w:rPr>
            </w:pPr>
            <w:r w:rsidRPr="00542CAF">
              <w:rPr>
                <w:szCs w:val="20"/>
              </w:rPr>
              <w:t>(4) Recommencement of treatment after a 5-year break in PBS-subsidised therapy.</w:t>
            </w:r>
          </w:p>
          <w:p w14:paraId="69DCE2EA" w14:textId="77777777" w:rsidR="001A56FA" w:rsidRPr="00542CAF" w:rsidRDefault="001A56FA" w:rsidP="00C67964">
            <w:pPr>
              <w:pStyle w:val="Tabletext"/>
              <w:rPr>
                <w:szCs w:val="20"/>
              </w:rPr>
            </w:pPr>
          </w:p>
          <w:p w14:paraId="69873442" w14:textId="71482691" w:rsidR="001A56FA" w:rsidRPr="00542CAF" w:rsidRDefault="001A56FA" w:rsidP="00240923">
            <w:pPr>
              <w:pStyle w:val="Tabletext"/>
              <w:rPr>
                <w:szCs w:val="20"/>
              </w:rPr>
            </w:pPr>
            <w:r w:rsidRPr="00542CAF">
              <w:rPr>
                <w:szCs w:val="20"/>
              </w:rPr>
              <w:t>A patient who wishes to recommence treatment following a break in PBS-subsidised biological medicine therapy of at least 5 years, must requalify for initial treatment with respect to the indices of disease severity.</w:t>
            </w:r>
          </w:p>
        </w:tc>
      </w:tr>
    </w:tbl>
    <w:p w14:paraId="1528AC32" w14:textId="77777777" w:rsidR="009176A9" w:rsidRDefault="009176A9" w:rsidP="001A56FA">
      <w:pPr>
        <w:rPr>
          <w:rFonts w:asciiTheme="minorHAnsi" w:hAnsiTheme="minorHAnsi" w:cstheme="minorHAnsi"/>
          <w:color w:val="365F91" w:themeColor="accent1" w:themeShade="BF"/>
        </w:rPr>
      </w:pPr>
    </w:p>
    <w:p w14:paraId="4DF9BEB7" w14:textId="3CB12076" w:rsidR="001A56FA" w:rsidRPr="005C0759" w:rsidRDefault="009176A9" w:rsidP="001A56FA">
      <w:pPr>
        <w:rPr>
          <w:rFonts w:asciiTheme="minorHAnsi" w:hAnsiTheme="minorHAnsi" w:cstheme="minorHAnsi"/>
        </w:rPr>
      </w:pPr>
      <w:r w:rsidRPr="005C0759">
        <w:rPr>
          <w:rFonts w:asciiTheme="minorHAnsi" w:hAnsiTheme="minorHAnsi" w:cstheme="minorHAnsi"/>
        </w:rPr>
        <w:t>Flow on changes to adalimumab and infliximab will also be required to include the updated administrative note</w:t>
      </w:r>
      <w:r w:rsidR="00372828" w:rsidRPr="005C0759">
        <w:rPr>
          <w:rFonts w:asciiTheme="minorHAnsi" w:hAnsiTheme="minorHAnsi" w:cstheme="minorHAnsi"/>
        </w:rPr>
        <w:t xml:space="preserve"> for Complex refractory Fistulising Crohn disease</w:t>
      </w:r>
      <w:r w:rsidRPr="005C0759">
        <w:rPr>
          <w:rFonts w:asciiTheme="minorHAnsi" w:hAnsiTheme="minorHAnsi" w:cstheme="minorHAnsi"/>
        </w:rPr>
        <w:t>. These listings</w:t>
      </w:r>
      <w:r w:rsidR="00372828" w:rsidRPr="005C0759">
        <w:rPr>
          <w:rFonts w:asciiTheme="minorHAnsi" w:hAnsiTheme="minorHAnsi" w:cstheme="minorHAnsi"/>
        </w:rPr>
        <w:t xml:space="preserve"> include</w:t>
      </w:r>
      <w:r w:rsidRPr="005C0759">
        <w:rPr>
          <w:rFonts w:asciiTheme="minorHAnsi" w:hAnsiTheme="minorHAnsi" w:cstheme="minorHAnsi"/>
        </w:rPr>
        <w:t xml:space="preserve">: 12340L, </w:t>
      </w:r>
      <w:r w:rsidR="00372828" w:rsidRPr="005C0759">
        <w:rPr>
          <w:rFonts w:asciiTheme="minorHAnsi" w:hAnsiTheme="minorHAnsi" w:cstheme="minorHAnsi"/>
        </w:rPr>
        <w:t>12381P, 12446C, 13230H, 12380N, 12397L, 12405X, 13220T, 8965W, 8966X, 12353E, 12386X, 8963R, 8964T, 12331B, 12367X, 12360M, 12393G, 12393G, 9674E, 11412P, 11423F, 11424G, 11432Q, 13055D, 13060J, 13061K, 13072B, 13073C, 13074D.</w:t>
      </w:r>
      <w:r w:rsidR="00372828" w:rsidRPr="005C0759">
        <w:rPr>
          <w:rFonts w:ascii="Open Sans" w:hAnsi="Open Sans" w:cs="Open Sans"/>
          <w:sz w:val="22"/>
          <w:szCs w:val="22"/>
          <w:shd w:val="clear" w:color="auto" w:fill="FFFFFF"/>
        </w:rPr>
        <w:t>   </w:t>
      </w:r>
    </w:p>
    <w:p w14:paraId="2E4CC842" w14:textId="77777777" w:rsidR="009176A9" w:rsidRDefault="009176A9" w:rsidP="001A56FA">
      <w:pPr>
        <w:rPr>
          <w:rFonts w:asciiTheme="minorHAnsi" w:hAnsiTheme="minorHAnsi" w:cstheme="minorHAnsi"/>
          <w:color w:val="365F91" w:themeColor="accent1" w:themeShade="BF"/>
        </w:rPr>
      </w:pPr>
    </w:p>
    <w:p w14:paraId="7739D2B5" w14:textId="3C312204" w:rsidR="009176A9" w:rsidRPr="005E7DE4" w:rsidRDefault="009176A9" w:rsidP="001A56FA">
      <w:pPr>
        <w:rPr>
          <w:rFonts w:asciiTheme="minorHAnsi" w:hAnsiTheme="minorHAnsi" w:cstheme="minorHAnsi"/>
          <w:b/>
          <w:bCs/>
          <w:i/>
          <w:iCs/>
          <w:snapToGrid w:val="0"/>
          <w:sz w:val="28"/>
          <w:szCs w:val="22"/>
        </w:rPr>
      </w:pPr>
      <w:r w:rsidRPr="005E7DE4">
        <w:rPr>
          <w:rFonts w:asciiTheme="minorHAnsi" w:hAnsiTheme="minorHAnsi" w:cstheme="minorHAnsi"/>
          <w:b/>
          <w:bCs/>
          <w:i/>
          <w:iCs/>
        </w:rPr>
        <w:t>This restriction may be subject to further review. Should there be any changes made to the restriction the sponsor will be informed.</w:t>
      </w:r>
    </w:p>
    <w:p w14:paraId="46EF28A2" w14:textId="3A4CC2D8" w:rsidR="00753B29" w:rsidRDefault="00753B29">
      <w:pPr>
        <w:jc w:val="left"/>
        <w:rPr>
          <w:rFonts w:asciiTheme="minorHAnsi" w:hAnsiTheme="minorHAnsi"/>
          <w:b/>
          <w:snapToGrid w:val="0"/>
          <w:sz w:val="32"/>
          <w:szCs w:val="32"/>
        </w:rPr>
      </w:pPr>
    </w:p>
    <w:p w14:paraId="7611D660" w14:textId="39FF3541" w:rsidR="00BB1B74" w:rsidRDefault="00BB1B74" w:rsidP="00BB1B74">
      <w:pPr>
        <w:pStyle w:val="2-SectionHeading"/>
        <w:rPr>
          <w:bCs/>
          <w:lang w:val="en-GB"/>
        </w:rPr>
      </w:pPr>
      <w:r w:rsidRPr="00BB1B74">
        <w:rPr>
          <w:lang w:val="en-GB"/>
        </w:rPr>
        <w:lastRenderedPageBreak/>
        <w:t>Context</w:t>
      </w:r>
      <w:r w:rsidRPr="00C07617">
        <w:t xml:space="preserve"> for Decision</w:t>
      </w:r>
    </w:p>
    <w:p w14:paraId="255A0CA0" w14:textId="77777777" w:rsidR="00BB1B74" w:rsidRPr="007129F2" w:rsidRDefault="00BB1B74" w:rsidP="00BB1B74">
      <w:pPr>
        <w:spacing w:after="120"/>
        <w:ind w:left="709"/>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bCs/>
          <w:lang w:val="en-GB"/>
        </w:rPr>
        <w:t>be made</w:t>
      </w:r>
      <w:proofErr w:type="gramEnd"/>
      <w:r w:rsidRPr="007129F2">
        <w:rPr>
          <w:rFonts w:asciiTheme="minorHAnsi" w:hAnsiTheme="minorHAnsi"/>
          <w:bCs/>
          <w:lang w:val="en-GB"/>
        </w:rPr>
        <w:t xml:space="preserve"> available through the PBS. The PBAC welcomes applications containing new information at any time.</w:t>
      </w:r>
    </w:p>
    <w:p w14:paraId="0AA31166" w14:textId="4F0C607F" w:rsidR="00BB1B74" w:rsidRPr="00C07617" w:rsidRDefault="00BB1B74" w:rsidP="00BB1B74">
      <w:pPr>
        <w:pStyle w:val="2-SectionHeading"/>
        <w:rPr>
          <w:b w:val="0"/>
        </w:rPr>
      </w:pPr>
      <w:r w:rsidRPr="00BB1B74">
        <w:rPr>
          <w:lang w:val="en-GB"/>
        </w:rPr>
        <w:t>Sponsor’s</w:t>
      </w:r>
      <w:r>
        <w:t xml:space="preserve"> Comment</w:t>
      </w:r>
    </w:p>
    <w:p w14:paraId="066ECD6C" w14:textId="77777777" w:rsidR="00BB1B74" w:rsidRPr="001179AC" w:rsidRDefault="00BB1B74" w:rsidP="00BB1B74">
      <w:pPr>
        <w:spacing w:after="120"/>
        <w:ind w:left="709"/>
        <w:rPr>
          <w:rFonts w:asciiTheme="minorHAnsi" w:hAnsiTheme="minorHAnsi"/>
          <w:bCs/>
        </w:rPr>
      </w:pPr>
      <w:r w:rsidRPr="00C07617">
        <w:rPr>
          <w:rFonts w:asciiTheme="minorHAnsi" w:hAnsiTheme="minorHAnsi"/>
          <w:bCs/>
        </w:rPr>
        <w:t>The sponsor had no comment.</w:t>
      </w:r>
    </w:p>
    <w:p w14:paraId="2DDBBC59" w14:textId="0170C44E" w:rsidR="00817DB7" w:rsidRPr="00817DB7" w:rsidRDefault="00817DB7">
      <w:pPr>
        <w:jc w:val="left"/>
        <w:rPr>
          <w:rFonts w:asciiTheme="minorHAnsi" w:eastAsiaTheme="majorEastAsia" w:hAnsiTheme="minorHAnsi" w:cstheme="majorBidi"/>
          <w:b/>
          <w:color w:val="000000" w:themeColor="text1"/>
          <w:u w:val="single"/>
        </w:rPr>
      </w:pPr>
    </w:p>
    <w:sectPr w:rsidR="00817DB7" w:rsidRPr="00817DB7" w:rsidSect="0086782C">
      <w:headerReference w:type="default" r:id="rId11"/>
      <w:footerReference w:type="default" r:id="rId1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78A2" w14:textId="77777777" w:rsidR="00500A1D" w:rsidRDefault="00500A1D" w:rsidP="00124A51">
      <w:r>
        <w:separator/>
      </w:r>
    </w:p>
    <w:p w14:paraId="5E0185E3" w14:textId="77777777" w:rsidR="00500A1D" w:rsidRDefault="00500A1D"/>
  </w:endnote>
  <w:endnote w:type="continuationSeparator" w:id="0">
    <w:p w14:paraId="1D1BCAFB" w14:textId="77777777" w:rsidR="00500A1D" w:rsidRDefault="00500A1D" w:rsidP="00124A51">
      <w:r>
        <w:continuationSeparator/>
      </w:r>
    </w:p>
    <w:p w14:paraId="4E46B5A8" w14:textId="77777777" w:rsidR="00500A1D" w:rsidRDefault="00500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0600DC" w:rsidRDefault="000600DC" w:rsidP="00753B29">
    <w:pPr>
      <w:pStyle w:val="Footer"/>
      <w:jc w:val="center"/>
    </w:pPr>
  </w:p>
  <w:bookmarkStart w:id="53" w:name="_Hlk76375156"/>
  <w:bookmarkStart w:id="54" w:name="_Hlk138321463"/>
  <w:p w14:paraId="37484CD3" w14:textId="452F62DF" w:rsidR="000600DC" w:rsidRPr="00F81A33" w:rsidRDefault="00F81A33" w:rsidP="00F81A33">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53"/>
    <w:bookmarkEnd w:id="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EE08" w14:textId="77777777" w:rsidR="00500A1D" w:rsidRDefault="00500A1D" w:rsidP="00124A51">
      <w:r>
        <w:separator/>
      </w:r>
    </w:p>
    <w:p w14:paraId="271172CA" w14:textId="77777777" w:rsidR="00500A1D" w:rsidRDefault="00500A1D"/>
  </w:footnote>
  <w:footnote w:type="continuationSeparator" w:id="0">
    <w:p w14:paraId="77061D20" w14:textId="77777777" w:rsidR="00500A1D" w:rsidRDefault="00500A1D" w:rsidP="00124A51">
      <w:r>
        <w:continuationSeparator/>
      </w:r>
    </w:p>
    <w:p w14:paraId="40984624" w14:textId="77777777" w:rsidR="00500A1D" w:rsidRDefault="00500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5F85" w14:textId="1F369057" w:rsidR="00F81A33" w:rsidRPr="00056684" w:rsidRDefault="00BB1B74" w:rsidP="00F81A33">
    <w:pPr>
      <w:pStyle w:val="Header"/>
      <w:ind w:left="360"/>
      <w:rPr>
        <w:rFonts w:asciiTheme="minorHAnsi" w:hAnsiTheme="minorHAnsi"/>
        <w:i/>
        <w:color w:val="808080"/>
      </w:rPr>
    </w:pPr>
    <w:bookmarkStart w:id="52" w:name="_Hlk76375146"/>
    <w:r>
      <w:rPr>
        <w:rFonts w:asciiTheme="minorHAnsi" w:hAnsiTheme="minorHAnsi"/>
        <w:i/>
        <w:color w:val="808080"/>
      </w:rPr>
      <w:t>Public Summary Document</w:t>
    </w:r>
    <w:r w:rsidR="00F81A33" w:rsidRPr="00056684">
      <w:rPr>
        <w:rFonts w:asciiTheme="minorHAnsi" w:hAnsiTheme="minorHAnsi"/>
        <w:i/>
        <w:color w:val="808080"/>
      </w:rPr>
      <w:t xml:space="preserve"> – </w:t>
    </w:r>
    <w:r w:rsidR="00F81A33">
      <w:rPr>
        <w:rFonts w:asciiTheme="minorHAnsi" w:hAnsiTheme="minorHAnsi"/>
        <w:i/>
        <w:color w:val="808080"/>
      </w:rPr>
      <w:t>July 2023</w:t>
    </w:r>
    <w:r w:rsidR="00F81A33" w:rsidRPr="00056684">
      <w:rPr>
        <w:rFonts w:asciiTheme="minorHAnsi" w:hAnsiTheme="minorHAnsi"/>
        <w:i/>
        <w:color w:val="808080"/>
      </w:rPr>
      <w:t xml:space="preserve"> PBAC Meeting</w:t>
    </w:r>
  </w:p>
  <w:bookmarkEnd w:id="52"/>
  <w:p w14:paraId="03AF943B" w14:textId="77777777" w:rsidR="000600DC" w:rsidRPr="008C7ECB" w:rsidRDefault="000600DC" w:rsidP="005B7AD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44C5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A54D9"/>
    <w:multiLevelType w:val="hybridMultilevel"/>
    <w:tmpl w:val="A814A272"/>
    <w:lvl w:ilvl="0" w:tplc="9A2E5E34">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25617A"/>
    <w:multiLevelType w:val="hybridMultilevel"/>
    <w:tmpl w:val="7A324854"/>
    <w:lvl w:ilvl="0" w:tplc="55EC9DB0">
      <w:start w:val="1"/>
      <w:numFmt w:val="bullet"/>
      <w:pStyle w:val="Tablebullet1"/>
      <w:lvlText w:val=""/>
      <w:lvlJc w:val="left"/>
      <w:pPr>
        <w:ind w:left="720" w:hanging="360"/>
      </w:pPr>
      <w:rPr>
        <w:rFonts w:ascii="Wingdings" w:hAnsi="Wingdings" w:hint="default"/>
      </w:rPr>
    </w:lvl>
    <w:lvl w:ilvl="1" w:tplc="4CB05010">
      <w:start w:val="1"/>
      <w:numFmt w:val="bullet"/>
      <w:pStyle w:val="Tablebullet2"/>
      <w:lvlText w:val="o"/>
      <w:lvlJc w:val="left"/>
      <w:pPr>
        <w:ind w:left="1440" w:hanging="360"/>
      </w:pPr>
      <w:rPr>
        <w:rFonts w:ascii="Courier New" w:hAnsi="Courier New" w:cs="Courier New" w:hint="default"/>
      </w:rPr>
    </w:lvl>
    <w:lvl w:ilvl="2" w:tplc="D9EE071E">
      <w:start w:val="1"/>
      <w:numFmt w:val="bullet"/>
      <w:pStyle w:val="Table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F12223"/>
    <w:multiLevelType w:val="hybridMultilevel"/>
    <w:tmpl w:val="EB747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913996"/>
    <w:multiLevelType w:val="hybridMultilevel"/>
    <w:tmpl w:val="CE9480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C36BA9"/>
    <w:multiLevelType w:val="hybridMultilevel"/>
    <w:tmpl w:val="69FAFC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A73F50"/>
    <w:multiLevelType w:val="hybridMultilevel"/>
    <w:tmpl w:val="98904914"/>
    <w:lvl w:ilvl="0" w:tplc="0C090003">
      <w:start w:val="1"/>
      <w:numFmt w:val="bullet"/>
      <w:lvlText w:val="o"/>
      <w:lvlJc w:val="left"/>
      <w:pPr>
        <w:ind w:left="9291" w:hanging="360"/>
      </w:pPr>
      <w:rPr>
        <w:rFonts w:ascii="Courier New" w:hAnsi="Courier New" w:cs="Courier New" w:hint="default"/>
      </w:rPr>
    </w:lvl>
    <w:lvl w:ilvl="1" w:tplc="FFFFFFFF">
      <w:start w:val="1"/>
      <w:numFmt w:val="bullet"/>
      <w:lvlText w:val="o"/>
      <w:lvlJc w:val="left"/>
      <w:pPr>
        <w:ind w:left="10011" w:hanging="360"/>
      </w:pPr>
      <w:rPr>
        <w:rFonts w:ascii="Courier New" w:hAnsi="Courier New" w:cs="Courier New" w:hint="default"/>
      </w:rPr>
    </w:lvl>
    <w:lvl w:ilvl="2" w:tplc="FFFFFFFF" w:tentative="1">
      <w:start w:val="1"/>
      <w:numFmt w:val="bullet"/>
      <w:lvlText w:val=""/>
      <w:lvlJc w:val="left"/>
      <w:pPr>
        <w:ind w:left="10731" w:hanging="360"/>
      </w:pPr>
      <w:rPr>
        <w:rFonts w:ascii="Wingdings" w:hAnsi="Wingdings" w:hint="default"/>
      </w:rPr>
    </w:lvl>
    <w:lvl w:ilvl="3" w:tplc="FFFFFFFF" w:tentative="1">
      <w:start w:val="1"/>
      <w:numFmt w:val="bullet"/>
      <w:lvlText w:val=""/>
      <w:lvlJc w:val="left"/>
      <w:pPr>
        <w:ind w:left="11451" w:hanging="360"/>
      </w:pPr>
      <w:rPr>
        <w:rFonts w:ascii="Symbol" w:hAnsi="Symbol" w:hint="default"/>
      </w:rPr>
    </w:lvl>
    <w:lvl w:ilvl="4" w:tplc="FFFFFFFF" w:tentative="1">
      <w:start w:val="1"/>
      <w:numFmt w:val="bullet"/>
      <w:lvlText w:val="o"/>
      <w:lvlJc w:val="left"/>
      <w:pPr>
        <w:ind w:left="12171" w:hanging="360"/>
      </w:pPr>
      <w:rPr>
        <w:rFonts w:ascii="Courier New" w:hAnsi="Courier New" w:cs="Courier New" w:hint="default"/>
      </w:rPr>
    </w:lvl>
    <w:lvl w:ilvl="5" w:tplc="FFFFFFFF" w:tentative="1">
      <w:start w:val="1"/>
      <w:numFmt w:val="bullet"/>
      <w:lvlText w:val=""/>
      <w:lvlJc w:val="left"/>
      <w:pPr>
        <w:ind w:left="12891" w:hanging="360"/>
      </w:pPr>
      <w:rPr>
        <w:rFonts w:ascii="Wingdings" w:hAnsi="Wingdings" w:hint="default"/>
      </w:rPr>
    </w:lvl>
    <w:lvl w:ilvl="6" w:tplc="FFFFFFFF" w:tentative="1">
      <w:start w:val="1"/>
      <w:numFmt w:val="bullet"/>
      <w:lvlText w:val=""/>
      <w:lvlJc w:val="left"/>
      <w:pPr>
        <w:ind w:left="13611" w:hanging="360"/>
      </w:pPr>
      <w:rPr>
        <w:rFonts w:ascii="Symbol" w:hAnsi="Symbol" w:hint="default"/>
      </w:rPr>
    </w:lvl>
    <w:lvl w:ilvl="7" w:tplc="FFFFFFFF" w:tentative="1">
      <w:start w:val="1"/>
      <w:numFmt w:val="bullet"/>
      <w:lvlText w:val="o"/>
      <w:lvlJc w:val="left"/>
      <w:pPr>
        <w:ind w:left="14331" w:hanging="360"/>
      </w:pPr>
      <w:rPr>
        <w:rFonts w:ascii="Courier New" w:hAnsi="Courier New" w:cs="Courier New" w:hint="default"/>
      </w:rPr>
    </w:lvl>
    <w:lvl w:ilvl="8" w:tplc="FFFFFFFF" w:tentative="1">
      <w:start w:val="1"/>
      <w:numFmt w:val="bullet"/>
      <w:lvlText w:val=""/>
      <w:lvlJc w:val="left"/>
      <w:pPr>
        <w:ind w:left="15051" w:hanging="360"/>
      </w:pPr>
      <w:rPr>
        <w:rFonts w:ascii="Wingdings" w:hAnsi="Wingdings" w:hint="default"/>
      </w:rPr>
    </w:lvl>
  </w:abstractNum>
  <w:abstractNum w:abstractNumId="16" w15:restartNumberingAfterBreak="0">
    <w:nsid w:val="593C0F94"/>
    <w:multiLevelType w:val="hybridMultilevel"/>
    <w:tmpl w:val="CB6CA1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6629CF"/>
    <w:multiLevelType w:val="hybridMultilevel"/>
    <w:tmpl w:val="704478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69205D"/>
    <w:multiLevelType w:val="hybridMultilevel"/>
    <w:tmpl w:val="7D5EE4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712581392">
    <w:abstractNumId w:val="21"/>
  </w:num>
  <w:num w:numId="2" w16cid:durableId="1043948462">
    <w:abstractNumId w:val="11"/>
  </w:num>
  <w:num w:numId="3" w16cid:durableId="289480915">
    <w:abstractNumId w:val="12"/>
  </w:num>
  <w:num w:numId="4" w16cid:durableId="978412066">
    <w:abstractNumId w:val="0"/>
  </w:num>
  <w:num w:numId="5" w16cid:durableId="1931812251">
    <w:abstractNumId w:val="21"/>
  </w:num>
  <w:num w:numId="6" w16cid:durableId="638998648">
    <w:abstractNumId w:val="22"/>
  </w:num>
  <w:num w:numId="7" w16cid:durableId="1166552822">
    <w:abstractNumId w:val="18"/>
  </w:num>
  <w:num w:numId="8" w16cid:durableId="1195457423">
    <w:abstractNumId w:val="9"/>
  </w:num>
  <w:num w:numId="9" w16cid:durableId="1110784474">
    <w:abstractNumId w:val="20"/>
  </w:num>
  <w:num w:numId="10" w16cid:durableId="92361993">
    <w:abstractNumId w:val="8"/>
  </w:num>
  <w:num w:numId="11" w16cid:durableId="1851219506">
    <w:abstractNumId w:val="15"/>
  </w:num>
  <w:num w:numId="12" w16cid:durableId="600458372">
    <w:abstractNumId w:val="10"/>
  </w:num>
  <w:num w:numId="13" w16cid:durableId="1709254143">
    <w:abstractNumId w:val="6"/>
  </w:num>
  <w:num w:numId="14" w16cid:durableId="564071749">
    <w:abstractNumId w:val="23"/>
  </w:num>
  <w:num w:numId="15" w16cid:durableId="894586995">
    <w:abstractNumId w:val="16"/>
  </w:num>
  <w:num w:numId="16" w16cid:durableId="1948191643">
    <w:abstractNumId w:val="24"/>
  </w:num>
  <w:num w:numId="17" w16cid:durableId="1024360252">
    <w:abstractNumId w:val="3"/>
  </w:num>
  <w:num w:numId="18" w16cid:durableId="197664792">
    <w:abstractNumId w:val="13"/>
  </w:num>
  <w:num w:numId="19" w16cid:durableId="1121073639">
    <w:abstractNumId w:val="14"/>
  </w:num>
  <w:num w:numId="20" w16cid:durableId="1754156975">
    <w:abstractNumId w:val="2"/>
  </w:num>
  <w:num w:numId="21" w16cid:durableId="320740792">
    <w:abstractNumId w:val="1"/>
  </w:num>
  <w:num w:numId="22" w16cid:durableId="2132892418">
    <w:abstractNumId w:val="5"/>
  </w:num>
  <w:num w:numId="23" w16cid:durableId="690029675">
    <w:abstractNumId w:val="7"/>
  </w:num>
  <w:num w:numId="24" w16cid:durableId="1149591202">
    <w:abstractNumId w:val="4"/>
  </w:num>
  <w:num w:numId="25" w16cid:durableId="159535713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5467650">
    <w:abstractNumId w:val="19"/>
  </w:num>
  <w:num w:numId="27" w16cid:durableId="1151212033">
    <w:abstractNumId w:val="21"/>
  </w:num>
  <w:num w:numId="28" w16cid:durableId="16895277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110B"/>
    <w:rsid w:val="00003200"/>
    <w:rsid w:val="00003499"/>
    <w:rsid w:val="00003635"/>
    <w:rsid w:val="0000373C"/>
    <w:rsid w:val="000039B7"/>
    <w:rsid w:val="00004598"/>
    <w:rsid w:val="000056B9"/>
    <w:rsid w:val="000059D3"/>
    <w:rsid w:val="00006372"/>
    <w:rsid w:val="0000639A"/>
    <w:rsid w:val="0000773E"/>
    <w:rsid w:val="00010AB4"/>
    <w:rsid w:val="000121AF"/>
    <w:rsid w:val="00013247"/>
    <w:rsid w:val="00014760"/>
    <w:rsid w:val="00015886"/>
    <w:rsid w:val="000162EF"/>
    <w:rsid w:val="000201D2"/>
    <w:rsid w:val="000207C9"/>
    <w:rsid w:val="000209A9"/>
    <w:rsid w:val="0002225F"/>
    <w:rsid w:val="0002262B"/>
    <w:rsid w:val="00022A64"/>
    <w:rsid w:val="00023763"/>
    <w:rsid w:val="00023888"/>
    <w:rsid w:val="00024EB5"/>
    <w:rsid w:val="000274B8"/>
    <w:rsid w:val="00033844"/>
    <w:rsid w:val="00033863"/>
    <w:rsid w:val="00035735"/>
    <w:rsid w:val="00035DC0"/>
    <w:rsid w:val="00036829"/>
    <w:rsid w:val="00037D01"/>
    <w:rsid w:val="00040895"/>
    <w:rsid w:val="000410A0"/>
    <w:rsid w:val="00042EEE"/>
    <w:rsid w:val="000435EE"/>
    <w:rsid w:val="00043C37"/>
    <w:rsid w:val="00044AFD"/>
    <w:rsid w:val="00045017"/>
    <w:rsid w:val="00045886"/>
    <w:rsid w:val="00045A2B"/>
    <w:rsid w:val="0004698F"/>
    <w:rsid w:val="00046A3E"/>
    <w:rsid w:val="00046D64"/>
    <w:rsid w:val="00046E72"/>
    <w:rsid w:val="00047B29"/>
    <w:rsid w:val="000508C2"/>
    <w:rsid w:val="000539D0"/>
    <w:rsid w:val="00054621"/>
    <w:rsid w:val="000546D7"/>
    <w:rsid w:val="00054888"/>
    <w:rsid w:val="00054A8D"/>
    <w:rsid w:val="00054EA6"/>
    <w:rsid w:val="00056ECF"/>
    <w:rsid w:val="000600DC"/>
    <w:rsid w:val="000604DF"/>
    <w:rsid w:val="00060B3A"/>
    <w:rsid w:val="00061511"/>
    <w:rsid w:val="000653B5"/>
    <w:rsid w:val="00066360"/>
    <w:rsid w:val="00066AF8"/>
    <w:rsid w:val="000677CD"/>
    <w:rsid w:val="00067F35"/>
    <w:rsid w:val="00071248"/>
    <w:rsid w:val="000720B9"/>
    <w:rsid w:val="000737F7"/>
    <w:rsid w:val="00075421"/>
    <w:rsid w:val="00075696"/>
    <w:rsid w:val="0007672F"/>
    <w:rsid w:val="0007682B"/>
    <w:rsid w:val="00076B54"/>
    <w:rsid w:val="000774F0"/>
    <w:rsid w:val="000778BC"/>
    <w:rsid w:val="00080909"/>
    <w:rsid w:val="000812CA"/>
    <w:rsid w:val="00081E63"/>
    <w:rsid w:val="0008258D"/>
    <w:rsid w:val="00083166"/>
    <w:rsid w:val="000835F9"/>
    <w:rsid w:val="00083E99"/>
    <w:rsid w:val="00084FA8"/>
    <w:rsid w:val="00084FAC"/>
    <w:rsid w:val="000856C5"/>
    <w:rsid w:val="00085C31"/>
    <w:rsid w:val="000865DA"/>
    <w:rsid w:val="000874C5"/>
    <w:rsid w:val="000878E3"/>
    <w:rsid w:val="000902D9"/>
    <w:rsid w:val="00090C7E"/>
    <w:rsid w:val="000911AC"/>
    <w:rsid w:val="00091900"/>
    <w:rsid w:val="00092600"/>
    <w:rsid w:val="0009262B"/>
    <w:rsid w:val="000928BE"/>
    <w:rsid w:val="00093310"/>
    <w:rsid w:val="00093E39"/>
    <w:rsid w:val="0009445C"/>
    <w:rsid w:val="00095200"/>
    <w:rsid w:val="00095FE5"/>
    <w:rsid w:val="00096284"/>
    <w:rsid w:val="000A1BC0"/>
    <w:rsid w:val="000A1EB1"/>
    <w:rsid w:val="000A2F9E"/>
    <w:rsid w:val="000A3886"/>
    <w:rsid w:val="000A3E47"/>
    <w:rsid w:val="000A4A48"/>
    <w:rsid w:val="000A4EC0"/>
    <w:rsid w:val="000A5202"/>
    <w:rsid w:val="000A522B"/>
    <w:rsid w:val="000A6039"/>
    <w:rsid w:val="000A7453"/>
    <w:rsid w:val="000A7D08"/>
    <w:rsid w:val="000B0121"/>
    <w:rsid w:val="000B0670"/>
    <w:rsid w:val="000B0E75"/>
    <w:rsid w:val="000B1CFF"/>
    <w:rsid w:val="000B2DCB"/>
    <w:rsid w:val="000B3E69"/>
    <w:rsid w:val="000B5CE0"/>
    <w:rsid w:val="000B6CAC"/>
    <w:rsid w:val="000B7612"/>
    <w:rsid w:val="000B78AE"/>
    <w:rsid w:val="000C3793"/>
    <w:rsid w:val="000C3DF9"/>
    <w:rsid w:val="000C4CF2"/>
    <w:rsid w:val="000C6713"/>
    <w:rsid w:val="000C6729"/>
    <w:rsid w:val="000D029E"/>
    <w:rsid w:val="000D17E1"/>
    <w:rsid w:val="000D1BFC"/>
    <w:rsid w:val="000D1D5D"/>
    <w:rsid w:val="000D281A"/>
    <w:rsid w:val="000D2848"/>
    <w:rsid w:val="000D326A"/>
    <w:rsid w:val="000D3E6D"/>
    <w:rsid w:val="000D4538"/>
    <w:rsid w:val="000D4B4E"/>
    <w:rsid w:val="000D51FB"/>
    <w:rsid w:val="000E0640"/>
    <w:rsid w:val="000E135D"/>
    <w:rsid w:val="000E534F"/>
    <w:rsid w:val="000E7A9D"/>
    <w:rsid w:val="000F00BA"/>
    <w:rsid w:val="000F316A"/>
    <w:rsid w:val="000F3C74"/>
    <w:rsid w:val="000F484F"/>
    <w:rsid w:val="000F4BB8"/>
    <w:rsid w:val="000F4FA9"/>
    <w:rsid w:val="000F53FB"/>
    <w:rsid w:val="000F7127"/>
    <w:rsid w:val="000F745F"/>
    <w:rsid w:val="000F7B54"/>
    <w:rsid w:val="000F7BB7"/>
    <w:rsid w:val="001000B3"/>
    <w:rsid w:val="00100F8A"/>
    <w:rsid w:val="001021CF"/>
    <w:rsid w:val="001036A9"/>
    <w:rsid w:val="0010452E"/>
    <w:rsid w:val="00104EF0"/>
    <w:rsid w:val="00105AE2"/>
    <w:rsid w:val="001060C6"/>
    <w:rsid w:val="00106B80"/>
    <w:rsid w:val="00107223"/>
    <w:rsid w:val="00107259"/>
    <w:rsid w:val="0011032E"/>
    <w:rsid w:val="00111CE2"/>
    <w:rsid w:val="0011348B"/>
    <w:rsid w:val="00114025"/>
    <w:rsid w:val="001153F9"/>
    <w:rsid w:val="00115982"/>
    <w:rsid w:val="00116C53"/>
    <w:rsid w:val="00120F88"/>
    <w:rsid w:val="00121799"/>
    <w:rsid w:val="001222FC"/>
    <w:rsid w:val="00123902"/>
    <w:rsid w:val="00123A3D"/>
    <w:rsid w:val="0012407D"/>
    <w:rsid w:val="00124A51"/>
    <w:rsid w:val="00125BFC"/>
    <w:rsid w:val="00125F32"/>
    <w:rsid w:val="00126621"/>
    <w:rsid w:val="00126B1D"/>
    <w:rsid w:val="001301E9"/>
    <w:rsid w:val="00130386"/>
    <w:rsid w:val="00131D82"/>
    <w:rsid w:val="00132B22"/>
    <w:rsid w:val="00133D36"/>
    <w:rsid w:val="001360E2"/>
    <w:rsid w:val="00136955"/>
    <w:rsid w:val="00137645"/>
    <w:rsid w:val="001379D9"/>
    <w:rsid w:val="00137CF0"/>
    <w:rsid w:val="0014015A"/>
    <w:rsid w:val="00140E99"/>
    <w:rsid w:val="00142A8A"/>
    <w:rsid w:val="001432A5"/>
    <w:rsid w:val="001434CE"/>
    <w:rsid w:val="00143F67"/>
    <w:rsid w:val="001447E7"/>
    <w:rsid w:val="00145234"/>
    <w:rsid w:val="00145540"/>
    <w:rsid w:val="001456B0"/>
    <w:rsid w:val="001458C5"/>
    <w:rsid w:val="00145E83"/>
    <w:rsid w:val="00150D85"/>
    <w:rsid w:val="00151CAE"/>
    <w:rsid w:val="00152D4C"/>
    <w:rsid w:val="00152F46"/>
    <w:rsid w:val="001547AB"/>
    <w:rsid w:val="001561D1"/>
    <w:rsid w:val="0015629B"/>
    <w:rsid w:val="00156F8F"/>
    <w:rsid w:val="00157130"/>
    <w:rsid w:val="001576B1"/>
    <w:rsid w:val="0016001E"/>
    <w:rsid w:val="0016047B"/>
    <w:rsid w:val="00160A4C"/>
    <w:rsid w:val="00160CD7"/>
    <w:rsid w:val="00160F4A"/>
    <w:rsid w:val="001613AA"/>
    <w:rsid w:val="0016215E"/>
    <w:rsid w:val="00162913"/>
    <w:rsid w:val="00162E84"/>
    <w:rsid w:val="00163EFF"/>
    <w:rsid w:val="00163F66"/>
    <w:rsid w:val="0016478E"/>
    <w:rsid w:val="00165EC4"/>
    <w:rsid w:val="001661FB"/>
    <w:rsid w:val="001671A0"/>
    <w:rsid w:val="00167424"/>
    <w:rsid w:val="0016767F"/>
    <w:rsid w:val="0017088C"/>
    <w:rsid w:val="00173476"/>
    <w:rsid w:val="00173565"/>
    <w:rsid w:val="00173B07"/>
    <w:rsid w:val="001751FA"/>
    <w:rsid w:val="00176F35"/>
    <w:rsid w:val="00181C10"/>
    <w:rsid w:val="00181D9C"/>
    <w:rsid w:val="001837FF"/>
    <w:rsid w:val="00184B0E"/>
    <w:rsid w:val="0018736F"/>
    <w:rsid w:val="0018752F"/>
    <w:rsid w:val="00193838"/>
    <w:rsid w:val="00194AD8"/>
    <w:rsid w:val="00194BDA"/>
    <w:rsid w:val="00194C75"/>
    <w:rsid w:val="00195222"/>
    <w:rsid w:val="00195452"/>
    <w:rsid w:val="001975D8"/>
    <w:rsid w:val="001A178E"/>
    <w:rsid w:val="001A43FA"/>
    <w:rsid w:val="001A47C5"/>
    <w:rsid w:val="001A56FA"/>
    <w:rsid w:val="001A59FB"/>
    <w:rsid w:val="001A5E9E"/>
    <w:rsid w:val="001A6354"/>
    <w:rsid w:val="001A6366"/>
    <w:rsid w:val="001A6E7C"/>
    <w:rsid w:val="001A7282"/>
    <w:rsid w:val="001A7AE8"/>
    <w:rsid w:val="001B06C6"/>
    <w:rsid w:val="001B204E"/>
    <w:rsid w:val="001B2372"/>
    <w:rsid w:val="001B3443"/>
    <w:rsid w:val="001B43CE"/>
    <w:rsid w:val="001B4D20"/>
    <w:rsid w:val="001B7F84"/>
    <w:rsid w:val="001C2A9B"/>
    <w:rsid w:val="001C3DD6"/>
    <w:rsid w:val="001C4299"/>
    <w:rsid w:val="001C4874"/>
    <w:rsid w:val="001C4903"/>
    <w:rsid w:val="001C5F94"/>
    <w:rsid w:val="001C6E66"/>
    <w:rsid w:val="001C6F34"/>
    <w:rsid w:val="001C716C"/>
    <w:rsid w:val="001C74B8"/>
    <w:rsid w:val="001C7BB5"/>
    <w:rsid w:val="001D1100"/>
    <w:rsid w:val="001D1391"/>
    <w:rsid w:val="001D1EE0"/>
    <w:rsid w:val="001D25D7"/>
    <w:rsid w:val="001D32B6"/>
    <w:rsid w:val="001D50B2"/>
    <w:rsid w:val="001D5F49"/>
    <w:rsid w:val="001D6C73"/>
    <w:rsid w:val="001D71F4"/>
    <w:rsid w:val="001D7645"/>
    <w:rsid w:val="001E1E86"/>
    <w:rsid w:val="001E21A7"/>
    <w:rsid w:val="001E238E"/>
    <w:rsid w:val="001E2483"/>
    <w:rsid w:val="001E26C7"/>
    <w:rsid w:val="001E2B1E"/>
    <w:rsid w:val="001E2CFF"/>
    <w:rsid w:val="001E2F24"/>
    <w:rsid w:val="001E30D4"/>
    <w:rsid w:val="001E34DF"/>
    <w:rsid w:val="001E52EB"/>
    <w:rsid w:val="001E61D2"/>
    <w:rsid w:val="001E740C"/>
    <w:rsid w:val="001E7F43"/>
    <w:rsid w:val="001F0494"/>
    <w:rsid w:val="001F1235"/>
    <w:rsid w:val="001F1331"/>
    <w:rsid w:val="001F1CB3"/>
    <w:rsid w:val="001F38B5"/>
    <w:rsid w:val="001F4081"/>
    <w:rsid w:val="001F5F4A"/>
    <w:rsid w:val="001F660F"/>
    <w:rsid w:val="001F729C"/>
    <w:rsid w:val="001F7361"/>
    <w:rsid w:val="002011B0"/>
    <w:rsid w:val="00203181"/>
    <w:rsid w:val="00203783"/>
    <w:rsid w:val="0020385F"/>
    <w:rsid w:val="0020631E"/>
    <w:rsid w:val="002068A0"/>
    <w:rsid w:val="00206AC8"/>
    <w:rsid w:val="00207021"/>
    <w:rsid w:val="0020732F"/>
    <w:rsid w:val="00207D00"/>
    <w:rsid w:val="002105C1"/>
    <w:rsid w:val="00211229"/>
    <w:rsid w:val="002116FD"/>
    <w:rsid w:val="00213EF5"/>
    <w:rsid w:val="00216BF5"/>
    <w:rsid w:val="002216F0"/>
    <w:rsid w:val="00222C5C"/>
    <w:rsid w:val="00223B49"/>
    <w:rsid w:val="00223D5A"/>
    <w:rsid w:val="00224DD4"/>
    <w:rsid w:val="00225290"/>
    <w:rsid w:val="002253F3"/>
    <w:rsid w:val="00226979"/>
    <w:rsid w:val="002278A0"/>
    <w:rsid w:val="00227A85"/>
    <w:rsid w:val="002309CC"/>
    <w:rsid w:val="002312DD"/>
    <w:rsid w:val="00231B9A"/>
    <w:rsid w:val="00231BA9"/>
    <w:rsid w:val="0023209F"/>
    <w:rsid w:val="00233BB2"/>
    <w:rsid w:val="00233C01"/>
    <w:rsid w:val="0023413C"/>
    <w:rsid w:val="002346F0"/>
    <w:rsid w:val="0023629D"/>
    <w:rsid w:val="00237255"/>
    <w:rsid w:val="002378B3"/>
    <w:rsid w:val="00240923"/>
    <w:rsid w:val="002424AF"/>
    <w:rsid w:val="002439DC"/>
    <w:rsid w:val="00243CC4"/>
    <w:rsid w:val="002441D2"/>
    <w:rsid w:val="00244DC8"/>
    <w:rsid w:val="002458BA"/>
    <w:rsid w:val="00245CE9"/>
    <w:rsid w:val="0024636C"/>
    <w:rsid w:val="00247925"/>
    <w:rsid w:val="00251006"/>
    <w:rsid w:val="0025139B"/>
    <w:rsid w:val="00251D0E"/>
    <w:rsid w:val="002524D5"/>
    <w:rsid w:val="00252DAF"/>
    <w:rsid w:val="002532A2"/>
    <w:rsid w:val="00253B1D"/>
    <w:rsid w:val="00254DCF"/>
    <w:rsid w:val="002551E2"/>
    <w:rsid w:val="0025534B"/>
    <w:rsid w:val="0025589D"/>
    <w:rsid w:val="00255BB7"/>
    <w:rsid w:val="0025644B"/>
    <w:rsid w:val="00257541"/>
    <w:rsid w:val="00257A39"/>
    <w:rsid w:val="00257AC4"/>
    <w:rsid w:val="00257BBE"/>
    <w:rsid w:val="00261B10"/>
    <w:rsid w:val="00261EEF"/>
    <w:rsid w:val="00262A1A"/>
    <w:rsid w:val="00262A87"/>
    <w:rsid w:val="00264D26"/>
    <w:rsid w:val="002671F6"/>
    <w:rsid w:val="00267642"/>
    <w:rsid w:val="00267A8F"/>
    <w:rsid w:val="00267AEA"/>
    <w:rsid w:val="00267FA2"/>
    <w:rsid w:val="002700E6"/>
    <w:rsid w:val="0027294B"/>
    <w:rsid w:val="002732EE"/>
    <w:rsid w:val="00273EB4"/>
    <w:rsid w:val="00274682"/>
    <w:rsid w:val="00275158"/>
    <w:rsid w:val="00275C5A"/>
    <w:rsid w:val="00281014"/>
    <w:rsid w:val="002812EC"/>
    <w:rsid w:val="00282466"/>
    <w:rsid w:val="00282FAE"/>
    <w:rsid w:val="00285BCE"/>
    <w:rsid w:val="0028665D"/>
    <w:rsid w:val="00286829"/>
    <w:rsid w:val="0029098D"/>
    <w:rsid w:val="00290E77"/>
    <w:rsid w:val="00291019"/>
    <w:rsid w:val="00291062"/>
    <w:rsid w:val="0029631D"/>
    <w:rsid w:val="002A14AB"/>
    <w:rsid w:val="002A224A"/>
    <w:rsid w:val="002A2ADE"/>
    <w:rsid w:val="002A2F50"/>
    <w:rsid w:val="002A4A6A"/>
    <w:rsid w:val="002A7943"/>
    <w:rsid w:val="002B0175"/>
    <w:rsid w:val="002B05A1"/>
    <w:rsid w:val="002B09A4"/>
    <w:rsid w:val="002B1C1F"/>
    <w:rsid w:val="002B3145"/>
    <w:rsid w:val="002B432F"/>
    <w:rsid w:val="002B48A2"/>
    <w:rsid w:val="002B62B3"/>
    <w:rsid w:val="002B6754"/>
    <w:rsid w:val="002B6CCE"/>
    <w:rsid w:val="002B7CD8"/>
    <w:rsid w:val="002C2510"/>
    <w:rsid w:val="002C2775"/>
    <w:rsid w:val="002C27C1"/>
    <w:rsid w:val="002C2B32"/>
    <w:rsid w:val="002C30BC"/>
    <w:rsid w:val="002C36E3"/>
    <w:rsid w:val="002C4E17"/>
    <w:rsid w:val="002C5099"/>
    <w:rsid w:val="002C5889"/>
    <w:rsid w:val="002C5DB7"/>
    <w:rsid w:val="002C71CE"/>
    <w:rsid w:val="002C74C8"/>
    <w:rsid w:val="002D08F8"/>
    <w:rsid w:val="002D127C"/>
    <w:rsid w:val="002D472F"/>
    <w:rsid w:val="002D577C"/>
    <w:rsid w:val="002D66AC"/>
    <w:rsid w:val="002D6B50"/>
    <w:rsid w:val="002D7832"/>
    <w:rsid w:val="002E0375"/>
    <w:rsid w:val="002E0F06"/>
    <w:rsid w:val="002E1071"/>
    <w:rsid w:val="002E15B9"/>
    <w:rsid w:val="002E17C8"/>
    <w:rsid w:val="002E2158"/>
    <w:rsid w:val="002E3C2F"/>
    <w:rsid w:val="002E4F02"/>
    <w:rsid w:val="002E610B"/>
    <w:rsid w:val="002E6E5A"/>
    <w:rsid w:val="002E7067"/>
    <w:rsid w:val="002E7722"/>
    <w:rsid w:val="002F07BA"/>
    <w:rsid w:val="002F0DA9"/>
    <w:rsid w:val="002F1014"/>
    <w:rsid w:val="002F1A7D"/>
    <w:rsid w:val="002F1E3B"/>
    <w:rsid w:val="002F2C33"/>
    <w:rsid w:val="002F643C"/>
    <w:rsid w:val="002F69D4"/>
    <w:rsid w:val="002F71C0"/>
    <w:rsid w:val="002F74F1"/>
    <w:rsid w:val="002F7741"/>
    <w:rsid w:val="003002DC"/>
    <w:rsid w:val="00301017"/>
    <w:rsid w:val="0030155F"/>
    <w:rsid w:val="00301E9D"/>
    <w:rsid w:val="0030587B"/>
    <w:rsid w:val="00306D98"/>
    <w:rsid w:val="0030786C"/>
    <w:rsid w:val="0031031A"/>
    <w:rsid w:val="00310981"/>
    <w:rsid w:val="00311BD8"/>
    <w:rsid w:val="00311D9B"/>
    <w:rsid w:val="003124D9"/>
    <w:rsid w:val="00312594"/>
    <w:rsid w:val="00315498"/>
    <w:rsid w:val="0031623B"/>
    <w:rsid w:val="00316474"/>
    <w:rsid w:val="00316B85"/>
    <w:rsid w:val="00322107"/>
    <w:rsid w:val="00322355"/>
    <w:rsid w:val="00322704"/>
    <w:rsid w:val="00322846"/>
    <w:rsid w:val="00324741"/>
    <w:rsid w:val="00325351"/>
    <w:rsid w:val="00326DA7"/>
    <w:rsid w:val="003270E4"/>
    <w:rsid w:val="0033042B"/>
    <w:rsid w:val="00330DAA"/>
    <w:rsid w:val="00330F5C"/>
    <w:rsid w:val="00331431"/>
    <w:rsid w:val="003366C9"/>
    <w:rsid w:val="003371B0"/>
    <w:rsid w:val="00340DF1"/>
    <w:rsid w:val="003439B8"/>
    <w:rsid w:val="00344CD3"/>
    <w:rsid w:val="00345F76"/>
    <w:rsid w:val="00347687"/>
    <w:rsid w:val="003517F9"/>
    <w:rsid w:val="00351BA9"/>
    <w:rsid w:val="00354F64"/>
    <w:rsid w:val="0035550C"/>
    <w:rsid w:val="0035620E"/>
    <w:rsid w:val="003575BE"/>
    <w:rsid w:val="003578BF"/>
    <w:rsid w:val="00360345"/>
    <w:rsid w:val="00360F56"/>
    <w:rsid w:val="00361209"/>
    <w:rsid w:val="00361A05"/>
    <w:rsid w:val="003624C4"/>
    <w:rsid w:val="00363B00"/>
    <w:rsid w:val="00364B09"/>
    <w:rsid w:val="003654AC"/>
    <w:rsid w:val="003666C8"/>
    <w:rsid w:val="003668FD"/>
    <w:rsid w:val="00370579"/>
    <w:rsid w:val="003710CF"/>
    <w:rsid w:val="00372828"/>
    <w:rsid w:val="00372A36"/>
    <w:rsid w:val="0037358A"/>
    <w:rsid w:val="003737E9"/>
    <w:rsid w:val="003750F6"/>
    <w:rsid w:val="00375274"/>
    <w:rsid w:val="003760FC"/>
    <w:rsid w:val="00376EEB"/>
    <w:rsid w:val="00380641"/>
    <w:rsid w:val="003809BB"/>
    <w:rsid w:val="0038365C"/>
    <w:rsid w:val="0038369B"/>
    <w:rsid w:val="00383B78"/>
    <w:rsid w:val="00384051"/>
    <w:rsid w:val="00385543"/>
    <w:rsid w:val="003859EC"/>
    <w:rsid w:val="00385A9D"/>
    <w:rsid w:val="00387121"/>
    <w:rsid w:val="003902B1"/>
    <w:rsid w:val="003908E0"/>
    <w:rsid w:val="00390FE5"/>
    <w:rsid w:val="0039135B"/>
    <w:rsid w:val="00391515"/>
    <w:rsid w:val="0039179C"/>
    <w:rsid w:val="00396896"/>
    <w:rsid w:val="00396FD0"/>
    <w:rsid w:val="003A0995"/>
    <w:rsid w:val="003A1A7A"/>
    <w:rsid w:val="003A2392"/>
    <w:rsid w:val="003A2831"/>
    <w:rsid w:val="003A3582"/>
    <w:rsid w:val="003A3CB6"/>
    <w:rsid w:val="003A3ED1"/>
    <w:rsid w:val="003A44DB"/>
    <w:rsid w:val="003A4C14"/>
    <w:rsid w:val="003A4D85"/>
    <w:rsid w:val="003A6097"/>
    <w:rsid w:val="003A7173"/>
    <w:rsid w:val="003B323A"/>
    <w:rsid w:val="003B3971"/>
    <w:rsid w:val="003B54C0"/>
    <w:rsid w:val="003B55D1"/>
    <w:rsid w:val="003B5B61"/>
    <w:rsid w:val="003C117F"/>
    <w:rsid w:val="003C1654"/>
    <w:rsid w:val="003C2EEE"/>
    <w:rsid w:val="003C35C2"/>
    <w:rsid w:val="003C388C"/>
    <w:rsid w:val="003C4356"/>
    <w:rsid w:val="003C5542"/>
    <w:rsid w:val="003C6B58"/>
    <w:rsid w:val="003C7C15"/>
    <w:rsid w:val="003C7D19"/>
    <w:rsid w:val="003C7D2F"/>
    <w:rsid w:val="003C7FC1"/>
    <w:rsid w:val="003D028B"/>
    <w:rsid w:val="003D03D9"/>
    <w:rsid w:val="003D0C5A"/>
    <w:rsid w:val="003D1828"/>
    <w:rsid w:val="003D1D49"/>
    <w:rsid w:val="003D1DE4"/>
    <w:rsid w:val="003D1E9A"/>
    <w:rsid w:val="003D2422"/>
    <w:rsid w:val="003D2E6F"/>
    <w:rsid w:val="003D39A1"/>
    <w:rsid w:val="003D3FBF"/>
    <w:rsid w:val="003D4385"/>
    <w:rsid w:val="003D4A30"/>
    <w:rsid w:val="003D4F2C"/>
    <w:rsid w:val="003D72C2"/>
    <w:rsid w:val="003D7452"/>
    <w:rsid w:val="003D79BB"/>
    <w:rsid w:val="003D7C98"/>
    <w:rsid w:val="003D7D9D"/>
    <w:rsid w:val="003E01A9"/>
    <w:rsid w:val="003E0543"/>
    <w:rsid w:val="003E5603"/>
    <w:rsid w:val="003E749E"/>
    <w:rsid w:val="003F20E0"/>
    <w:rsid w:val="003F2548"/>
    <w:rsid w:val="003F4156"/>
    <w:rsid w:val="003F4AA7"/>
    <w:rsid w:val="003F5ADF"/>
    <w:rsid w:val="003F77C4"/>
    <w:rsid w:val="00400B29"/>
    <w:rsid w:val="0040269D"/>
    <w:rsid w:val="00402812"/>
    <w:rsid w:val="0040504B"/>
    <w:rsid w:val="004059F4"/>
    <w:rsid w:val="004060B4"/>
    <w:rsid w:val="00406476"/>
    <w:rsid w:val="00406DA8"/>
    <w:rsid w:val="00407FE5"/>
    <w:rsid w:val="004101B0"/>
    <w:rsid w:val="00410326"/>
    <w:rsid w:val="004103F4"/>
    <w:rsid w:val="00410708"/>
    <w:rsid w:val="00410857"/>
    <w:rsid w:val="00410EC7"/>
    <w:rsid w:val="00411B1A"/>
    <w:rsid w:val="00411B39"/>
    <w:rsid w:val="004127A7"/>
    <w:rsid w:val="00413A1E"/>
    <w:rsid w:val="00414476"/>
    <w:rsid w:val="00414C2E"/>
    <w:rsid w:val="004151CF"/>
    <w:rsid w:val="00416364"/>
    <w:rsid w:val="004165A0"/>
    <w:rsid w:val="004170E4"/>
    <w:rsid w:val="0042047F"/>
    <w:rsid w:val="00420AA6"/>
    <w:rsid w:val="00420B19"/>
    <w:rsid w:val="00420B9F"/>
    <w:rsid w:val="0042192C"/>
    <w:rsid w:val="00422260"/>
    <w:rsid w:val="0042413F"/>
    <w:rsid w:val="00425D94"/>
    <w:rsid w:val="00427B2E"/>
    <w:rsid w:val="00427FF6"/>
    <w:rsid w:val="004319F8"/>
    <w:rsid w:val="00431E55"/>
    <w:rsid w:val="004321F6"/>
    <w:rsid w:val="00433044"/>
    <w:rsid w:val="00434088"/>
    <w:rsid w:val="004351DD"/>
    <w:rsid w:val="004375B9"/>
    <w:rsid w:val="00440868"/>
    <w:rsid w:val="004409A4"/>
    <w:rsid w:val="004428D0"/>
    <w:rsid w:val="00444185"/>
    <w:rsid w:val="004443A7"/>
    <w:rsid w:val="0044442C"/>
    <w:rsid w:val="0044463B"/>
    <w:rsid w:val="00445941"/>
    <w:rsid w:val="004464EB"/>
    <w:rsid w:val="00446D6E"/>
    <w:rsid w:val="00447D26"/>
    <w:rsid w:val="00447DFC"/>
    <w:rsid w:val="00450540"/>
    <w:rsid w:val="004531D8"/>
    <w:rsid w:val="00455D45"/>
    <w:rsid w:val="004641C2"/>
    <w:rsid w:val="00464595"/>
    <w:rsid w:val="00465080"/>
    <w:rsid w:val="004658B5"/>
    <w:rsid w:val="00465F74"/>
    <w:rsid w:val="0046750A"/>
    <w:rsid w:val="0047129D"/>
    <w:rsid w:val="00471EA5"/>
    <w:rsid w:val="00472156"/>
    <w:rsid w:val="00472A79"/>
    <w:rsid w:val="00473F19"/>
    <w:rsid w:val="00475E22"/>
    <w:rsid w:val="00476086"/>
    <w:rsid w:val="0047656A"/>
    <w:rsid w:val="00476886"/>
    <w:rsid w:val="00477943"/>
    <w:rsid w:val="0048088E"/>
    <w:rsid w:val="00480F2B"/>
    <w:rsid w:val="00482720"/>
    <w:rsid w:val="00482ABC"/>
    <w:rsid w:val="004835E7"/>
    <w:rsid w:val="004845E2"/>
    <w:rsid w:val="004859E1"/>
    <w:rsid w:val="004866B8"/>
    <w:rsid w:val="004867E2"/>
    <w:rsid w:val="004868FB"/>
    <w:rsid w:val="00490B17"/>
    <w:rsid w:val="00491A55"/>
    <w:rsid w:val="00491B3A"/>
    <w:rsid w:val="00492CFD"/>
    <w:rsid w:val="00492F19"/>
    <w:rsid w:val="00494207"/>
    <w:rsid w:val="00494DD5"/>
    <w:rsid w:val="0049581E"/>
    <w:rsid w:val="00495A60"/>
    <w:rsid w:val="004962D2"/>
    <w:rsid w:val="00496B4D"/>
    <w:rsid w:val="004A0837"/>
    <w:rsid w:val="004A0DA1"/>
    <w:rsid w:val="004A134D"/>
    <w:rsid w:val="004A13D6"/>
    <w:rsid w:val="004A1B84"/>
    <w:rsid w:val="004A1EE9"/>
    <w:rsid w:val="004A37B3"/>
    <w:rsid w:val="004A52E9"/>
    <w:rsid w:val="004A6040"/>
    <w:rsid w:val="004A6597"/>
    <w:rsid w:val="004A7848"/>
    <w:rsid w:val="004A793B"/>
    <w:rsid w:val="004A7ED7"/>
    <w:rsid w:val="004A7F12"/>
    <w:rsid w:val="004B1672"/>
    <w:rsid w:val="004B1CB4"/>
    <w:rsid w:val="004B2F18"/>
    <w:rsid w:val="004B3463"/>
    <w:rsid w:val="004B3DDB"/>
    <w:rsid w:val="004B44FD"/>
    <w:rsid w:val="004B5BD6"/>
    <w:rsid w:val="004B5CFC"/>
    <w:rsid w:val="004B6F79"/>
    <w:rsid w:val="004B774D"/>
    <w:rsid w:val="004C1A05"/>
    <w:rsid w:val="004C2AC2"/>
    <w:rsid w:val="004C3184"/>
    <w:rsid w:val="004C3977"/>
    <w:rsid w:val="004C4045"/>
    <w:rsid w:val="004C4AED"/>
    <w:rsid w:val="004C63D6"/>
    <w:rsid w:val="004C79C5"/>
    <w:rsid w:val="004D008D"/>
    <w:rsid w:val="004D04ED"/>
    <w:rsid w:val="004D0F16"/>
    <w:rsid w:val="004D2275"/>
    <w:rsid w:val="004D2C2D"/>
    <w:rsid w:val="004D69B5"/>
    <w:rsid w:val="004D7227"/>
    <w:rsid w:val="004D7B5E"/>
    <w:rsid w:val="004E05B7"/>
    <w:rsid w:val="004E0AC5"/>
    <w:rsid w:val="004E0E7F"/>
    <w:rsid w:val="004E0EB8"/>
    <w:rsid w:val="004E18E9"/>
    <w:rsid w:val="004E2885"/>
    <w:rsid w:val="004E2ADC"/>
    <w:rsid w:val="004E43B2"/>
    <w:rsid w:val="004E573E"/>
    <w:rsid w:val="004E7F25"/>
    <w:rsid w:val="004F1D02"/>
    <w:rsid w:val="004F2679"/>
    <w:rsid w:val="004F2F21"/>
    <w:rsid w:val="004F382D"/>
    <w:rsid w:val="004F3DE5"/>
    <w:rsid w:val="004F4EEF"/>
    <w:rsid w:val="004F5AF8"/>
    <w:rsid w:val="004F6913"/>
    <w:rsid w:val="004F7865"/>
    <w:rsid w:val="004F78CB"/>
    <w:rsid w:val="005007F5"/>
    <w:rsid w:val="00500A1D"/>
    <w:rsid w:val="00501040"/>
    <w:rsid w:val="0050174E"/>
    <w:rsid w:val="00501854"/>
    <w:rsid w:val="0050219B"/>
    <w:rsid w:val="00503343"/>
    <w:rsid w:val="00503F17"/>
    <w:rsid w:val="00503F3A"/>
    <w:rsid w:val="005064FE"/>
    <w:rsid w:val="00506928"/>
    <w:rsid w:val="005077EF"/>
    <w:rsid w:val="00510440"/>
    <w:rsid w:val="005104A7"/>
    <w:rsid w:val="00510C04"/>
    <w:rsid w:val="00510EA5"/>
    <w:rsid w:val="00511AD5"/>
    <w:rsid w:val="00511DC7"/>
    <w:rsid w:val="005137D8"/>
    <w:rsid w:val="005142C5"/>
    <w:rsid w:val="0051501B"/>
    <w:rsid w:val="005152B5"/>
    <w:rsid w:val="00515886"/>
    <w:rsid w:val="0051612A"/>
    <w:rsid w:val="00517247"/>
    <w:rsid w:val="0052123C"/>
    <w:rsid w:val="00521297"/>
    <w:rsid w:val="00521319"/>
    <w:rsid w:val="00521B7B"/>
    <w:rsid w:val="00522BC8"/>
    <w:rsid w:val="00522D5A"/>
    <w:rsid w:val="0052324B"/>
    <w:rsid w:val="00523C28"/>
    <w:rsid w:val="00526348"/>
    <w:rsid w:val="005310C2"/>
    <w:rsid w:val="0053176B"/>
    <w:rsid w:val="005341B3"/>
    <w:rsid w:val="00536F42"/>
    <w:rsid w:val="00537182"/>
    <w:rsid w:val="00540B84"/>
    <w:rsid w:val="00541582"/>
    <w:rsid w:val="00541EDD"/>
    <w:rsid w:val="00542550"/>
    <w:rsid w:val="0054265F"/>
    <w:rsid w:val="00542743"/>
    <w:rsid w:val="00542C2D"/>
    <w:rsid w:val="00542CAF"/>
    <w:rsid w:val="00542F0F"/>
    <w:rsid w:val="005478BD"/>
    <w:rsid w:val="005479E3"/>
    <w:rsid w:val="005518CF"/>
    <w:rsid w:val="00551985"/>
    <w:rsid w:val="00552BD3"/>
    <w:rsid w:val="00552FC2"/>
    <w:rsid w:val="005532A0"/>
    <w:rsid w:val="00553909"/>
    <w:rsid w:val="0055477C"/>
    <w:rsid w:val="00555109"/>
    <w:rsid w:val="00555EF0"/>
    <w:rsid w:val="00556B35"/>
    <w:rsid w:val="00557339"/>
    <w:rsid w:val="0055741A"/>
    <w:rsid w:val="005611B7"/>
    <w:rsid w:val="005618D4"/>
    <w:rsid w:val="005619C7"/>
    <w:rsid w:val="005624CB"/>
    <w:rsid w:val="00564867"/>
    <w:rsid w:val="00565196"/>
    <w:rsid w:val="005657BA"/>
    <w:rsid w:val="00565C79"/>
    <w:rsid w:val="00565DF0"/>
    <w:rsid w:val="0056696F"/>
    <w:rsid w:val="00572269"/>
    <w:rsid w:val="0057244A"/>
    <w:rsid w:val="00572F26"/>
    <w:rsid w:val="005750C5"/>
    <w:rsid w:val="005752DE"/>
    <w:rsid w:val="00575D60"/>
    <w:rsid w:val="00575D8D"/>
    <w:rsid w:val="00576972"/>
    <w:rsid w:val="00577248"/>
    <w:rsid w:val="005826D1"/>
    <w:rsid w:val="00583699"/>
    <w:rsid w:val="00585CDD"/>
    <w:rsid w:val="00585DF4"/>
    <w:rsid w:val="0058674C"/>
    <w:rsid w:val="00587058"/>
    <w:rsid w:val="00587414"/>
    <w:rsid w:val="0058767E"/>
    <w:rsid w:val="00591957"/>
    <w:rsid w:val="005935E6"/>
    <w:rsid w:val="00594500"/>
    <w:rsid w:val="005957F2"/>
    <w:rsid w:val="00597BF9"/>
    <w:rsid w:val="005A0C11"/>
    <w:rsid w:val="005A0F6C"/>
    <w:rsid w:val="005A1BC2"/>
    <w:rsid w:val="005A1E1E"/>
    <w:rsid w:val="005A309A"/>
    <w:rsid w:val="005A34B2"/>
    <w:rsid w:val="005A373D"/>
    <w:rsid w:val="005A523D"/>
    <w:rsid w:val="005B024D"/>
    <w:rsid w:val="005B0B58"/>
    <w:rsid w:val="005B1221"/>
    <w:rsid w:val="005B348A"/>
    <w:rsid w:val="005B363E"/>
    <w:rsid w:val="005B4E53"/>
    <w:rsid w:val="005B5857"/>
    <w:rsid w:val="005B656C"/>
    <w:rsid w:val="005B6B07"/>
    <w:rsid w:val="005B7699"/>
    <w:rsid w:val="005B7AD6"/>
    <w:rsid w:val="005C0759"/>
    <w:rsid w:val="005C0942"/>
    <w:rsid w:val="005C19C4"/>
    <w:rsid w:val="005C1B83"/>
    <w:rsid w:val="005C2413"/>
    <w:rsid w:val="005C25FF"/>
    <w:rsid w:val="005C2D55"/>
    <w:rsid w:val="005C346B"/>
    <w:rsid w:val="005C3E5B"/>
    <w:rsid w:val="005C4A7D"/>
    <w:rsid w:val="005C5ABC"/>
    <w:rsid w:val="005C5CCE"/>
    <w:rsid w:val="005C6505"/>
    <w:rsid w:val="005D044D"/>
    <w:rsid w:val="005D0ABD"/>
    <w:rsid w:val="005D18AD"/>
    <w:rsid w:val="005D26B4"/>
    <w:rsid w:val="005D3F8D"/>
    <w:rsid w:val="005D4F0B"/>
    <w:rsid w:val="005D5843"/>
    <w:rsid w:val="005D6276"/>
    <w:rsid w:val="005E1995"/>
    <w:rsid w:val="005E1B93"/>
    <w:rsid w:val="005E2262"/>
    <w:rsid w:val="005E44D3"/>
    <w:rsid w:val="005E461A"/>
    <w:rsid w:val="005E48B6"/>
    <w:rsid w:val="005E5D26"/>
    <w:rsid w:val="005E6B0C"/>
    <w:rsid w:val="005E6B83"/>
    <w:rsid w:val="005E6CBC"/>
    <w:rsid w:val="005E72FF"/>
    <w:rsid w:val="005E73C0"/>
    <w:rsid w:val="005E7DE4"/>
    <w:rsid w:val="005F07ED"/>
    <w:rsid w:val="005F1F41"/>
    <w:rsid w:val="005F2706"/>
    <w:rsid w:val="005F283F"/>
    <w:rsid w:val="005F4646"/>
    <w:rsid w:val="005F6714"/>
    <w:rsid w:val="005F6A8F"/>
    <w:rsid w:val="005F6BB7"/>
    <w:rsid w:val="005F7588"/>
    <w:rsid w:val="005F7A25"/>
    <w:rsid w:val="00601152"/>
    <w:rsid w:val="006012AC"/>
    <w:rsid w:val="006033EC"/>
    <w:rsid w:val="00603C80"/>
    <w:rsid w:val="00603DB9"/>
    <w:rsid w:val="00604032"/>
    <w:rsid w:val="006045F7"/>
    <w:rsid w:val="00605D74"/>
    <w:rsid w:val="00606FBA"/>
    <w:rsid w:val="00607669"/>
    <w:rsid w:val="006076F4"/>
    <w:rsid w:val="00607AFD"/>
    <w:rsid w:val="00611B12"/>
    <w:rsid w:val="00612F97"/>
    <w:rsid w:val="0061345D"/>
    <w:rsid w:val="0061549B"/>
    <w:rsid w:val="00616802"/>
    <w:rsid w:val="00617E12"/>
    <w:rsid w:val="00620C25"/>
    <w:rsid w:val="0062137A"/>
    <w:rsid w:val="00621477"/>
    <w:rsid w:val="00621ADA"/>
    <w:rsid w:val="006236E1"/>
    <w:rsid w:val="00623F7B"/>
    <w:rsid w:val="00624BD4"/>
    <w:rsid w:val="00624EA2"/>
    <w:rsid w:val="00625A04"/>
    <w:rsid w:val="00627CAD"/>
    <w:rsid w:val="00630C25"/>
    <w:rsid w:val="0063158F"/>
    <w:rsid w:val="00631D6B"/>
    <w:rsid w:val="00631F47"/>
    <w:rsid w:val="00632183"/>
    <w:rsid w:val="00632A6A"/>
    <w:rsid w:val="00632B31"/>
    <w:rsid w:val="006330A1"/>
    <w:rsid w:val="0063479F"/>
    <w:rsid w:val="006353F0"/>
    <w:rsid w:val="006357B5"/>
    <w:rsid w:val="006364A1"/>
    <w:rsid w:val="0063678E"/>
    <w:rsid w:val="00636F03"/>
    <w:rsid w:val="00637BFD"/>
    <w:rsid w:val="00637C5C"/>
    <w:rsid w:val="006418FC"/>
    <w:rsid w:val="00641C4E"/>
    <w:rsid w:val="00641FB3"/>
    <w:rsid w:val="00642759"/>
    <w:rsid w:val="0064434C"/>
    <w:rsid w:val="00644C11"/>
    <w:rsid w:val="006450DE"/>
    <w:rsid w:val="006469D4"/>
    <w:rsid w:val="006471CC"/>
    <w:rsid w:val="006472FE"/>
    <w:rsid w:val="00647A29"/>
    <w:rsid w:val="0065079F"/>
    <w:rsid w:val="00652A28"/>
    <w:rsid w:val="00652ECC"/>
    <w:rsid w:val="0065379F"/>
    <w:rsid w:val="00656188"/>
    <w:rsid w:val="00656323"/>
    <w:rsid w:val="00656DEE"/>
    <w:rsid w:val="0065715A"/>
    <w:rsid w:val="006572B4"/>
    <w:rsid w:val="006610F1"/>
    <w:rsid w:val="00661594"/>
    <w:rsid w:val="00661B7D"/>
    <w:rsid w:val="00661C6B"/>
    <w:rsid w:val="00662D3E"/>
    <w:rsid w:val="00663C41"/>
    <w:rsid w:val="00666E37"/>
    <w:rsid w:val="00667BE3"/>
    <w:rsid w:val="00671004"/>
    <w:rsid w:val="00671A04"/>
    <w:rsid w:val="00672646"/>
    <w:rsid w:val="00674DC9"/>
    <w:rsid w:val="00674E42"/>
    <w:rsid w:val="00676563"/>
    <w:rsid w:val="00677C6B"/>
    <w:rsid w:val="006813F8"/>
    <w:rsid w:val="00682112"/>
    <w:rsid w:val="00682BA6"/>
    <w:rsid w:val="00683D7E"/>
    <w:rsid w:val="00686362"/>
    <w:rsid w:val="00686957"/>
    <w:rsid w:val="006872BA"/>
    <w:rsid w:val="00687B3D"/>
    <w:rsid w:val="00690795"/>
    <w:rsid w:val="00691648"/>
    <w:rsid w:val="006917D7"/>
    <w:rsid w:val="0069434C"/>
    <w:rsid w:val="00694F29"/>
    <w:rsid w:val="00694F44"/>
    <w:rsid w:val="00695639"/>
    <w:rsid w:val="00695FEE"/>
    <w:rsid w:val="00696EF9"/>
    <w:rsid w:val="00696F51"/>
    <w:rsid w:val="00697311"/>
    <w:rsid w:val="006979A5"/>
    <w:rsid w:val="006A016F"/>
    <w:rsid w:val="006A0735"/>
    <w:rsid w:val="006A0DF7"/>
    <w:rsid w:val="006A4321"/>
    <w:rsid w:val="006A43D9"/>
    <w:rsid w:val="006A5662"/>
    <w:rsid w:val="006A68E0"/>
    <w:rsid w:val="006A6B99"/>
    <w:rsid w:val="006A7E5F"/>
    <w:rsid w:val="006B25EB"/>
    <w:rsid w:val="006B261B"/>
    <w:rsid w:val="006B26E1"/>
    <w:rsid w:val="006B2AF1"/>
    <w:rsid w:val="006B2C90"/>
    <w:rsid w:val="006B35E6"/>
    <w:rsid w:val="006B465A"/>
    <w:rsid w:val="006B5846"/>
    <w:rsid w:val="006B67E4"/>
    <w:rsid w:val="006B6DD0"/>
    <w:rsid w:val="006C01D8"/>
    <w:rsid w:val="006C0399"/>
    <w:rsid w:val="006C2A8E"/>
    <w:rsid w:val="006C2CAB"/>
    <w:rsid w:val="006C3255"/>
    <w:rsid w:val="006C3F26"/>
    <w:rsid w:val="006C4616"/>
    <w:rsid w:val="006C50E1"/>
    <w:rsid w:val="006C5BC6"/>
    <w:rsid w:val="006D0D17"/>
    <w:rsid w:val="006D0FAA"/>
    <w:rsid w:val="006D1627"/>
    <w:rsid w:val="006D1B46"/>
    <w:rsid w:val="006D3C7D"/>
    <w:rsid w:val="006D4659"/>
    <w:rsid w:val="006D50BF"/>
    <w:rsid w:val="006D51B6"/>
    <w:rsid w:val="006D5D5F"/>
    <w:rsid w:val="006D5EE1"/>
    <w:rsid w:val="006D5FA6"/>
    <w:rsid w:val="006D6115"/>
    <w:rsid w:val="006D68FB"/>
    <w:rsid w:val="006E2868"/>
    <w:rsid w:val="006E46EB"/>
    <w:rsid w:val="006E6285"/>
    <w:rsid w:val="006E7F73"/>
    <w:rsid w:val="006F04D1"/>
    <w:rsid w:val="006F2B0C"/>
    <w:rsid w:val="006F306C"/>
    <w:rsid w:val="006F63A5"/>
    <w:rsid w:val="006F6B98"/>
    <w:rsid w:val="006F6FC1"/>
    <w:rsid w:val="006F77F0"/>
    <w:rsid w:val="0070142B"/>
    <w:rsid w:val="0070276E"/>
    <w:rsid w:val="00702F8F"/>
    <w:rsid w:val="007030D4"/>
    <w:rsid w:val="00705B7D"/>
    <w:rsid w:val="007079FC"/>
    <w:rsid w:val="00710C2F"/>
    <w:rsid w:val="00711A36"/>
    <w:rsid w:val="00712094"/>
    <w:rsid w:val="007125D3"/>
    <w:rsid w:val="0071346F"/>
    <w:rsid w:val="00714C26"/>
    <w:rsid w:val="0071529C"/>
    <w:rsid w:val="007170DA"/>
    <w:rsid w:val="007172AD"/>
    <w:rsid w:val="00717546"/>
    <w:rsid w:val="00720393"/>
    <w:rsid w:val="00720801"/>
    <w:rsid w:val="00722840"/>
    <w:rsid w:val="00722B1B"/>
    <w:rsid w:val="00723B57"/>
    <w:rsid w:val="00723FF9"/>
    <w:rsid w:val="0072416F"/>
    <w:rsid w:val="00724EC0"/>
    <w:rsid w:val="0072543A"/>
    <w:rsid w:val="007269DC"/>
    <w:rsid w:val="00727C94"/>
    <w:rsid w:val="0073150D"/>
    <w:rsid w:val="00731B0A"/>
    <w:rsid w:val="00731B0E"/>
    <w:rsid w:val="00731BEA"/>
    <w:rsid w:val="00731EAE"/>
    <w:rsid w:val="00733073"/>
    <w:rsid w:val="007335AF"/>
    <w:rsid w:val="00735033"/>
    <w:rsid w:val="00735328"/>
    <w:rsid w:val="0073685B"/>
    <w:rsid w:val="00736F23"/>
    <w:rsid w:val="007413BC"/>
    <w:rsid w:val="00741D10"/>
    <w:rsid w:val="00741FCE"/>
    <w:rsid w:val="007421CB"/>
    <w:rsid w:val="00742B13"/>
    <w:rsid w:val="007449BF"/>
    <w:rsid w:val="00745E20"/>
    <w:rsid w:val="007463FE"/>
    <w:rsid w:val="00746BC0"/>
    <w:rsid w:val="00747E61"/>
    <w:rsid w:val="007510B4"/>
    <w:rsid w:val="0075202A"/>
    <w:rsid w:val="00752142"/>
    <w:rsid w:val="007523F9"/>
    <w:rsid w:val="007533BF"/>
    <w:rsid w:val="0075357E"/>
    <w:rsid w:val="00753B29"/>
    <w:rsid w:val="00753E13"/>
    <w:rsid w:val="00755E98"/>
    <w:rsid w:val="00756B2C"/>
    <w:rsid w:val="007570F4"/>
    <w:rsid w:val="007573E8"/>
    <w:rsid w:val="00760C4E"/>
    <w:rsid w:val="00760F9E"/>
    <w:rsid w:val="007614A2"/>
    <w:rsid w:val="007616E6"/>
    <w:rsid w:val="00761972"/>
    <w:rsid w:val="00762040"/>
    <w:rsid w:val="007627BE"/>
    <w:rsid w:val="00763C36"/>
    <w:rsid w:val="007641D9"/>
    <w:rsid w:val="007643FC"/>
    <w:rsid w:val="00764F03"/>
    <w:rsid w:val="00765B1A"/>
    <w:rsid w:val="00765DC1"/>
    <w:rsid w:val="00767DA7"/>
    <w:rsid w:val="0077216D"/>
    <w:rsid w:val="00772550"/>
    <w:rsid w:val="007726AD"/>
    <w:rsid w:val="00774E22"/>
    <w:rsid w:val="00777335"/>
    <w:rsid w:val="007843F2"/>
    <w:rsid w:val="007846FA"/>
    <w:rsid w:val="00784B8F"/>
    <w:rsid w:val="00785A9F"/>
    <w:rsid w:val="00790E0D"/>
    <w:rsid w:val="00791155"/>
    <w:rsid w:val="00791FB9"/>
    <w:rsid w:val="007925DF"/>
    <w:rsid w:val="0079658D"/>
    <w:rsid w:val="007A004B"/>
    <w:rsid w:val="007A08AA"/>
    <w:rsid w:val="007A0A12"/>
    <w:rsid w:val="007A0EEA"/>
    <w:rsid w:val="007A132D"/>
    <w:rsid w:val="007A1345"/>
    <w:rsid w:val="007A1400"/>
    <w:rsid w:val="007A1FBB"/>
    <w:rsid w:val="007A26AC"/>
    <w:rsid w:val="007A2DDB"/>
    <w:rsid w:val="007A3060"/>
    <w:rsid w:val="007A7067"/>
    <w:rsid w:val="007A70BA"/>
    <w:rsid w:val="007B0D68"/>
    <w:rsid w:val="007B1E7D"/>
    <w:rsid w:val="007B251D"/>
    <w:rsid w:val="007B3533"/>
    <w:rsid w:val="007B3C07"/>
    <w:rsid w:val="007B401F"/>
    <w:rsid w:val="007B4F58"/>
    <w:rsid w:val="007B528D"/>
    <w:rsid w:val="007B63CA"/>
    <w:rsid w:val="007B6824"/>
    <w:rsid w:val="007B7088"/>
    <w:rsid w:val="007B7741"/>
    <w:rsid w:val="007B77D1"/>
    <w:rsid w:val="007C07C7"/>
    <w:rsid w:val="007C1CD9"/>
    <w:rsid w:val="007C2E3F"/>
    <w:rsid w:val="007C32EF"/>
    <w:rsid w:val="007C361D"/>
    <w:rsid w:val="007C4B84"/>
    <w:rsid w:val="007C6009"/>
    <w:rsid w:val="007C70FF"/>
    <w:rsid w:val="007C7C25"/>
    <w:rsid w:val="007C7CFB"/>
    <w:rsid w:val="007D004F"/>
    <w:rsid w:val="007D035F"/>
    <w:rsid w:val="007D06B2"/>
    <w:rsid w:val="007D0B38"/>
    <w:rsid w:val="007D5440"/>
    <w:rsid w:val="007D69EB"/>
    <w:rsid w:val="007E01A6"/>
    <w:rsid w:val="007E128F"/>
    <w:rsid w:val="007E1352"/>
    <w:rsid w:val="007F036D"/>
    <w:rsid w:val="007F0FCE"/>
    <w:rsid w:val="007F1017"/>
    <w:rsid w:val="007F1579"/>
    <w:rsid w:val="007F4A3F"/>
    <w:rsid w:val="007F4A61"/>
    <w:rsid w:val="007F5255"/>
    <w:rsid w:val="007F56CC"/>
    <w:rsid w:val="007F61C2"/>
    <w:rsid w:val="00803C9F"/>
    <w:rsid w:val="00803D30"/>
    <w:rsid w:val="00805142"/>
    <w:rsid w:val="00805FCE"/>
    <w:rsid w:val="00807A8B"/>
    <w:rsid w:val="00810725"/>
    <w:rsid w:val="00811383"/>
    <w:rsid w:val="00812149"/>
    <w:rsid w:val="00812CAC"/>
    <w:rsid w:val="0081545A"/>
    <w:rsid w:val="00815637"/>
    <w:rsid w:val="00816361"/>
    <w:rsid w:val="00816368"/>
    <w:rsid w:val="008166EF"/>
    <w:rsid w:val="00816FEF"/>
    <w:rsid w:val="00817DB7"/>
    <w:rsid w:val="00820A8C"/>
    <w:rsid w:val="008215FB"/>
    <w:rsid w:val="008220CC"/>
    <w:rsid w:val="00823174"/>
    <w:rsid w:val="00823441"/>
    <w:rsid w:val="008240BC"/>
    <w:rsid w:val="00825751"/>
    <w:rsid w:val="008264EB"/>
    <w:rsid w:val="00826599"/>
    <w:rsid w:val="008268CE"/>
    <w:rsid w:val="00827C23"/>
    <w:rsid w:val="00831039"/>
    <w:rsid w:val="00833B05"/>
    <w:rsid w:val="008362B4"/>
    <w:rsid w:val="008362D5"/>
    <w:rsid w:val="00836FED"/>
    <w:rsid w:val="00837386"/>
    <w:rsid w:val="00840CA2"/>
    <w:rsid w:val="0084374F"/>
    <w:rsid w:val="00844A22"/>
    <w:rsid w:val="00844FA1"/>
    <w:rsid w:val="00847703"/>
    <w:rsid w:val="00847DF5"/>
    <w:rsid w:val="008500CC"/>
    <w:rsid w:val="0085271A"/>
    <w:rsid w:val="0085309D"/>
    <w:rsid w:val="008536E2"/>
    <w:rsid w:val="00856826"/>
    <w:rsid w:val="00856897"/>
    <w:rsid w:val="00856E9A"/>
    <w:rsid w:val="0086075D"/>
    <w:rsid w:val="00862502"/>
    <w:rsid w:val="00862CC1"/>
    <w:rsid w:val="008642A7"/>
    <w:rsid w:val="0086579F"/>
    <w:rsid w:val="008660D4"/>
    <w:rsid w:val="00866210"/>
    <w:rsid w:val="00866298"/>
    <w:rsid w:val="008666E1"/>
    <w:rsid w:val="0086782C"/>
    <w:rsid w:val="00870384"/>
    <w:rsid w:val="00871317"/>
    <w:rsid w:val="00871FA9"/>
    <w:rsid w:val="00872112"/>
    <w:rsid w:val="008728E9"/>
    <w:rsid w:val="00872EB4"/>
    <w:rsid w:val="008738FA"/>
    <w:rsid w:val="00873C73"/>
    <w:rsid w:val="00873CC6"/>
    <w:rsid w:val="00874E70"/>
    <w:rsid w:val="00877703"/>
    <w:rsid w:val="00881963"/>
    <w:rsid w:val="008823D5"/>
    <w:rsid w:val="00882874"/>
    <w:rsid w:val="00882E3C"/>
    <w:rsid w:val="0088308A"/>
    <w:rsid w:val="00883787"/>
    <w:rsid w:val="008855E4"/>
    <w:rsid w:val="00886CD2"/>
    <w:rsid w:val="00891230"/>
    <w:rsid w:val="00891E6F"/>
    <w:rsid w:val="0089275D"/>
    <w:rsid w:val="00892A36"/>
    <w:rsid w:val="00893239"/>
    <w:rsid w:val="00893E2A"/>
    <w:rsid w:val="00894489"/>
    <w:rsid w:val="00894CD6"/>
    <w:rsid w:val="00896331"/>
    <w:rsid w:val="008963A5"/>
    <w:rsid w:val="00896D5D"/>
    <w:rsid w:val="0089782D"/>
    <w:rsid w:val="00897F86"/>
    <w:rsid w:val="008A0322"/>
    <w:rsid w:val="008A3158"/>
    <w:rsid w:val="008A3363"/>
    <w:rsid w:val="008A3371"/>
    <w:rsid w:val="008A3BE3"/>
    <w:rsid w:val="008A3C3E"/>
    <w:rsid w:val="008A79DE"/>
    <w:rsid w:val="008B1757"/>
    <w:rsid w:val="008B1C33"/>
    <w:rsid w:val="008B4B6F"/>
    <w:rsid w:val="008B5B1C"/>
    <w:rsid w:val="008B73AB"/>
    <w:rsid w:val="008B7992"/>
    <w:rsid w:val="008B7D7E"/>
    <w:rsid w:val="008C0B98"/>
    <w:rsid w:val="008C4B54"/>
    <w:rsid w:val="008C4C6B"/>
    <w:rsid w:val="008C524B"/>
    <w:rsid w:val="008C5610"/>
    <w:rsid w:val="008C5739"/>
    <w:rsid w:val="008C7050"/>
    <w:rsid w:val="008C7282"/>
    <w:rsid w:val="008C79BD"/>
    <w:rsid w:val="008C7ECB"/>
    <w:rsid w:val="008D07F4"/>
    <w:rsid w:val="008D29E8"/>
    <w:rsid w:val="008D3689"/>
    <w:rsid w:val="008D3B86"/>
    <w:rsid w:val="008D4063"/>
    <w:rsid w:val="008D43FD"/>
    <w:rsid w:val="008D447A"/>
    <w:rsid w:val="008D4755"/>
    <w:rsid w:val="008D4C3D"/>
    <w:rsid w:val="008D6B8C"/>
    <w:rsid w:val="008D743C"/>
    <w:rsid w:val="008E0D3C"/>
    <w:rsid w:val="008E1B9E"/>
    <w:rsid w:val="008E4857"/>
    <w:rsid w:val="008E55AB"/>
    <w:rsid w:val="008F120A"/>
    <w:rsid w:val="008F27E0"/>
    <w:rsid w:val="008F48EB"/>
    <w:rsid w:val="008F4F0B"/>
    <w:rsid w:val="008F5678"/>
    <w:rsid w:val="009012B1"/>
    <w:rsid w:val="00901EC1"/>
    <w:rsid w:val="009046C4"/>
    <w:rsid w:val="009062A5"/>
    <w:rsid w:val="00907699"/>
    <w:rsid w:val="00910FA7"/>
    <w:rsid w:val="00911272"/>
    <w:rsid w:val="00911339"/>
    <w:rsid w:val="009135D6"/>
    <w:rsid w:val="009139C8"/>
    <w:rsid w:val="00913AE3"/>
    <w:rsid w:val="0091471D"/>
    <w:rsid w:val="00914814"/>
    <w:rsid w:val="00914C77"/>
    <w:rsid w:val="009176A9"/>
    <w:rsid w:val="00921322"/>
    <w:rsid w:val="00921ACB"/>
    <w:rsid w:val="00921FF9"/>
    <w:rsid w:val="00922C89"/>
    <w:rsid w:val="00922E30"/>
    <w:rsid w:val="0092369B"/>
    <w:rsid w:val="00927756"/>
    <w:rsid w:val="009300A9"/>
    <w:rsid w:val="009328E6"/>
    <w:rsid w:val="00934988"/>
    <w:rsid w:val="00934E8C"/>
    <w:rsid w:val="00936497"/>
    <w:rsid w:val="0093704E"/>
    <w:rsid w:val="00937089"/>
    <w:rsid w:val="009376B9"/>
    <w:rsid w:val="009400FD"/>
    <w:rsid w:val="00940774"/>
    <w:rsid w:val="009407B6"/>
    <w:rsid w:val="00940FE3"/>
    <w:rsid w:val="009425D3"/>
    <w:rsid w:val="00944F8A"/>
    <w:rsid w:val="009510A2"/>
    <w:rsid w:val="00951F25"/>
    <w:rsid w:val="009527A4"/>
    <w:rsid w:val="00953257"/>
    <w:rsid w:val="0095474C"/>
    <w:rsid w:val="00956EF0"/>
    <w:rsid w:val="00957D92"/>
    <w:rsid w:val="00960C00"/>
    <w:rsid w:val="00961E30"/>
    <w:rsid w:val="00962CB9"/>
    <w:rsid w:val="00964312"/>
    <w:rsid w:val="009651A3"/>
    <w:rsid w:val="00965883"/>
    <w:rsid w:val="00965B8A"/>
    <w:rsid w:val="00966F4F"/>
    <w:rsid w:val="0097071F"/>
    <w:rsid w:val="0097100C"/>
    <w:rsid w:val="009717AC"/>
    <w:rsid w:val="00974955"/>
    <w:rsid w:val="009751C1"/>
    <w:rsid w:val="00976292"/>
    <w:rsid w:val="009766DC"/>
    <w:rsid w:val="009807BD"/>
    <w:rsid w:val="009811F1"/>
    <w:rsid w:val="00983E26"/>
    <w:rsid w:val="00983E57"/>
    <w:rsid w:val="00985847"/>
    <w:rsid w:val="0098589C"/>
    <w:rsid w:val="00985DE2"/>
    <w:rsid w:val="009865E2"/>
    <w:rsid w:val="0098675D"/>
    <w:rsid w:val="00987BA4"/>
    <w:rsid w:val="009920A5"/>
    <w:rsid w:val="00992674"/>
    <w:rsid w:val="009926E0"/>
    <w:rsid w:val="009935E9"/>
    <w:rsid w:val="00993605"/>
    <w:rsid w:val="00993B65"/>
    <w:rsid w:val="0099451E"/>
    <w:rsid w:val="00994574"/>
    <w:rsid w:val="00995641"/>
    <w:rsid w:val="00996B1A"/>
    <w:rsid w:val="009A18F6"/>
    <w:rsid w:val="009A2DCC"/>
    <w:rsid w:val="009A2F63"/>
    <w:rsid w:val="009A5203"/>
    <w:rsid w:val="009A5ABC"/>
    <w:rsid w:val="009A7F10"/>
    <w:rsid w:val="009B042A"/>
    <w:rsid w:val="009B1F98"/>
    <w:rsid w:val="009B3E26"/>
    <w:rsid w:val="009B569A"/>
    <w:rsid w:val="009B5846"/>
    <w:rsid w:val="009B6E1A"/>
    <w:rsid w:val="009C0F0E"/>
    <w:rsid w:val="009C1271"/>
    <w:rsid w:val="009C1807"/>
    <w:rsid w:val="009C1850"/>
    <w:rsid w:val="009C215B"/>
    <w:rsid w:val="009C3533"/>
    <w:rsid w:val="009C3706"/>
    <w:rsid w:val="009C3A3A"/>
    <w:rsid w:val="009C3C2B"/>
    <w:rsid w:val="009C3FEE"/>
    <w:rsid w:val="009C4790"/>
    <w:rsid w:val="009C58CE"/>
    <w:rsid w:val="009C6CEA"/>
    <w:rsid w:val="009C7B85"/>
    <w:rsid w:val="009D014F"/>
    <w:rsid w:val="009D0254"/>
    <w:rsid w:val="009D1A64"/>
    <w:rsid w:val="009D5B91"/>
    <w:rsid w:val="009D5D18"/>
    <w:rsid w:val="009D792E"/>
    <w:rsid w:val="009D7ACF"/>
    <w:rsid w:val="009E0D55"/>
    <w:rsid w:val="009E0DFE"/>
    <w:rsid w:val="009E31F6"/>
    <w:rsid w:val="009E4C07"/>
    <w:rsid w:val="009E57D5"/>
    <w:rsid w:val="009E777F"/>
    <w:rsid w:val="009F1886"/>
    <w:rsid w:val="009F1F3F"/>
    <w:rsid w:val="009F1F8A"/>
    <w:rsid w:val="009F555B"/>
    <w:rsid w:val="009F56C9"/>
    <w:rsid w:val="009F6120"/>
    <w:rsid w:val="00A004E0"/>
    <w:rsid w:val="00A00554"/>
    <w:rsid w:val="00A00D76"/>
    <w:rsid w:val="00A01184"/>
    <w:rsid w:val="00A01449"/>
    <w:rsid w:val="00A037C2"/>
    <w:rsid w:val="00A03D43"/>
    <w:rsid w:val="00A03EDF"/>
    <w:rsid w:val="00A04380"/>
    <w:rsid w:val="00A04786"/>
    <w:rsid w:val="00A05472"/>
    <w:rsid w:val="00A05C32"/>
    <w:rsid w:val="00A0653F"/>
    <w:rsid w:val="00A079E6"/>
    <w:rsid w:val="00A10260"/>
    <w:rsid w:val="00A10577"/>
    <w:rsid w:val="00A10772"/>
    <w:rsid w:val="00A10D16"/>
    <w:rsid w:val="00A11CD0"/>
    <w:rsid w:val="00A122FC"/>
    <w:rsid w:val="00A134FE"/>
    <w:rsid w:val="00A13948"/>
    <w:rsid w:val="00A1555B"/>
    <w:rsid w:val="00A155C5"/>
    <w:rsid w:val="00A156F8"/>
    <w:rsid w:val="00A16AD8"/>
    <w:rsid w:val="00A2021E"/>
    <w:rsid w:val="00A21C95"/>
    <w:rsid w:val="00A21CF3"/>
    <w:rsid w:val="00A24813"/>
    <w:rsid w:val="00A24D76"/>
    <w:rsid w:val="00A25A7F"/>
    <w:rsid w:val="00A25DAA"/>
    <w:rsid w:val="00A272D8"/>
    <w:rsid w:val="00A27465"/>
    <w:rsid w:val="00A27AEC"/>
    <w:rsid w:val="00A307DA"/>
    <w:rsid w:val="00A31843"/>
    <w:rsid w:val="00A320DB"/>
    <w:rsid w:val="00A329DA"/>
    <w:rsid w:val="00A32E4B"/>
    <w:rsid w:val="00A34331"/>
    <w:rsid w:val="00A35C53"/>
    <w:rsid w:val="00A35D16"/>
    <w:rsid w:val="00A37081"/>
    <w:rsid w:val="00A37148"/>
    <w:rsid w:val="00A37BCD"/>
    <w:rsid w:val="00A401E9"/>
    <w:rsid w:val="00A41689"/>
    <w:rsid w:val="00A42592"/>
    <w:rsid w:val="00A437CB"/>
    <w:rsid w:val="00A43C59"/>
    <w:rsid w:val="00A446FB"/>
    <w:rsid w:val="00A44D1B"/>
    <w:rsid w:val="00A46FA0"/>
    <w:rsid w:val="00A475BB"/>
    <w:rsid w:val="00A47835"/>
    <w:rsid w:val="00A50ECD"/>
    <w:rsid w:val="00A518F3"/>
    <w:rsid w:val="00A52729"/>
    <w:rsid w:val="00A52EB8"/>
    <w:rsid w:val="00A53675"/>
    <w:rsid w:val="00A53ACF"/>
    <w:rsid w:val="00A53E10"/>
    <w:rsid w:val="00A53E94"/>
    <w:rsid w:val="00A564D7"/>
    <w:rsid w:val="00A56605"/>
    <w:rsid w:val="00A56B6A"/>
    <w:rsid w:val="00A570FE"/>
    <w:rsid w:val="00A578DC"/>
    <w:rsid w:val="00A6373E"/>
    <w:rsid w:val="00A640E2"/>
    <w:rsid w:val="00A64D65"/>
    <w:rsid w:val="00A65B24"/>
    <w:rsid w:val="00A668AF"/>
    <w:rsid w:val="00A67016"/>
    <w:rsid w:val="00A6725B"/>
    <w:rsid w:val="00A67937"/>
    <w:rsid w:val="00A70605"/>
    <w:rsid w:val="00A71678"/>
    <w:rsid w:val="00A71739"/>
    <w:rsid w:val="00A71761"/>
    <w:rsid w:val="00A73134"/>
    <w:rsid w:val="00A7365A"/>
    <w:rsid w:val="00A737CD"/>
    <w:rsid w:val="00A74C35"/>
    <w:rsid w:val="00A75B3C"/>
    <w:rsid w:val="00A76001"/>
    <w:rsid w:val="00A777B2"/>
    <w:rsid w:val="00A825D4"/>
    <w:rsid w:val="00A828F6"/>
    <w:rsid w:val="00A82B73"/>
    <w:rsid w:val="00A82B8F"/>
    <w:rsid w:val="00A82E6F"/>
    <w:rsid w:val="00A82E9A"/>
    <w:rsid w:val="00A86E8B"/>
    <w:rsid w:val="00A8704A"/>
    <w:rsid w:val="00A87164"/>
    <w:rsid w:val="00A91B65"/>
    <w:rsid w:val="00A93072"/>
    <w:rsid w:val="00A931C8"/>
    <w:rsid w:val="00A93771"/>
    <w:rsid w:val="00A938BD"/>
    <w:rsid w:val="00A93953"/>
    <w:rsid w:val="00A9507A"/>
    <w:rsid w:val="00A959D8"/>
    <w:rsid w:val="00AA113D"/>
    <w:rsid w:val="00AA4338"/>
    <w:rsid w:val="00AA6866"/>
    <w:rsid w:val="00AA6BD5"/>
    <w:rsid w:val="00AA6BD8"/>
    <w:rsid w:val="00AA6C7D"/>
    <w:rsid w:val="00AA7FD6"/>
    <w:rsid w:val="00AB00C2"/>
    <w:rsid w:val="00AB042A"/>
    <w:rsid w:val="00AB11AD"/>
    <w:rsid w:val="00AB19EF"/>
    <w:rsid w:val="00AB2495"/>
    <w:rsid w:val="00AB2D34"/>
    <w:rsid w:val="00AB3430"/>
    <w:rsid w:val="00AB37B9"/>
    <w:rsid w:val="00AB4AD1"/>
    <w:rsid w:val="00AB4B90"/>
    <w:rsid w:val="00AB5E07"/>
    <w:rsid w:val="00AB7CFA"/>
    <w:rsid w:val="00AC215A"/>
    <w:rsid w:val="00AC2C24"/>
    <w:rsid w:val="00AC58FC"/>
    <w:rsid w:val="00AC5B42"/>
    <w:rsid w:val="00AC5B48"/>
    <w:rsid w:val="00AD0BCF"/>
    <w:rsid w:val="00AD1450"/>
    <w:rsid w:val="00AD15E8"/>
    <w:rsid w:val="00AD2394"/>
    <w:rsid w:val="00AD3281"/>
    <w:rsid w:val="00AD356D"/>
    <w:rsid w:val="00AD3702"/>
    <w:rsid w:val="00AD3ADC"/>
    <w:rsid w:val="00AD5010"/>
    <w:rsid w:val="00AD6502"/>
    <w:rsid w:val="00AE0695"/>
    <w:rsid w:val="00AE3E7E"/>
    <w:rsid w:val="00AE43BA"/>
    <w:rsid w:val="00AE611F"/>
    <w:rsid w:val="00AE6376"/>
    <w:rsid w:val="00AE701D"/>
    <w:rsid w:val="00AE7194"/>
    <w:rsid w:val="00AE7B37"/>
    <w:rsid w:val="00AE7E53"/>
    <w:rsid w:val="00AF1315"/>
    <w:rsid w:val="00AF19BF"/>
    <w:rsid w:val="00AF2213"/>
    <w:rsid w:val="00AF2DC3"/>
    <w:rsid w:val="00AF48ED"/>
    <w:rsid w:val="00AF6246"/>
    <w:rsid w:val="00B00EC7"/>
    <w:rsid w:val="00B02C64"/>
    <w:rsid w:val="00B033E5"/>
    <w:rsid w:val="00B03A63"/>
    <w:rsid w:val="00B043AC"/>
    <w:rsid w:val="00B10D70"/>
    <w:rsid w:val="00B10EF4"/>
    <w:rsid w:val="00B1161C"/>
    <w:rsid w:val="00B12225"/>
    <w:rsid w:val="00B12724"/>
    <w:rsid w:val="00B129A4"/>
    <w:rsid w:val="00B12A7F"/>
    <w:rsid w:val="00B17854"/>
    <w:rsid w:val="00B1787F"/>
    <w:rsid w:val="00B201A4"/>
    <w:rsid w:val="00B201D1"/>
    <w:rsid w:val="00B213A6"/>
    <w:rsid w:val="00B235B0"/>
    <w:rsid w:val="00B23891"/>
    <w:rsid w:val="00B24DF6"/>
    <w:rsid w:val="00B26306"/>
    <w:rsid w:val="00B26332"/>
    <w:rsid w:val="00B27A61"/>
    <w:rsid w:val="00B315D4"/>
    <w:rsid w:val="00B33B48"/>
    <w:rsid w:val="00B34C81"/>
    <w:rsid w:val="00B34FE2"/>
    <w:rsid w:val="00B35166"/>
    <w:rsid w:val="00B357D8"/>
    <w:rsid w:val="00B360F4"/>
    <w:rsid w:val="00B366E9"/>
    <w:rsid w:val="00B36A00"/>
    <w:rsid w:val="00B3792B"/>
    <w:rsid w:val="00B37A82"/>
    <w:rsid w:val="00B37BFC"/>
    <w:rsid w:val="00B37E94"/>
    <w:rsid w:val="00B40358"/>
    <w:rsid w:val="00B41579"/>
    <w:rsid w:val="00B41614"/>
    <w:rsid w:val="00B42851"/>
    <w:rsid w:val="00B42F80"/>
    <w:rsid w:val="00B435CB"/>
    <w:rsid w:val="00B465EC"/>
    <w:rsid w:val="00B505C8"/>
    <w:rsid w:val="00B50DB8"/>
    <w:rsid w:val="00B53654"/>
    <w:rsid w:val="00B53905"/>
    <w:rsid w:val="00B546DB"/>
    <w:rsid w:val="00B5488E"/>
    <w:rsid w:val="00B54B5B"/>
    <w:rsid w:val="00B5562E"/>
    <w:rsid w:val="00B55862"/>
    <w:rsid w:val="00B55D65"/>
    <w:rsid w:val="00B56305"/>
    <w:rsid w:val="00B563C5"/>
    <w:rsid w:val="00B565AC"/>
    <w:rsid w:val="00B57000"/>
    <w:rsid w:val="00B60301"/>
    <w:rsid w:val="00B60939"/>
    <w:rsid w:val="00B60AFD"/>
    <w:rsid w:val="00B62715"/>
    <w:rsid w:val="00B627FA"/>
    <w:rsid w:val="00B63305"/>
    <w:rsid w:val="00B65611"/>
    <w:rsid w:val="00B66585"/>
    <w:rsid w:val="00B70068"/>
    <w:rsid w:val="00B70466"/>
    <w:rsid w:val="00B70E8E"/>
    <w:rsid w:val="00B71BC7"/>
    <w:rsid w:val="00B73C05"/>
    <w:rsid w:val="00B73D06"/>
    <w:rsid w:val="00B73FF5"/>
    <w:rsid w:val="00B74285"/>
    <w:rsid w:val="00B76C92"/>
    <w:rsid w:val="00B76EF2"/>
    <w:rsid w:val="00B80EFD"/>
    <w:rsid w:val="00B811D6"/>
    <w:rsid w:val="00B818A4"/>
    <w:rsid w:val="00B82D12"/>
    <w:rsid w:val="00B83739"/>
    <w:rsid w:val="00B84117"/>
    <w:rsid w:val="00B858F0"/>
    <w:rsid w:val="00B85AA2"/>
    <w:rsid w:val="00B8649C"/>
    <w:rsid w:val="00B8695D"/>
    <w:rsid w:val="00B873AB"/>
    <w:rsid w:val="00B87F0A"/>
    <w:rsid w:val="00B90956"/>
    <w:rsid w:val="00B90FE3"/>
    <w:rsid w:val="00B92D0B"/>
    <w:rsid w:val="00B94945"/>
    <w:rsid w:val="00B94DD6"/>
    <w:rsid w:val="00B94F91"/>
    <w:rsid w:val="00B96B77"/>
    <w:rsid w:val="00B9785E"/>
    <w:rsid w:val="00BA0E28"/>
    <w:rsid w:val="00BA296B"/>
    <w:rsid w:val="00BA322D"/>
    <w:rsid w:val="00BA61B9"/>
    <w:rsid w:val="00BA63FA"/>
    <w:rsid w:val="00BA7453"/>
    <w:rsid w:val="00BA7B12"/>
    <w:rsid w:val="00BB00B3"/>
    <w:rsid w:val="00BB0BDD"/>
    <w:rsid w:val="00BB176C"/>
    <w:rsid w:val="00BB1B74"/>
    <w:rsid w:val="00BB2540"/>
    <w:rsid w:val="00BB2A73"/>
    <w:rsid w:val="00BB3A45"/>
    <w:rsid w:val="00BB4ACC"/>
    <w:rsid w:val="00BB5001"/>
    <w:rsid w:val="00BB5D51"/>
    <w:rsid w:val="00BB645B"/>
    <w:rsid w:val="00BB703E"/>
    <w:rsid w:val="00BB732D"/>
    <w:rsid w:val="00BB7405"/>
    <w:rsid w:val="00BC3631"/>
    <w:rsid w:val="00BC591F"/>
    <w:rsid w:val="00BC7D6D"/>
    <w:rsid w:val="00BD0175"/>
    <w:rsid w:val="00BD0A7B"/>
    <w:rsid w:val="00BD20D9"/>
    <w:rsid w:val="00BD2108"/>
    <w:rsid w:val="00BD4451"/>
    <w:rsid w:val="00BD577C"/>
    <w:rsid w:val="00BD68A3"/>
    <w:rsid w:val="00BD6938"/>
    <w:rsid w:val="00BD6CF3"/>
    <w:rsid w:val="00BD7CC7"/>
    <w:rsid w:val="00BD7F72"/>
    <w:rsid w:val="00BE0ECA"/>
    <w:rsid w:val="00BE2180"/>
    <w:rsid w:val="00BE21F2"/>
    <w:rsid w:val="00BE2933"/>
    <w:rsid w:val="00BE4275"/>
    <w:rsid w:val="00BE696C"/>
    <w:rsid w:val="00BF06AE"/>
    <w:rsid w:val="00BF0F95"/>
    <w:rsid w:val="00BF2433"/>
    <w:rsid w:val="00BF2589"/>
    <w:rsid w:val="00BF2E6E"/>
    <w:rsid w:val="00BF4535"/>
    <w:rsid w:val="00BF54E9"/>
    <w:rsid w:val="00BF61C9"/>
    <w:rsid w:val="00BF6C94"/>
    <w:rsid w:val="00C00189"/>
    <w:rsid w:val="00C00424"/>
    <w:rsid w:val="00C00BB0"/>
    <w:rsid w:val="00C0557B"/>
    <w:rsid w:val="00C0564B"/>
    <w:rsid w:val="00C05B6B"/>
    <w:rsid w:val="00C073D5"/>
    <w:rsid w:val="00C1179F"/>
    <w:rsid w:val="00C127B9"/>
    <w:rsid w:val="00C128FA"/>
    <w:rsid w:val="00C12C14"/>
    <w:rsid w:val="00C15F04"/>
    <w:rsid w:val="00C1653C"/>
    <w:rsid w:val="00C179B3"/>
    <w:rsid w:val="00C17E3F"/>
    <w:rsid w:val="00C200AA"/>
    <w:rsid w:val="00C237ED"/>
    <w:rsid w:val="00C24632"/>
    <w:rsid w:val="00C25150"/>
    <w:rsid w:val="00C25418"/>
    <w:rsid w:val="00C25D9C"/>
    <w:rsid w:val="00C276C8"/>
    <w:rsid w:val="00C2778B"/>
    <w:rsid w:val="00C311B2"/>
    <w:rsid w:val="00C31649"/>
    <w:rsid w:val="00C331BB"/>
    <w:rsid w:val="00C337B6"/>
    <w:rsid w:val="00C3434C"/>
    <w:rsid w:val="00C35A93"/>
    <w:rsid w:val="00C37701"/>
    <w:rsid w:val="00C40385"/>
    <w:rsid w:val="00C41768"/>
    <w:rsid w:val="00C421A6"/>
    <w:rsid w:val="00C43FFD"/>
    <w:rsid w:val="00C44E89"/>
    <w:rsid w:val="00C475AA"/>
    <w:rsid w:val="00C5079C"/>
    <w:rsid w:val="00C527C7"/>
    <w:rsid w:val="00C53C98"/>
    <w:rsid w:val="00C56FCF"/>
    <w:rsid w:val="00C57B6C"/>
    <w:rsid w:val="00C618E9"/>
    <w:rsid w:val="00C61A59"/>
    <w:rsid w:val="00C628A6"/>
    <w:rsid w:val="00C62E71"/>
    <w:rsid w:val="00C631CD"/>
    <w:rsid w:val="00C64344"/>
    <w:rsid w:val="00C65108"/>
    <w:rsid w:val="00C65576"/>
    <w:rsid w:val="00C66165"/>
    <w:rsid w:val="00C67964"/>
    <w:rsid w:val="00C7060A"/>
    <w:rsid w:val="00C7151A"/>
    <w:rsid w:val="00C717E3"/>
    <w:rsid w:val="00C71F60"/>
    <w:rsid w:val="00C72241"/>
    <w:rsid w:val="00C7278C"/>
    <w:rsid w:val="00C73961"/>
    <w:rsid w:val="00C74E99"/>
    <w:rsid w:val="00C750C8"/>
    <w:rsid w:val="00C7560F"/>
    <w:rsid w:val="00C75661"/>
    <w:rsid w:val="00C7797B"/>
    <w:rsid w:val="00C77E4B"/>
    <w:rsid w:val="00C80A0E"/>
    <w:rsid w:val="00C8213F"/>
    <w:rsid w:val="00C82A1A"/>
    <w:rsid w:val="00C82BA3"/>
    <w:rsid w:val="00C82F46"/>
    <w:rsid w:val="00C8303F"/>
    <w:rsid w:val="00C843BE"/>
    <w:rsid w:val="00C845FD"/>
    <w:rsid w:val="00C85154"/>
    <w:rsid w:val="00C85A70"/>
    <w:rsid w:val="00C86883"/>
    <w:rsid w:val="00C8797A"/>
    <w:rsid w:val="00C900B8"/>
    <w:rsid w:val="00C90197"/>
    <w:rsid w:val="00C90C71"/>
    <w:rsid w:val="00C91EFE"/>
    <w:rsid w:val="00C91FD1"/>
    <w:rsid w:val="00C931CF"/>
    <w:rsid w:val="00C938CF"/>
    <w:rsid w:val="00C94053"/>
    <w:rsid w:val="00C9624D"/>
    <w:rsid w:val="00C969DA"/>
    <w:rsid w:val="00C9753F"/>
    <w:rsid w:val="00C977F3"/>
    <w:rsid w:val="00C97EED"/>
    <w:rsid w:val="00CA0FAE"/>
    <w:rsid w:val="00CA211C"/>
    <w:rsid w:val="00CA2C77"/>
    <w:rsid w:val="00CA444F"/>
    <w:rsid w:val="00CA4E30"/>
    <w:rsid w:val="00CA5245"/>
    <w:rsid w:val="00CA67EB"/>
    <w:rsid w:val="00CA71F4"/>
    <w:rsid w:val="00CA7239"/>
    <w:rsid w:val="00CA75F1"/>
    <w:rsid w:val="00CA7B09"/>
    <w:rsid w:val="00CB12A5"/>
    <w:rsid w:val="00CB17DB"/>
    <w:rsid w:val="00CB1CAC"/>
    <w:rsid w:val="00CB2F2A"/>
    <w:rsid w:val="00CB4022"/>
    <w:rsid w:val="00CB5B1A"/>
    <w:rsid w:val="00CB6B22"/>
    <w:rsid w:val="00CB7F5F"/>
    <w:rsid w:val="00CC02C3"/>
    <w:rsid w:val="00CC1050"/>
    <w:rsid w:val="00CC1B39"/>
    <w:rsid w:val="00CC1BFA"/>
    <w:rsid w:val="00CC23D0"/>
    <w:rsid w:val="00CC2E9F"/>
    <w:rsid w:val="00CC35EA"/>
    <w:rsid w:val="00CC3848"/>
    <w:rsid w:val="00CC4E4C"/>
    <w:rsid w:val="00CC6D5E"/>
    <w:rsid w:val="00CD0200"/>
    <w:rsid w:val="00CD198D"/>
    <w:rsid w:val="00CD3F77"/>
    <w:rsid w:val="00CD3FCC"/>
    <w:rsid w:val="00CD4660"/>
    <w:rsid w:val="00CD5152"/>
    <w:rsid w:val="00CD5CC0"/>
    <w:rsid w:val="00CD670A"/>
    <w:rsid w:val="00CD67A1"/>
    <w:rsid w:val="00CD6ADC"/>
    <w:rsid w:val="00CD6D25"/>
    <w:rsid w:val="00CD7193"/>
    <w:rsid w:val="00CE164C"/>
    <w:rsid w:val="00CE1F27"/>
    <w:rsid w:val="00CE38C8"/>
    <w:rsid w:val="00CE524F"/>
    <w:rsid w:val="00CE5694"/>
    <w:rsid w:val="00CE58CC"/>
    <w:rsid w:val="00CE6274"/>
    <w:rsid w:val="00CE77B6"/>
    <w:rsid w:val="00CF10E6"/>
    <w:rsid w:val="00CF2B8D"/>
    <w:rsid w:val="00CF334D"/>
    <w:rsid w:val="00CF3A1B"/>
    <w:rsid w:val="00CF456B"/>
    <w:rsid w:val="00CF5A22"/>
    <w:rsid w:val="00CF75B6"/>
    <w:rsid w:val="00D0075D"/>
    <w:rsid w:val="00D02399"/>
    <w:rsid w:val="00D024A0"/>
    <w:rsid w:val="00D0262E"/>
    <w:rsid w:val="00D03679"/>
    <w:rsid w:val="00D041EB"/>
    <w:rsid w:val="00D05E3D"/>
    <w:rsid w:val="00D06139"/>
    <w:rsid w:val="00D0766C"/>
    <w:rsid w:val="00D07728"/>
    <w:rsid w:val="00D07D37"/>
    <w:rsid w:val="00D1104F"/>
    <w:rsid w:val="00D110BD"/>
    <w:rsid w:val="00D13675"/>
    <w:rsid w:val="00D141E1"/>
    <w:rsid w:val="00D14E92"/>
    <w:rsid w:val="00D15314"/>
    <w:rsid w:val="00D15B48"/>
    <w:rsid w:val="00D17D6C"/>
    <w:rsid w:val="00D21175"/>
    <w:rsid w:val="00D2155B"/>
    <w:rsid w:val="00D23BEF"/>
    <w:rsid w:val="00D23D11"/>
    <w:rsid w:val="00D244B6"/>
    <w:rsid w:val="00D24D72"/>
    <w:rsid w:val="00D24EE1"/>
    <w:rsid w:val="00D25F58"/>
    <w:rsid w:val="00D2754D"/>
    <w:rsid w:val="00D27698"/>
    <w:rsid w:val="00D27966"/>
    <w:rsid w:val="00D27B27"/>
    <w:rsid w:val="00D30D5B"/>
    <w:rsid w:val="00D33BE9"/>
    <w:rsid w:val="00D33F93"/>
    <w:rsid w:val="00D34583"/>
    <w:rsid w:val="00D345E5"/>
    <w:rsid w:val="00D357FF"/>
    <w:rsid w:val="00D3597A"/>
    <w:rsid w:val="00D36B1A"/>
    <w:rsid w:val="00D4063C"/>
    <w:rsid w:val="00D424C7"/>
    <w:rsid w:val="00D43B2A"/>
    <w:rsid w:val="00D43CF1"/>
    <w:rsid w:val="00D43D83"/>
    <w:rsid w:val="00D4537A"/>
    <w:rsid w:val="00D47575"/>
    <w:rsid w:val="00D50182"/>
    <w:rsid w:val="00D512E6"/>
    <w:rsid w:val="00D5243B"/>
    <w:rsid w:val="00D52FAF"/>
    <w:rsid w:val="00D53159"/>
    <w:rsid w:val="00D5315C"/>
    <w:rsid w:val="00D533EC"/>
    <w:rsid w:val="00D54BBC"/>
    <w:rsid w:val="00D55746"/>
    <w:rsid w:val="00D56A95"/>
    <w:rsid w:val="00D56F17"/>
    <w:rsid w:val="00D6076E"/>
    <w:rsid w:val="00D60FF6"/>
    <w:rsid w:val="00D61512"/>
    <w:rsid w:val="00D65FF0"/>
    <w:rsid w:val="00D70F16"/>
    <w:rsid w:val="00D72617"/>
    <w:rsid w:val="00D72F57"/>
    <w:rsid w:val="00D734A1"/>
    <w:rsid w:val="00D7589F"/>
    <w:rsid w:val="00D76A44"/>
    <w:rsid w:val="00D815EF"/>
    <w:rsid w:val="00D81949"/>
    <w:rsid w:val="00D81F26"/>
    <w:rsid w:val="00D82227"/>
    <w:rsid w:val="00D822E2"/>
    <w:rsid w:val="00D83124"/>
    <w:rsid w:val="00D83C89"/>
    <w:rsid w:val="00D843F2"/>
    <w:rsid w:val="00D85033"/>
    <w:rsid w:val="00D86231"/>
    <w:rsid w:val="00D87AF9"/>
    <w:rsid w:val="00D908E5"/>
    <w:rsid w:val="00D912AB"/>
    <w:rsid w:val="00D91923"/>
    <w:rsid w:val="00D92408"/>
    <w:rsid w:val="00D93753"/>
    <w:rsid w:val="00D9471A"/>
    <w:rsid w:val="00D957EC"/>
    <w:rsid w:val="00D95DB2"/>
    <w:rsid w:val="00D963A1"/>
    <w:rsid w:val="00D965B1"/>
    <w:rsid w:val="00D97140"/>
    <w:rsid w:val="00DA0775"/>
    <w:rsid w:val="00DA3167"/>
    <w:rsid w:val="00DA498A"/>
    <w:rsid w:val="00DA4DC3"/>
    <w:rsid w:val="00DA5199"/>
    <w:rsid w:val="00DA51CD"/>
    <w:rsid w:val="00DA56F3"/>
    <w:rsid w:val="00DA67E1"/>
    <w:rsid w:val="00DA77A5"/>
    <w:rsid w:val="00DA7D94"/>
    <w:rsid w:val="00DB0E36"/>
    <w:rsid w:val="00DB2D54"/>
    <w:rsid w:val="00DB3639"/>
    <w:rsid w:val="00DB3DBF"/>
    <w:rsid w:val="00DB484F"/>
    <w:rsid w:val="00DB7976"/>
    <w:rsid w:val="00DC04F6"/>
    <w:rsid w:val="00DC0690"/>
    <w:rsid w:val="00DC084F"/>
    <w:rsid w:val="00DC1D65"/>
    <w:rsid w:val="00DC2E11"/>
    <w:rsid w:val="00DC3C57"/>
    <w:rsid w:val="00DC4004"/>
    <w:rsid w:val="00DC4EC3"/>
    <w:rsid w:val="00DC5501"/>
    <w:rsid w:val="00DC5DE4"/>
    <w:rsid w:val="00DC5FE5"/>
    <w:rsid w:val="00DC63DC"/>
    <w:rsid w:val="00DC64E2"/>
    <w:rsid w:val="00DC7154"/>
    <w:rsid w:val="00DC7E8A"/>
    <w:rsid w:val="00DD0F78"/>
    <w:rsid w:val="00DD2730"/>
    <w:rsid w:val="00DD273C"/>
    <w:rsid w:val="00DD3F28"/>
    <w:rsid w:val="00DD4446"/>
    <w:rsid w:val="00DD4537"/>
    <w:rsid w:val="00DD4E15"/>
    <w:rsid w:val="00DD5D12"/>
    <w:rsid w:val="00DD71EE"/>
    <w:rsid w:val="00DE2304"/>
    <w:rsid w:val="00DE2B0D"/>
    <w:rsid w:val="00DE2D03"/>
    <w:rsid w:val="00DE3138"/>
    <w:rsid w:val="00DE31A2"/>
    <w:rsid w:val="00DE37F8"/>
    <w:rsid w:val="00DE39E0"/>
    <w:rsid w:val="00DE4273"/>
    <w:rsid w:val="00DE4FCB"/>
    <w:rsid w:val="00DE5D07"/>
    <w:rsid w:val="00DE671C"/>
    <w:rsid w:val="00DE7062"/>
    <w:rsid w:val="00DE72A7"/>
    <w:rsid w:val="00DE7832"/>
    <w:rsid w:val="00DF05C6"/>
    <w:rsid w:val="00DF0CAF"/>
    <w:rsid w:val="00DF18FC"/>
    <w:rsid w:val="00DF232D"/>
    <w:rsid w:val="00DF2541"/>
    <w:rsid w:val="00DF5D2B"/>
    <w:rsid w:val="00DF6341"/>
    <w:rsid w:val="00E000CF"/>
    <w:rsid w:val="00E00E8E"/>
    <w:rsid w:val="00E0131F"/>
    <w:rsid w:val="00E0547B"/>
    <w:rsid w:val="00E05630"/>
    <w:rsid w:val="00E06DBB"/>
    <w:rsid w:val="00E10149"/>
    <w:rsid w:val="00E11340"/>
    <w:rsid w:val="00E1187D"/>
    <w:rsid w:val="00E11EC8"/>
    <w:rsid w:val="00E122A1"/>
    <w:rsid w:val="00E132D6"/>
    <w:rsid w:val="00E15DDD"/>
    <w:rsid w:val="00E16372"/>
    <w:rsid w:val="00E16AD8"/>
    <w:rsid w:val="00E17FFA"/>
    <w:rsid w:val="00E20E4D"/>
    <w:rsid w:val="00E20ED6"/>
    <w:rsid w:val="00E21358"/>
    <w:rsid w:val="00E2249B"/>
    <w:rsid w:val="00E22710"/>
    <w:rsid w:val="00E22A0D"/>
    <w:rsid w:val="00E23F9A"/>
    <w:rsid w:val="00E24342"/>
    <w:rsid w:val="00E244F6"/>
    <w:rsid w:val="00E258DB"/>
    <w:rsid w:val="00E2600A"/>
    <w:rsid w:val="00E274A2"/>
    <w:rsid w:val="00E2771E"/>
    <w:rsid w:val="00E30BFE"/>
    <w:rsid w:val="00E311EF"/>
    <w:rsid w:val="00E31AE0"/>
    <w:rsid w:val="00E32180"/>
    <w:rsid w:val="00E32E6A"/>
    <w:rsid w:val="00E34948"/>
    <w:rsid w:val="00E35F24"/>
    <w:rsid w:val="00E37569"/>
    <w:rsid w:val="00E401B2"/>
    <w:rsid w:val="00E41E30"/>
    <w:rsid w:val="00E42074"/>
    <w:rsid w:val="00E42F73"/>
    <w:rsid w:val="00E43B48"/>
    <w:rsid w:val="00E43D70"/>
    <w:rsid w:val="00E450E2"/>
    <w:rsid w:val="00E466F3"/>
    <w:rsid w:val="00E46C2F"/>
    <w:rsid w:val="00E4765F"/>
    <w:rsid w:val="00E47B2C"/>
    <w:rsid w:val="00E51560"/>
    <w:rsid w:val="00E51608"/>
    <w:rsid w:val="00E51821"/>
    <w:rsid w:val="00E52ABE"/>
    <w:rsid w:val="00E53FC8"/>
    <w:rsid w:val="00E54347"/>
    <w:rsid w:val="00E55424"/>
    <w:rsid w:val="00E55915"/>
    <w:rsid w:val="00E55BB5"/>
    <w:rsid w:val="00E55F5C"/>
    <w:rsid w:val="00E57869"/>
    <w:rsid w:val="00E611DF"/>
    <w:rsid w:val="00E61DCB"/>
    <w:rsid w:val="00E63F52"/>
    <w:rsid w:val="00E65E79"/>
    <w:rsid w:val="00E66BA2"/>
    <w:rsid w:val="00E67416"/>
    <w:rsid w:val="00E67C80"/>
    <w:rsid w:val="00E718B6"/>
    <w:rsid w:val="00E723BA"/>
    <w:rsid w:val="00E73581"/>
    <w:rsid w:val="00E736FA"/>
    <w:rsid w:val="00E73F40"/>
    <w:rsid w:val="00E749B1"/>
    <w:rsid w:val="00E7598A"/>
    <w:rsid w:val="00E76F8C"/>
    <w:rsid w:val="00E77988"/>
    <w:rsid w:val="00E803DC"/>
    <w:rsid w:val="00E80952"/>
    <w:rsid w:val="00E8206F"/>
    <w:rsid w:val="00E833F7"/>
    <w:rsid w:val="00E8381B"/>
    <w:rsid w:val="00E83BDF"/>
    <w:rsid w:val="00E841CB"/>
    <w:rsid w:val="00E846FE"/>
    <w:rsid w:val="00E857A6"/>
    <w:rsid w:val="00E86FCC"/>
    <w:rsid w:val="00E87A1D"/>
    <w:rsid w:val="00E90390"/>
    <w:rsid w:val="00E9094A"/>
    <w:rsid w:val="00E91D35"/>
    <w:rsid w:val="00E92536"/>
    <w:rsid w:val="00E926A5"/>
    <w:rsid w:val="00E9574F"/>
    <w:rsid w:val="00E962CC"/>
    <w:rsid w:val="00EA17C3"/>
    <w:rsid w:val="00EA2CAA"/>
    <w:rsid w:val="00EA32C0"/>
    <w:rsid w:val="00EA3864"/>
    <w:rsid w:val="00EA5674"/>
    <w:rsid w:val="00EA7F1C"/>
    <w:rsid w:val="00EB03A7"/>
    <w:rsid w:val="00EB15B6"/>
    <w:rsid w:val="00EB3D06"/>
    <w:rsid w:val="00EB4916"/>
    <w:rsid w:val="00EB57EC"/>
    <w:rsid w:val="00EB6182"/>
    <w:rsid w:val="00EC00C9"/>
    <w:rsid w:val="00EC0B06"/>
    <w:rsid w:val="00EC0DD9"/>
    <w:rsid w:val="00EC1013"/>
    <w:rsid w:val="00EC2649"/>
    <w:rsid w:val="00EC31ED"/>
    <w:rsid w:val="00EC36B2"/>
    <w:rsid w:val="00EC3923"/>
    <w:rsid w:val="00EC4E43"/>
    <w:rsid w:val="00EC5836"/>
    <w:rsid w:val="00EC688C"/>
    <w:rsid w:val="00EC7F76"/>
    <w:rsid w:val="00EC7F92"/>
    <w:rsid w:val="00ED0FCF"/>
    <w:rsid w:val="00ED12E3"/>
    <w:rsid w:val="00ED2D51"/>
    <w:rsid w:val="00ED2D72"/>
    <w:rsid w:val="00ED4B04"/>
    <w:rsid w:val="00ED57EA"/>
    <w:rsid w:val="00ED5BD4"/>
    <w:rsid w:val="00ED7F39"/>
    <w:rsid w:val="00EE07D3"/>
    <w:rsid w:val="00EE1996"/>
    <w:rsid w:val="00EE1C01"/>
    <w:rsid w:val="00EE22AF"/>
    <w:rsid w:val="00EE3FC2"/>
    <w:rsid w:val="00EE75E8"/>
    <w:rsid w:val="00EF0171"/>
    <w:rsid w:val="00EF1B25"/>
    <w:rsid w:val="00EF1DA0"/>
    <w:rsid w:val="00EF4747"/>
    <w:rsid w:val="00EF4BF8"/>
    <w:rsid w:val="00EF521F"/>
    <w:rsid w:val="00EF591A"/>
    <w:rsid w:val="00EF6B11"/>
    <w:rsid w:val="00EF7700"/>
    <w:rsid w:val="00F0029F"/>
    <w:rsid w:val="00F02253"/>
    <w:rsid w:val="00F02BE7"/>
    <w:rsid w:val="00F03556"/>
    <w:rsid w:val="00F03AD9"/>
    <w:rsid w:val="00F03C2E"/>
    <w:rsid w:val="00F04370"/>
    <w:rsid w:val="00F04A66"/>
    <w:rsid w:val="00F04B4B"/>
    <w:rsid w:val="00F0516C"/>
    <w:rsid w:val="00F05999"/>
    <w:rsid w:val="00F067A2"/>
    <w:rsid w:val="00F07B9E"/>
    <w:rsid w:val="00F1116F"/>
    <w:rsid w:val="00F1263A"/>
    <w:rsid w:val="00F1359D"/>
    <w:rsid w:val="00F139C5"/>
    <w:rsid w:val="00F13C13"/>
    <w:rsid w:val="00F15B77"/>
    <w:rsid w:val="00F16424"/>
    <w:rsid w:val="00F16F3D"/>
    <w:rsid w:val="00F21236"/>
    <w:rsid w:val="00F22501"/>
    <w:rsid w:val="00F24837"/>
    <w:rsid w:val="00F2575F"/>
    <w:rsid w:val="00F27565"/>
    <w:rsid w:val="00F310D4"/>
    <w:rsid w:val="00F31D5A"/>
    <w:rsid w:val="00F31DC7"/>
    <w:rsid w:val="00F3246E"/>
    <w:rsid w:val="00F326AD"/>
    <w:rsid w:val="00F33975"/>
    <w:rsid w:val="00F33DE9"/>
    <w:rsid w:val="00F35E6D"/>
    <w:rsid w:val="00F35EF4"/>
    <w:rsid w:val="00F3619A"/>
    <w:rsid w:val="00F37EC5"/>
    <w:rsid w:val="00F40AAA"/>
    <w:rsid w:val="00F40BA7"/>
    <w:rsid w:val="00F40F9D"/>
    <w:rsid w:val="00F41091"/>
    <w:rsid w:val="00F41ACD"/>
    <w:rsid w:val="00F4355E"/>
    <w:rsid w:val="00F43D05"/>
    <w:rsid w:val="00F46CB6"/>
    <w:rsid w:val="00F4756D"/>
    <w:rsid w:val="00F47DA1"/>
    <w:rsid w:val="00F47DE8"/>
    <w:rsid w:val="00F5233C"/>
    <w:rsid w:val="00F52BAE"/>
    <w:rsid w:val="00F542C1"/>
    <w:rsid w:val="00F550E3"/>
    <w:rsid w:val="00F55480"/>
    <w:rsid w:val="00F55E73"/>
    <w:rsid w:val="00F55EDA"/>
    <w:rsid w:val="00F56C80"/>
    <w:rsid w:val="00F60092"/>
    <w:rsid w:val="00F61C18"/>
    <w:rsid w:val="00F6394E"/>
    <w:rsid w:val="00F65F4B"/>
    <w:rsid w:val="00F66AB3"/>
    <w:rsid w:val="00F67A69"/>
    <w:rsid w:val="00F70BFF"/>
    <w:rsid w:val="00F70C9D"/>
    <w:rsid w:val="00F73E08"/>
    <w:rsid w:val="00F74CD9"/>
    <w:rsid w:val="00F779C6"/>
    <w:rsid w:val="00F80A7B"/>
    <w:rsid w:val="00F80BA1"/>
    <w:rsid w:val="00F80C10"/>
    <w:rsid w:val="00F80E5D"/>
    <w:rsid w:val="00F81A33"/>
    <w:rsid w:val="00F81B75"/>
    <w:rsid w:val="00F81E78"/>
    <w:rsid w:val="00F82391"/>
    <w:rsid w:val="00F8257F"/>
    <w:rsid w:val="00F83916"/>
    <w:rsid w:val="00F84051"/>
    <w:rsid w:val="00F84890"/>
    <w:rsid w:val="00F851CE"/>
    <w:rsid w:val="00F85E1C"/>
    <w:rsid w:val="00F90EDE"/>
    <w:rsid w:val="00F91219"/>
    <w:rsid w:val="00F92444"/>
    <w:rsid w:val="00F9393E"/>
    <w:rsid w:val="00F943B8"/>
    <w:rsid w:val="00F96FD0"/>
    <w:rsid w:val="00F97A78"/>
    <w:rsid w:val="00F97E7A"/>
    <w:rsid w:val="00FA0B20"/>
    <w:rsid w:val="00FA1434"/>
    <w:rsid w:val="00FA21C4"/>
    <w:rsid w:val="00FA24E7"/>
    <w:rsid w:val="00FA442B"/>
    <w:rsid w:val="00FA5EE6"/>
    <w:rsid w:val="00FA607C"/>
    <w:rsid w:val="00FA7956"/>
    <w:rsid w:val="00FB0824"/>
    <w:rsid w:val="00FB1FC5"/>
    <w:rsid w:val="00FB2FCB"/>
    <w:rsid w:val="00FB4C9C"/>
    <w:rsid w:val="00FB5CF5"/>
    <w:rsid w:val="00FB7623"/>
    <w:rsid w:val="00FB7C55"/>
    <w:rsid w:val="00FC08D8"/>
    <w:rsid w:val="00FC1074"/>
    <w:rsid w:val="00FC1884"/>
    <w:rsid w:val="00FC371D"/>
    <w:rsid w:val="00FC5F0B"/>
    <w:rsid w:val="00FC7AC9"/>
    <w:rsid w:val="00FD2100"/>
    <w:rsid w:val="00FD436C"/>
    <w:rsid w:val="00FD446D"/>
    <w:rsid w:val="00FD4F2C"/>
    <w:rsid w:val="00FD6394"/>
    <w:rsid w:val="00FE02F7"/>
    <w:rsid w:val="00FE06AD"/>
    <w:rsid w:val="00FE0E67"/>
    <w:rsid w:val="00FE0E6C"/>
    <w:rsid w:val="00FE10E4"/>
    <w:rsid w:val="00FE114F"/>
    <w:rsid w:val="00FE1CDC"/>
    <w:rsid w:val="00FE360B"/>
    <w:rsid w:val="00FE521E"/>
    <w:rsid w:val="00FE70C3"/>
    <w:rsid w:val="00FF0642"/>
    <w:rsid w:val="00FF125C"/>
    <w:rsid w:val="00FF13AE"/>
    <w:rsid w:val="00FF1A8B"/>
    <w:rsid w:val="00FF2AD9"/>
    <w:rsid w:val="00FF359F"/>
    <w:rsid w:val="00FF3DCF"/>
    <w:rsid w:val="00FF492C"/>
    <w:rsid w:val="00FF4A21"/>
    <w:rsid w:val="00FF595F"/>
    <w:rsid w:val="00FF5AA3"/>
    <w:rsid w:val="00FF5AD8"/>
    <w:rsid w:val="00FF72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Lash Style Table,Header Table,Source table_,NICE instructions,HealthConsult,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C4EC3"/>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paragraph" w:customStyle="1" w:styleId="Tablebold">
    <w:name w:val="Table bold"/>
    <w:basedOn w:val="Tabletext"/>
    <w:next w:val="Tabletext"/>
    <w:qFormat/>
    <w:rsid w:val="00DD5D12"/>
    <w:pPr>
      <w:keepNext/>
      <w:tabs>
        <w:tab w:val="left" w:pos="416"/>
        <w:tab w:val="left" w:pos="582"/>
      </w:tabs>
      <w:spacing w:line="276" w:lineRule="auto"/>
      <w:jc w:val="both"/>
    </w:pPr>
    <w:rPr>
      <w:rFonts w:cs="Arial"/>
      <w:b/>
      <w:bCs/>
      <w:snapToGrid/>
      <w:szCs w:val="20"/>
      <w:lang w:eastAsia="en-US"/>
    </w:rPr>
  </w:style>
  <w:style w:type="paragraph" w:customStyle="1" w:styleId="Normalbold">
    <w:name w:val="Normal bold"/>
    <w:basedOn w:val="Normal"/>
    <w:next w:val="Normal"/>
    <w:qFormat/>
    <w:rsid w:val="009E57D5"/>
    <w:pPr>
      <w:keepNext/>
      <w:spacing w:line="360" w:lineRule="auto"/>
    </w:pPr>
    <w:rPr>
      <w:rFonts w:ascii="Arial" w:eastAsiaTheme="minorHAnsi" w:hAnsi="Arial"/>
      <w:b/>
      <w:bCs/>
      <w:sz w:val="20"/>
      <w:szCs w:val="20"/>
      <w:lang w:eastAsia="en-US"/>
    </w:rPr>
  </w:style>
  <w:style w:type="paragraph" w:customStyle="1" w:styleId="3Bodytext">
    <w:name w:val="3. Body text"/>
    <w:basedOn w:val="ListParagraph"/>
    <w:qFormat/>
    <w:rsid w:val="009E57D5"/>
    <w:pPr>
      <w:numPr>
        <w:numId w:val="0"/>
      </w:numPr>
      <w:ind w:left="720" w:hanging="720"/>
      <w:jc w:val="left"/>
    </w:pPr>
    <w:rPr>
      <w:rFonts w:eastAsiaTheme="minorHAnsi" w:cstheme="minorBidi"/>
      <w:snapToGrid/>
      <w:szCs w:val="22"/>
    </w:rPr>
  </w:style>
  <w:style w:type="paragraph" w:customStyle="1" w:styleId="Tablebullet1">
    <w:name w:val="Table bullet 1"/>
    <w:basedOn w:val="Normal"/>
    <w:qFormat/>
    <w:rsid w:val="00C86883"/>
    <w:pPr>
      <w:keepNext/>
      <w:widowControl w:val="0"/>
      <w:numPr>
        <w:numId w:val="13"/>
      </w:numPr>
      <w:tabs>
        <w:tab w:val="left" w:pos="316"/>
        <w:tab w:val="left" w:pos="416"/>
        <w:tab w:val="left" w:pos="442"/>
        <w:tab w:val="num" w:pos="492"/>
        <w:tab w:val="left" w:pos="582"/>
      </w:tabs>
      <w:spacing w:line="276" w:lineRule="auto"/>
      <w:ind w:left="284" w:hanging="284"/>
      <w:contextualSpacing/>
    </w:pPr>
    <w:rPr>
      <w:rFonts w:ascii="Arial Narrow" w:eastAsia="Calibri" w:hAnsi="Arial Narrow"/>
      <w:sz w:val="20"/>
      <w:szCs w:val="20"/>
    </w:rPr>
  </w:style>
  <w:style w:type="paragraph" w:customStyle="1" w:styleId="Tablebullet2">
    <w:name w:val="Table bullet 2"/>
    <w:basedOn w:val="Tablebullet1"/>
    <w:qFormat/>
    <w:rsid w:val="00C86883"/>
    <w:pPr>
      <w:numPr>
        <w:ilvl w:val="1"/>
      </w:numPr>
      <w:tabs>
        <w:tab w:val="num" w:pos="1212"/>
      </w:tabs>
      <w:ind w:left="590" w:hanging="227"/>
    </w:pPr>
  </w:style>
  <w:style w:type="paragraph" w:customStyle="1" w:styleId="Tablebullet3">
    <w:name w:val="Table bullet 3"/>
    <w:basedOn w:val="Tablebullet2"/>
    <w:qFormat/>
    <w:rsid w:val="00C86883"/>
    <w:pPr>
      <w:numPr>
        <w:ilvl w:val="2"/>
      </w:numPr>
      <w:tabs>
        <w:tab w:val="num" w:pos="1932"/>
      </w:tabs>
      <w:ind w:left="984"/>
    </w:pPr>
  </w:style>
  <w:style w:type="table" w:customStyle="1" w:styleId="TableGrid11">
    <w:name w:val="Table Grid11"/>
    <w:basedOn w:val="TableNormal"/>
    <w:next w:val="TableGrid"/>
    <w:uiPriority w:val="59"/>
    <w:rsid w:val="00F66A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Instructions">
    <w:name w:val="V5.0 Instructions"/>
    <w:basedOn w:val="Normal"/>
    <w:link w:val="V50InstructionsChar"/>
    <w:qFormat/>
    <w:rsid w:val="00F66AB3"/>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F66AB3"/>
    <w:rPr>
      <w:rFonts w:asciiTheme="minorHAnsi" w:eastAsiaTheme="minorHAnsi" w:hAnsiTheme="minorHAnsi" w:cstheme="minorBidi"/>
      <w:color w:val="4BACC6" w:themeColor="accent5"/>
      <w:sz w:val="24"/>
      <w:szCs w:val="22"/>
      <w:lang w:eastAsia="en-US"/>
    </w:rPr>
  </w:style>
  <w:style w:type="character" w:customStyle="1" w:styleId="hitinf">
    <w:name w:val="hit_inf"/>
    <w:basedOn w:val="DefaultParagraphFont"/>
    <w:rsid w:val="00F66AB3"/>
  </w:style>
  <w:style w:type="paragraph" w:customStyle="1" w:styleId="3-SubsectionHeading">
    <w:name w:val="3-Subsection Heading"/>
    <w:basedOn w:val="Heading2"/>
    <w:next w:val="Normal"/>
    <w:link w:val="3-SubsectionHeadingChar"/>
    <w:qFormat/>
    <w:rsid w:val="00F81A3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81A33"/>
    <w:rPr>
      <w:rFonts w:asciiTheme="minorHAnsi" w:eastAsiaTheme="majorEastAsia" w:hAnsiTheme="minorHAnsi" w:cstheme="majorBidi"/>
      <w:b/>
      <w:i/>
      <w:snapToGrid/>
      <w:spacing w:val="5"/>
      <w:kern w:val="28"/>
      <w:sz w:val="28"/>
      <w:szCs w:val="36"/>
      <w:lang w:eastAsia="en-US"/>
    </w:rPr>
  </w:style>
  <w:style w:type="character" w:styleId="UnresolvedMention">
    <w:name w:val="Unresolved Mention"/>
    <w:basedOn w:val="DefaultParagraphFont"/>
    <w:uiPriority w:val="99"/>
    <w:semiHidden/>
    <w:unhideWhenUsed/>
    <w:rsid w:val="00A31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9929759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59244403">
      <w:bodyDiv w:val="1"/>
      <w:marLeft w:val="0"/>
      <w:marRight w:val="0"/>
      <w:marTop w:val="0"/>
      <w:marBottom w:val="0"/>
      <w:divBdr>
        <w:top w:val="none" w:sz="0" w:space="0" w:color="auto"/>
        <w:left w:val="none" w:sz="0" w:space="0" w:color="auto"/>
        <w:bottom w:val="none" w:sz="0" w:space="0" w:color="auto"/>
        <w:right w:val="none" w:sz="0" w:space="0" w:color="auto"/>
      </w:divBdr>
      <w:divsChild>
        <w:div w:id="30693111">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rvicesaustralia.gov.au/hpo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CD24C-1EF1-40FD-85C8-2BC6BF2E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17842</Words>
  <Characters>96534</Characters>
  <Application>Microsoft Office Word</Application>
  <DocSecurity>0</DocSecurity>
  <Lines>804</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2023-10-24T00:44:00Z</dcterms:created>
  <dcterms:modified xsi:type="dcterms:W3CDTF">2023-10-24T00:47:00Z</dcterms:modified>
</cp:coreProperties>
</file>